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480F9DE3">
      <w:pPr>
        <w:rPr>
          <w:b/>
          <w:color w:val="auto"/>
          <w:sz w:val="32"/>
          <w:szCs w:val="32"/>
          <w:highlight w:val="none"/>
        </w:rPr>
      </w:pPr>
      <w:bookmarkStart w:id="0" w:name="_Toc217446030"/>
      <w:bookmarkStart w:id="1" w:name="_Toc183682338"/>
      <w:r>
        <w:rPr>
          <w:rFonts w:hint="eastAsia"/>
          <w:color w:val="auto"/>
          <w:highlight w:val="none"/>
        </w:rPr>
        <w:drawing>
          <wp:anchor distT="0" distB="0" distL="114300" distR="114300" simplePos="0" relativeHeight="251660288" behindDoc="1" locked="0" layoutInCell="1" allowOverlap="1">
            <wp:simplePos x="0" y="0"/>
            <wp:positionH relativeFrom="column">
              <wp:posOffset>-935355</wp:posOffset>
            </wp:positionH>
            <wp:positionV relativeFrom="paragraph">
              <wp:posOffset>-895985</wp:posOffset>
            </wp:positionV>
            <wp:extent cx="7131685" cy="10714355"/>
            <wp:effectExtent l="0" t="0" r="12065" b="10795"/>
            <wp:wrapNone/>
            <wp:docPr id="5" name="图片 5" descr="2-2-3辅助图形3白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2-2-3辅助图形3白底"/>
                    <pic:cNvPicPr>
                      <a:picLocks noChangeAspect="1"/>
                    </pic:cNvPicPr>
                  </pic:nvPicPr>
                  <pic:blipFill>
                    <a:blip r:embed="rId19"/>
                    <a:stretch>
                      <a:fillRect/>
                    </a:stretch>
                  </pic:blipFill>
                  <pic:spPr>
                    <a:xfrm>
                      <a:off x="0" y="0"/>
                      <a:ext cx="7131685" cy="10714355"/>
                    </a:xfrm>
                    <a:prstGeom prst="rect">
                      <a:avLst/>
                    </a:prstGeom>
                  </pic:spPr>
                </pic:pic>
              </a:graphicData>
            </a:graphic>
          </wp:anchor>
        </w:drawing>
      </w:r>
    </w:p>
    <w:p w14:paraId="4C840809">
      <w:pPr>
        <w:rPr>
          <w:b/>
          <w:color w:val="auto"/>
          <w:sz w:val="32"/>
          <w:szCs w:val="32"/>
          <w:highlight w:val="none"/>
        </w:rPr>
      </w:pPr>
    </w:p>
    <w:p w14:paraId="5AA4F332">
      <w:pPr>
        <w:ind w:firstLine="210" w:firstLineChars="100"/>
        <w:jc w:val="center"/>
        <w:rPr>
          <w:b/>
          <w:color w:val="auto"/>
          <w:sz w:val="32"/>
          <w:szCs w:val="32"/>
          <w:highlight w:val="none"/>
        </w:rPr>
      </w:pPr>
      <w:r>
        <w:rPr>
          <w:rFonts w:hint="eastAsia"/>
          <w:color w:val="auto"/>
          <w:highlight w:val="none"/>
        </w:rPr>
        <w:drawing>
          <wp:anchor distT="0" distB="0" distL="114300" distR="114300" simplePos="0" relativeHeight="251661312" behindDoc="0" locked="0" layoutInCell="1" allowOverlap="1">
            <wp:simplePos x="0" y="0"/>
            <wp:positionH relativeFrom="column">
              <wp:posOffset>495935</wp:posOffset>
            </wp:positionH>
            <wp:positionV relativeFrom="paragraph">
              <wp:posOffset>193040</wp:posOffset>
            </wp:positionV>
            <wp:extent cx="4654550" cy="584200"/>
            <wp:effectExtent l="0" t="0" r="12700" b="6350"/>
            <wp:wrapNone/>
            <wp:docPr id="7" name="图片 7" descr="1-2-1LOGO中英文全称横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1-2-1LOGO中英文全称横式"/>
                    <pic:cNvPicPr>
                      <a:picLocks noChangeAspect="1"/>
                    </pic:cNvPicPr>
                  </pic:nvPicPr>
                  <pic:blipFill>
                    <a:blip r:embed="rId20"/>
                    <a:stretch>
                      <a:fillRect/>
                    </a:stretch>
                  </pic:blipFill>
                  <pic:spPr>
                    <a:xfrm>
                      <a:off x="0" y="0"/>
                      <a:ext cx="4654550" cy="584200"/>
                    </a:xfrm>
                    <a:prstGeom prst="rect">
                      <a:avLst/>
                    </a:prstGeom>
                  </pic:spPr>
                </pic:pic>
              </a:graphicData>
            </a:graphic>
          </wp:anchor>
        </w:drawing>
      </w:r>
    </w:p>
    <w:p w14:paraId="0C65C2B1">
      <w:pPr>
        <w:widowControl/>
        <w:jc w:val="center"/>
        <w:rPr>
          <w:color w:val="auto"/>
          <w:highlight w:val="none"/>
        </w:rPr>
      </w:pPr>
    </w:p>
    <w:p w14:paraId="1576CE77">
      <w:pPr>
        <w:widowControl/>
        <w:jc w:val="center"/>
        <w:rPr>
          <w:color w:val="auto"/>
          <w:highlight w:val="none"/>
        </w:rPr>
      </w:pPr>
    </w:p>
    <w:p w14:paraId="403960DD">
      <w:pPr>
        <w:widowControl/>
        <w:jc w:val="center"/>
        <w:rPr>
          <w:color w:val="auto"/>
          <w:highlight w:val="none"/>
        </w:rPr>
      </w:pPr>
    </w:p>
    <w:p w14:paraId="13D5D316">
      <w:pPr>
        <w:widowControl/>
        <w:jc w:val="center"/>
        <w:rPr>
          <w:color w:val="auto"/>
          <w:highlight w:val="none"/>
        </w:rPr>
      </w:pPr>
    </w:p>
    <w:p w14:paraId="093CA820">
      <w:pPr>
        <w:widowControl/>
        <w:jc w:val="center"/>
        <w:rPr>
          <w:color w:val="auto"/>
          <w:highlight w:val="none"/>
        </w:rPr>
      </w:pPr>
    </w:p>
    <w:p w14:paraId="4863E858">
      <w:pPr>
        <w:widowControl/>
        <w:jc w:val="center"/>
        <w:rPr>
          <w:color w:val="auto"/>
          <w:highlight w:val="none"/>
        </w:rPr>
      </w:pPr>
    </w:p>
    <w:p w14:paraId="42BD2938">
      <w:pPr>
        <w:widowControl/>
        <w:jc w:val="center"/>
        <w:rPr>
          <w:color w:val="auto"/>
          <w:highlight w:val="none"/>
        </w:rPr>
      </w:pPr>
    </w:p>
    <w:p w14:paraId="12B51A4E">
      <w:pPr>
        <w:widowControl/>
        <w:jc w:val="center"/>
        <w:rPr>
          <w:color w:val="auto"/>
          <w:highlight w:val="none"/>
        </w:rPr>
      </w:pPr>
    </w:p>
    <w:p w14:paraId="0148CF16">
      <w:pPr>
        <w:widowControl/>
        <w:jc w:val="center"/>
        <w:rPr>
          <w:color w:val="auto"/>
          <w:highlight w:val="none"/>
        </w:rPr>
      </w:pPr>
    </w:p>
    <w:tbl>
      <w:tblPr>
        <w:tblStyle w:val="51"/>
        <w:tblW w:w="64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53"/>
        <w:gridCol w:w="4404"/>
      </w:tblGrid>
      <w:tr w14:paraId="5E628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6457" w:type="dxa"/>
            <w:gridSpan w:val="2"/>
            <w:tcBorders>
              <w:top w:val="nil"/>
              <w:left w:val="nil"/>
              <w:right w:val="nil"/>
            </w:tcBorders>
          </w:tcPr>
          <w:p w14:paraId="20B303F9">
            <w:pPr>
              <w:snapToGrid w:val="0"/>
              <w:spacing w:line="240" w:lineRule="atLeast"/>
              <w:jc w:val="center"/>
              <w:rPr>
                <w:b/>
                <w:color w:val="auto"/>
                <w:sz w:val="13"/>
                <w:szCs w:val="13"/>
                <w:highlight w:val="none"/>
              </w:rPr>
            </w:pPr>
            <w:r>
              <w:rPr>
                <w:rFonts w:hint="eastAsia"/>
                <w:b/>
                <w:color w:val="auto"/>
                <w:sz w:val="72"/>
                <w:szCs w:val="72"/>
                <w:highlight w:val="none"/>
              </w:rPr>
              <w:t>采购文件</w:t>
            </w:r>
          </w:p>
        </w:tc>
      </w:tr>
      <w:tr w14:paraId="4E631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8" w:hRule="exact"/>
          <w:jc w:val="center"/>
        </w:trPr>
        <w:tc>
          <w:tcPr>
            <w:tcW w:w="2053" w:type="dxa"/>
            <w:vAlign w:val="center"/>
          </w:tcPr>
          <w:p w14:paraId="05B896ED">
            <w:pPr>
              <w:rPr>
                <w:b/>
                <w:color w:val="auto"/>
                <w:sz w:val="32"/>
                <w:szCs w:val="32"/>
                <w:highlight w:val="none"/>
              </w:rPr>
            </w:pPr>
            <w:r>
              <w:rPr>
                <w:b/>
                <w:color w:val="auto"/>
                <w:sz w:val="32"/>
                <w:szCs w:val="32"/>
                <w:highlight w:val="none"/>
              </w:rPr>
              <w:t>项目名称：</w:t>
            </w:r>
          </w:p>
        </w:tc>
        <w:tc>
          <w:tcPr>
            <w:tcW w:w="4404" w:type="dxa"/>
            <w:vAlign w:val="center"/>
          </w:tcPr>
          <w:p w14:paraId="06D620BA">
            <w:pPr>
              <w:rPr>
                <w:b/>
                <w:color w:val="auto"/>
                <w:sz w:val="32"/>
                <w:szCs w:val="32"/>
                <w:highlight w:val="none"/>
              </w:rPr>
            </w:pPr>
            <w:r>
              <w:rPr>
                <w:rFonts w:hint="eastAsia"/>
                <w:b/>
                <w:color w:val="auto"/>
                <w:sz w:val="32"/>
                <w:szCs w:val="32"/>
                <w:highlight w:val="none"/>
              </w:rPr>
              <w:t>广西海上紧急医学救援中心项目—海上紧急医学救援楼多媒体指挥调度大厅项目</w:t>
            </w:r>
          </w:p>
        </w:tc>
      </w:tr>
      <w:tr w14:paraId="305BE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2053" w:type="dxa"/>
            <w:vAlign w:val="center"/>
          </w:tcPr>
          <w:p w14:paraId="3E15343E">
            <w:pPr>
              <w:rPr>
                <w:b/>
                <w:color w:val="auto"/>
                <w:sz w:val="32"/>
                <w:szCs w:val="32"/>
                <w:highlight w:val="none"/>
              </w:rPr>
            </w:pPr>
            <w:r>
              <w:rPr>
                <w:b/>
                <w:color w:val="auto"/>
                <w:sz w:val="32"/>
                <w:szCs w:val="32"/>
                <w:highlight w:val="none"/>
              </w:rPr>
              <w:t>项目编号：</w:t>
            </w:r>
          </w:p>
        </w:tc>
        <w:tc>
          <w:tcPr>
            <w:tcW w:w="4404" w:type="dxa"/>
            <w:vAlign w:val="center"/>
          </w:tcPr>
          <w:p w14:paraId="667AFA1C">
            <w:pPr>
              <w:rPr>
                <w:rFonts w:hint="eastAsia" w:eastAsia="宋体"/>
                <w:b/>
                <w:color w:val="auto"/>
                <w:sz w:val="32"/>
                <w:szCs w:val="32"/>
                <w:highlight w:val="none"/>
                <w:lang w:eastAsia="zh-CN"/>
              </w:rPr>
            </w:pPr>
            <w:r>
              <w:rPr>
                <w:rFonts w:hint="eastAsia"/>
                <w:b/>
                <w:color w:val="auto"/>
                <w:sz w:val="32"/>
                <w:szCs w:val="32"/>
                <w:highlight w:val="none"/>
                <w:lang w:eastAsia="zh-CN"/>
              </w:rPr>
              <w:t>BHZC2026-J1-990242-JDZB</w:t>
            </w:r>
          </w:p>
        </w:tc>
      </w:tr>
      <w:tr w14:paraId="02809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2053" w:type="dxa"/>
            <w:vAlign w:val="center"/>
          </w:tcPr>
          <w:p w14:paraId="3971DEF0">
            <w:pPr>
              <w:rPr>
                <w:b/>
                <w:color w:val="auto"/>
                <w:sz w:val="32"/>
                <w:szCs w:val="32"/>
                <w:highlight w:val="none"/>
              </w:rPr>
            </w:pPr>
            <w:r>
              <w:rPr>
                <w:b/>
                <w:color w:val="auto"/>
                <w:sz w:val="32"/>
                <w:szCs w:val="32"/>
                <w:highlight w:val="none"/>
              </w:rPr>
              <w:t>联系电话：</w:t>
            </w:r>
          </w:p>
        </w:tc>
        <w:tc>
          <w:tcPr>
            <w:tcW w:w="4404" w:type="dxa"/>
            <w:vAlign w:val="center"/>
          </w:tcPr>
          <w:p w14:paraId="055BB6C9">
            <w:pPr>
              <w:rPr>
                <w:b/>
                <w:color w:val="auto"/>
                <w:sz w:val="32"/>
                <w:szCs w:val="32"/>
                <w:highlight w:val="none"/>
              </w:rPr>
            </w:pPr>
            <w:r>
              <w:rPr>
                <w:rFonts w:hint="eastAsia"/>
                <w:b/>
                <w:color w:val="auto"/>
                <w:sz w:val="32"/>
                <w:szCs w:val="32"/>
                <w:highlight w:val="none"/>
              </w:rPr>
              <w:t>0771-5782003</w:t>
            </w:r>
          </w:p>
        </w:tc>
      </w:tr>
      <w:tr w14:paraId="1C9DC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2053" w:type="dxa"/>
            <w:vAlign w:val="center"/>
          </w:tcPr>
          <w:p w14:paraId="2A2EFAD4">
            <w:pPr>
              <w:rPr>
                <w:b/>
                <w:color w:val="auto"/>
                <w:sz w:val="32"/>
                <w:szCs w:val="32"/>
                <w:highlight w:val="none"/>
              </w:rPr>
            </w:pPr>
            <w:r>
              <w:rPr>
                <w:rFonts w:hint="eastAsia"/>
                <w:b/>
                <w:color w:val="auto"/>
                <w:sz w:val="32"/>
                <w:szCs w:val="32"/>
                <w:highlight w:val="none"/>
              </w:rPr>
              <w:t>采购方式</w:t>
            </w:r>
          </w:p>
        </w:tc>
        <w:tc>
          <w:tcPr>
            <w:tcW w:w="4404" w:type="dxa"/>
            <w:vAlign w:val="center"/>
          </w:tcPr>
          <w:p w14:paraId="285293BA">
            <w:pPr>
              <w:rPr>
                <w:b/>
                <w:color w:val="auto"/>
                <w:sz w:val="32"/>
                <w:szCs w:val="32"/>
                <w:highlight w:val="none"/>
              </w:rPr>
            </w:pPr>
            <w:r>
              <w:rPr>
                <w:rFonts w:hint="eastAsia"/>
                <w:b/>
                <w:color w:val="auto"/>
                <w:sz w:val="32"/>
                <w:szCs w:val="32"/>
                <w:highlight w:val="none"/>
              </w:rPr>
              <w:t>竞争性谈判</w:t>
            </w:r>
          </w:p>
        </w:tc>
      </w:tr>
    </w:tbl>
    <w:p w14:paraId="0437D811">
      <w:pPr>
        <w:widowControl/>
        <w:jc w:val="center"/>
        <w:rPr>
          <w:color w:val="auto"/>
          <w:highlight w:val="none"/>
        </w:rPr>
      </w:pPr>
    </w:p>
    <w:p w14:paraId="730B312D">
      <w:pPr>
        <w:widowControl/>
        <w:jc w:val="center"/>
        <w:rPr>
          <w:color w:val="auto"/>
          <w:highlight w:val="none"/>
        </w:rPr>
      </w:pPr>
    </w:p>
    <w:p w14:paraId="32D659EB">
      <w:pPr>
        <w:widowControl/>
        <w:jc w:val="center"/>
        <w:rPr>
          <w:color w:val="auto"/>
          <w:highlight w:val="none"/>
        </w:rPr>
      </w:pPr>
    </w:p>
    <w:p w14:paraId="4FABD421">
      <w:pPr>
        <w:widowControl/>
        <w:jc w:val="center"/>
        <w:rPr>
          <w:color w:val="auto"/>
          <w:highlight w:val="none"/>
        </w:rPr>
      </w:pPr>
    </w:p>
    <w:p w14:paraId="1B3B20CC">
      <w:pPr>
        <w:widowControl/>
        <w:jc w:val="center"/>
        <w:rPr>
          <w:color w:val="auto"/>
          <w:highlight w:val="none"/>
        </w:rPr>
      </w:pPr>
    </w:p>
    <w:p w14:paraId="4B0718F0">
      <w:pPr>
        <w:widowControl/>
        <w:jc w:val="center"/>
        <w:rPr>
          <w:color w:val="auto"/>
          <w:highlight w:val="none"/>
        </w:rPr>
      </w:pPr>
    </w:p>
    <w:p w14:paraId="0EF7291D">
      <w:pPr>
        <w:widowControl/>
        <w:jc w:val="center"/>
        <w:rPr>
          <w:color w:val="auto"/>
          <w:highlight w:val="none"/>
        </w:rPr>
      </w:pPr>
    </w:p>
    <w:p w14:paraId="43AB375B">
      <w:pPr>
        <w:widowControl/>
        <w:jc w:val="center"/>
        <w:rPr>
          <w:color w:val="auto"/>
          <w:highlight w:val="none"/>
        </w:rPr>
      </w:pPr>
    </w:p>
    <w:p w14:paraId="4E49D00D">
      <w:pPr>
        <w:rPr>
          <w:color w:val="auto"/>
          <w:highlight w:val="none"/>
        </w:rPr>
      </w:pPr>
    </w:p>
    <w:p w14:paraId="5766CF0D">
      <w:pPr>
        <w:rPr>
          <w:color w:val="auto"/>
          <w:highlight w:val="none"/>
        </w:rPr>
      </w:pPr>
    </w:p>
    <w:p w14:paraId="7C4AA96C">
      <w:pPr>
        <w:rPr>
          <w:color w:val="auto"/>
          <w:highlight w:val="none"/>
        </w:rPr>
      </w:pPr>
    </w:p>
    <w:p w14:paraId="180BA0C9">
      <w:pPr>
        <w:rPr>
          <w:color w:val="auto"/>
          <w:highlight w:val="none"/>
        </w:rPr>
      </w:pPr>
    </w:p>
    <w:p w14:paraId="765F5C05">
      <w:pPr>
        <w:rPr>
          <w:color w:val="auto"/>
          <w:highlight w:val="none"/>
        </w:rPr>
      </w:pPr>
    </w:p>
    <w:tbl>
      <w:tblPr>
        <w:tblStyle w:val="51"/>
        <w:tblW w:w="8284" w:type="dxa"/>
        <w:jc w:val="center"/>
        <w:tblLayout w:type="fixed"/>
        <w:tblCellMar>
          <w:top w:w="0" w:type="dxa"/>
          <w:left w:w="108" w:type="dxa"/>
          <w:bottom w:w="0" w:type="dxa"/>
          <w:right w:w="108" w:type="dxa"/>
        </w:tblCellMar>
      </w:tblPr>
      <w:tblGrid>
        <w:gridCol w:w="2707"/>
        <w:gridCol w:w="6"/>
        <w:gridCol w:w="5571"/>
      </w:tblGrid>
      <w:tr w14:paraId="7632A7CA">
        <w:tblPrEx>
          <w:tblCellMar>
            <w:top w:w="0" w:type="dxa"/>
            <w:left w:w="108" w:type="dxa"/>
            <w:bottom w:w="0" w:type="dxa"/>
            <w:right w:w="108" w:type="dxa"/>
          </w:tblCellMar>
        </w:tblPrEx>
        <w:trPr>
          <w:trHeight w:val="703" w:hRule="atLeast"/>
          <w:jc w:val="center"/>
        </w:trPr>
        <w:tc>
          <w:tcPr>
            <w:tcW w:w="2707" w:type="dxa"/>
            <w:vAlign w:val="center"/>
          </w:tcPr>
          <w:p w14:paraId="042B71FF">
            <w:pPr>
              <w:autoSpaceDE w:val="0"/>
              <w:autoSpaceDN w:val="0"/>
              <w:adjustRightInd w:val="0"/>
              <w:jc w:val="right"/>
              <w:rPr>
                <w:b/>
                <w:color w:val="auto"/>
                <w:sz w:val="32"/>
                <w:szCs w:val="32"/>
                <w:highlight w:val="none"/>
              </w:rPr>
            </w:pPr>
            <w:r>
              <w:rPr>
                <w:b/>
                <w:color w:val="auto"/>
                <w:sz w:val="32"/>
                <w:szCs w:val="32"/>
                <w:highlight w:val="none"/>
              </w:rPr>
              <w:t xml:space="preserve">  采购人：</w:t>
            </w:r>
          </w:p>
        </w:tc>
        <w:tc>
          <w:tcPr>
            <w:tcW w:w="5577" w:type="dxa"/>
            <w:gridSpan w:val="2"/>
            <w:vAlign w:val="center"/>
          </w:tcPr>
          <w:p w14:paraId="27BFC611">
            <w:pPr>
              <w:autoSpaceDE w:val="0"/>
              <w:autoSpaceDN w:val="0"/>
              <w:adjustRightInd w:val="0"/>
              <w:jc w:val="left"/>
              <w:rPr>
                <w:b/>
                <w:color w:val="auto"/>
                <w:sz w:val="32"/>
                <w:szCs w:val="32"/>
                <w:highlight w:val="none"/>
              </w:rPr>
            </w:pPr>
            <w:r>
              <w:rPr>
                <w:rFonts w:hint="eastAsia"/>
                <w:b/>
                <w:color w:val="auto"/>
                <w:sz w:val="32"/>
                <w:szCs w:val="32"/>
                <w:highlight w:val="none"/>
              </w:rPr>
              <w:t>北海市人民医院</w:t>
            </w:r>
          </w:p>
        </w:tc>
      </w:tr>
      <w:tr w14:paraId="0F92DE9C">
        <w:tblPrEx>
          <w:tblCellMar>
            <w:top w:w="0" w:type="dxa"/>
            <w:left w:w="108" w:type="dxa"/>
            <w:bottom w:w="0" w:type="dxa"/>
            <w:right w:w="108" w:type="dxa"/>
          </w:tblCellMar>
        </w:tblPrEx>
        <w:trPr>
          <w:trHeight w:val="703" w:hRule="atLeast"/>
          <w:jc w:val="center"/>
        </w:trPr>
        <w:tc>
          <w:tcPr>
            <w:tcW w:w="2713" w:type="dxa"/>
            <w:gridSpan w:val="2"/>
          </w:tcPr>
          <w:p w14:paraId="787CF79E">
            <w:pPr>
              <w:autoSpaceDE w:val="0"/>
              <w:autoSpaceDN w:val="0"/>
              <w:adjustRightInd w:val="0"/>
              <w:jc w:val="right"/>
              <w:rPr>
                <w:b/>
                <w:color w:val="auto"/>
                <w:sz w:val="32"/>
                <w:szCs w:val="32"/>
                <w:highlight w:val="none"/>
              </w:rPr>
            </w:pPr>
            <w:r>
              <w:rPr>
                <w:b/>
                <w:color w:val="auto"/>
                <w:sz w:val="32"/>
                <w:szCs w:val="32"/>
                <w:highlight w:val="none"/>
              </w:rPr>
              <w:t>采购代理机构：</w:t>
            </w:r>
          </w:p>
        </w:tc>
        <w:tc>
          <w:tcPr>
            <w:tcW w:w="5571" w:type="dxa"/>
          </w:tcPr>
          <w:p w14:paraId="26DDDBAA">
            <w:pPr>
              <w:autoSpaceDE w:val="0"/>
              <w:autoSpaceDN w:val="0"/>
              <w:adjustRightInd w:val="0"/>
              <w:rPr>
                <w:b/>
                <w:color w:val="auto"/>
                <w:sz w:val="32"/>
                <w:szCs w:val="32"/>
                <w:highlight w:val="none"/>
                <w:u w:val="single"/>
              </w:rPr>
            </w:pPr>
            <w:r>
              <w:rPr>
                <w:b/>
                <w:color w:val="auto"/>
                <w:sz w:val="32"/>
                <w:szCs w:val="32"/>
                <w:highlight w:val="none"/>
              </w:rPr>
              <w:t>广西机电设备招标有限公司</w:t>
            </w:r>
          </w:p>
        </w:tc>
      </w:tr>
    </w:tbl>
    <w:p w14:paraId="19A3D4E0">
      <w:pPr>
        <w:rPr>
          <w:color w:val="auto"/>
          <w:highlight w:val="none"/>
        </w:rPr>
      </w:pPr>
    </w:p>
    <w:p w14:paraId="329B77A3">
      <w:pPr>
        <w:ind w:firstLine="321" w:firstLineChars="100"/>
        <w:jc w:val="center"/>
        <w:rPr>
          <w:b/>
          <w:color w:val="auto"/>
          <w:sz w:val="32"/>
          <w:szCs w:val="32"/>
          <w:highlight w:val="none"/>
        </w:rPr>
      </w:pPr>
      <w:r>
        <w:rPr>
          <w:rFonts w:hint="eastAsia"/>
          <w:b/>
          <w:color w:val="auto"/>
          <w:sz w:val="32"/>
          <w:szCs w:val="32"/>
          <w:highlight w:val="none"/>
        </w:rPr>
        <w:t>2026年</w:t>
      </w:r>
      <w:r>
        <w:rPr>
          <w:rFonts w:hint="eastAsia"/>
          <w:b/>
          <w:color w:val="auto"/>
          <w:sz w:val="32"/>
          <w:szCs w:val="32"/>
          <w:highlight w:val="none"/>
          <w:lang w:val="en-US" w:eastAsia="zh-CN"/>
        </w:rPr>
        <w:t>8</w:t>
      </w:r>
      <w:r>
        <w:rPr>
          <w:rFonts w:hint="eastAsia"/>
          <w:b/>
          <w:color w:val="auto"/>
          <w:sz w:val="32"/>
          <w:szCs w:val="32"/>
          <w:highlight w:val="none"/>
        </w:rPr>
        <w:t>月</w:t>
      </w:r>
    </w:p>
    <w:p w14:paraId="69A870C3">
      <w:pPr>
        <w:tabs>
          <w:tab w:val="left" w:pos="1710"/>
        </w:tabs>
        <w:rPr>
          <w:color w:val="auto"/>
          <w:highlight w:val="none"/>
        </w:rPr>
        <w:sectPr>
          <w:footerReference r:id="rId3" w:type="default"/>
          <w:pgSz w:w="11906" w:h="16838"/>
          <w:pgMar w:top="1418" w:right="1418" w:bottom="1246" w:left="1418" w:header="851" w:footer="992" w:gutter="0"/>
          <w:pgNumType w:start="0"/>
          <w:cols w:space="720" w:num="1"/>
          <w:titlePg/>
          <w:docGrid w:linePitch="312" w:charSpace="0"/>
        </w:sectPr>
      </w:pPr>
    </w:p>
    <w:p w14:paraId="2CBE9BF5">
      <w:pPr>
        <w:pStyle w:val="26"/>
        <w:snapToGrid w:val="0"/>
        <w:spacing w:before="120" w:after="120" w:line="320" w:lineRule="exact"/>
        <w:jc w:val="center"/>
        <w:outlineLvl w:val="0"/>
        <w:rPr>
          <w:rFonts w:ascii="Times New Roman" w:hAnsi="Times New Roman" w:cs="Times New Roman"/>
          <w:color w:val="auto"/>
          <w:sz w:val="32"/>
          <w:szCs w:val="32"/>
          <w:highlight w:val="none"/>
        </w:rPr>
      </w:pPr>
      <w:bookmarkStart w:id="2" w:name="_Toc489863683"/>
      <w:bookmarkStart w:id="3" w:name="_Toc9725"/>
      <w:bookmarkStart w:id="4" w:name="_Toc485803390"/>
      <w:r>
        <w:rPr>
          <w:rFonts w:ascii="Times New Roman" w:hAnsi="Times New Roman" w:cs="Times New Roman"/>
          <w:color w:val="auto"/>
          <w:sz w:val="32"/>
          <w:szCs w:val="32"/>
          <w:highlight w:val="none"/>
        </w:rPr>
        <w:t>目    录</w:t>
      </w:r>
      <w:bookmarkEnd w:id="2"/>
      <w:bookmarkEnd w:id="3"/>
      <w:bookmarkEnd w:id="4"/>
    </w:p>
    <w:p w14:paraId="3DB178FC">
      <w:pPr>
        <w:pStyle w:val="33"/>
        <w:tabs>
          <w:tab w:val="right" w:leader="dot" w:pos="9355"/>
          <w:tab w:val="clear" w:pos="8398"/>
        </w:tabs>
        <w:ind w:firstLine="241"/>
        <w:rPr>
          <w:color w:val="auto"/>
          <w:highlight w:val="none"/>
        </w:rPr>
      </w:pPr>
      <w:r>
        <w:rPr>
          <w:rFonts w:ascii="Times New Roman" w:hAnsi="Times New Roman"/>
          <w:color w:val="auto"/>
          <w:highlight w:val="none"/>
        </w:rPr>
        <w:fldChar w:fldCharType="begin"/>
      </w:r>
      <w:r>
        <w:rPr>
          <w:rStyle w:val="57"/>
          <w:rFonts w:ascii="Times New Roman" w:hAnsi="Times New Roman"/>
          <w:color w:val="auto"/>
          <w:highlight w:val="none"/>
        </w:rPr>
        <w:instrText xml:space="preserve"> TOC \o "1-1" \h \z \u </w:instrText>
      </w:r>
      <w:r>
        <w:rPr>
          <w:rFonts w:ascii="Times New Roman" w:hAnsi="Times New Roman"/>
          <w:color w:val="auto"/>
          <w:highlight w:val="none"/>
        </w:rPr>
        <w:fldChar w:fldCharType="separate"/>
      </w:r>
      <w:r>
        <w:rPr>
          <w:color w:val="auto"/>
          <w:highlight w:val="none"/>
        </w:rPr>
        <w:fldChar w:fldCharType="begin"/>
      </w:r>
      <w:r>
        <w:rPr>
          <w:color w:val="auto"/>
          <w:highlight w:val="none"/>
        </w:rPr>
        <w:instrText xml:space="preserve"> HYPERLINK \l "_Toc6907" </w:instrText>
      </w:r>
      <w:r>
        <w:rPr>
          <w:color w:val="auto"/>
          <w:highlight w:val="none"/>
        </w:rPr>
        <w:fldChar w:fldCharType="separate"/>
      </w:r>
      <w:r>
        <w:rPr>
          <w:rFonts w:ascii="Times New Roman" w:hAnsi="Times New Roman"/>
          <w:color w:val="auto"/>
          <w:szCs w:val="32"/>
          <w:highlight w:val="none"/>
        </w:rPr>
        <w:t>第一章  竞争性谈判公告</w:t>
      </w:r>
      <w:r>
        <w:rPr>
          <w:color w:val="auto"/>
          <w:highlight w:val="none"/>
        </w:rPr>
        <w:tab/>
      </w:r>
      <w:r>
        <w:rPr>
          <w:color w:val="auto"/>
          <w:highlight w:val="none"/>
        </w:rPr>
        <w:fldChar w:fldCharType="begin"/>
      </w:r>
      <w:r>
        <w:rPr>
          <w:color w:val="auto"/>
          <w:highlight w:val="none"/>
        </w:rPr>
        <w:instrText xml:space="preserve"> PAGEREF _Toc6907 \h </w:instrText>
      </w:r>
      <w:r>
        <w:rPr>
          <w:color w:val="auto"/>
          <w:highlight w:val="none"/>
        </w:rPr>
        <w:fldChar w:fldCharType="separate"/>
      </w:r>
      <w:r>
        <w:rPr>
          <w:color w:val="auto"/>
          <w:highlight w:val="none"/>
        </w:rPr>
        <w:t>2</w:t>
      </w:r>
      <w:r>
        <w:rPr>
          <w:color w:val="auto"/>
          <w:highlight w:val="none"/>
        </w:rPr>
        <w:fldChar w:fldCharType="end"/>
      </w:r>
      <w:r>
        <w:rPr>
          <w:color w:val="auto"/>
          <w:highlight w:val="none"/>
        </w:rPr>
        <w:fldChar w:fldCharType="end"/>
      </w:r>
    </w:p>
    <w:p w14:paraId="5B5601C3">
      <w:pPr>
        <w:pStyle w:val="33"/>
        <w:tabs>
          <w:tab w:val="right" w:leader="dot" w:pos="9355"/>
          <w:tab w:val="clear" w:pos="8398"/>
        </w:tabs>
        <w:ind w:firstLine="241"/>
        <w:rPr>
          <w:color w:val="auto"/>
          <w:highlight w:val="none"/>
        </w:rPr>
      </w:pPr>
      <w:r>
        <w:rPr>
          <w:color w:val="auto"/>
          <w:highlight w:val="none"/>
        </w:rPr>
        <w:fldChar w:fldCharType="begin"/>
      </w:r>
      <w:r>
        <w:rPr>
          <w:color w:val="auto"/>
          <w:highlight w:val="none"/>
        </w:rPr>
        <w:instrText xml:space="preserve"> HYPERLINK \l "_Toc31754" </w:instrText>
      </w:r>
      <w:r>
        <w:rPr>
          <w:color w:val="auto"/>
          <w:highlight w:val="none"/>
        </w:rPr>
        <w:fldChar w:fldCharType="separate"/>
      </w:r>
      <w:r>
        <w:rPr>
          <w:rFonts w:ascii="Times New Roman" w:hAnsi="Times New Roman"/>
          <w:color w:val="auto"/>
          <w:szCs w:val="32"/>
          <w:highlight w:val="none"/>
        </w:rPr>
        <w:t>第二章  采购需求</w:t>
      </w:r>
      <w:r>
        <w:rPr>
          <w:color w:val="auto"/>
          <w:highlight w:val="none"/>
        </w:rPr>
        <w:tab/>
      </w:r>
      <w:r>
        <w:rPr>
          <w:color w:val="auto"/>
          <w:highlight w:val="none"/>
        </w:rPr>
        <w:fldChar w:fldCharType="begin"/>
      </w:r>
      <w:r>
        <w:rPr>
          <w:color w:val="auto"/>
          <w:highlight w:val="none"/>
        </w:rPr>
        <w:instrText xml:space="preserve"> PAGEREF _Toc31754 \h </w:instrText>
      </w:r>
      <w:r>
        <w:rPr>
          <w:color w:val="auto"/>
          <w:highlight w:val="none"/>
        </w:rPr>
        <w:fldChar w:fldCharType="separate"/>
      </w:r>
      <w:r>
        <w:rPr>
          <w:color w:val="auto"/>
          <w:highlight w:val="none"/>
        </w:rPr>
        <w:t>5</w:t>
      </w:r>
      <w:r>
        <w:rPr>
          <w:color w:val="auto"/>
          <w:highlight w:val="none"/>
        </w:rPr>
        <w:fldChar w:fldCharType="end"/>
      </w:r>
      <w:r>
        <w:rPr>
          <w:color w:val="auto"/>
          <w:highlight w:val="none"/>
        </w:rPr>
        <w:fldChar w:fldCharType="end"/>
      </w:r>
    </w:p>
    <w:p w14:paraId="0A4E4E2F">
      <w:pPr>
        <w:pStyle w:val="33"/>
        <w:tabs>
          <w:tab w:val="right" w:leader="dot" w:pos="9355"/>
          <w:tab w:val="clear" w:pos="8398"/>
        </w:tabs>
        <w:ind w:firstLine="241"/>
        <w:rPr>
          <w:color w:val="auto"/>
          <w:highlight w:val="none"/>
        </w:rPr>
      </w:pPr>
      <w:r>
        <w:rPr>
          <w:color w:val="auto"/>
          <w:highlight w:val="none"/>
        </w:rPr>
        <w:fldChar w:fldCharType="begin"/>
      </w:r>
      <w:r>
        <w:rPr>
          <w:color w:val="auto"/>
          <w:highlight w:val="none"/>
        </w:rPr>
        <w:instrText xml:space="preserve"> HYPERLINK \l "_Toc28595" </w:instrText>
      </w:r>
      <w:r>
        <w:rPr>
          <w:color w:val="auto"/>
          <w:highlight w:val="none"/>
        </w:rPr>
        <w:fldChar w:fldCharType="separate"/>
      </w:r>
      <w:r>
        <w:rPr>
          <w:rFonts w:ascii="Times New Roman" w:hAnsi="Times New Roman"/>
          <w:color w:val="auto"/>
          <w:szCs w:val="32"/>
          <w:highlight w:val="none"/>
        </w:rPr>
        <w:t>第三章  供应商须知</w:t>
      </w:r>
      <w:r>
        <w:rPr>
          <w:color w:val="auto"/>
          <w:highlight w:val="none"/>
        </w:rPr>
        <w:tab/>
      </w:r>
      <w:r>
        <w:rPr>
          <w:color w:val="auto"/>
          <w:highlight w:val="none"/>
        </w:rPr>
        <w:fldChar w:fldCharType="begin"/>
      </w:r>
      <w:r>
        <w:rPr>
          <w:color w:val="auto"/>
          <w:highlight w:val="none"/>
        </w:rPr>
        <w:instrText xml:space="preserve"> PAGEREF _Toc28595 \h </w:instrText>
      </w:r>
      <w:r>
        <w:rPr>
          <w:color w:val="auto"/>
          <w:highlight w:val="none"/>
        </w:rPr>
        <w:fldChar w:fldCharType="separate"/>
      </w:r>
      <w:r>
        <w:rPr>
          <w:color w:val="auto"/>
          <w:highlight w:val="none"/>
        </w:rPr>
        <w:t>56</w:t>
      </w:r>
      <w:r>
        <w:rPr>
          <w:color w:val="auto"/>
          <w:highlight w:val="none"/>
        </w:rPr>
        <w:fldChar w:fldCharType="end"/>
      </w:r>
      <w:r>
        <w:rPr>
          <w:color w:val="auto"/>
          <w:highlight w:val="none"/>
        </w:rPr>
        <w:fldChar w:fldCharType="end"/>
      </w:r>
    </w:p>
    <w:p w14:paraId="0AA39513">
      <w:pPr>
        <w:pStyle w:val="33"/>
        <w:tabs>
          <w:tab w:val="right" w:leader="dot" w:pos="9355"/>
          <w:tab w:val="clear" w:pos="8398"/>
        </w:tabs>
        <w:ind w:firstLine="241"/>
        <w:rPr>
          <w:color w:val="auto"/>
          <w:highlight w:val="none"/>
        </w:rPr>
      </w:pPr>
      <w:r>
        <w:rPr>
          <w:color w:val="auto"/>
          <w:highlight w:val="none"/>
        </w:rPr>
        <w:fldChar w:fldCharType="begin"/>
      </w:r>
      <w:r>
        <w:rPr>
          <w:color w:val="auto"/>
          <w:highlight w:val="none"/>
        </w:rPr>
        <w:instrText xml:space="preserve"> HYPERLINK \l "_Toc2921" </w:instrText>
      </w:r>
      <w:r>
        <w:rPr>
          <w:color w:val="auto"/>
          <w:highlight w:val="none"/>
        </w:rPr>
        <w:fldChar w:fldCharType="separate"/>
      </w:r>
      <w:r>
        <w:rPr>
          <w:rFonts w:ascii="Times New Roman" w:hAnsi="Times New Roman"/>
          <w:color w:val="auto"/>
          <w:szCs w:val="32"/>
          <w:highlight w:val="none"/>
        </w:rPr>
        <w:t>第四章  评审方法及标准</w:t>
      </w:r>
      <w:r>
        <w:rPr>
          <w:color w:val="auto"/>
          <w:highlight w:val="none"/>
        </w:rPr>
        <w:tab/>
      </w:r>
      <w:r>
        <w:rPr>
          <w:color w:val="auto"/>
          <w:highlight w:val="none"/>
        </w:rPr>
        <w:fldChar w:fldCharType="begin"/>
      </w:r>
      <w:r>
        <w:rPr>
          <w:color w:val="auto"/>
          <w:highlight w:val="none"/>
        </w:rPr>
        <w:instrText xml:space="preserve"> PAGEREF _Toc2921 \h </w:instrText>
      </w:r>
      <w:r>
        <w:rPr>
          <w:color w:val="auto"/>
          <w:highlight w:val="none"/>
        </w:rPr>
        <w:fldChar w:fldCharType="separate"/>
      </w:r>
      <w:r>
        <w:rPr>
          <w:color w:val="auto"/>
          <w:highlight w:val="none"/>
        </w:rPr>
        <w:t>76</w:t>
      </w:r>
      <w:r>
        <w:rPr>
          <w:color w:val="auto"/>
          <w:highlight w:val="none"/>
        </w:rPr>
        <w:fldChar w:fldCharType="end"/>
      </w:r>
      <w:r>
        <w:rPr>
          <w:color w:val="auto"/>
          <w:highlight w:val="none"/>
        </w:rPr>
        <w:fldChar w:fldCharType="end"/>
      </w:r>
    </w:p>
    <w:p w14:paraId="05CF148B">
      <w:pPr>
        <w:pStyle w:val="33"/>
        <w:tabs>
          <w:tab w:val="right" w:leader="dot" w:pos="9355"/>
          <w:tab w:val="clear" w:pos="8398"/>
        </w:tabs>
        <w:ind w:firstLine="241"/>
        <w:rPr>
          <w:color w:val="auto"/>
          <w:highlight w:val="none"/>
        </w:rPr>
      </w:pPr>
      <w:r>
        <w:rPr>
          <w:color w:val="auto"/>
          <w:highlight w:val="none"/>
        </w:rPr>
        <w:fldChar w:fldCharType="begin"/>
      </w:r>
      <w:r>
        <w:rPr>
          <w:color w:val="auto"/>
          <w:highlight w:val="none"/>
        </w:rPr>
        <w:instrText xml:space="preserve"> HYPERLINK \l "_Toc25252" </w:instrText>
      </w:r>
      <w:r>
        <w:rPr>
          <w:color w:val="auto"/>
          <w:highlight w:val="none"/>
        </w:rPr>
        <w:fldChar w:fldCharType="separate"/>
      </w:r>
      <w:r>
        <w:rPr>
          <w:rFonts w:ascii="Times New Roman" w:hAnsi="Times New Roman"/>
          <w:color w:val="auto"/>
          <w:szCs w:val="32"/>
          <w:highlight w:val="none"/>
        </w:rPr>
        <w:t>第五章  合同主要条款格式</w:t>
      </w:r>
      <w:r>
        <w:rPr>
          <w:color w:val="auto"/>
          <w:highlight w:val="none"/>
        </w:rPr>
        <w:tab/>
      </w:r>
      <w:r>
        <w:rPr>
          <w:color w:val="auto"/>
          <w:highlight w:val="none"/>
        </w:rPr>
        <w:fldChar w:fldCharType="begin"/>
      </w:r>
      <w:r>
        <w:rPr>
          <w:color w:val="auto"/>
          <w:highlight w:val="none"/>
        </w:rPr>
        <w:instrText xml:space="preserve"> PAGEREF _Toc25252 \h </w:instrText>
      </w:r>
      <w:r>
        <w:rPr>
          <w:color w:val="auto"/>
          <w:highlight w:val="none"/>
        </w:rPr>
        <w:fldChar w:fldCharType="separate"/>
      </w:r>
      <w:r>
        <w:rPr>
          <w:color w:val="auto"/>
          <w:highlight w:val="none"/>
        </w:rPr>
        <w:t>80</w:t>
      </w:r>
      <w:r>
        <w:rPr>
          <w:color w:val="auto"/>
          <w:highlight w:val="none"/>
        </w:rPr>
        <w:fldChar w:fldCharType="end"/>
      </w:r>
      <w:r>
        <w:rPr>
          <w:color w:val="auto"/>
          <w:highlight w:val="none"/>
        </w:rPr>
        <w:fldChar w:fldCharType="end"/>
      </w:r>
    </w:p>
    <w:p w14:paraId="6CE7689A">
      <w:pPr>
        <w:pStyle w:val="33"/>
        <w:tabs>
          <w:tab w:val="right" w:leader="dot" w:pos="9355"/>
          <w:tab w:val="clear" w:pos="8398"/>
        </w:tabs>
        <w:ind w:firstLine="241"/>
        <w:rPr>
          <w:color w:val="auto"/>
          <w:highlight w:val="none"/>
        </w:rPr>
      </w:pPr>
      <w:r>
        <w:rPr>
          <w:color w:val="auto"/>
          <w:highlight w:val="none"/>
        </w:rPr>
        <w:fldChar w:fldCharType="begin"/>
      </w:r>
      <w:r>
        <w:rPr>
          <w:color w:val="auto"/>
          <w:highlight w:val="none"/>
        </w:rPr>
        <w:instrText xml:space="preserve"> HYPERLINK \l "_Toc1021" </w:instrText>
      </w:r>
      <w:r>
        <w:rPr>
          <w:color w:val="auto"/>
          <w:highlight w:val="none"/>
        </w:rPr>
        <w:fldChar w:fldCharType="separate"/>
      </w:r>
      <w:r>
        <w:rPr>
          <w:color w:val="auto"/>
          <w:szCs w:val="32"/>
          <w:highlight w:val="none"/>
        </w:rPr>
        <w:t>第六章  响应文件格式</w:t>
      </w:r>
      <w:r>
        <w:rPr>
          <w:color w:val="auto"/>
          <w:highlight w:val="none"/>
        </w:rPr>
        <w:tab/>
      </w:r>
      <w:r>
        <w:rPr>
          <w:color w:val="auto"/>
          <w:highlight w:val="none"/>
        </w:rPr>
        <w:fldChar w:fldCharType="begin"/>
      </w:r>
      <w:r>
        <w:rPr>
          <w:color w:val="auto"/>
          <w:highlight w:val="none"/>
        </w:rPr>
        <w:instrText xml:space="preserve"> PAGEREF _Toc1021 \h </w:instrText>
      </w:r>
      <w:r>
        <w:rPr>
          <w:color w:val="auto"/>
          <w:highlight w:val="none"/>
        </w:rPr>
        <w:fldChar w:fldCharType="separate"/>
      </w:r>
      <w:r>
        <w:rPr>
          <w:color w:val="auto"/>
          <w:highlight w:val="none"/>
        </w:rPr>
        <w:t>88</w:t>
      </w:r>
      <w:r>
        <w:rPr>
          <w:color w:val="auto"/>
          <w:highlight w:val="none"/>
        </w:rPr>
        <w:fldChar w:fldCharType="end"/>
      </w:r>
      <w:r>
        <w:rPr>
          <w:color w:val="auto"/>
          <w:highlight w:val="none"/>
        </w:rPr>
        <w:fldChar w:fldCharType="end"/>
      </w:r>
    </w:p>
    <w:p w14:paraId="54B9F6C9">
      <w:pPr>
        <w:pStyle w:val="26"/>
        <w:snapToGrid w:val="0"/>
        <w:spacing w:before="120" w:after="120" w:line="320" w:lineRule="exact"/>
        <w:jc w:val="center"/>
        <w:outlineLvl w:val="0"/>
        <w:rPr>
          <w:rFonts w:ascii="Times New Roman" w:hAnsi="Times New Roman" w:cs="Times New Roman"/>
          <w:color w:val="auto"/>
          <w:szCs w:val="28"/>
          <w:highlight w:val="none"/>
        </w:rPr>
      </w:pPr>
      <w:r>
        <w:rPr>
          <w:rFonts w:ascii="Times New Roman" w:hAnsi="Times New Roman" w:cs="Times New Roman"/>
          <w:color w:val="auto"/>
          <w:szCs w:val="28"/>
          <w:highlight w:val="none"/>
        </w:rPr>
        <w:fldChar w:fldCharType="end"/>
      </w:r>
      <w:bookmarkStart w:id="5" w:name="_Toc6907"/>
      <w:bookmarkStart w:id="6" w:name="_Toc254970489"/>
      <w:bookmarkStart w:id="7" w:name="_Toc254970630"/>
    </w:p>
    <w:p w14:paraId="171B026F">
      <w:pPr>
        <w:rPr>
          <w:color w:val="auto"/>
          <w:szCs w:val="28"/>
          <w:highlight w:val="none"/>
        </w:rPr>
      </w:pPr>
      <w:r>
        <w:rPr>
          <w:color w:val="auto"/>
          <w:szCs w:val="28"/>
          <w:highlight w:val="none"/>
        </w:rPr>
        <w:br w:type="page"/>
      </w:r>
    </w:p>
    <w:p w14:paraId="43714A19">
      <w:pPr>
        <w:pStyle w:val="26"/>
        <w:snapToGrid w:val="0"/>
        <w:spacing w:before="120" w:after="120" w:line="320" w:lineRule="exact"/>
        <w:jc w:val="center"/>
        <w:outlineLvl w:val="0"/>
        <w:rPr>
          <w:rFonts w:ascii="Times New Roman" w:hAnsi="Times New Roman" w:cs="Times New Roman"/>
          <w:color w:val="auto"/>
          <w:sz w:val="32"/>
          <w:szCs w:val="32"/>
          <w:highlight w:val="none"/>
        </w:rPr>
      </w:pPr>
      <w:r>
        <w:rPr>
          <w:rFonts w:ascii="Times New Roman" w:hAnsi="Times New Roman" w:cs="Times New Roman"/>
          <w:color w:val="auto"/>
          <w:sz w:val="32"/>
          <w:szCs w:val="32"/>
          <w:highlight w:val="none"/>
        </w:rPr>
        <w:t>第一章  竞争性谈判公告</w:t>
      </w:r>
      <w:bookmarkEnd w:id="5"/>
    </w:p>
    <w:bookmarkEnd w:id="6"/>
    <w:bookmarkEnd w:id="7"/>
    <w:p w14:paraId="7B254429">
      <w:pPr>
        <w:spacing w:line="400" w:lineRule="exact"/>
        <w:jc w:val="center"/>
        <w:rPr>
          <w:b/>
          <w:color w:val="auto"/>
          <w:sz w:val="24"/>
          <w:highlight w:val="none"/>
        </w:rPr>
      </w:pPr>
      <w:r>
        <w:rPr>
          <w:color w:val="auto"/>
          <w:kern w:val="0"/>
          <w:sz w:val="24"/>
          <w:highlight w:val="none"/>
        </w:rPr>
        <w:t>广西机电设备招标有限公司关于</w:t>
      </w:r>
      <w:r>
        <w:rPr>
          <w:rFonts w:hint="eastAsia"/>
          <w:color w:val="auto"/>
          <w:kern w:val="0"/>
          <w:sz w:val="24"/>
          <w:highlight w:val="none"/>
        </w:rPr>
        <w:t>广西海上紧急医学救援中心项目—海上紧急医学救援楼多媒体指挥调度大厅项目</w:t>
      </w:r>
      <w:r>
        <w:rPr>
          <w:color w:val="auto"/>
          <w:sz w:val="24"/>
          <w:highlight w:val="none"/>
        </w:rPr>
        <w:t>(</w:t>
      </w:r>
      <w:r>
        <w:rPr>
          <w:rFonts w:hint="eastAsia"/>
          <w:color w:val="auto"/>
          <w:sz w:val="24"/>
          <w:highlight w:val="none"/>
          <w:lang w:eastAsia="zh-CN"/>
        </w:rPr>
        <w:t>BHZC2026-J1-990242-JDZB</w:t>
      </w:r>
      <w:r>
        <w:rPr>
          <w:color w:val="auto"/>
          <w:sz w:val="24"/>
          <w:highlight w:val="none"/>
        </w:rPr>
        <w:t>)</w:t>
      </w:r>
      <w:r>
        <w:rPr>
          <w:color w:val="auto"/>
          <w:kern w:val="0"/>
          <w:sz w:val="24"/>
          <w:highlight w:val="none"/>
        </w:rPr>
        <w:t>竞争性谈判公告</w:t>
      </w:r>
    </w:p>
    <w:p w14:paraId="5F3FBDCF">
      <w:pPr>
        <w:jc w:val="left"/>
        <w:rPr>
          <w:color w:val="auto"/>
          <w:kern w:val="0"/>
          <w:szCs w:val="21"/>
          <w:highlight w:val="none"/>
        </w:rPr>
      </w:pPr>
    </w:p>
    <w:p w14:paraId="56781374">
      <w:pPr>
        <w:spacing w:line="312" w:lineRule="auto"/>
        <w:ind w:firstLine="420" w:firstLineChars="200"/>
        <w:jc w:val="left"/>
        <w:rPr>
          <w:b/>
          <w:bCs/>
          <w:color w:val="auto"/>
          <w:kern w:val="0"/>
          <w:sz w:val="22"/>
          <w:szCs w:val="22"/>
          <w:highlight w:val="none"/>
        </w:rPr>
      </w:pPr>
      <w:r>
        <w:rPr>
          <w:rFonts w:hint="eastAsia"/>
          <w:color w:val="auto"/>
          <w:szCs w:val="21"/>
          <w:highlight w:val="none"/>
        </w:rPr>
        <w:t>项目概况：广西海上紧急医学救援中心项目—海上紧急医学救援楼多媒体指挥调度大厅项目的潜在供应商应在广西政府采购云平台（https://www.gcy.zfcg.gxzf.gov.cn/）获取采购文件，并于2026年</w:t>
      </w:r>
      <w:r>
        <w:rPr>
          <w:rFonts w:hint="eastAsia"/>
          <w:color w:val="auto"/>
          <w:szCs w:val="21"/>
          <w:highlight w:val="none"/>
          <w:lang w:val="en-US" w:eastAsia="zh-CN"/>
        </w:rPr>
        <w:t>8</w:t>
      </w:r>
      <w:r>
        <w:rPr>
          <w:rFonts w:hint="eastAsia"/>
          <w:color w:val="auto"/>
          <w:szCs w:val="21"/>
          <w:highlight w:val="none"/>
        </w:rPr>
        <w:t>月</w:t>
      </w:r>
      <w:r>
        <w:rPr>
          <w:rFonts w:hint="eastAsia"/>
          <w:color w:val="auto"/>
          <w:szCs w:val="21"/>
          <w:highlight w:val="none"/>
          <w:lang w:val="en-US" w:eastAsia="zh-CN"/>
        </w:rPr>
        <w:t>21</w:t>
      </w:r>
      <w:r>
        <w:rPr>
          <w:rFonts w:hint="eastAsia"/>
          <w:color w:val="auto"/>
          <w:szCs w:val="21"/>
          <w:highlight w:val="none"/>
        </w:rPr>
        <w:t>日</w:t>
      </w:r>
      <w:r>
        <w:rPr>
          <w:rFonts w:hint="eastAsia"/>
          <w:color w:val="auto"/>
          <w:szCs w:val="21"/>
          <w:highlight w:val="none"/>
          <w:lang w:val="en-US" w:eastAsia="zh-CN"/>
        </w:rPr>
        <w:t>09</w:t>
      </w:r>
      <w:r>
        <w:rPr>
          <w:rFonts w:hint="eastAsia"/>
          <w:color w:val="auto"/>
          <w:szCs w:val="21"/>
          <w:highlight w:val="none"/>
        </w:rPr>
        <w:t>:</w:t>
      </w:r>
      <w:r>
        <w:rPr>
          <w:rFonts w:hint="eastAsia"/>
          <w:color w:val="auto"/>
          <w:szCs w:val="21"/>
          <w:highlight w:val="none"/>
          <w:lang w:val="en-US" w:eastAsia="zh-CN"/>
        </w:rPr>
        <w:t>3</w:t>
      </w:r>
      <w:r>
        <w:rPr>
          <w:rFonts w:hint="eastAsia"/>
          <w:color w:val="auto"/>
          <w:szCs w:val="21"/>
          <w:highlight w:val="none"/>
        </w:rPr>
        <w:t>0（北京时间）前提交响应文件。</w:t>
      </w:r>
    </w:p>
    <w:p w14:paraId="302EF2D9">
      <w:pPr>
        <w:spacing w:line="312" w:lineRule="auto"/>
        <w:ind w:firstLine="442" w:firstLineChars="200"/>
        <w:jc w:val="left"/>
        <w:rPr>
          <w:b/>
          <w:bCs/>
          <w:color w:val="auto"/>
          <w:kern w:val="0"/>
          <w:sz w:val="22"/>
          <w:szCs w:val="22"/>
          <w:highlight w:val="none"/>
        </w:rPr>
      </w:pPr>
      <w:r>
        <w:rPr>
          <w:rFonts w:hint="eastAsia"/>
          <w:b/>
          <w:bCs/>
          <w:color w:val="auto"/>
          <w:kern w:val="0"/>
          <w:sz w:val="22"/>
          <w:szCs w:val="22"/>
          <w:highlight w:val="none"/>
        </w:rPr>
        <w:t xml:space="preserve">一、项目基本情况 </w:t>
      </w:r>
    </w:p>
    <w:p w14:paraId="76D39CF2">
      <w:pPr>
        <w:spacing w:line="312" w:lineRule="auto"/>
        <w:ind w:firstLine="420" w:firstLineChars="200"/>
        <w:jc w:val="left"/>
        <w:rPr>
          <w:rFonts w:hint="eastAsia" w:eastAsia="宋体"/>
          <w:color w:val="auto"/>
          <w:kern w:val="0"/>
          <w:szCs w:val="21"/>
          <w:highlight w:val="none"/>
          <w:lang w:eastAsia="zh-CN"/>
        </w:rPr>
      </w:pPr>
      <w:r>
        <w:rPr>
          <w:color w:val="auto"/>
          <w:kern w:val="0"/>
          <w:szCs w:val="21"/>
          <w:highlight w:val="none"/>
        </w:rPr>
        <w:t>项目编号：</w:t>
      </w:r>
      <w:r>
        <w:rPr>
          <w:rFonts w:hint="eastAsia"/>
          <w:color w:val="auto"/>
          <w:kern w:val="0"/>
          <w:szCs w:val="21"/>
          <w:highlight w:val="none"/>
          <w:lang w:eastAsia="zh-CN"/>
        </w:rPr>
        <w:t>BHZC2026-J1-990242-JDZB</w:t>
      </w:r>
    </w:p>
    <w:p w14:paraId="4C58BAD1">
      <w:pPr>
        <w:spacing w:line="312" w:lineRule="auto"/>
        <w:ind w:firstLine="420" w:firstLineChars="200"/>
        <w:jc w:val="left"/>
        <w:rPr>
          <w:color w:val="auto"/>
          <w:kern w:val="0"/>
          <w:szCs w:val="21"/>
          <w:highlight w:val="none"/>
        </w:rPr>
      </w:pPr>
      <w:r>
        <w:rPr>
          <w:color w:val="auto"/>
          <w:kern w:val="0"/>
          <w:szCs w:val="21"/>
          <w:highlight w:val="none"/>
        </w:rPr>
        <w:t>项目名称：</w:t>
      </w:r>
      <w:r>
        <w:rPr>
          <w:rFonts w:hint="eastAsia"/>
          <w:color w:val="auto"/>
          <w:kern w:val="0"/>
          <w:szCs w:val="21"/>
          <w:highlight w:val="none"/>
        </w:rPr>
        <w:t>广西海上紧急医学救援中心项目—海上紧急医学救援楼多媒体指挥调度大厅项目</w:t>
      </w:r>
    </w:p>
    <w:p w14:paraId="686AC907">
      <w:pPr>
        <w:spacing w:line="312" w:lineRule="auto"/>
        <w:ind w:firstLine="420" w:firstLineChars="200"/>
        <w:jc w:val="left"/>
        <w:rPr>
          <w:color w:val="auto"/>
          <w:kern w:val="0"/>
          <w:szCs w:val="21"/>
          <w:highlight w:val="none"/>
        </w:rPr>
      </w:pPr>
      <w:r>
        <w:rPr>
          <w:rFonts w:hint="eastAsia"/>
          <w:color w:val="auto"/>
          <w:kern w:val="0"/>
          <w:szCs w:val="21"/>
          <w:highlight w:val="none"/>
        </w:rPr>
        <w:t>采购方式：竞争性谈判</w:t>
      </w:r>
    </w:p>
    <w:p w14:paraId="5EE91F09">
      <w:pPr>
        <w:spacing w:line="312" w:lineRule="auto"/>
        <w:ind w:firstLine="420" w:firstLineChars="200"/>
        <w:jc w:val="left"/>
        <w:rPr>
          <w:color w:val="auto"/>
          <w:kern w:val="0"/>
          <w:szCs w:val="21"/>
          <w:highlight w:val="none"/>
        </w:rPr>
      </w:pPr>
      <w:r>
        <w:rPr>
          <w:rFonts w:hint="eastAsia"/>
          <w:color w:val="auto"/>
          <w:kern w:val="0"/>
          <w:szCs w:val="21"/>
          <w:highlight w:val="none"/>
        </w:rPr>
        <w:t>预算总金额（元）：2,484,881.09</w:t>
      </w:r>
    </w:p>
    <w:p w14:paraId="1EF8C6DE">
      <w:pPr>
        <w:spacing w:line="312" w:lineRule="auto"/>
        <w:ind w:firstLine="420" w:firstLineChars="200"/>
        <w:jc w:val="left"/>
        <w:rPr>
          <w:color w:val="auto"/>
          <w:kern w:val="0"/>
          <w:szCs w:val="21"/>
          <w:highlight w:val="none"/>
        </w:rPr>
      </w:pPr>
      <w:r>
        <w:rPr>
          <w:rFonts w:hint="eastAsia"/>
          <w:color w:val="auto"/>
          <w:kern w:val="0"/>
          <w:szCs w:val="21"/>
          <w:highlight w:val="none"/>
        </w:rPr>
        <w:t>采购需求：</w:t>
      </w:r>
    </w:p>
    <w:p w14:paraId="1E3EFB6B">
      <w:pPr>
        <w:spacing w:line="312" w:lineRule="auto"/>
        <w:ind w:firstLine="735" w:firstLineChars="350"/>
        <w:jc w:val="left"/>
        <w:rPr>
          <w:color w:val="auto"/>
          <w:kern w:val="0"/>
          <w:szCs w:val="21"/>
          <w:highlight w:val="none"/>
        </w:rPr>
      </w:pPr>
      <w:r>
        <w:rPr>
          <w:rFonts w:hint="eastAsia"/>
          <w:color w:val="auto"/>
          <w:kern w:val="0"/>
          <w:szCs w:val="21"/>
          <w:highlight w:val="none"/>
        </w:rPr>
        <w:t>标项名称：广西海上紧急医学救援中心项目—海上紧急医学救援楼多媒体指挥调度大厅项目</w:t>
      </w:r>
    </w:p>
    <w:p w14:paraId="1342EC86">
      <w:pPr>
        <w:spacing w:line="312" w:lineRule="auto"/>
        <w:ind w:firstLine="735" w:firstLineChars="350"/>
        <w:jc w:val="left"/>
        <w:rPr>
          <w:color w:val="auto"/>
          <w:kern w:val="0"/>
          <w:szCs w:val="21"/>
          <w:highlight w:val="none"/>
        </w:rPr>
      </w:pPr>
      <w:r>
        <w:rPr>
          <w:rFonts w:hint="eastAsia"/>
          <w:color w:val="auto"/>
          <w:kern w:val="0"/>
          <w:szCs w:val="21"/>
          <w:highlight w:val="none"/>
        </w:rPr>
        <w:t>数量：1</w:t>
      </w:r>
    </w:p>
    <w:p w14:paraId="214689ED">
      <w:pPr>
        <w:spacing w:line="312" w:lineRule="auto"/>
        <w:ind w:firstLine="735" w:firstLineChars="350"/>
        <w:jc w:val="left"/>
        <w:rPr>
          <w:color w:val="auto"/>
          <w:kern w:val="0"/>
          <w:szCs w:val="21"/>
          <w:highlight w:val="none"/>
        </w:rPr>
      </w:pPr>
      <w:r>
        <w:rPr>
          <w:rFonts w:hint="eastAsia"/>
          <w:color w:val="auto"/>
          <w:kern w:val="0"/>
          <w:szCs w:val="21"/>
          <w:highlight w:val="none"/>
        </w:rPr>
        <w:t>预算金额（元）：2,484,881.09</w:t>
      </w:r>
    </w:p>
    <w:p w14:paraId="6F3DA637">
      <w:pPr>
        <w:spacing w:line="312" w:lineRule="auto"/>
        <w:ind w:firstLine="735" w:firstLineChars="350"/>
        <w:jc w:val="left"/>
        <w:rPr>
          <w:color w:val="auto"/>
          <w:kern w:val="0"/>
          <w:szCs w:val="21"/>
          <w:highlight w:val="none"/>
        </w:rPr>
      </w:pPr>
      <w:r>
        <w:rPr>
          <w:rFonts w:hint="eastAsia"/>
          <w:color w:val="auto"/>
          <w:kern w:val="0"/>
          <w:szCs w:val="21"/>
          <w:highlight w:val="none"/>
        </w:rPr>
        <w:t>简要规格描述或项目基本概况介绍、用途：广西海上紧急医学救援中心项目—海上紧急医学救援楼多媒体指挥调度大厅项目；如需进一步了解详细内容，详见采购文件采购需求。</w:t>
      </w:r>
    </w:p>
    <w:p w14:paraId="39F43B29">
      <w:pPr>
        <w:spacing w:line="312" w:lineRule="auto"/>
        <w:ind w:firstLine="735" w:firstLineChars="350"/>
        <w:jc w:val="left"/>
        <w:rPr>
          <w:color w:val="auto"/>
          <w:kern w:val="0"/>
          <w:szCs w:val="21"/>
          <w:highlight w:val="none"/>
        </w:rPr>
      </w:pPr>
      <w:r>
        <w:rPr>
          <w:rFonts w:hint="eastAsia"/>
          <w:color w:val="auto"/>
          <w:kern w:val="0"/>
          <w:szCs w:val="21"/>
          <w:highlight w:val="none"/>
        </w:rPr>
        <w:t>最高限价（如有）：2,484,881.09</w:t>
      </w:r>
    </w:p>
    <w:p w14:paraId="32A23F84">
      <w:pPr>
        <w:spacing w:line="312" w:lineRule="auto"/>
        <w:ind w:firstLine="735" w:firstLineChars="350"/>
        <w:jc w:val="left"/>
        <w:rPr>
          <w:color w:val="auto"/>
          <w:kern w:val="0"/>
          <w:szCs w:val="21"/>
          <w:highlight w:val="none"/>
        </w:rPr>
      </w:pPr>
      <w:r>
        <w:rPr>
          <w:rFonts w:hint="eastAsia"/>
          <w:color w:val="auto"/>
          <w:kern w:val="0"/>
          <w:szCs w:val="21"/>
          <w:highlight w:val="none"/>
        </w:rPr>
        <w:t>合同履约期限：自签订合同之日起60个日历天内完成交付、安装、调试。</w:t>
      </w:r>
    </w:p>
    <w:p w14:paraId="2A6CF9EA">
      <w:pPr>
        <w:spacing w:line="312" w:lineRule="auto"/>
        <w:ind w:firstLine="735" w:firstLineChars="350"/>
        <w:jc w:val="left"/>
        <w:rPr>
          <w:color w:val="auto"/>
          <w:kern w:val="0"/>
          <w:szCs w:val="21"/>
          <w:highlight w:val="none"/>
        </w:rPr>
      </w:pPr>
      <w:r>
        <w:rPr>
          <w:color w:val="auto"/>
          <w:kern w:val="0"/>
          <w:szCs w:val="21"/>
          <w:highlight w:val="none"/>
        </w:rPr>
        <w:t>本项目</w:t>
      </w:r>
      <w:r>
        <w:rPr>
          <w:rFonts w:hint="eastAsia"/>
          <w:color w:val="auto"/>
          <w:kern w:val="0"/>
          <w:szCs w:val="21"/>
          <w:highlight w:val="none"/>
        </w:rPr>
        <w:t>（</w:t>
      </w:r>
      <w:r>
        <w:rPr>
          <w:rFonts w:hint="eastAsia"/>
          <w:color w:val="auto"/>
          <w:szCs w:val="21"/>
          <w:highlight w:val="none"/>
        </w:rPr>
        <w:t>否</w:t>
      </w:r>
      <w:r>
        <w:rPr>
          <w:rFonts w:hint="eastAsia"/>
          <w:color w:val="auto"/>
          <w:kern w:val="0"/>
          <w:szCs w:val="21"/>
          <w:highlight w:val="none"/>
        </w:rPr>
        <w:t>）接受</w:t>
      </w:r>
      <w:r>
        <w:rPr>
          <w:color w:val="auto"/>
          <w:kern w:val="0"/>
          <w:szCs w:val="21"/>
          <w:highlight w:val="none"/>
        </w:rPr>
        <w:t>联合体。</w:t>
      </w:r>
    </w:p>
    <w:p w14:paraId="6C2EEDFA">
      <w:pPr>
        <w:spacing w:line="312" w:lineRule="auto"/>
        <w:ind w:firstLine="735" w:firstLineChars="350"/>
        <w:jc w:val="left"/>
        <w:rPr>
          <w:color w:val="auto"/>
          <w:kern w:val="0"/>
          <w:szCs w:val="21"/>
          <w:highlight w:val="none"/>
        </w:rPr>
      </w:pPr>
      <w:r>
        <w:rPr>
          <w:rFonts w:hint="eastAsia"/>
          <w:color w:val="auto"/>
          <w:kern w:val="0"/>
          <w:szCs w:val="21"/>
          <w:highlight w:val="none"/>
        </w:rPr>
        <w:t>备注：</w:t>
      </w:r>
    </w:p>
    <w:p w14:paraId="566903D9">
      <w:pPr>
        <w:spacing w:line="312" w:lineRule="auto"/>
        <w:ind w:firstLine="442" w:firstLineChars="200"/>
        <w:jc w:val="left"/>
        <w:rPr>
          <w:b/>
          <w:bCs/>
          <w:color w:val="auto"/>
          <w:kern w:val="0"/>
          <w:sz w:val="22"/>
          <w:szCs w:val="22"/>
          <w:highlight w:val="none"/>
        </w:rPr>
      </w:pPr>
      <w:r>
        <w:rPr>
          <w:rFonts w:hint="eastAsia"/>
          <w:b/>
          <w:bCs/>
          <w:color w:val="auto"/>
          <w:kern w:val="0"/>
          <w:sz w:val="22"/>
          <w:szCs w:val="22"/>
          <w:highlight w:val="none"/>
        </w:rPr>
        <w:t>二、申请人的资格要求</w:t>
      </w:r>
    </w:p>
    <w:p w14:paraId="69B16074">
      <w:pPr>
        <w:spacing w:line="312" w:lineRule="auto"/>
        <w:ind w:firstLine="420" w:firstLineChars="200"/>
        <w:jc w:val="left"/>
        <w:rPr>
          <w:color w:val="auto"/>
          <w:szCs w:val="21"/>
          <w:highlight w:val="none"/>
        </w:rPr>
      </w:pPr>
      <w:r>
        <w:rPr>
          <w:color w:val="auto"/>
          <w:kern w:val="0"/>
          <w:szCs w:val="21"/>
          <w:highlight w:val="none"/>
        </w:rPr>
        <w:t>1</w:t>
      </w:r>
      <w:r>
        <w:rPr>
          <w:rFonts w:hint="eastAsia"/>
          <w:color w:val="auto"/>
          <w:kern w:val="0"/>
          <w:szCs w:val="21"/>
          <w:highlight w:val="none"/>
        </w:rPr>
        <w:t>.满足</w:t>
      </w:r>
      <w:r>
        <w:rPr>
          <w:color w:val="auto"/>
          <w:kern w:val="0"/>
          <w:szCs w:val="21"/>
          <w:highlight w:val="none"/>
        </w:rPr>
        <w:t>《中华人民共和国政府采购法》第二十二条规定；</w:t>
      </w:r>
      <w:r>
        <w:rPr>
          <w:color w:val="auto"/>
          <w:szCs w:val="21"/>
          <w:highlight w:val="none"/>
        </w:rPr>
        <w:t xml:space="preserve"> </w:t>
      </w:r>
    </w:p>
    <w:p w14:paraId="4BB3B114">
      <w:pPr>
        <w:spacing w:line="312" w:lineRule="auto"/>
        <w:ind w:firstLine="420" w:firstLineChars="200"/>
        <w:jc w:val="left"/>
        <w:rPr>
          <w:strike/>
          <w:color w:val="auto"/>
          <w:kern w:val="0"/>
          <w:szCs w:val="21"/>
          <w:highlight w:val="none"/>
        </w:rPr>
      </w:pPr>
      <w:r>
        <w:rPr>
          <w:rFonts w:hint="eastAsia"/>
          <w:color w:val="auto"/>
          <w:szCs w:val="21"/>
          <w:highlight w:val="none"/>
        </w:rPr>
        <w:t>2.落实政府采购政策需满足的资格要求：</w:t>
      </w:r>
      <w:bookmarkStart w:id="8" w:name="_Hlk132732708"/>
      <w:r>
        <w:rPr>
          <w:rFonts w:hint="eastAsia"/>
          <w:color w:val="auto"/>
          <w:kern w:val="0"/>
          <w:szCs w:val="21"/>
          <w:highlight w:val="none"/>
        </w:rPr>
        <w:t>无</w:t>
      </w:r>
      <w:bookmarkEnd w:id="8"/>
    </w:p>
    <w:p w14:paraId="25ECC63A">
      <w:pPr>
        <w:spacing w:line="312" w:lineRule="auto"/>
        <w:ind w:firstLine="420" w:firstLineChars="200"/>
        <w:jc w:val="left"/>
        <w:rPr>
          <w:color w:val="auto"/>
          <w:kern w:val="0"/>
          <w:szCs w:val="21"/>
          <w:highlight w:val="none"/>
        </w:rPr>
      </w:pPr>
      <w:r>
        <w:rPr>
          <w:color w:val="auto"/>
          <w:kern w:val="0"/>
          <w:szCs w:val="21"/>
          <w:highlight w:val="none"/>
        </w:rPr>
        <w:t>3</w:t>
      </w:r>
      <w:r>
        <w:rPr>
          <w:rFonts w:hint="eastAsia"/>
          <w:color w:val="auto"/>
          <w:kern w:val="0"/>
          <w:szCs w:val="21"/>
          <w:highlight w:val="none"/>
        </w:rPr>
        <w:t>.本项目的</w:t>
      </w:r>
      <w:r>
        <w:rPr>
          <w:color w:val="auto"/>
          <w:kern w:val="0"/>
          <w:szCs w:val="21"/>
          <w:highlight w:val="none"/>
        </w:rPr>
        <w:t>特定资格</w:t>
      </w:r>
      <w:r>
        <w:rPr>
          <w:rFonts w:hint="eastAsia"/>
          <w:color w:val="auto"/>
          <w:kern w:val="0"/>
          <w:szCs w:val="21"/>
          <w:highlight w:val="none"/>
        </w:rPr>
        <w:t>要求</w:t>
      </w:r>
      <w:r>
        <w:rPr>
          <w:color w:val="auto"/>
          <w:kern w:val="0"/>
          <w:szCs w:val="21"/>
          <w:highlight w:val="none"/>
        </w:rPr>
        <w:t>：</w:t>
      </w:r>
    </w:p>
    <w:p w14:paraId="6C659835">
      <w:pPr>
        <w:spacing w:line="312" w:lineRule="auto"/>
        <w:ind w:firstLine="420" w:firstLineChars="200"/>
        <w:jc w:val="left"/>
        <w:rPr>
          <w:color w:val="auto"/>
          <w:kern w:val="0"/>
          <w:szCs w:val="21"/>
          <w:highlight w:val="none"/>
        </w:rPr>
      </w:pPr>
      <w:r>
        <w:rPr>
          <w:color w:val="auto"/>
          <w:kern w:val="0"/>
          <w:szCs w:val="21"/>
          <w:highlight w:val="none"/>
        </w:rPr>
        <w:t>（1）资质要求：无。</w:t>
      </w:r>
    </w:p>
    <w:p w14:paraId="44940D52">
      <w:pPr>
        <w:spacing w:line="312" w:lineRule="auto"/>
        <w:ind w:firstLine="420" w:firstLineChars="200"/>
        <w:jc w:val="left"/>
        <w:rPr>
          <w:color w:val="auto"/>
          <w:kern w:val="0"/>
          <w:szCs w:val="21"/>
          <w:highlight w:val="none"/>
        </w:rPr>
      </w:pPr>
      <w:r>
        <w:rPr>
          <w:color w:val="auto"/>
          <w:kern w:val="0"/>
          <w:szCs w:val="21"/>
          <w:highlight w:val="none"/>
        </w:rPr>
        <w:t>（2）业绩要求：无。</w:t>
      </w:r>
    </w:p>
    <w:p w14:paraId="7D91B076">
      <w:pPr>
        <w:spacing w:line="312" w:lineRule="auto"/>
        <w:ind w:firstLine="420" w:firstLineChars="200"/>
        <w:jc w:val="left"/>
        <w:rPr>
          <w:color w:val="auto"/>
          <w:kern w:val="0"/>
          <w:szCs w:val="21"/>
          <w:highlight w:val="none"/>
        </w:rPr>
      </w:pPr>
      <w:r>
        <w:rPr>
          <w:rFonts w:hint="eastAsia"/>
          <w:color w:val="auto"/>
          <w:kern w:val="0"/>
          <w:szCs w:val="21"/>
          <w:highlight w:val="none"/>
        </w:rPr>
        <w:t>（</w:t>
      </w:r>
      <w:r>
        <w:rPr>
          <w:color w:val="auto"/>
          <w:kern w:val="0"/>
          <w:szCs w:val="21"/>
          <w:highlight w:val="none"/>
        </w:rPr>
        <w:t>3</w:t>
      </w:r>
      <w:r>
        <w:rPr>
          <w:rFonts w:hint="eastAsia"/>
          <w:color w:val="auto"/>
          <w:kern w:val="0"/>
          <w:szCs w:val="21"/>
          <w:highlight w:val="none"/>
        </w:rPr>
        <w:t>）</w:t>
      </w:r>
      <w:r>
        <w:rPr>
          <w:color w:val="auto"/>
          <w:kern w:val="0"/>
          <w:szCs w:val="21"/>
          <w:highlight w:val="none"/>
        </w:rPr>
        <w:t>单位负责人为同一人或者存在直接控股、管理关系的不同供应商，不得参加本项目同一合同项下的政府采购活动。为本项目提供整体设计、规范编制或者项目管理、监理、检测等服务的供应商，不得再参加</w:t>
      </w:r>
      <w:r>
        <w:rPr>
          <w:rFonts w:hint="eastAsia"/>
          <w:color w:val="auto"/>
          <w:kern w:val="0"/>
          <w:szCs w:val="21"/>
          <w:highlight w:val="none"/>
        </w:rPr>
        <w:t>本</w:t>
      </w:r>
      <w:r>
        <w:rPr>
          <w:color w:val="auto"/>
          <w:kern w:val="0"/>
          <w:szCs w:val="21"/>
          <w:highlight w:val="none"/>
        </w:rPr>
        <w:t>项目的采购活动</w:t>
      </w:r>
      <w:r>
        <w:rPr>
          <w:rFonts w:hint="eastAsia"/>
          <w:color w:val="auto"/>
          <w:kern w:val="0"/>
          <w:szCs w:val="21"/>
          <w:highlight w:val="none"/>
        </w:rPr>
        <w:t>。</w:t>
      </w:r>
    </w:p>
    <w:p w14:paraId="1628CB3F">
      <w:pPr>
        <w:spacing w:line="312" w:lineRule="auto"/>
        <w:ind w:firstLine="420" w:firstLineChars="200"/>
        <w:jc w:val="left"/>
        <w:rPr>
          <w:color w:val="auto"/>
          <w:kern w:val="0"/>
          <w:szCs w:val="21"/>
          <w:highlight w:val="none"/>
        </w:rPr>
      </w:pPr>
      <w:r>
        <w:rPr>
          <w:rFonts w:hint="eastAsia"/>
          <w:color w:val="auto"/>
          <w:kern w:val="0"/>
          <w:szCs w:val="21"/>
          <w:highlight w:val="none"/>
        </w:rPr>
        <w:t>（</w:t>
      </w:r>
      <w:r>
        <w:rPr>
          <w:color w:val="auto"/>
          <w:kern w:val="0"/>
          <w:szCs w:val="21"/>
          <w:highlight w:val="none"/>
        </w:rPr>
        <w:t>4</w:t>
      </w:r>
      <w:r>
        <w:rPr>
          <w:rFonts w:hint="eastAsia"/>
          <w:color w:val="auto"/>
          <w:kern w:val="0"/>
          <w:szCs w:val="21"/>
          <w:highlight w:val="none"/>
        </w:rPr>
        <w:t>）</w:t>
      </w:r>
      <w:r>
        <w:rPr>
          <w:color w:val="auto"/>
          <w:kern w:val="0"/>
          <w:szCs w:val="21"/>
          <w:highlight w:val="none"/>
        </w:rPr>
        <w:t>未被列入失信被执行人、重大税收违法失信主体、政府采购严重违法失信行为记录名单。</w:t>
      </w:r>
    </w:p>
    <w:p w14:paraId="72BBB90A">
      <w:pPr>
        <w:spacing w:line="312" w:lineRule="auto"/>
        <w:ind w:firstLine="420" w:firstLineChars="200"/>
        <w:jc w:val="left"/>
        <w:rPr>
          <w:color w:val="auto"/>
          <w:kern w:val="0"/>
          <w:szCs w:val="21"/>
          <w:highlight w:val="none"/>
        </w:rPr>
      </w:pPr>
      <w:r>
        <w:rPr>
          <w:rFonts w:hint="eastAsia"/>
          <w:color w:val="auto"/>
          <w:kern w:val="0"/>
          <w:szCs w:val="21"/>
          <w:highlight w:val="none"/>
        </w:rPr>
        <w:t>（5）本项目不允许分公司参与响应。</w:t>
      </w:r>
    </w:p>
    <w:p w14:paraId="791B2D28">
      <w:pPr>
        <w:spacing w:line="312" w:lineRule="auto"/>
        <w:ind w:firstLine="420" w:firstLineChars="200"/>
        <w:jc w:val="left"/>
        <w:rPr>
          <w:color w:val="auto"/>
          <w:kern w:val="0"/>
          <w:szCs w:val="21"/>
          <w:highlight w:val="none"/>
        </w:rPr>
      </w:pPr>
      <w:bookmarkStart w:id="9" w:name="_Hlk132732817"/>
      <w:r>
        <w:rPr>
          <w:rFonts w:hint="eastAsia"/>
          <w:color w:val="auto"/>
          <w:szCs w:val="21"/>
          <w:highlight w:val="none"/>
        </w:rPr>
        <w:t>（</w:t>
      </w:r>
      <w:r>
        <w:rPr>
          <w:color w:val="auto"/>
          <w:szCs w:val="21"/>
          <w:highlight w:val="none"/>
        </w:rPr>
        <w:t>6</w:t>
      </w:r>
      <w:r>
        <w:rPr>
          <w:rFonts w:hint="eastAsia"/>
          <w:color w:val="auto"/>
          <w:szCs w:val="21"/>
          <w:highlight w:val="none"/>
        </w:rPr>
        <w:t>）</w:t>
      </w:r>
      <w:r>
        <w:rPr>
          <w:rFonts w:hint="eastAsia"/>
          <w:color w:val="auto"/>
          <w:kern w:val="0"/>
          <w:szCs w:val="21"/>
          <w:highlight w:val="none"/>
        </w:rPr>
        <w:t>本项目不</w:t>
      </w:r>
      <w:r>
        <w:rPr>
          <w:rFonts w:hint="eastAsia"/>
          <w:color w:val="auto"/>
          <w:szCs w:val="21"/>
          <w:highlight w:val="none"/>
        </w:rPr>
        <w:t>允许</w:t>
      </w:r>
      <w:r>
        <w:rPr>
          <w:rFonts w:hint="eastAsia"/>
          <w:color w:val="auto"/>
          <w:kern w:val="0"/>
          <w:szCs w:val="21"/>
          <w:highlight w:val="none"/>
        </w:rPr>
        <w:t>分包。</w:t>
      </w:r>
    </w:p>
    <w:p w14:paraId="3E2AC0F1">
      <w:pPr>
        <w:spacing w:line="312" w:lineRule="auto"/>
        <w:ind w:firstLine="420" w:firstLineChars="200"/>
        <w:jc w:val="left"/>
        <w:rPr>
          <w:color w:val="auto"/>
          <w:szCs w:val="21"/>
          <w:highlight w:val="none"/>
        </w:rPr>
      </w:pPr>
      <w:r>
        <w:rPr>
          <w:rFonts w:hint="eastAsia"/>
          <w:color w:val="auto"/>
          <w:kern w:val="0"/>
          <w:szCs w:val="21"/>
          <w:highlight w:val="none"/>
        </w:rPr>
        <w:t>（</w:t>
      </w:r>
      <w:r>
        <w:rPr>
          <w:color w:val="auto"/>
          <w:kern w:val="0"/>
          <w:szCs w:val="21"/>
          <w:highlight w:val="none"/>
        </w:rPr>
        <w:t>7</w:t>
      </w:r>
      <w:r>
        <w:rPr>
          <w:rFonts w:hint="eastAsia"/>
          <w:color w:val="auto"/>
          <w:kern w:val="0"/>
          <w:szCs w:val="21"/>
          <w:highlight w:val="none"/>
        </w:rPr>
        <w:t>）</w:t>
      </w:r>
      <w:r>
        <w:rPr>
          <w:color w:val="auto"/>
          <w:kern w:val="0"/>
          <w:szCs w:val="21"/>
          <w:highlight w:val="none"/>
        </w:rPr>
        <w:t>本项目不接受联合体。</w:t>
      </w:r>
      <w:bookmarkEnd w:id="9"/>
    </w:p>
    <w:p w14:paraId="097A3CC8">
      <w:pPr>
        <w:spacing w:line="312" w:lineRule="auto"/>
        <w:ind w:firstLine="420" w:firstLineChars="200"/>
        <w:jc w:val="left"/>
        <w:rPr>
          <w:color w:val="auto"/>
          <w:kern w:val="0"/>
          <w:szCs w:val="21"/>
          <w:highlight w:val="none"/>
        </w:rPr>
      </w:pPr>
      <w:r>
        <w:rPr>
          <w:rFonts w:hint="eastAsia"/>
          <w:color w:val="auto"/>
          <w:kern w:val="0"/>
          <w:szCs w:val="21"/>
          <w:highlight w:val="none"/>
        </w:rPr>
        <w:t>（</w:t>
      </w:r>
      <w:r>
        <w:rPr>
          <w:color w:val="auto"/>
          <w:kern w:val="0"/>
          <w:szCs w:val="21"/>
          <w:highlight w:val="none"/>
        </w:rPr>
        <w:t>8</w:t>
      </w:r>
      <w:r>
        <w:rPr>
          <w:rFonts w:hint="eastAsia"/>
          <w:color w:val="auto"/>
          <w:kern w:val="0"/>
          <w:szCs w:val="21"/>
          <w:highlight w:val="none"/>
        </w:rPr>
        <w:t>）</w:t>
      </w:r>
      <w:r>
        <w:rPr>
          <w:color w:val="auto"/>
          <w:kern w:val="0"/>
          <w:szCs w:val="21"/>
          <w:highlight w:val="none"/>
        </w:rPr>
        <w:t>按照</w:t>
      </w:r>
      <w:r>
        <w:rPr>
          <w:rFonts w:hint="eastAsia"/>
          <w:color w:val="auto"/>
          <w:highlight w:val="none"/>
        </w:rPr>
        <w:t>谈判</w:t>
      </w:r>
      <w:r>
        <w:rPr>
          <w:color w:val="auto"/>
          <w:kern w:val="0"/>
          <w:szCs w:val="21"/>
          <w:highlight w:val="none"/>
        </w:rPr>
        <w:t>公告的规定获得</w:t>
      </w:r>
      <w:r>
        <w:rPr>
          <w:rFonts w:hint="eastAsia"/>
          <w:color w:val="auto"/>
          <w:highlight w:val="none"/>
        </w:rPr>
        <w:t>采购文件</w:t>
      </w:r>
      <w:r>
        <w:rPr>
          <w:color w:val="auto"/>
          <w:kern w:val="0"/>
          <w:szCs w:val="21"/>
          <w:highlight w:val="none"/>
        </w:rPr>
        <w:t>。</w:t>
      </w:r>
      <w:bookmarkStart w:id="10" w:name="_Hlk92967676"/>
      <w:r>
        <w:rPr>
          <w:rFonts w:hint="eastAsia"/>
          <w:color w:val="auto"/>
          <w:kern w:val="0"/>
          <w:szCs w:val="21"/>
          <w:highlight w:val="none"/>
        </w:rPr>
        <w:t>采购文件有规定时按要求提交谈判保证金。</w:t>
      </w:r>
      <w:bookmarkEnd w:id="10"/>
    </w:p>
    <w:p w14:paraId="70884B39">
      <w:pPr>
        <w:spacing w:line="312" w:lineRule="auto"/>
        <w:ind w:firstLine="442" w:firstLineChars="200"/>
        <w:jc w:val="left"/>
        <w:rPr>
          <w:b/>
          <w:bCs/>
          <w:color w:val="auto"/>
          <w:kern w:val="0"/>
          <w:sz w:val="22"/>
          <w:szCs w:val="22"/>
          <w:highlight w:val="none"/>
        </w:rPr>
      </w:pPr>
      <w:r>
        <w:rPr>
          <w:rFonts w:hint="eastAsia"/>
          <w:b/>
          <w:bCs/>
          <w:color w:val="auto"/>
          <w:kern w:val="0"/>
          <w:sz w:val="22"/>
          <w:szCs w:val="22"/>
          <w:highlight w:val="none"/>
        </w:rPr>
        <w:t>三、获取采购文件</w:t>
      </w:r>
    </w:p>
    <w:p w14:paraId="49144397">
      <w:pPr>
        <w:spacing w:line="312" w:lineRule="auto"/>
        <w:ind w:firstLine="420" w:firstLineChars="200"/>
        <w:jc w:val="left"/>
        <w:rPr>
          <w:color w:val="auto"/>
          <w:highlight w:val="none"/>
        </w:rPr>
      </w:pPr>
      <w:r>
        <w:rPr>
          <w:rFonts w:hint="eastAsia"/>
          <w:color w:val="auto"/>
          <w:highlight w:val="none"/>
        </w:rPr>
        <w:t>时间：</w:t>
      </w:r>
      <w:r>
        <w:rPr>
          <w:rFonts w:hint="eastAsia"/>
          <w:color w:val="auto"/>
          <w:kern w:val="0"/>
          <w:szCs w:val="21"/>
          <w:highlight w:val="none"/>
        </w:rPr>
        <w:t>2026年</w:t>
      </w:r>
      <w:r>
        <w:rPr>
          <w:rFonts w:hint="eastAsia"/>
          <w:color w:val="auto"/>
          <w:kern w:val="0"/>
          <w:szCs w:val="21"/>
          <w:highlight w:val="none"/>
          <w:lang w:val="en-US" w:eastAsia="zh-CN"/>
        </w:rPr>
        <w:t>8</w:t>
      </w:r>
      <w:r>
        <w:rPr>
          <w:rFonts w:hint="eastAsia"/>
          <w:color w:val="auto"/>
          <w:kern w:val="0"/>
          <w:szCs w:val="21"/>
          <w:highlight w:val="none"/>
        </w:rPr>
        <w:t>月</w:t>
      </w:r>
      <w:r>
        <w:rPr>
          <w:rFonts w:hint="eastAsia"/>
          <w:color w:val="auto"/>
          <w:kern w:val="0"/>
          <w:szCs w:val="21"/>
          <w:highlight w:val="none"/>
          <w:lang w:val="en-US" w:eastAsia="zh-CN"/>
        </w:rPr>
        <w:t>17</w:t>
      </w:r>
      <w:r>
        <w:rPr>
          <w:rFonts w:hint="eastAsia"/>
          <w:color w:val="auto"/>
          <w:kern w:val="0"/>
          <w:szCs w:val="21"/>
          <w:highlight w:val="none"/>
        </w:rPr>
        <w:t>日至2026年</w:t>
      </w:r>
      <w:r>
        <w:rPr>
          <w:rFonts w:hint="eastAsia"/>
          <w:color w:val="auto"/>
          <w:kern w:val="0"/>
          <w:szCs w:val="21"/>
          <w:highlight w:val="none"/>
          <w:lang w:val="en-US" w:eastAsia="zh-CN"/>
        </w:rPr>
        <w:t>8</w:t>
      </w:r>
      <w:r>
        <w:rPr>
          <w:rFonts w:hint="eastAsia"/>
          <w:color w:val="auto"/>
          <w:kern w:val="0"/>
          <w:szCs w:val="21"/>
          <w:highlight w:val="none"/>
        </w:rPr>
        <w:t>月</w:t>
      </w:r>
      <w:r>
        <w:rPr>
          <w:rFonts w:hint="eastAsia"/>
          <w:color w:val="auto"/>
          <w:kern w:val="0"/>
          <w:szCs w:val="21"/>
          <w:highlight w:val="none"/>
          <w:lang w:val="en-US" w:eastAsia="zh-CN"/>
        </w:rPr>
        <w:t>20</w:t>
      </w:r>
      <w:r>
        <w:rPr>
          <w:rFonts w:hint="eastAsia"/>
          <w:color w:val="auto"/>
          <w:kern w:val="0"/>
          <w:szCs w:val="21"/>
          <w:highlight w:val="none"/>
        </w:rPr>
        <w:t>日，每天上午00:00:00至1</w:t>
      </w:r>
      <w:r>
        <w:rPr>
          <w:rFonts w:hint="eastAsia"/>
          <w:color w:val="auto"/>
          <w:kern w:val="0"/>
          <w:szCs w:val="21"/>
          <w:highlight w:val="none"/>
          <w:lang w:val="en-US" w:eastAsia="zh-CN"/>
        </w:rPr>
        <w:t>1</w:t>
      </w:r>
      <w:r>
        <w:rPr>
          <w:rFonts w:hint="eastAsia"/>
          <w:color w:val="auto"/>
          <w:kern w:val="0"/>
          <w:szCs w:val="21"/>
          <w:highlight w:val="none"/>
        </w:rPr>
        <w:t>:59:59，下午12:00:00至23:59:59</w:t>
      </w:r>
      <w:r>
        <w:rPr>
          <w:rFonts w:hint="eastAsia"/>
          <w:color w:val="auto"/>
          <w:highlight w:val="none"/>
        </w:rPr>
        <w:t>（北京时间，法定节假日除外）。</w:t>
      </w:r>
    </w:p>
    <w:p w14:paraId="3C38095D">
      <w:pPr>
        <w:spacing w:line="312" w:lineRule="auto"/>
        <w:ind w:firstLine="420" w:firstLineChars="200"/>
        <w:jc w:val="left"/>
        <w:rPr>
          <w:color w:val="auto"/>
          <w:szCs w:val="21"/>
          <w:highlight w:val="none"/>
        </w:rPr>
      </w:pPr>
      <w:bookmarkStart w:id="11" w:name="_Hlk89179558"/>
      <w:r>
        <w:rPr>
          <w:rFonts w:hint="eastAsia"/>
          <w:color w:val="auto"/>
          <w:highlight w:val="none"/>
        </w:rPr>
        <w:t>地点（网址）：</w:t>
      </w:r>
      <w:r>
        <w:rPr>
          <w:rFonts w:hint="eastAsia"/>
          <w:color w:val="auto"/>
          <w:szCs w:val="21"/>
          <w:highlight w:val="none"/>
        </w:rPr>
        <w:t xml:space="preserve">广西政府采购云平台 </w:t>
      </w:r>
      <w:bookmarkStart w:id="12" w:name="_Hlk160186238"/>
      <w:r>
        <w:rPr>
          <w:rFonts w:hint="eastAsia"/>
          <w:color w:val="auto"/>
          <w:szCs w:val="21"/>
          <w:highlight w:val="none"/>
        </w:rPr>
        <w:t>（</w:t>
      </w:r>
      <w:r>
        <w:rPr>
          <w:color w:val="auto"/>
          <w:highlight w:val="none"/>
        </w:rPr>
        <w:fldChar w:fldCharType="begin"/>
      </w:r>
      <w:r>
        <w:rPr>
          <w:color w:val="auto"/>
          <w:highlight w:val="none"/>
        </w:rPr>
        <w:instrText xml:space="preserve"> HYPERLINK "https://www.gcy.zfcg.gxzf.gov.cn/" </w:instrText>
      </w:r>
      <w:r>
        <w:rPr>
          <w:color w:val="auto"/>
          <w:highlight w:val="none"/>
        </w:rPr>
        <w:fldChar w:fldCharType="separate"/>
      </w:r>
      <w:r>
        <w:rPr>
          <w:rStyle w:val="57"/>
          <w:color w:val="auto"/>
          <w:szCs w:val="21"/>
          <w:highlight w:val="none"/>
        </w:rPr>
        <w:t>https://www.gcy.zfcg.gxzf.gov.cn/</w:t>
      </w:r>
      <w:r>
        <w:rPr>
          <w:rStyle w:val="57"/>
          <w:color w:val="auto"/>
          <w:szCs w:val="21"/>
          <w:highlight w:val="none"/>
        </w:rPr>
        <w:fldChar w:fldCharType="end"/>
      </w:r>
      <w:r>
        <w:rPr>
          <w:rFonts w:hint="eastAsia"/>
          <w:color w:val="auto"/>
          <w:szCs w:val="21"/>
          <w:highlight w:val="none"/>
        </w:rPr>
        <w:t>）</w:t>
      </w:r>
      <w:bookmarkEnd w:id="12"/>
    </w:p>
    <w:p w14:paraId="13008066">
      <w:pPr>
        <w:spacing w:line="312" w:lineRule="auto"/>
        <w:ind w:firstLine="420" w:firstLineChars="200"/>
        <w:jc w:val="left"/>
        <w:rPr>
          <w:color w:val="auto"/>
          <w:highlight w:val="none"/>
        </w:rPr>
      </w:pPr>
      <w:r>
        <w:rPr>
          <w:rFonts w:hint="eastAsia"/>
          <w:color w:val="auto"/>
          <w:szCs w:val="21"/>
          <w:highlight w:val="none"/>
        </w:rPr>
        <w:t>方式：供应商登录广西政府采购云平台在线申请获取采购文件（进入“项目采购”应用，在获取采购文件菜单中选择项目，申请获取采购文件）</w:t>
      </w:r>
      <w:r>
        <w:rPr>
          <w:color w:val="auto"/>
          <w:highlight w:val="none"/>
        </w:rPr>
        <w:t xml:space="preserve"> </w:t>
      </w:r>
    </w:p>
    <w:p w14:paraId="517B71D6">
      <w:pPr>
        <w:spacing w:line="312" w:lineRule="auto"/>
        <w:ind w:firstLine="420" w:firstLineChars="200"/>
        <w:jc w:val="left"/>
        <w:rPr>
          <w:color w:val="auto"/>
          <w:highlight w:val="none"/>
        </w:rPr>
      </w:pPr>
      <w:r>
        <w:rPr>
          <w:rFonts w:hint="eastAsia"/>
          <w:color w:val="auto"/>
          <w:highlight w:val="none"/>
        </w:rPr>
        <w:t>售价（元）：</w:t>
      </w:r>
      <w:r>
        <w:rPr>
          <w:color w:val="auto"/>
          <w:highlight w:val="none"/>
        </w:rPr>
        <w:t>0</w:t>
      </w:r>
    </w:p>
    <w:bookmarkEnd w:id="11"/>
    <w:p w14:paraId="42161752">
      <w:pPr>
        <w:spacing w:line="312" w:lineRule="auto"/>
        <w:ind w:firstLine="442" w:firstLineChars="200"/>
        <w:jc w:val="left"/>
        <w:rPr>
          <w:b/>
          <w:bCs/>
          <w:color w:val="auto"/>
          <w:kern w:val="0"/>
          <w:sz w:val="22"/>
          <w:szCs w:val="22"/>
          <w:highlight w:val="none"/>
        </w:rPr>
      </w:pPr>
      <w:r>
        <w:rPr>
          <w:rFonts w:hint="eastAsia"/>
          <w:b/>
          <w:bCs/>
          <w:color w:val="auto"/>
          <w:kern w:val="0"/>
          <w:sz w:val="22"/>
          <w:szCs w:val="22"/>
          <w:highlight w:val="none"/>
        </w:rPr>
        <w:t>四、响应文件提交</w:t>
      </w:r>
    </w:p>
    <w:p w14:paraId="007590D9">
      <w:pPr>
        <w:spacing w:line="312" w:lineRule="auto"/>
        <w:ind w:firstLine="420" w:firstLineChars="200"/>
        <w:jc w:val="left"/>
        <w:rPr>
          <w:color w:val="auto"/>
          <w:kern w:val="0"/>
          <w:szCs w:val="21"/>
          <w:highlight w:val="none"/>
        </w:rPr>
      </w:pPr>
      <w:bookmarkStart w:id="13" w:name="_Hlk89179584"/>
      <w:r>
        <w:rPr>
          <w:rFonts w:hint="eastAsia"/>
          <w:color w:val="auto"/>
          <w:kern w:val="0"/>
          <w:szCs w:val="21"/>
          <w:highlight w:val="none"/>
        </w:rPr>
        <w:t>截止时间：</w:t>
      </w:r>
      <w:r>
        <w:rPr>
          <w:rFonts w:hint="eastAsia"/>
          <w:color w:val="auto"/>
          <w:kern w:val="0"/>
          <w:szCs w:val="21"/>
          <w:highlight w:val="none"/>
          <w:u w:val="single"/>
        </w:rPr>
        <w:t>2026年8月21日09:30</w:t>
      </w:r>
      <w:r>
        <w:rPr>
          <w:rFonts w:hint="eastAsia"/>
          <w:color w:val="auto"/>
          <w:kern w:val="0"/>
          <w:szCs w:val="21"/>
          <w:highlight w:val="none"/>
        </w:rPr>
        <w:t>（北京时间）</w:t>
      </w:r>
    </w:p>
    <w:p w14:paraId="29C535A6">
      <w:pPr>
        <w:spacing w:line="312" w:lineRule="auto"/>
        <w:ind w:firstLine="420" w:firstLineChars="200"/>
        <w:jc w:val="left"/>
        <w:rPr>
          <w:color w:val="auto"/>
          <w:kern w:val="0"/>
          <w:szCs w:val="21"/>
          <w:highlight w:val="none"/>
        </w:rPr>
      </w:pPr>
      <w:r>
        <w:rPr>
          <w:rFonts w:hint="eastAsia"/>
          <w:color w:val="auto"/>
          <w:kern w:val="0"/>
          <w:szCs w:val="21"/>
          <w:highlight w:val="none"/>
        </w:rPr>
        <w:t>地点（网址）：</w:t>
      </w:r>
      <w:r>
        <w:rPr>
          <w:rFonts w:hint="eastAsia"/>
          <w:color w:val="auto"/>
          <w:szCs w:val="21"/>
          <w:highlight w:val="none"/>
        </w:rPr>
        <w:t>本项目为全流程电子化项目，没有现场递交响应文件及现场截标环节，通过广西政府采购云平台（https://www.gcy.zfcg.gxzf.gov.cn/）实行在线电子响应，供应商应先安装广西政府采购云平台新版客户端（请自行前往广西政府采购网-办事服务-下载专区进行下载），并按照本项目采购文件和广西政府采购云平台的要求使用C</w:t>
      </w:r>
      <w:r>
        <w:rPr>
          <w:color w:val="auto"/>
          <w:szCs w:val="21"/>
          <w:highlight w:val="none"/>
        </w:rPr>
        <w:t>A</w:t>
      </w:r>
      <w:r>
        <w:rPr>
          <w:rFonts w:hint="eastAsia"/>
          <w:color w:val="auto"/>
          <w:szCs w:val="21"/>
          <w:highlight w:val="none"/>
        </w:rPr>
        <w:t xml:space="preserve">认证编制、加密响应文件后在响应截止时间前上传至广西政府采购云平台，供应商在广西政府采购云平台提交电子版响应文件时，请填写参加远程截标活动经办人联系方式。 </w:t>
      </w:r>
    </w:p>
    <w:bookmarkEnd w:id="13"/>
    <w:p w14:paraId="1F22963E">
      <w:pPr>
        <w:spacing w:line="276" w:lineRule="auto"/>
        <w:ind w:firstLine="442" w:firstLineChars="200"/>
        <w:jc w:val="left"/>
        <w:rPr>
          <w:b/>
          <w:bCs/>
          <w:color w:val="auto"/>
          <w:kern w:val="0"/>
          <w:sz w:val="22"/>
          <w:szCs w:val="22"/>
          <w:highlight w:val="none"/>
        </w:rPr>
      </w:pPr>
      <w:r>
        <w:rPr>
          <w:rFonts w:hint="eastAsia"/>
          <w:b/>
          <w:bCs/>
          <w:color w:val="auto"/>
          <w:kern w:val="0"/>
          <w:sz w:val="22"/>
          <w:szCs w:val="22"/>
          <w:highlight w:val="none"/>
        </w:rPr>
        <w:t>五、开启</w:t>
      </w:r>
    </w:p>
    <w:p w14:paraId="7DD177AC">
      <w:pPr>
        <w:spacing w:line="276" w:lineRule="auto"/>
        <w:ind w:firstLine="442" w:firstLineChars="200"/>
        <w:jc w:val="left"/>
        <w:rPr>
          <w:color w:val="auto"/>
          <w:kern w:val="0"/>
          <w:szCs w:val="21"/>
          <w:highlight w:val="none"/>
        </w:rPr>
      </w:pPr>
      <w:bookmarkStart w:id="14" w:name="_Hlk89179592"/>
      <w:r>
        <w:rPr>
          <w:rFonts w:hint="eastAsia"/>
          <w:b/>
          <w:bCs/>
          <w:color w:val="auto"/>
          <w:kern w:val="0"/>
          <w:sz w:val="22"/>
          <w:szCs w:val="22"/>
          <w:highlight w:val="none"/>
        </w:rPr>
        <w:t>开启时间：</w:t>
      </w:r>
      <w:r>
        <w:rPr>
          <w:rFonts w:hint="eastAsia"/>
          <w:color w:val="auto"/>
          <w:kern w:val="0"/>
          <w:szCs w:val="21"/>
          <w:highlight w:val="none"/>
        </w:rPr>
        <w:t>2026年8月21日09:30（北京时间）</w:t>
      </w:r>
      <w:bookmarkStart w:id="134" w:name="_GoBack"/>
      <w:bookmarkEnd w:id="134"/>
    </w:p>
    <w:p w14:paraId="7B49F66B">
      <w:pPr>
        <w:spacing w:line="276" w:lineRule="auto"/>
        <w:ind w:firstLine="442" w:firstLineChars="200"/>
        <w:jc w:val="left"/>
        <w:rPr>
          <w:b/>
          <w:bCs/>
          <w:color w:val="auto"/>
          <w:kern w:val="0"/>
          <w:sz w:val="22"/>
          <w:szCs w:val="22"/>
          <w:highlight w:val="none"/>
        </w:rPr>
      </w:pPr>
      <w:r>
        <w:rPr>
          <w:rFonts w:hint="eastAsia"/>
          <w:b/>
          <w:bCs/>
          <w:color w:val="auto"/>
          <w:kern w:val="0"/>
          <w:sz w:val="22"/>
          <w:szCs w:val="22"/>
          <w:highlight w:val="none"/>
        </w:rPr>
        <w:t>地点：</w:t>
      </w:r>
      <w:r>
        <w:rPr>
          <w:rFonts w:hint="eastAsia"/>
          <w:color w:val="auto"/>
          <w:szCs w:val="21"/>
          <w:highlight w:val="none"/>
        </w:rPr>
        <w:t>供应商登录广西政府采购云平台电子开标大厅截标。</w:t>
      </w:r>
    </w:p>
    <w:bookmarkEnd w:id="14"/>
    <w:p w14:paraId="46C6FE82">
      <w:pPr>
        <w:spacing w:line="312" w:lineRule="auto"/>
        <w:ind w:firstLine="442" w:firstLineChars="200"/>
        <w:jc w:val="left"/>
        <w:rPr>
          <w:b/>
          <w:bCs/>
          <w:color w:val="auto"/>
          <w:kern w:val="0"/>
          <w:sz w:val="22"/>
          <w:szCs w:val="22"/>
          <w:highlight w:val="none"/>
        </w:rPr>
      </w:pPr>
      <w:r>
        <w:rPr>
          <w:rFonts w:hint="eastAsia"/>
          <w:b/>
          <w:bCs/>
          <w:color w:val="auto"/>
          <w:kern w:val="0"/>
          <w:sz w:val="22"/>
          <w:szCs w:val="22"/>
          <w:highlight w:val="none"/>
        </w:rPr>
        <w:t>六、公告期限</w:t>
      </w:r>
    </w:p>
    <w:p w14:paraId="35EAF5A8">
      <w:pPr>
        <w:spacing w:line="312" w:lineRule="auto"/>
        <w:ind w:firstLine="420" w:firstLineChars="200"/>
        <w:jc w:val="left"/>
        <w:rPr>
          <w:color w:val="auto"/>
          <w:kern w:val="0"/>
          <w:szCs w:val="21"/>
          <w:highlight w:val="none"/>
        </w:rPr>
      </w:pPr>
      <w:r>
        <w:rPr>
          <w:rFonts w:hint="eastAsia"/>
          <w:color w:val="auto"/>
          <w:kern w:val="0"/>
          <w:szCs w:val="21"/>
          <w:highlight w:val="none"/>
        </w:rPr>
        <w:t>自本公告发布之日起</w:t>
      </w:r>
      <w:r>
        <w:rPr>
          <w:color w:val="auto"/>
          <w:kern w:val="0"/>
          <w:szCs w:val="21"/>
          <w:highlight w:val="none"/>
        </w:rPr>
        <w:t>3</w:t>
      </w:r>
      <w:r>
        <w:rPr>
          <w:rFonts w:hint="eastAsia"/>
          <w:color w:val="auto"/>
          <w:kern w:val="0"/>
          <w:szCs w:val="21"/>
          <w:highlight w:val="none"/>
        </w:rPr>
        <w:t>个工作日。</w:t>
      </w:r>
    </w:p>
    <w:p w14:paraId="5527FAED">
      <w:pPr>
        <w:spacing w:line="312" w:lineRule="auto"/>
        <w:ind w:firstLine="442" w:firstLineChars="200"/>
        <w:jc w:val="left"/>
        <w:rPr>
          <w:b/>
          <w:bCs/>
          <w:color w:val="auto"/>
          <w:kern w:val="0"/>
          <w:sz w:val="22"/>
          <w:szCs w:val="22"/>
          <w:highlight w:val="none"/>
        </w:rPr>
      </w:pPr>
      <w:r>
        <w:rPr>
          <w:rFonts w:hint="eastAsia"/>
          <w:b/>
          <w:bCs/>
          <w:color w:val="auto"/>
          <w:kern w:val="0"/>
          <w:sz w:val="22"/>
          <w:szCs w:val="22"/>
          <w:highlight w:val="none"/>
        </w:rPr>
        <w:t>七、其他补充事宜</w:t>
      </w:r>
    </w:p>
    <w:p w14:paraId="134E45F7">
      <w:pPr>
        <w:spacing w:line="312" w:lineRule="auto"/>
        <w:ind w:firstLine="420" w:firstLineChars="200"/>
        <w:jc w:val="left"/>
        <w:rPr>
          <w:color w:val="auto"/>
          <w:kern w:val="0"/>
          <w:szCs w:val="21"/>
          <w:highlight w:val="none"/>
        </w:rPr>
      </w:pPr>
      <w:r>
        <w:rPr>
          <w:rFonts w:hint="eastAsia"/>
          <w:color w:val="auto"/>
          <w:kern w:val="0"/>
          <w:szCs w:val="21"/>
          <w:highlight w:val="none"/>
        </w:rPr>
        <w:t>1</w:t>
      </w:r>
      <w:r>
        <w:rPr>
          <w:color w:val="auto"/>
          <w:kern w:val="0"/>
          <w:szCs w:val="21"/>
          <w:highlight w:val="none"/>
        </w:rPr>
        <w:t>.</w:t>
      </w:r>
      <w:r>
        <w:rPr>
          <w:rFonts w:hint="eastAsia"/>
          <w:color w:val="auto"/>
          <w:kern w:val="0"/>
          <w:szCs w:val="21"/>
          <w:highlight w:val="none"/>
        </w:rPr>
        <w:t>公告发布媒体：广西壮族自治区政府采购网（http://www.ccgp-guangxi.gov.cn/）、中国政府采购网（http://www.ccgp.gov.cn/）</w:t>
      </w:r>
    </w:p>
    <w:p w14:paraId="2F50BFE1">
      <w:pPr>
        <w:spacing w:line="312" w:lineRule="auto"/>
        <w:ind w:firstLine="420" w:firstLineChars="200"/>
        <w:jc w:val="left"/>
        <w:rPr>
          <w:color w:val="auto"/>
          <w:kern w:val="0"/>
          <w:szCs w:val="21"/>
          <w:highlight w:val="none"/>
        </w:rPr>
      </w:pPr>
      <w:r>
        <w:rPr>
          <w:rFonts w:hint="eastAsia"/>
          <w:color w:val="auto"/>
          <w:kern w:val="0"/>
          <w:szCs w:val="21"/>
          <w:highlight w:val="none"/>
        </w:rPr>
        <w:t>2</w:t>
      </w:r>
      <w:r>
        <w:rPr>
          <w:color w:val="auto"/>
          <w:kern w:val="0"/>
          <w:szCs w:val="21"/>
          <w:highlight w:val="none"/>
        </w:rPr>
        <w:t>.</w:t>
      </w:r>
      <w:r>
        <w:rPr>
          <w:rFonts w:hint="eastAsia"/>
          <w:color w:val="auto"/>
          <w:kern w:val="0"/>
          <w:szCs w:val="21"/>
          <w:highlight w:val="none"/>
        </w:rPr>
        <w:t xml:space="preserve"> 需落实的政府采购政策：</w:t>
      </w:r>
      <w:r>
        <w:rPr>
          <w:color w:val="auto"/>
          <w:kern w:val="0"/>
          <w:szCs w:val="21"/>
          <w:highlight w:val="none"/>
        </w:rPr>
        <w:t>政府采购促进中小企业、监狱企业发展、促进残疾人就业、</w:t>
      </w:r>
      <w:bookmarkStart w:id="15" w:name="_Hlk89179658"/>
      <w:r>
        <w:rPr>
          <w:color w:val="auto"/>
          <w:kern w:val="0"/>
          <w:szCs w:val="21"/>
          <w:highlight w:val="none"/>
        </w:rPr>
        <w:t>节能环保</w:t>
      </w:r>
      <w:bookmarkEnd w:id="15"/>
      <w:r>
        <w:rPr>
          <w:rFonts w:hint="eastAsia"/>
          <w:color w:val="auto"/>
          <w:kern w:val="0"/>
          <w:szCs w:val="21"/>
          <w:highlight w:val="none"/>
        </w:rPr>
        <w:t>、对本国产品的支持</w:t>
      </w:r>
      <w:r>
        <w:rPr>
          <w:color w:val="auto"/>
          <w:kern w:val="0"/>
          <w:szCs w:val="21"/>
          <w:highlight w:val="none"/>
        </w:rPr>
        <w:t>等有关政策，具体详见</w:t>
      </w:r>
      <w:r>
        <w:rPr>
          <w:rFonts w:hint="eastAsia"/>
          <w:color w:val="auto"/>
          <w:highlight w:val="none"/>
        </w:rPr>
        <w:t>采购文件</w:t>
      </w:r>
      <w:r>
        <w:rPr>
          <w:color w:val="auto"/>
          <w:kern w:val="0"/>
          <w:szCs w:val="21"/>
          <w:highlight w:val="none"/>
        </w:rPr>
        <w:t>。</w:t>
      </w:r>
    </w:p>
    <w:p w14:paraId="58CBC5C9">
      <w:pPr>
        <w:spacing w:line="312" w:lineRule="auto"/>
        <w:ind w:firstLine="420" w:firstLineChars="200"/>
        <w:jc w:val="left"/>
        <w:rPr>
          <w:rFonts w:eastAsia="楷体_GB2312"/>
          <w:b/>
          <w:color w:val="auto"/>
          <w:szCs w:val="21"/>
          <w:highlight w:val="none"/>
        </w:rPr>
      </w:pPr>
      <w:r>
        <w:rPr>
          <w:color w:val="auto"/>
          <w:kern w:val="0"/>
          <w:szCs w:val="21"/>
          <w:highlight w:val="none"/>
        </w:rPr>
        <w:t>3</w:t>
      </w:r>
      <w:r>
        <w:rPr>
          <w:rFonts w:hint="eastAsia"/>
          <w:color w:val="auto"/>
          <w:kern w:val="0"/>
          <w:szCs w:val="21"/>
          <w:highlight w:val="none"/>
        </w:rPr>
        <w:t>.本项目供应商的产生方式：</w:t>
      </w:r>
      <w:r>
        <w:rPr>
          <w:color w:val="auto"/>
          <w:highlight w:val="none"/>
        </w:rPr>
        <w:t>发布</w:t>
      </w:r>
      <w:r>
        <w:rPr>
          <w:rFonts w:hint="eastAsia"/>
          <w:color w:val="auto"/>
          <w:highlight w:val="none"/>
        </w:rPr>
        <w:t>公告征集</w:t>
      </w:r>
    </w:p>
    <w:p w14:paraId="665BAA5D">
      <w:pPr>
        <w:spacing w:line="312" w:lineRule="auto"/>
        <w:ind w:firstLine="420" w:firstLineChars="200"/>
        <w:rPr>
          <w:color w:val="auto"/>
          <w:kern w:val="0"/>
          <w:szCs w:val="21"/>
          <w:highlight w:val="none"/>
        </w:rPr>
      </w:pPr>
      <w:r>
        <w:rPr>
          <w:color w:val="auto"/>
          <w:kern w:val="0"/>
          <w:szCs w:val="21"/>
          <w:highlight w:val="none"/>
        </w:rPr>
        <w:t>4.</w:t>
      </w:r>
      <w:r>
        <w:rPr>
          <w:rFonts w:hint="eastAsia"/>
          <w:color w:val="auto"/>
          <w:kern w:val="0"/>
          <w:szCs w:val="21"/>
          <w:highlight w:val="none"/>
        </w:rPr>
        <w:t>注意事项：</w:t>
      </w:r>
    </w:p>
    <w:p w14:paraId="62A779DB">
      <w:pPr>
        <w:spacing w:line="276" w:lineRule="auto"/>
        <w:ind w:firstLine="420" w:firstLineChars="200"/>
        <w:rPr>
          <w:color w:val="auto"/>
          <w:szCs w:val="21"/>
          <w:highlight w:val="none"/>
        </w:rPr>
      </w:pPr>
      <w:r>
        <w:rPr>
          <w:rFonts w:hint="eastAsia"/>
          <w:color w:val="auto"/>
          <w:kern w:val="0"/>
          <w:szCs w:val="21"/>
          <w:highlight w:val="none"/>
        </w:rPr>
        <w:t>（1）</w:t>
      </w:r>
      <w:r>
        <w:rPr>
          <w:rFonts w:hint="eastAsia"/>
          <w:color w:val="auto"/>
          <w:szCs w:val="21"/>
          <w:highlight w:val="none"/>
        </w:rPr>
        <w:t>未进行网上注册并办理数字证书（CA认证）的供应商将无法参与本项目政府采购活动，潜在供应商应当在响应截止时间前，完成广西政府采购云平台上的CA数字证书办理及响应文件的提交。完成CA数字证书办理预计7日左右，建议各供应商抓紧时间办理。</w:t>
      </w:r>
    </w:p>
    <w:p w14:paraId="596C9923">
      <w:pPr>
        <w:spacing w:line="276" w:lineRule="auto"/>
        <w:ind w:firstLine="420" w:firstLineChars="200"/>
        <w:rPr>
          <w:color w:val="auto"/>
          <w:kern w:val="0"/>
          <w:szCs w:val="21"/>
          <w:highlight w:val="none"/>
        </w:rPr>
      </w:pPr>
      <w:r>
        <w:rPr>
          <w:rFonts w:hint="eastAsia"/>
          <w:color w:val="auto"/>
          <w:szCs w:val="21"/>
          <w:highlight w:val="none"/>
        </w:rPr>
        <w:t>（2）为确保网上操作合法、有效和安全，请供应商确保在电子投标过程中能够对相关数据电文进行加密和使用电子签章，妥善保管CA数字证书并使用有效的CA数字证书参与整个招标活动。</w:t>
      </w:r>
    </w:p>
    <w:p w14:paraId="068C2EF6">
      <w:pPr>
        <w:spacing w:line="276"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w:t>
      </w:r>
      <w:r>
        <w:rPr>
          <w:rFonts w:ascii="宋体" w:hAnsi="宋体" w:cs="宋体"/>
          <w:color w:val="auto"/>
          <w:kern w:val="0"/>
          <w:szCs w:val="21"/>
          <w:highlight w:val="none"/>
        </w:rPr>
        <w:t>3</w:t>
      </w:r>
      <w:r>
        <w:rPr>
          <w:rFonts w:hint="eastAsia" w:ascii="宋体" w:hAnsi="宋体" w:cs="宋体"/>
          <w:color w:val="auto"/>
          <w:kern w:val="0"/>
          <w:szCs w:val="21"/>
          <w:highlight w:val="none"/>
        </w:rPr>
        <w:t>）若对项目采购电子交易系统操作有疑问，可登录广西政府采购云平台（https://www.gcy.zfcg.gxzf.gov.cn/），点击右侧咨询小采或帮助文档或拨打客服热线95763</w:t>
      </w:r>
    </w:p>
    <w:p w14:paraId="32936333">
      <w:pPr>
        <w:spacing w:line="312" w:lineRule="auto"/>
        <w:ind w:firstLine="420" w:firstLineChars="200"/>
        <w:rPr>
          <w:color w:val="auto"/>
          <w:kern w:val="0"/>
          <w:szCs w:val="21"/>
          <w:highlight w:val="none"/>
        </w:rPr>
      </w:pPr>
      <w:r>
        <w:rPr>
          <w:rFonts w:hint="eastAsia"/>
          <w:color w:val="auto"/>
          <w:kern w:val="0"/>
          <w:szCs w:val="21"/>
          <w:highlight w:val="none"/>
        </w:rPr>
        <w:t>5.本项目不收取谈判保证金。</w:t>
      </w:r>
    </w:p>
    <w:p w14:paraId="229002B6">
      <w:pPr>
        <w:spacing w:line="312" w:lineRule="auto"/>
        <w:ind w:firstLine="420" w:firstLineChars="200"/>
        <w:rPr>
          <w:color w:val="auto"/>
          <w:highlight w:val="none"/>
        </w:rPr>
      </w:pPr>
      <w:r>
        <w:rPr>
          <w:rFonts w:hint="eastAsia"/>
          <w:color w:val="auto"/>
          <w:kern w:val="0"/>
          <w:szCs w:val="21"/>
          <w:highlight w:val="none"/>
        </w:rPr>
        <w:t>6.本项目采用远程异地评标。</w:t>
      </w:r>
    </w:p>
    <w:p w14:paraId="62C3F56C">
      <w:pPr>
        <w:spacing w:line="276" w:lineRule="auto"/>
        <w:ind w:firstLine="442" w:firstLineChars="200"/>
        <w:rPr>
          <w:b/>
          <w:bCs/>
          <w:color w:val="auto"/>
          <w:kern w:val="0"/>
          <w:sz w:val="22"/>
          <w:szCs w:val="22"/>
          <w:highlight w:val="none"/>
        </w:rPr>
      </w:pPr>
      <w:r>
        <w:rPr>
          <w:rFonts w:hint="eastAsia"/>
          <w:b/>
          <w:bCs/>
          <w:color w:val="auto"/>
          <w:kern w:val="0"/>
          <w:sz w:val="22"/>
          <w:szCs w:val="22"/>
          <w:highlight w:val="none"/>
        </w:rPr>
        <w:t>八、对本次采购提出询问，请按以下方式联系</w:t>
      </w:r>
    </w:p>
    <w:p w14:paraId="745D34F0">
      <w:pPr>
        <w:spacing w:line="312" w:lineRule="auto"/>
        <w:ind w:firstLine="420" w:firstLineChars="200"/>
        <w:jc w:val="left"/>
        <w:rPr>
          <w:color w:val="auto"/>
          <w:kern w:val="0"/>
          <w:szCs w:val="21"/>
          <w:highlight w:val="none"/>
        </w:rPr>
      </w:pPr>
      <w:r>
        <w:rPr>
          <w:rFonts w:hint="eastAsia"/>
          <w:color w:val="auto"/>
          <w:kern w:val="0"/>
          <w:szCs w:val="21"/>
          <w:highlight w:val="none"/>
        </w:rPr>
        <w:t>1.采购人信息</w:t>
      </w:r>
    </w:p>
    <w:p w14:paraId="6DDDD996">
      <w:pPr>
        <w:spacing w:line="312" w:lineRule="auto"/>
        <w:ind w:firstLine="420" w:firstLineChars="200"/>
        <w:jc w:val="left"/>
        <w:rPr>
          <w:color w:val="auto"/>
          <w:kern w:val="0"/>
          <w:szCs w:val="21"/>
          <w:highlight w:val="none"/>
          <w:u w:val="single"/>
        </w:rPr>
      </w:pPr>
      <w:bookmarkStart w:id="16" w:name="_Hlk19048373"/>
      <w:r>
        <w:rPr>
          <w:rFonts w:hint="eastAsia"/>
          <w:color w:val="auto"/>
          <w:kern w:val="0"/>
          <w:szCs w:val="21"/>
          <w:highlight w:val="none"/>
        </w:rPr>
        <w:t>名称</w:t>
      </w:r>
      <w:r>
        <w:rPr>
          <w:color w:val="auto"/>
          <w:kern w:val="0"/>
          <w:szCs w:val="21"/>
          <w:highlight w:val="none"/>
        </w:rPr>
        <w:t>：</w:t>
      </w:r>
      <w:r>
        <w:rPr>
          <w:rFonts w:hint="eastAsia"/>
          <w:color w:val="auto"/>
          <w:kern w:val="0"/>
          <w:szCs w:val="21"/>
          <w:highlight w:val="none"/>
          <w:u w:val="single"/>
        </w:rPr>
        <w:t>北海市人民医院</w:t>
      </w:r>
    </w:p>
    <w:p w14:paraId="7590053B">
      <w:pPr>
        <w:spacing w:line="312" w:lineRule="auto"/>
        <w:ind w:firstLine="420" w:firstLineChars="200"/>
        <w:jc w:val="left"/>
        <w:rPr>
          <w:color w:val="auto"/>
          <w:kern w:val="0"/>
          <w:szCs w:val="21"/>
          <w:highlight w:val="none"/>
          <w:u w:val="single"/>
        </w:rPr>
      </w:pPr>
      <w:r>
        <w:rPr>
          <w:color w:val="auto"/>
          <w:kern w:val="0"/>
          <w:szCs w:val="21"/>
          <w:highlight w:val="none"/>
        </w:rPr>
        <w:t>地址：</w:t>
      </w:r>
      <w:r>
        <w:rPr>
          <w:rFonts w:hint="eastAsia"/>
          <w:color w:val="auto"/>
          <w:kern w:val="0"/>
          <w:szCs w:val="21"/>
          <w:highlight w:val="none"/>
          <w:u w:val="single"/>
        </w:rPr>
        <w:t>北海市海城区和平路83号</w:t>
      </w:r>
    </w:p>
    <w:p w14:paraId="305FBC76">
      <w:pPr>
        <w:spacing w:line="312" w:lineRule="auto"/>
        <w:ind w:firstLine="420" w:firstLineChars="200"/>
        <w:jc w:val="left"/>
        <w:rPr>
          <w:color w:val="auto"/>
          <w:kern w:val="0"/>
          <w:szCs w:val="21"/>
          <w:highlight w:val="none"/>
          <w:u w:val="single"/>
        </w:rPr>
      </w:pPr>
      <w:r>
        <w:rPr>
          <w:rFonts w:hint="eastAsia"/>
          <w:color w:val="auto"/>
          <w:kern w:val="0"/>
          <w:szCs w:val="21"/>
          <w:highlight w:val="none"/>
        </w:rPr>
        <w:t>项目联系人：</w:t>
      </w:r>
      <w:r>
        <w:rPr>
          <w:rFonts w:hint="eastAsia"/>
          <w:color w:val="auto"/>
          <w:kern w:val="0"/>
          <w:szCs w:val="21"/>
          <w:highlight w:val="none"/>
          <w:u w:val="single"/>
        </w:rPr>
        <w:t>叶工</w:t>
      </w:r>
    </w:p>
    <w:p w14:paraId="27185B29">
      <w:pPr>
        <w:spacing w:line="312" w:lineRule="auto"/>
        <w:ind w:firstLine="420" w:firstLineChars="200"/>
        <w:jc w:val="left"/>
        <w:rPr>
          <w:color w:val="auto"/>
          <w:kern w:val="0"/>
          <w:szCs w:val="21"/>
          <w:highlight w:val="none"/>
          <w:u w:val="single"/>
        </w:rPr>
      </w:pPr>
      <w:r>
        <w:rPr>
          <w:rFonts w:hint="eastAsia"/>
          <w:color w:val="auto"/>
          <w:kern w:val="0"/>
          <w:szCs w:val="21"/>
          <w:highlight w:val="none"/>
        </w:rPr>
        <w:t>项目</w:t>
      </w:r>
      <w:r>
        <w:rPr>
          <w:color w:val="auto"/>
          <w:kern w:val="0"/>
          <w:szCs w:val="21"/>
          <w:highlight w:val="none"/>
        </w:rPr>
        <w:t>联系</w:t>
      </w:r>
      <w:r>
        <w:rPr>
          <w:rFonts w:hint="eastAsia"/>
          <w:color w:val="auto"/>
          <w:kern w:val="0"/>
          <w:szCs w:val="21"/>
          <w:highlight w:val="none"/>
        </w:rPr>
        <w:t>方式</w:t>
      </w:r>
      <w:r>
        <w:rPr>
          <w:color w:val="auto"/>
          <w:kern w:val="0"/>
          <w:szCs w:val="21"/>
          <w:highlight w:val="none"/>
        </w:rPr>
        <w:t>：</w:t>
      </w:r>
      <w:r>
        <w:rPr>
          <w:rFonts w:hint="eastAsia"/>
          <w:color w:val="auto"/>
          <w:kern w:val="0"/>
          <w:szCs w:val="21"/>
          <w:highlight w:val="none"/>
          <w:u w:val="single"/>
        </w:rPr>
        <w:t>0779-2023852</w:t>
      </w:r>
    </w:p>
    <w:p w14:paraId="5EC889B6">
      <w:pPr>
        <w:spacing w:line="312" w:lineRule="auto"/>
        <w:ind w:firstLine="420" w:firstLineChars="200"/>
        <w:jc w:val="left"/>
        <w:rPr>
          <w:color w:val="auto"/>
          <w:kern w:val="0"/>
          <w:szCs w:val="21"/>
          <w:highlight w:val="none"/>
        </w:rPr>
      </w:pPr>
      <w:r>
        <w:rPr>
          <w:rFonts w:hint="eastAsia"/>
          <w:color w:val="auto"/>
          <w:kern w:val="0"/>
          <w:szCs w:val="21"/>
          <w:highlight w:val="none"/>
        </w:rPr>
        <w:t>2.采购代理机构信息</w:t>
      </w:r>
    </w:p>
    <w:p w14:paraId="71CB89FB">
      <w:pPr>
        <w:spacing w:line="312" w:lineRule="auto"/>
        <w:ind w:firstLine="420" w:firstLineChars="200"/>
        <w:jc w:val="left"/>
        <w:rPr>
          <w:color w:val="auto"/>
          <w:kern w:val="0"/>
          <w:szCs w:val="21"/>
          <w:highlight w:val="none"/>
          <w:u w:val="single"/>
        </w:rPr>
      </w:pPr>
      <w:r>
        <w:rPr>
          <w:rFonts w:hint="eastAsia"/>
          <w:color w:val="auto"/>
          <w:kern w:val="0"/>
          <w:szCs w:val="21"/>
          <w:highlight w:val="none"/>
        </w:rPr>
        <w:t>名称</w:t>
      </w:r>
      <w:r>
        <w:rPr>
          <w:color w:val="auto"/>
          <w:kern w:val="0"/>
          <w:szCs w:val="21"/>
          <w:highlight w:val="none"/>
        </w:rPr>
        <w:t>：</w:t>
      </w:r>
      <w:r>
        <w:rPr>
          <w:color w:val="auto"/>
          <w:kern w:val="0"/>
          <w:szCs w:val="21"/>
          <w:highlight w:val="none"/>
          <w:u w:val="single"/>
        </w:rPr>
        <w:t>广西机电设备招标有限公司</w:t>
      </w:r>
    </w:p>
    <w:p w14:paraId="61CC28E6">
      <w:pPr>
        <w:spacing w:line="312" w:lineRule="auto"/>
        <w:ind w:firstLine="420" w:firstLineChars="200"/>
        <w:jc w:val="left"/>
        <w:rPr>
          <w:color w:val="auto"/>
          <w:kern w:val="0"/>
          <w:szCs w:val="21"/>
          <w:highlight w:val="none"/>
          <w:u w:val="single"/>
        </w:rPr>
      </w:pPr>
      <w:r>
        <w:rPr>
          <w:color w:val="auto"/>
          <w:kern w:val="0"/>
          <w:szCs w:val="21"/>
          <w:highlight w:val="none"/>
        </w:rPr>
        <w:t>地址：</w:t>
      </w:r>
      <w:bookmarkStart w:id="17" w:name="_Hlk43198245"/>
      <w:r>
        <w:rPr>
          <w:color w:val="auto"/>
          <w:highlight w:val="none"/>
          <w:u w:val="single"/>
        </w:rPr>
        <w:t>广西南宁市金湖路63号金源CBD现代城B座7层701</w:t>
      </w:r>
      <w:bookmarkEnd w:id="17"/>
    </w:p>
    <w:bookmarkEnd w:id="16"/>
    <w:p w14:paraId="5AD43796">
      <w:pPr>
        <w:spacing w:line="312" w:lineRule="auto"/>
        <w:ind w:firstLine="420" w:firstLineChars="200"/>
        <w:jc w:val="left"/>
        <w:rPr>
          <w:color w:val="auto"/>
          <w:kern w:val="0"/>
          <w:szCs w:val="21"/>
          <w:highlight w:val="none"/>
          <w:u w:val="single"/>
        </w:rPr>
      </w:pPr>
      <w:r>
        <w:rPr>
          <w:color w:val="auto"/>
          <w:kern w:val="0"/>
          <w:szCs w:val="21"/>
          <w:highlight w:val="none"/>
        </w:rPr>
        <w:t>项目联系人：</w:t>
      </w:r>
      <w:r>
        <w:rPr>
          <w:rFonts w:hint="eastAsia"/>
          <w:color w:val="auto"/>
          <w:kern w:val="0"/>
          <w:szCs w:val="21"/>
          <w:highlight w:val="none"/>
          <w:u w:val="single"/>
        </w:rPr>
        <w:t>宁静</w:t>
      </w:r>
    </w:p>
    <w:p w14:paraId="7CC7C579">
      <w:pPr>
        <w:spacing w:line="312" w:lineRule="auto"/>
        <w:ind w:right="420" w:firstLine="420" w:firstLineChars="200"/>
        <w:rPr>
          <w:color w:val="auto"/>
          <w:kern w:val="0"/>
          <w:szCs w:val="21"/>
          <w:highlight w:val="none"/>
        </w:rPr>
      </w:pPr>
      <w:r>
        <w:rPr>
          <w:rFonts w:hint="eastAsia"/>
          <w:color w:val="auto"/>
          <w:kern w:val="0"/>
          <w:szCs w:val="21"/>
          <w:highlight w:val="none"/>
        </w:rPr>
        <w:t>项目联系方式</w:t>
      </w:r>
      <w:r>
        <w:rPr>
          <w:color w:val="auto"/>
          <w:kern w:val="0"/>
          <w:szCs w:val="21"/>
          <w:highlight w:val="none"/>
        </w:rPr>
        <w:t>：</w:t>
      </w:r>
      <w:r>
        <w:rPr>
          <w:rFonts w:hint="eastAsia"/>
          <w:color w:val="auto"/>
          <w:kern w:val="0"/>
          <w:szCs w:val="21"/>
          <w:highlight w:val="none"/>
          <w:u w:val="single"/>
        </w:rPr>
        <w:t>0771-5782003</w:t>
      </w:r>
    </w:p>
    <w:p w14:paraId="5346C018">
      <w:pPr>
        <w:spacing w:line="312" w:lineRule="auto"/>
        <w:ind w:firstLine="420" w:firstLineChars="200"/>
        <w:jc w:val="right"/>
        <w:rPr>
          <w:color w:val="auto"/>
          <w:kern w:val="0"/>
          <w:szCs w:val="21"/>
          <w:highlight w:val="none"/>
        </w:rPr>
      </w:pPr>
      <w:r>
        <w:rPr>
          <w:color w:val="auto"/>
          <w:kern w:val="0"/>
          <w:szCs w:val="21"/>
          <w:highlight w:val="none"/>
        </w:rPr>
        <w:t>广西机电设备招标有限公司</w:t>
      </w:r>
    </w:p>
    <w:p w14:paraId="1E62F346">
      <w:pPr>
        <w:spacing w:line="312" w:lineRule="auto"/>
        <w:ind w:firstLine="420" w:firstLineChars="200"/>
        <w:jc w:val="right"/>
        <w:rPr>
          <w:color w:val="auto"/>
          <w:kern w:val="0"/>
          <w:sz w:val="18"/>
          <w:szCs w:val="18"/>
          <w:highlight w:val="none"/>
        </w:rPr>
      </w:pPr>
      <w:r>
        <w:rPr>
          <w:color w:val="auto"/>
          <w:kern w:val="0"/>
          <w:szCs w:val="21"/>
          <w:highlight w:val="none"/>
        </w:rPr>
        <w:t>2</w:t>
      </w:r>
      <w:r>
        <w:rPr>
          <w:rFonts w:hint="eastAsia"/>
          <w:color w:val="auto"/>
          <w:kern w:val="0"/>
          <w:szCs w:val="21"/>
          <w:highlight w:val="none"/>
        </w:rPr>
        <w:t>026</w:t>
      </w:r>
      <w:r>
        <w:rPr>
          <w:color w:val="auto"/>
          <w:kern w:val="0"/>
          <w:szCs w:val="21"/>
          <w:highlight w:val="none"/>
        </w:rPr>
        <w:t>年</w:t>
      </w:r>
      <w:r>
        <w:rPr>
          <w:rFonts w:hint="eastAsia"/>
          <w:color w:val="auto"/>
          <w:kern w:val="0"/>
          <w:szCs w:val="21"/>
          <w:highlight w:val="none"/>
          <w:lang w:val="en-US" w:eastAsia="zh-CN"/>
        </w:rPr>
        <w:t>8</w:t>
      </w:r>
      <w:r>
        <w:rPr>
          <w:color w:val="auto"/>
          <w:kern w:val="0"/>
          <w:szCs w:val="21"/>
          <w:highlight w:val="none"/>
        </w:rPr>
        <w:t>月</w:t>
      </w:r>
      <w:r>
        <w:rPr>
          <w:rFonts w:hint="eastAsia"/>
          <w:color w:val="auto"/>
          <w:kern w:val="0"/>
          <w:szCs w:val="21"/>
          <w:highlight w:val="none"/>
          <w:lang w:val="en-US" w:eastAsia="zh-CN"/>
        </w:rPr>
        <w:t>17</w:t>
      </w:r>
      <w:r>
        <w:rPr>
          <w:color w:val="auto"/>
          <w:kern w:val="0"/>
          <w:szCs w:val="21"/>
          <w:highlight w:val="none"/>
        </w:rPr>
        <w:t>日</w:t>
      </w:r>
    </w:p>
    <w:p w14:paraId="7D33A60F">
      <w:pPr>
        <w:pStyle w:val="26"/>
        <w:snapToGrid w:val="0"/>
        <w:spacing w:before="120" w:after="120" w:line="320" w:lineRule="exact"/>
        <w:outlineLvl w:val="0"/>
        <w:rPr>
          <w:rFonts w:ascii="Times New Roman" w:hAnsi="Times New Roman" w:cs="Times New Roman"/>
          <w:color w:val="auto"/>
          <w:highlight w:val="none"/>
        </w:rPr>
        <w:sectPr>
          <w:headerReference r:id="rId4" w:type="default"/>
          <w:footerReference r:id="rId5" w:type="default"/>
          <w:pgSz w:w="11906" w:h="16838"/>
          <w:pgMar w:top="1135" w:right="1133" w:bottom="1246" w:left="1418" w:header="851" w:footer="903" w:gutter="0"/>
          <w:pgNumType w:start="1"/>
          <w:cols w:space="720" w:num="1"/>
          <w:docGrid w:linePitch="312" w:charSpace="0"/>
        </w:sectPr>
      </w:pPr>
    </w:p>
    <w:p w14:paraId="77BE400B">
      <w:pPr>
        <w:pStyle w:val="26"/>
        <w:snapToGrid w:val="0"/>
        <w:spacing w:before="120" w:after="120" w:line="320" w:lineRule="exact"/>
        <w:jc w:val="center"/>
        <w:outlineLvl w:val="0"/>
        <w:rPr>
          <w:rFonts w:ascii="Times New Roman" w:hAnsi="Times New Roman" w:cs="Times New Roman"/>
          <w:color w:val="auto"/>
          <w:sz w:val="32"/>
          <w:szCs w:val="32"/>
          <w:highlight w:val="none"/>
        </w:rPr>
      </w:pPr>
      <w:bookmarkStart w:id="18" w:name="_Toc31754"/>
      <w:r>
        <w:rPr>
          <w:rFonts w:ascii="Times New Roman" w:hAnsi="Times New Roman" w:cs="Times New Roman"/>
          <w:color w:val="auto"/>
          <w:sz w:val="32"/>
          <w:szCs w:val="32"/>
          <w:highlight w:val="none"/>
        </w:rPr>
        <w:t>第二章  采购需求</w:t>
      </w:r>
      <w:bookmarkEnd w:id="18"/>
    </w:p>
    <w:p w14:paraId="7050D794">
      <w:pPr>
        <w:pStyle w:val="26"/>
        <w:snapToGrid w:val="0"/>
        <w:jc w:val="center"/>
        <w:rPr>
          <w:rFonts w:ascii="Times New Roman" w:hAnsi="Times New Roman" w:cs="Times New Roman"/>
          <w:b/>
          <w:color w:val="auto"/>
          <w:highlight w:val="none"/>
        </w:rPr>
      </w:pPr>
      <w:bookmarkStart w:id="19" w:name="_Toc254970631"/>
      <w:bookmarkStart w:id="20" w:name="_Toc254970490"/>
    </w:p>
    <w:p w14:paraId="1EFA4A45">
      <w:pPr>
        <w:spacing w:before="120"/>
        <w:rPr>
          <w:rFonts w:ascii="宋体" w:hAnsi="宋体" w:cs="宋体"/>
          <w:b/>
          <w:bCs/>
          <w:color w:val="auto"/>
          <w:sz w:val="28"/>
          <w:szCs w:val="28"/>
          <w:highlight w:val="none"/>
        </w:rPr>
      </w:pPr>
    </w:p>
    <w:p w14:paraId="2EACBF15">
      <w:pPr>
        <w:spacing w:line="360" w:lineRule="auto"/>
        <w:rPr>
          <w:rFonts w:ascii="黑体" w:hAnsi="黑体" w:eastAsia="黑体" w:cs="Arial"/>
          <w:b/>
          <w:color w:val="auto"/>
          <w:kern w:val="0"/>
          <w:sz w:val="28"/>
          <w:szCs w:val="28"/>
          <w:highlight w:val="none"/>
        </w:rPr>
      </w:pPr>
      <w:r>
        <w:rPr>
          <w:rFonts w:ascii="黑体" w:hAnsi="黑体" w:eastAsia="黑体" w:cs="Arial"/>
          <w:b/>
          <w:color w:val="auto"/>
          <w:kern w:val="0"/>
          <w:sz w:val="28"/>
          <w:szCs w:val="28"/>
          <w:highlight w:val="none"/>
        </w:rPr>
        <w:t>一、</w:t>
      </w:r>
      <w:r>
        <w:rPr>
          <w:rFonts w:hint="eastAsia" w:ascii="黑体" w:hAnsi="黑体" w:eastAsia="黑体" w:cs="Arial"/>
          <w:b/>
          <w:color w:val="auto"/>
          <w:kern w:val="0"/>
          <w:sz w:val="28"/>
          <w:szCs w:val="28"/>
          <w:highlight w:val="none"/>
        </w:rPr>
        <w:t>总体</w:t>
      </w:r>
      <w:r>
        <w:rPr>
          <w:rFonts w:ascii="黑体" w:hAnsi="黑体" w:eastAsia="黑体" w:cs="Arial"/>
          <w:b/>
          <w:color w:val="auto"/>
          <w:kern w:val="0"/>
          <w:sz w:val="28"/>
          <w:szCs w:val="28"/>
          <w:highlight w:val="none"/>
        </w:rPr>
        <w:t>要求</w:t>
      </w:r>
    </w:p>
    <w:p w14:paraId="7F190D42">
      <w:pPr>
        <w:spacing w:line="360" w:lineRule="auto"/>
        <w:rPr>
          <w:color w:val="auto"/>
          <w:szCs w:val="21"/>
          <w:highlight w:val="none"/>
        </w:rPr>
      </w:pPr>
      <w:r>
        <w:rPr>
          <w:color w:val="auto"/>
          <w:szCs w:val="21"/>
          <w:highlight w:val="none"/>
        </w:rPr>
        <w:t>1</w:t>
      </w:r>
      <w:r>
        <w:rPr>
          <w:rFonts w:hint="eastAsia"/>
          <w:color w:val="auto"/>
          <w:szCs w:val="21"/>
          <w:highlight w:val="none"/>
        </w:rPr>
        <w:t>.政府采购政策的应用</w:t>
      </w:r>
    </w:p>
    <w:p w14:paraId="6B619443">
      <w:pPr>
        <w:spacing w:line="360" w:lineRule="auto"/>
        <w:rPr>
          <w:color w:val="auto"/>
          <w:szCs w:val="21"/>
          <w:highlight w:val="none"/>
        </w:rPr>
      </w:pPr>
      <w:r>
        <w:rPr>
          <w:rFonts w:hint="eastAsia"/>
          <w:color w:val="auto"/>
          <w:szCs w:val="21"/>
          <w:highlight w:val="none"/>
        </w:rPr>
        <w:t>详见采购文件“评审方法及标准</w:t>
      </w:r>
      <w:r>
        <w:rPr>
          <w:color w:val="auto"/>
          <w:szCs w:val="21"/>
          <w:highlight w:val="none"/>
        </w:rPr>
        <w:t>/政府采购政策应用说明”。</w:t>
      </w:r>
    </w:p>
    <w:p w14:paraId="69E377EE">
      <w:pPr>
        <w:spacing w:line="360" w:lineRule="auto"/>
        <w:rPr>
          <w:color w:val="auto"/>
          <w:szCs w:val="21"/>
          <w:highlight w:val="none"/>
        </w:rPr>
      </w:pPr>
      <w:r>
        <w:rPr>
          <w:color w:val="auto"/>
          <w:szCs w:val="21"/>
          <w:highlight w:val="none"/>
        </w:rPr>
        <w:t>2</w:t>
      </w:r>
      <w:r>
        <w:rPr>
          <w:rFonts w:hint="eastAsia"/>
          <w:color w:val="auto"/>
          <w:szCs w:val="21"/>
          <w:highlight w:val="none"/>
        </w:rPr>
        <w:t>.采购需求要求未尽事宜</w:t>
      </w:r>
      <w:r>
        <w:rPr>
          <w:color w:val="auto"/>
          <w:szCs w:val="21"/>
          <w:highlight w:val="none"/>
        </w:rPr>
        <w:t>由</w:t>
      </w:r>
      <w:r>
        <w:rPr>
          <w:rFonts w:hint="eastAsia"/>
          <w:color w:val="auto"/>
          <w:szCs w:val="21"/>
          <w:highlight w:val="none"/>
        </w:rPr>
        <w:t>采购人与成交供应商</w:t>
      </w:r>
      <w:r>
        <w:rPr>
          <w:color w:val="auto"/>
          <w:szCs w:val="21"/>
          <w:highlight w:val="none"/>
        </w:rPr>
        <w:t>在采购合同中约定。</w:t>
      </w:r>
    </w:p>
    <w:p w14:paraId="0A4B4E61">
      <w:pPr>
        <w:spacing w:line="360" w:lineRule="auto"/>
        <w:rPr>
          <w:color w:val="auto"/>
          <w:szCs w:val="21"/>
          <w:highlight w:val="none"/>
        </w:rPr>
      </w:pPr>
      <w:r>
        <w:rPr>
          <w:color w:val="auto"/>
          <w:szCs w:val="21"/>
          <w:highlight w:val="none"/>
        </w:rPr>
        <w:t>3</w:t>
      </w:r>
      <w:r>
        <w:rPr>
          <w:rFonts w:hint="eastAsia"/>
          <w:color w:val="auto"/>
          <w:szCs w:val="21"/>
          <w:highlight w:val="none"/>
        </w:rPr>
        <w:t>.</w:t>
      </w:r>
      <w:r>
        <w:rPr>
          <w:color w:val="auto"/>
          <w:szCs w:val="21"/>
          <w:highlight w:val="none"/>
        </w:rPr>
        <w:t>标注“▲”的条款或要求系指实质性条款或实质性要求，必须满足，如存在负偏离将导致响应</w:t>
      </w:r>
      <w:r>
        <w:rPr>
          <w:rFonts w:hint="eastAsia"/>
          <w:color w:val="auto"/>
          <w:szCs w:val="21"/>
          <w:highlight w:val="none"/>
        </w:rPr>
        <w:t>无效</w:t>
      </w:r>
      <w:r>
        <w:rPr>
          <w:color w:val="auto"/>
          <w:szCs w:val="21"/>
          <w:highlight w:val="none"/>
        </w:rPr>
        <w:t>。</w:t>
      </w:r>
    </w:p>
    <w:p w14:paraId="1E42354B">
      <w:pPr>
        <w:spacing w:line="360" w:lineRule="auto"/>
        <w:rPr>
          <w:rFonts w:ascii="黑体" w:hAnsi="黑体" w:eastAsia="黑体" w:cs="Arial"/>
          <w:b/>
          <w:color w:val="auto"/>
          <w:kern w:val="0"/>
          <w:sz w:val="28"/>
          <w:szCs w:val="28"/>
          <w:highlight w:val="none"/>
        </w:rPr>
      </w:pPr>
      <w:r>
        <w:rPr>
          <w:rFonts w:hint="eastAsia" w:ascii="黑体" w:hAnsi="黑体" w:eastAsia="黑体" w:cs="Arial"/>
          <w:b/>
          <w:color w:val="auto"/>
          <w:kern w:val="0"/>
          <w:sz w:val="28"/>
          <w:szCs w:val="28"/>
          <w:highlight w:val="none"/>
        </w:rPr>
        <w:t>二、技术要求</w:t>
      </w:r>
    </w:p>
    <w:p w14:paraId="7CE3BC8F">
      <w:pPr>
        <w:spacing w:line="360" w:lineRule="auto"/>
        <w:rPr>
          <w:color w:val="auto"/>
          <w:szCs w:val="21"/>
          <w:highlight w:val="none"/>
        </w:rPr>
      </w:pPr>
      <w:r>
        <w:rPr>
          <w:rFonts w:hint="eastAsia"/>
          <w:color w:val="auto"/>
          <w:szCs w:val="21"/>
          <w:highlight w:val="none"/>
        </w:rPr>
        <w:t>1.需实现的功能、目标及应用场景</w:t>
      </w:r>
    </w:p>
    <w:p w14:paraId="01DBBA25">
      <w:pPr>
        <w:spacing w:line="360" w:lineRule="auto"/>
        <w:rPr>
          <w:color w:val="auto"/>
          <w:szCs w:val="21"/>
          <w:highlight w:val="none"/>
        </w:rPr>
      </w:pPr>
      <w:r>
        <w:rPr>
          <w:rFonts w:hint="eastAsia"/>
          <w:color w:val="auto"/>
          <w:szCs w:val="21"/>
          <w:highlight w:val="none"/>
        </w:rPr>
        <w:t>满足采购文件要求，验收达到合格标准</w:t>
      </w:r>
    </w:p>
    <w:p w14:paraId="0881F560">
      <w:pPr>
        <w:spacing w:line="360" w:lineRule="auto"/>
        <w:rPr>
          <w:color w:val="auto"/>
          <w:szCs w:val="21"/>
          <w:highlight w:val="none"/>
        </w:rPr>
      </w:pPr>
      <w:r>
        <w:rPr>
          <w:color w:val="auto"/>
          <w:szCs w:val="21"/>
          <w:highlight w:val="none"/>
        </w:rPr>
        <w:t>2</w:t>
      </w:r>
      <w:r>
        <w:rPr>
          <w:rFonts w:hint="eastAsia"/>
          <w:color w:val="auto"/>
          <w:szCs w:val="21"/>
          <w:highlight w:val="none"/>
        </w:rPr>
        <w:t>.是否接受进口产品：</w:t>
      </w:r>
    </w:p>
    <w:p w14:paraId="1AB74DEB">
      <w:pPr>
        <w:spacing w:line="360" w:lineRule="auto"/>
        <w:rPr>
          <w:color w:val="auto"/>
          <w:szCs w:val="21"/>
          <w:highlight w:val="none"/>
        </w:rPr>
      </w:pPr>
      <w:r>
        <w:rPr>
          <w:color w:val="auto"/>
          <w:szCs w:val="21"/>
          <w:highlight w:val="none"/>
        </w:rPr>
        <w:sym w:font="Wingdings 2" w:char="F052"/>
      </w:r>
      <w:r>
        <w:rPr>
          <w:rFonts w:hint="eastAsia"/>
          <w:color w:val="auto"/>
          <w:szCs w:val="21"/>
          <w:highlight w:val="none"/>
        </w:rPr>
        <w:t>否</w:t>
      </w:r>
    </w:p>
    <w:p w14:paraId="420C2ABA">
      <w:pPr>
        <w:spacing w:line="360" w:lineRule="auto"/>
        <w:rPr>
          <w:color w:val="auto"/>
          <w:szCs w:val="21"/>
          <w:highlight w:val="none"/>
        </w:rPr>
      </w:pPr>
      <w:r>
        <w:rPr>
          <w:rFonts w:hint="eastAsia"/>
          <w:color w:val="auto"/>
          <w:szCs w:val="21"/>
          <w:highlight w:val="none"/>
        </w:rPr>
        <w:t>□是</w:t>
      </w:r>
    </w:p>
    <w:p w14:paraId="2C33DA1C">
      <w:pPr>
        <w:spacing w:line="360" w:lineRule="auto"/>
        <w:rPr>
          <w:color w:val="auto"/>
          <w:szCs w:val="21"/>
          <w:highlight w:val="none"/>
        </w:rPr>
      </w:pPr>
      <w:r>
        <w:rPr>
          <w:rFonts w:hint="eastAsia"/>
          <w:color w:val="auto"/>
          <w:szCs w:val="21"/>
          <w:highlight w:val="none"/>
        </w:rPr>
        <w:t>本项目</w:t>
      </w:r>
      <w:r>
        <w:rPr>
          <w:rFonts w:hint="eastAsia"/>
          <w:color w:val="auto"/>
          <w:szCs w:val="21"/>
          <w:highlight w:val="none"/>
          <w:u w:val="single"/>
        </w:rPr>
        <w:t xml:space="preserve">       </w:t>
      </w:r>
      <w:r>
        <w:rPr>
          <w:rFonts w:hint="eastAsia"/>
          <w:color w:val="auto"/>
          <w:szCs w:val="21"/>
          <w:highlight w:val="none"/>
        </w:rPr>
        <w:t>接受进口产品，其余货物不接受进口产品。</w:t>
      </w:r>
    </w:p>
    <w:p w14:paraId="2582F137">
      <w:pPr>
        <w:spacing w:line="360" w:lineRule="auto"/>
        <w:rPr>
          <w:color w:val="auto"/>
          <w:szCs w:val="21"/>
          <w:highlight w:val="none"/>
        </w:rPr>
      </w:pPr>
      <w:r>
        <w:rPr>
          <w:rFonts w:hint="eastAsia"/>
          <w:color w:val="auto"/>
          <w:szCs w:val="21"/>
          <w:highlight w:val="none"/>
        </w:rPr>
        <w:t>注：（</w:t>
      </w:r>
      <w:r>
        <w:rPr>
          <w:color w:val="auto"/>
          <w:szCs w:val="21"/>
          <w:highlight w:val="none"/>
        </w:rPr>
        <w:t>1）以上所述不接受进口产品的，供应商不得选用进口产品参与响应，否则响应按无效响应处理；列明接受进口产品的分项，供应商可以选用进口产品参与响应，但不排斥国内产品。</w:t>
      </w:r>
    </w:p>
    <w:p w14:paraId="458E9CD9">
      <w:pPr>
        <w:spacing w:line="360" w:lineRule="auto"/>
        <w:rPr>
          <w:color w:val="auto"/>
          <w:szCs w:val="21"/>
          <w:highlight w:val="none"/>
        </w:rPr>
      </w:pPr>
      <w:r>
        <w:rPr>
          <w:rFonts w:hint="eastAsia"/>
          <w:color w:val="auto"/>
          <w:szCs w:val="21"/>
          <w:highlight w:val="none"/>
        </w:rPr>
        <w:t>（</w:t>
      </w:r>
      <w:r>
        <w:rPr>
          <w:color w:val="auto"/>
          <w:szCs w:val="21"/>
          <w:highlight w:val="none"/>
        </w:rPr>
        <w:t>2）如本项目接受进口产品，供应商选择提供进口产品，则提供的必须为全新原装进口产品，报价中应包括关税等所有进口环节费用并由成交供应商办理进口相关手续，供应商报价中应自行考虑海关关税政策变化带来的风险，采购人不承担该政策变化所造成的费用增加。</w:t>
      </w:r>
    </w:p>
    <w:p w14:paraId="074B3C07">
      <w:pPr>
        <w:spacing w:line="360" w:lineRule="auto"/>
        <w:rPr>
          <w:color w:val="auto"/>
          <w:szCs w:val="21"/>
          <w:highlight w:val="none"/>
        </w:rPr>
      </w:pPr>
      <w:r>
        <w:rPr>
          <w:rFonts w:hint="eastAsia"/>
          <w:color w:val="auto"/>
          <w:szCs w:val="21"/>
          <w:highlight w:val="none"/>
        </w:rPr>
        <w:t>（</w:t>
      </w:r>
      <w:r>
        <w:rPr>
          <w:color w:val="auto"/>
          <w:szCs w:val="21"/>
          <w:highlight w:val="none"/>
        </w:rPr>
        <w:t>3）进口产品是指通过中国海关报关验放进入中国境内且产自关境外的产品。</w:t>
      </w:r>
    </w:p>
    <w:p w14:paraId="4DC237BB">
      <w:pPr>
        <w:spacing w:line="360" w:lineRule="auto"/>
        <w:rPr>
          <w:color w:val="auto"/>
          <w:szCs w:val="21"/>
          <w:highlight w:val="none"/>
        </w:rPr>
      </w:pPr>
      <w:r>
        <w:rPr>
          <w:rFonts w:hint="eastAsia"/>
          <w:color w:val="auto"/>
          <w:szCs w:val="21"/>
          <w:highlight w:val="none"/>
        </w:rPr>
        <w:t>（</w:t>
      </w:r>
      <w:r>
        <w:rPr>
          <w:color w:val="auto"/>
          <w:szCs w:val="21"/>
          <w:highlight w:val="none"/>
        </w:rPr>
        <w:t>4）其余内容以《政府采购进口产品管理办法》（财库〔2007〕119号）和《关于政府采购进口产品管理有关问题的通知》（财办库</w:t>
      </w:r>
      <w:r>
        <w:rPr>
          <w:rFonts w:hint="eastAsia"/>
          <w:color w:val="auto"/>
          <w:szCs w:val="21"/>
          <w:highlight w:val="none"/>
        </w:rPr>
        <w:t>〔2008〕248号</w:t>
      </w:r>
      <w:r>
        <w:rPr>
          <w:color w:val="auto"/>
          <w:szCs w:val="21"/>
          <w:highlight w:val="none"/>
        </w:rPr>
        <w:t>）的相关规定为准。</w:t>
      </w:r>
    </w:p>
    <w:p w14:paraId="4A10E3D4">
      <w:pPr>
        <w:spacing w:line="360" w:lineRule="auto"/>
        <w:rPr>
          <w:color w:val="auto"/>
          <w:szCs w:val="21"/>
          <w:highlight w:val="none"/>
        </w:rPr>
      </w:pPr>
      <w:r>
        <w:rPr>
          <w:color w:val="auto"/>
          <w:szCs w:val="21"/>
          <w:highlight w:val="none"/>
        </w:rPr>
        <w:t>3</w:t>
      </w:r>
      <w:r>
        <w:rPr>
          <w:rFonts w:hint="eastAsia"/>
          <w:color w:val="auto"/>
          <w:szCs w:val="21"/>
          <w:highlight w:val="none"/>
        </w:rPr>
        <w:t>.</w:t>
      </w:r>
      <w:r>
        <w:rPr>
          <w:color w:val="auto"/>
          <w:szCs w:val="21"/>
          <w:highlight w:val="none"/>
        </w:rPr>
        <w:t>需执行的国家相关标准、行业标准、地方标准或者其他标准、规范</w:t>
      </w:r>
    </w:p>
    <w:p w14:paraId="4D18325C">
      <w:pPr>
        <w:spacing w:line="360" w:lineRule="auto"/>
        <w:rPr>
          <w:color w:val="auto"/>
          <w:szCs w:val="21"/>
          <w:highlight w:val="none"/>
          <w:u w:val="single"/>
        </w:rPr>
      </w:pPr>
      <w:r>
        <w:rPr>
          <w:rFonts w:hint="eastAsia"/>
          <w:color w:val="auto"/>
          <w:szCs w:val="21"/>
          <w:highlight w:val="none"/>
        </w:rPr>
        <w:t>本项目应执行的国家相关标准、行业标准、地方标准或者其他标准、规范为：</w:t>
      </w:r>
      <w:r>
        <w:rPr>
          <w:rFonts w:hint="eastAsia"/>
          <w:color w:val="auto"/>
          <w:szCs w:val="21"/>
          <w:highlight w:val="none"/>
          <w:u w:val="single"/>
        </w:rPr>
        <w:t xml:space="preserve"> </w:t>
      </w:r>
      <w:r>
        <w:rPr>
          <w:color w:val="auto"/>
          <w:szCs w:val="21"/>
          <w:highlight w:val="none"/>
          <w:u w:val="single"/>
        </w:rPr>
        <w:t xml:space="preserve"> </w:t>
      </w:r>
      <w:bookmarkStart w:id="21" w:name="_Hlk89182885"/>
      <w:r>
        <w:rPr>
          <w:rFonts w:hint="eastAsia"/>
          <w:iCs/>
          <w:color w:val="auto"/>
          <w:szCs w:val="21"/>
          <w:highlight w:val="none"/>
          <w:u w:val="single"/>
        </w:rPr>
        <w:t>详见技术指标要求</w:t>
      </w:r>
      <w:r>
        <w:rPr>
          <w:i/>
          <w:color w:val="auto"/>
          <w:szCs w:val="21"/>
          <w:highlight w:val="none"/>
          <w:u w:val="single"/>
        </w:rPr>
        <w:t xml:space="preserve">   </w:t>
      </w:r>
      <w:r>
        <w:rPr>
          <w:color w:val="auto"/>
          <w:szCs w:val="21"/>
          <w:highlight w:val="none"/>
          <w:u w:val="single"/>
        </w:rPr>
        <w:t xml:space="preserve"> </w:t>
      </w:r>
    </w:p>
    <w:bookmarkEnd w:id="21"/>
    <w:p w14:paraId="49FE5E11">
      <w:pPr>
        <w:spacing w:line="360" w:lineRule="auto"/>
        <w:rPr>
          <w:color w:val="auto"/>
          <w:szCs w:val="21"/>
          <w:highlight w:val="none"/>
        </w:rPr>
      </w:pPr>
      <w:r>
        <w:rPr>
          <w:color w:val="auto"/>
          <w:szCs w:val="21"/>
          <w:highlight w:val="none"/>
        </w:rPr>
        <w:t>4</w:t>
      </w:r>
      <w:r>
        <w:rPr>
          <w:rFonts w:hint="eastAsia"/>
          <w:color w:val="auto"/>
          <w:szCs w:val="21"/>
          <w:highlight w:val="none"/>
        </w:rPr>
        <w:t>.一般说明</w:t>
      </w:r>
    </w:p>
    <w:p w14:paraId="62A7F400">
      <w:pPr>
        <w:spacing w:line="360" w:lineRule="auto"/>
        <w:rPr>
          <w:color w:val="auto"/>
          <w:szCs w:val="21"/>
          <w:highlight w:val="none"/>
        </w:rPr>
      </w:pPr>
      <w:r>
        <w:rPr>
          <w:rFonts w:hint="eastAsia"/>
          <w:color w:val="auto"/>
          <w:szCs w:val="21"/>
          <w:highlight w:val="none"/>
        </w:rPr>
        <w:t>（</w:t>
      </w:r>
      <w:r>
        <w:rPr>
          <w:color w:val="auto"/>
          <w:szCs w:val="21"/>
          <w:highlight w:val="none"/>
        </w:rPr>
        <w:t>1）本</w:t>
      </w:r>
      <w:r>
        <w:rPr>
          <w:rFonts w:hint="eastAsia"/>
          <w:color w:val="auto"/>
          <w:szCs w:val="21"/>
          <w:highlight w:val="none"/>
        </w:rPr>
        <w:t>章</w:t>
      </w:r>
      <w:r>
        <w:rPr>
          <w:color w:val="auto"/>
          <w:szCs w:val="21"/>
          <w:highlight w:val="none"/>
        </w:rPr>
        <w:t>中如提及品牌型号，仅起参考作用。供应商可选用其他品牌型号替代，但这些替代的品牌型号要实质上参照或相当于或优于参考品牌型号及其技术参数性能（配置）要求。</w:t>
      </w:r>
    </w:p>
    <w:p w14:paraId="3E226368">
      <w:pPr>
        <w:spacing w:line="360" w:lineRule="auto"/>
        <w:rPr>
          <w:color w:val="auto"/>
          <w:szCs w:val="21"/>
          <w:highlight w:val="none"/>
        </w:rPr>
      </w:pPr>
      <w:r>
        <w:rPr>
          <w:rFonts w:hint="eastAsia"/>
          <w:color w:val="auto"/>
          <w:szCs w:val="21"/>
          <w:highlight w:val="none"/>
        </w:rPr>
        <w:t>（</w:t>
      </w:r>
      <w:r>
        <w:rPr>
          <w:color w:val="auto"/>
          <w:szCs w:val="21"/>
          <w:highlight w:val="none"/>
        </w:rPr>
        <w:t>2）</w:t>
      </w:r>
      <w:bookmarkStart w:id="22" w:name="_Hlk132788003"/>
      <w:r>
        <w:rPr>
          <w:color w:val="auto"/>
          <w:szCs w:val="21"/>
          <w:highlight w:val="none"/>
        </w:rPr>
        <w:t>如要求提供检测报告</w:t>
      </w:r>
      <w:r>
        <w:rPr>
          <w:rFonts w:hint="eastAsia"/>
          <w:color w:val="auto"/>
          <w:szCs w:val="21"/>
          <w:highlight w:val="none"/>
        </w:rPr>
        <w:t>或其他证明材料</w:t>
      </w:r>
      <w:r>
        <w:rPr>
          <w:color w:val="auto"/>
          <w:szCs w:val="21"/>
          <w:highlight w:val="none"/>
        </w:rPr>
        <w:t>的，检测报告或</w:t>
      </w:r>
      <w:r>
        <w:rPr>
          <w:rFonts w:hint="eastAsia"/>
          <w:color w:val="auto"/>
          <w:szCs w:val="21"/>
          <w:highlight w:val="none"/>
        </w:rPr>
        <w:t>其他证明材料</w:t>
      </w:r>
      <w:r>
        <w:rPr>
          <w:color w:val="auto"/>
          <w:szCs w:val="21"/>
          <w:highlight w:val="none"/>
        </w:rPr>
        <w:t>内容中若涉及外文说明，必须同时提供对应中文翻译说明，评审依据以中文翻译内容为准，外文说明仅供参考；产品</w:t>
      </w:r>
      <w:r>
        <w:rPr>
          <w:rFonts w:hint="eastAsia"/>
          <w:color w:val="auto"/>
          <w:szCs w:val="21"/>
          <w:highlight w:val="none"/>
        </w:rPr>
        <w:t>证明材料</w:t>
      </w:r>
      <w:r>
        <w:rPr>
          <w:color w:val="auto"/>
          <w:szCs w:val="21"/>
          <w:highlight w:val="none"/>
        </w:rPr>
        <w:t>应为报告正面、背面和附件标注的全部具体内容；产品</w:t>
      </w:r>
      <w:r>
        <w:rPr>
          <w:rFonts w:hint="eastAsia"/>
          <w:color w:val="auto"/>
          <w:szCs w:val="21"/>
          <w:highlight w:val="none"/>
        </w:rPr>
        <w:t>证明材料</w:t>
      </w:r>
      <w:r>
        <w:rPr>
          <w:color w:val="auto"/>
          <w:szCs w:val="21"/>
          <w:highlight w:val="none"/>
        </w:rPr>
        <w:t>的</w:t>
      </w:r>
      <w:r>
        <w:rPr>
          <w:rFonts w:hint="eastAsia"/>
          <w:color w:val="auto"/>
          <w:szCs w:val="21"/>
          <w:highlight w:val="none"/>
        </w:rPr>
        <w:t>内容</w:t>
      </w:r>
      <w:r>
        <w:rPr>
          <w:color w:val="auto"/>
          <w:szCs w:val="21"/>
          <w:highlight w:val="none"/>
        </w:rPr>
        <w:t>应该能够被阅读、识别和判断</w:t>
      </w:r>
      <w:bookmarkEnd w:id="22"/>
      <w:r>
        <w:rPr>
          <w:color w:val="auto"/>
          <w:szCs w:val="21"/>
          <w:highlight w:val="none"/>
        </w:rPr>
        <w:t>。</w:t>
      </w:r>
      <w:r>
        <w:rPr>
          <w:rFonts w:hint="eastAsia"/>
          <w:color w:val="auto"/>
          <w:szCs w:val="21"/>
          <w:highlight w:val="none"/>
        </w:rPr>
        <w:t xml:space="preserve"> </w:t>
      </w:r>
    </w:p>
    <w:p w14:paraId="61D6FF0F">
      <w:pPr>
        <w:spacing w:line="360" w:lineRule="auto"/>
        <w:rPr>
          <w:color w:val="auto"/>
          <w:szCs w:val="21"/>
          <w:highlight w:val="none"/>
        </w:rPr>
      </w:pPr>
      <w:r>
        <w:rPr>
          <w:color w:val="auto"/>
          <w:szCs w:val="21"/>
          <w:highlight w:val="none"/>
        </w:rPr>
        <w:t>5</w:t>
      </w:r>
      <w:r>
        <w:rPr>
          <w:rFonts w:hint="eastAsia"/>
          <w:color w:val="auto"/>
          <w:szCs w:val="21"/>
          <w:highlight w:val="none"/>
        </w:rPr>
        <w:t>.核心产品</w:t>
      </w:r>
    </w:p>
    <w:p w14:paraId="6C901B3F">
      <w:pPr>
        <w:spacing w:line="360" w:lineRule="auto"/>
        <w:rPr>
          <w:color w:val="auto"/>
          <w:szCs w:val="21"/>
          <w:highlight w:val="none"/>
          <w:u w:val="single"/>
        </w:rPr>
      </w:pPr>
      <w:r>
        <w:rPr>
          <w:rFonts w:hint="eastAsia"/>
          <w:color w:val="auto"/>
          <w:szCs w:val="21"/>
          <w:highlight w:val="none"/>
        </w:rPr>
        <w:t>本项目为货物采购项目，核心产品为：/</w:t>
      </w:r>
    </w:p>
    <w:p w14:paraId="77ED3EA9">
      <w:pPr>
        <w:spacing w:line="360" w:lineRule="auto"/>
        <w:rPr>
          <w:color w:val="auto"/>
          <w:szCs w:val="21"/>
          <w:highlight w:val="none"/>
        </w:rPr>
      </w:pPr>
      <w:r>
        <w:rPr>
          <w:rFonts w:hint="eastAsia"/>
          <w:color w:val="auto"/>
          <w:szCs w:val="21"/>
          <w:highlight w:val="none"/>
        </w:rPr>
        <w:t>6.节能产品</w:t>
      </w:r>
    </w:p>
    <w:p w14:paraId="7EA2AA96">
      <w:pPr>
        <w:spacing w:line="360" w:lineRule="auto"/>
        <w:rPr>
          <w:color w:val="auto"/>
          <w:highlight w:val="none"/>
          <w:u w:val="single"/>
        </w:rPr>
      </w:pPr>
      <w:r>
        <w:rPr>
          <w:rFonts w:hint="eastAsia"/>
          <w:color w:val="auto"/>
          <w:szCs w:val="21"/>
          <w:highlight w:val="none"/>
        </w:rPr>
        <w:t>本项目强制采购节能产品为：</w:t>
      </w:r>
      <w:r>
        <w:rPr>
          <w:rFonts w:hint="eastAsia"/>
          <w:color w:val="auto"/>
          <w:szCs w:val="21"/>
          <w:highlight w:val="none"/>
          <w:u w:val="single"/>
        </w:rPr>
        <w:t>/</w:t>
      </w:r>
    </w:p>
    <w:p w14:paraId="4FABEC52">
      <w:pPr>
        <w:spacing w:line="360" w:lineRule="auto"/>
        <w:rPr>
          <w:color w:val="auto"/>
          <w:highlight w:val="none"/>
        </w:rPr>
      </w:pPr>
      <w:r>
        <w:rPr>
          <w:rFonts w:hint="eastAsia"/>
          <w:color w:val="auto"/>
          <w:highlight w:val="none"/>
        </w:rPr>
        <w:t>7.网络安全专用产品</w:t>
      </w:r>
    </w:p>
    <w:p w14:paraId="76D117FB">
      <w:pPr>
        <w:spacing w:line="360" w:lineRule="auto"/>
        <w:rPr>
          <w:color w:val="auto"/>
          <w:szCs w:val="21"/>
          <w:highlight w:val="none"/>
        </w:rPr>
      </w:pPr>
      <w:r>
        <w:rPr>
          <w:rFonts w:hint="eastAsia"/>
          <w:color w:val="auto"/>
          <w:szCs w:val="21"/>
          <w:highlight w:val="none"/>
        </w:rPr>
        <w:t>本项目网络安全专用产品为：</w:t>
      </w:r>
      <w:r>
        <w:rPr>
          <w:rFonts w:hint="eastAsia"/>
          <w:color w:val="auto"/>
          <w:szCs w:val="21"/>
          <w:highlight w:val="none"/>
          <w:u w:val="single"/>
        </w:rPr>
        <w:t>/</w:t>
      </w:r>
      <w:r>
        <w:rPr>
          <w:rFonts w:hint="eastAsia"/>
          <w:color w:val="auto"/>
          <w:highlight w:val="none"/>
        </w:rPr>
        <w:t xml:space="preserve">   </w:t>
      </w:r>
    </w:p>
    <w:p w14:paraId="7B6830AB">
      <w:pPr>
        <w:spacing w:line="360" w:lineRule="auto"/>
        <w:rPr>
          <w:color w:val="auto"/>
          <w:szCs w:val="21"/>
          <w:highlight w:val="none"/>
        </w:rPr>
      </w:pPr>
      <w:r>
        <w:rPr>
          <w:rFonts w:hint="eastAsia"/>
          <w:color w:val="auto"/>
          <w:szCs w:val="21"/>
          <w:highlight w:val="none"/>
        </w:rPr>
        <w:t>8.标的名称、数量、需满足的质量、技术规格、物理特性、性能、材料、结构、外观、安全，或者服务内容和标准一览表</w:t>
      </w:r>
    </w:p>
    <w:tbl>
      <w:tblPr>
        <w:tblStyle w:val="51"/>
        <w:tblW w:w="999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59"/>
        <w:gridCol w:w="1148"/>
        <w:gridCol w:w="961"/>
        <w:gridCol w:w="701"/>
        <w:gridCol w:w="6527"/>
      </w:tblGrid>
      <w:tr w14:paraId="1A7192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4" w:hRule="atLeast"/>
          <w:tblHeader/>
          <w:jc w:val="center"/>
        </w:trPr>
        <w:tc>
          <w:tcPr>
            <w:tcW w:w="659" w:type="dxa"/>
            <w:vAlign w:val="center"/>
          </w:tcPr>
          <w:p w14:paraId="7EA168EF">
            <w:pPr>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1148" w:type="dxa"/>
            <w:vAlign w:val="center"/>
          </w:tcPr>
          <w:p w14:paraId="71D9B83E">
            <w:pPr>
              <w:jc w:val="center"/>
              <w:rPr>
                <w:rFonts w:ascii="宋体" w:hAnsi="宋体" w:cs="宋体"/>
                <w:color w:val="auto"/>
                <w:szCs w:val="21"/>
                <w:highlight w:val="none"/>
              </w:rPr>
            </w:pPr>
            <w:r>
              <w:rPr>
                <w:rFonts w:hint="eastAsia" w:ascii="宋体" w:hAnsi="宋体" w:cs="宋体"/>
                <w:color w:val="auto"/>
                <w:szCs w:val="21"/>
                <w:highlight w:val="none"/>
              </w:rPr>
              <w:t>货物名称</w:t>
            </w:r>
          </w:p>
        </w:tc>
        <w:tc>
          <w:tcPr>
            <w:tcW w:w="961" w:type="dxa"/>
            <w:vAlign w:val="center"/>
          </w:tcPr>
          <w:p w14:paraId="0ACD1289">
            <w:pPr>
              <w:jc w:val="center"/>
              <w:rPr>
                <w:rFonts w:ascii="宋体" w:hAnsi="宋体" w:cs="宋体"/>
                <w:color w:val="auto"/>
                <w:szCs w:val="21"/>
                <w:highlight w:val="none"/>
              </w:rPr>
            </w:pPr>
            <w:r>
              <w:rPr>
                <w:rFonts w:hint="eastAsia" w:ascii="宋体" w:hAnsi="宋体" w:cs="宋体"/>
                <w:color w:val="auto"/>
                <w:szCs w:val="21"/>
                <w:highlight w:val="none"/>
              </w:rPr>
              <w:t>数量</w:t>
            </w:r>
          </w:p>
        </w:tc>
        <w:tc>
          <w:tcPr>
            <w:tcW w:w="701" w:type="dxa"/>
            <w:tcBorders>
              <w:right w:val="single" w:color="auto" w:sz="4" w:space="0"/>
            </w:tcBorders>
            <w:vAlign w:val="center"/>
          </w:tcPr>
          <w:p w14:paraId="48FF76EA">
            <w:pPr>
              <w:jc w:val="center"/>
              <w:rPr>
                <w:rFonts w:ascii="宋体" w:hAnsi="宋体" w:cs="宋体"/>
                <w:color w:val="auto"/>
                <w:szCs w:val="21"/>
                <w:highlight w:val="none"/>
              </w:rPr>
            </w:pPr>
            <w:r>
              <w:rPr>
                <w:rFonts w:hint="eastAsia" w:ascii="宋体" w:hAnsi="宋体" w:cs="宋体"/>
                <w:color w:val="auto"/>
                <w:szCs w:val="21"/>
                <w:highlight w:val="none"/>
              </w:rPr>
              <w:t>所属行业</w:t>
            </w:r>
          </w:p>
        </w:tc>
        <w:tc>
          <w:tcPr>
            <w:tcW w:w="6527" w:type="dxa"/>
            <w:tcBorders>
              <w:left w:val="single" w:color="auto" w:sz="4" w:space="0"/>
              <w:right w:val="single" w:color="auto" w:sz="4" w:space="0"/>
            </w:tcBorders>
            <w:vAlign w:val="center"/>
          </w:tcPr>
          <w:p w14:paraId="26753C92">
            <w:pPr>
              <w:jc w:val="center"/>
              <w:rPr>
                <w:rFonts w:ascii="宋体" w:hAnsi="宋体" w:cs="宋体"/>
                <w:color w:val="auto"/>
                <w:szCs w:val="21"/>
                <w:highlight w:val="none"/>
              </w:rPr>
            </w:pPr>
            <w:r>
              <w:rPr>
                <w:rFonts w:hint="eastAsia" w:ascii="宋体" w:hAnsi="宋体" w:cs="宋体"/>
                <w:color w:val="auto"/>
                <w:szCs w:val="21"/>
                <w:highlight w:val="none"/>
              </w:rPr>
              <w:t>技术指标要求</w:t>
            </w:r>
          </w:p>
        </w:tc>
      </w:tr>
      <w:tr w14:paraId="6EC68E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jc w:val="center"/>
        </w:trPr>
        <w:tc>
          <w:tcPr>
            <w:tcW w:w="9996" w:type="dxa"/>
            <w:gridSpan w:val="5"/>
            <w:tcBorders>
              <w:right w:val="single" w:color="auto" w:sz="4" w:space="0"/>
            </w:tcBorders>
            <w:vAlign w:val="center"/>
          </w:tcPr>
          <w:p w14:paraId="6E868349">
            <w:pPr>
              <w:widowControl/>
              <w:jc w:val="left"/>
              <w:textAlignment w:val="center"/>
              <w:rPr>
                <w:rFonts w:ascii="宋体" w:hAnsi="宋体" w:cs="宋体"/>
                <w:color w:val="auto"/>
                <w:kern w:val="0"/>
                <w:szCs w:val="21"/>
                <w:highlight w:val="none"/>
                <w:lang w:bidi="ar"/>
              </w:rPr>
            </w:pPr>
            <w:r>
              <w:rPr>
                <w:rFonts w:hint="eastAsia" w:ascii="宋体" w:hAnsi="宋体" w:cs="宋体"/>
                <w:b/>
                <w:bCs/>
                <w:color w:val="auto"/>
                <w:kern w:val="0"/>
                <w:szCs w:val="21"/>
                <w:highlight w:val="none"/>
                <w:lang w:bidi="ar"/>
              </w:rPr>
              <w:t>一、示教室</w:t>
            </w:r>
          </w:p>
        </w:tc>
      </w:tr>
      <w:tr w14:paraId="6F835A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jc w:val="center"/>
        </w:trPr>
        <w:tc>
          <w:tcPr>
            <w:tcW w:w="9996" w:type="dxa"/>
            <w:gridSpan w:val="5"/>
            <w:tcBorders>
              <w:right w:val="single" w:color="auto" w:sz="4" w:space="0"/>
            </w:tcBorders>
            <w:vAlign w:val="center"/>
          </w:tcPr>
          <w:p w14:paraId="7D48157F">
            <w:pPr>
              <w:widowControl/>
              <w:jc w:val="left"/>
              <w:textAlignment w:val="center"/>
              <w:rPr>
                <w:rFonts w:ascii="宋体" w:hAnsi="宋体" w:cs="宋体"/>
                <w:color w:val="auto"/>
                <w:kern w:val="0"/>
                <w:szCs w:val="21"/>
                <w:highlight w:val="none"/>
                <w:lang w:bidi="ar"/>
              </w:rPr>
            </w:pPr>
            <w:r>
              <w:rPr>
                <w:rFonts w:hint="eastAsia" w:ascii="宋体" w:hAnsi="宋体" w:cs="宋体"/>
                <w:b/>
                <w:bCs/>
                <w:color w:val="auto"/>
                <w:kern w:val="0"/>
                <w:szCs w:val="21"/>
                <w:highlight w:val="none"/>
                <w:lang w:bidi="ar"/>
              </w:rPr>
              <w:t>（一）无纸化会议系统</w:t>
            </w:r>
          </w:p>
        </w:tc>
      </w:tr>
      <w:tr w14:paraId="199FA5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jc w:val="center"/>
        </w:trPr>
        <w:tc>
          <w:tcPr>
            <w:tcW w:w="659" w:type="dxa"/>
            <w:vAlign w:val="center"/>
          </w:tcPr>
          <w:p w14:paraId="2A8E892A">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w:t>
            </w:r>
          </w:p>
        </w:tc>
        <w:tc>
          <w:tcPr>
            <w:tcW w:w="1148" w:type="dxa"/>
            <w:shd w:val="clear" w:color="auto" w:fill="auto"/>
            <w:vAlign w:val="center"/>
          </w:tcPr>
          <w:p w14:paraId="71563E9A">
            <w:pPr>
              <w:jc w:val="center"/>
              <w:rPr>
                <w:rFonts w:ascii="宋体" w:hAnsi="宋体" w:cs="宋体"/>
                <w:color w:val="auto"/>
                <w:szCs w:val="21"/>
                <w:highlight w:val="none"/>
              </w:rPr>
            </w:pPr>
            <w:r>
              <w:rPr>
                <w:rFonts w:hint="eastAsia" w:ascii="宋体" w:hAnsi="宋体" w:cs="宋体"/>
                <w:color w:val="auto"/>
                <w:szCs w:val="21"/>
                <w:highlight w:val="none"/>
              </w:rPr>
              <w:t>无纸化流媒体主机</w:t>
            </w:r>
          </w:p>
        </w:tc>
        <w:tc>
          <w:tcPr>
            <w:tcW w:w="961" w:type="dxa"/>
            <w:shd w:val="clear" w:color="auto" w:fill="auto"/>
            <w:vAlign w:val="center"/>
          </w:tcPr>
          <w:p w14:paraId="41C6BBF1">
            <w:pPr>
              <w:jc w:val="center"/>
              <w:rPr>
                <w:rFonts w:ascii="宋体" w:hAnsi="宋体" w:cs="宋体"/>
                <w:color w:val="auto"/>
                <w:szCs w:val="21"/>
                <w:highlight w:val="none"/>
              </w:rPr>
            </w:pPr>
            <w:r>
              <w:rPr>
                <w:rFonts w:hint="eastAsia" w:ascii="宋体" w:hAnsi="宋体" w:cs="宋体"/>
                <w:color w:val="auto"/>
                <w:szCs w:val="21"/>
                <w:highlight w:val="none"/>
              </w:rPr>
              <w:t>1台</w:t>
            </w:r>
          </w:p>
        </w:tc>
        <w:tc>
          <w:tcPr>
            <w:tcW w:w="701" w:type="dxa"/>
            <w:tcBorders>
              <w:right w:val="single" w:color="auto" w:sz="4" w:space="0"/>
            </w:tcBorders>
            <w:vAlign w:val="center"/>
          </w:tcPr>
          <w:p w14:paraId="31C1E3F7">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工业</w:t>
            </w:r>
          </w:p>
        </w:tc>
        <w:tc>
          <w:tcPr>
            <w:tcW w:w="6527" w:type="dxa"/>
            <w:tcBorders>
              <w:left w:val="single" w:color="auto" w:sz="4" w:space="0"/>
              <w:right w:val="single" w:color="auto" w:sz="4" w:space="0"/>
            </w:tcBorders>
            <w:shd w:val="clear" w:color="auto" w:fill="auto"/>
          </w:tcPr>
          <w:p w14:paraId="2F6E5499">
            <w:pPr>
              <w:jc w:val="left"/>
              <w:rPr>
                <w:rFonts w:ascii="宋体" w:hAnsi="宋体" w:cs="宋体"/>
                <w:color w:val="auto"/>
                <w:szCs w:val="21"/>
                <w:highlight w:val="none"/>
              </w:rPr>
            </w:pPr>
            <w:r>
              <w:rPr>
                <w:rFonts w:hint="eastAsia" w:ascii="宋体" w:hAnsi="宋体" w:cs="宋体"/>
                <w:color w:val="auto"/>
                <w:szCs w:val="21"/>
                <w:highlight w:val="none"/>
              </w:rPr>
              <w:t>1.无纸化智能流媒体服务器用于无纸化会议系统外部高清视频信号采集与编码，以及音视频信号输出。可以为无纸化会议系统提供外部音视频信号和内部音视频信号互联互通，同时支持无纸化会议签到、投票、同屏会议信息的展示功能。</w:t>
            </w:r>
          </w:p>
          <w:p w14:paraId="5CBC7AED">
            <w:pPr>
              <w:jc w:val="left"/>
              <w:rPr>
                <w:rFonts w:ascii="宋体" w:hAnsi="宋体" w:cs="宋体"/>
                <w:color w:val="auto"/>
                <w:szCs w:val="21"/>
                <w:highlight w:val="none"/>
              </w:rPr>
            </w:pPr>
            <w:r>
              <w:rPr>
                <w:rFonts w:hint="eastAsia" w:ascii="宋体" w:hAnsi="宋体" w:cs="宋体"/>
                <w:color w:val="auto"/>
                <w:szCs w:val="21"/>
                <w:highlight w:val="none"/>
              </w:rPr>
              <w:t>2.采用的处理器配置≥4核，≥4线程，≥3.2GHz主频，内存配置≥DDR4 8GB，硬盘为固态硬盘且容量≥128GB。</w:t>
            </w:r>
          </w:p>
          <w:p w14:paraId="55571054">
            <w:pPr>
              <w:jc w:val="left"/>
              <w:rPr>
                <w:rFonts w:ascii="宋体" w:hAnsi="宋体" w:cs="宋体"/>
                <w:color w:val="auto"/>
                <w:szCs w:val="21"/>
                <w:highlight w:val="none"/>
              </w:rPr>
            </w:pPr>
            <w:r>
              <w:rPr>
                <w:rFonts w:hint="eastAsia" w:ascii="宋体" w:hAnsi="宋体" w:cs="宋体"/>
                <w:color w:val="auto"/>
                <w:szCs w:val="21"/>
                <w:highlight w:val="none"/>
              </w:rPr>
              <w:t>3.具有千兆网络接口≥2×LAN</w:t>
            </w:r>
          </w:p>
          <w:p w14:paraId="1CEDBCCB">
            <w:pPr>
              <w:jc w:val="left"/>
              <w:rPr>
                <w:rFonts w:ascii="宋体" w:hAnsi="宋体" w:cs="宋体"/>
                <w:color w:val="auto"/>
                <w:szCs w:val="21"/>
                <w:highlight w:val="none"/>
              </w:rPr>
            </w:pPr>
            <w:r>
              <w:rPr>
                <w:rFonts w:hint="eastAsia" w:ascii="宋体" w:hAnsi="宋体"/>
                <w:color w:val="auto"/>
                <w:szCs w:val="21"/>
                <w:highlight w:val="none"/>
              </w:rPr>
              <w:t>▲</w:t>
            </w:r>
            <w:r>
              <w:rPr>
                <w:rFonts w:hint="eastAsia" w:ascii="宋体" w:hAnsi="宋体" w:cs="宋体"/>
                <w:color w:val="auto"/>
                <w:szCs w:val="21"/>
                <w:highlight w:val="none"/>
              </w:rPr>
              <w:t>4.具备视频接口：≥1×DVI,≥1× HDMI，≥1×VGA；具备音频接口：≥1×MIC in,≥1× Line out,≥1× Line in；具备其他接口≥2×USB2.0,≥4×USB3.0 ，≥2×COM RS232，≥1×PS/2。（投标时须提供佐证材料证明满足该功能，佐证材料包含但不限于经国家认可的第三方认证（检测）机构出具的带有CMA或CNAS标志的检测报告复印件或官网截图或彩页或功能截图，除检测报告外，其他佐证材料均需加盖原厂公章。）</w:t>
            </w:r>
          </w:p>
        </w:tc>
      </w:tr>
      <w:tr w14:paraId="6B6E8C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jc w:val="center"/>
        </w:trPr>
        <w:tc>
          <w:tcPr>
            <w:tcW w:w="659" w:type="dxa"/>
            <w:vAlign w:val="center"/>
          </w:tcPr>
          <w:p w14:paraId="2CF0A437">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2</w:t>
            </w:r>
          </w:p>
        </w:tc>
        <w:tc>
          <w:tcPr>
            <w:tcW w:w="1148" w:type="dxa"/>
            <w:shd w:val="clear" w:color="auto" w:fill="auto"/>
            <w:vAlign w:val="center"/>
          </w:tcPr>
          <w:p w14:paraId="0D34E86B">
            <w:pPr>
              <w:jc w:val="center"/>
              <w:rPr>
                <w:rFonts w:ascii="宋体" w:hAnsi="宋体" w:cs="宋体"/>
                <w:color w:val="auto"/>
                <w:szCs w:val="21"/>
                <w:highlight w:val="none"/>
              </w:rPr>
            </w:pPr>
            <w:r>
              <w:rPr>
                <w:rFonts w:hint="eastAsia" w:ascii="宋体" w:hAnsi="宋体" w:cs="宋体"/>
                <w:color w:val="auto"/>
                <w:szCs w:val="21"/>
                <w:highlight w:val="none"/>
              </w:rPr>
              <w:t>无纸化流媒体服务器嵌入软件</w:t>
            </w:r>
          </w:p>
        </w:tc>
        <w:tc>
          <w:tcPr>
            <w:tcW w:w="961" w:type="dxa"/>
            <w:shd w:val="clear" w:color="auto" w:fill="auto"/>
            <w:vAlign w:val="center"/>
          </w:tcPr>
          <w:p w14:paraId="31A2C47B">
            <w:pPr>
              <w:jc w:val="center"/>
              <w:rPr>
                <w:rFonts w:ascii="宋体" w:hAnsi="宋体" w:cs="宋体"/>
                <w:color w:val="auto"/>
                <w:szCs w:val="21"/>
                <w:highlight w:val="none"/>
              </w:rPr>
            </w:pPr>
            <w:r>
              <w:rPr>
                <w:rFonts w:hint="eastAsia" w:ascii="宋体" w:hAnsi="宋体" w:cs="宋体"/>
                <w:color w:val="auto"/>
                <w:szCs w:val="21"/>
                <w:highlight w:val="none"/>
              </w:rPr>
              <w:t>1套</w:t>
            </w:r>
          </w:p>
        </w:tc>
        <w:tc>
          <w:tcPr>
            <w:tcW w:w="701" w:type="dxa"/>
            <w:tcBorders>
              <w:right w:val="single" w:color="auto" w:sz="4" w:space="0"/>
            </w:tcBorders>
            <w:vAlign w:val="center"/>
          </w:tcPr>
          <w:p w14:paraId="60D9D1B2">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w:t>
            </w:r>
          </w:p>
        </w:tc>
        <w:tc>
          <w:tcPr>
            <w:tcW w:w="6527" w:type="dxa"/>
            <w:tcBorders>
              <w:left w:val="single" w:color="auto" w:sz="4" w:space="0"/>
              <w:right w:val="single" w:color="auto" w:sz="4" w:space="0"/>
            </w:tcBorders>
            <w:shd w:val="clear" w:color="auto" w:fill="auto"/>
          </w:tcPr>
          <w:p w14:paraId="2A392DA9">
            <w:pPr>
              <w:jc w:val="left"/>
              <w:rPr>
                <w:rFonts w:ascii="宋体" w:hAnsi="宋体" w:cs="宋体"/>
                <w:color w:val="auto"/>
                <w:szCs w:val="21"/>
                <w:highlight w:val="none"/>
              </w:rPr>
            </w:pPr>
            <w:r>
              <w:rPr>
                <w:rFonts w:hint="eastAsia" w:ascii="宋体" w:hAnsi="宋体" w:cs="宋体"/>
                <w:color w:val="auto"/>
                <w:szCs w:val="21"/>
                <w:highlight w:val="none"/>
              </w:rPr>
              <w:t>1.支持签到投屏功能，将签到过程、签到结果展示在大屏上。</w:t>
            </w:r>
          </w:p>
          <w:p w14:paraId="7FC4B60C">
            <w:pPr>
              <w:jc w:val="left"/>
              <w:rPr>
                <w:rFonts w:ascii="宋体" w:hAnsi="宋体" w:cs="宋体"/>
                <w:color w:val="auto"/>
                <w:szCs w:val="21"/>
                <w:highlight w:val="none"/>
              </w:rPr>
            </w:pPr>
            <w:r>
              <w:rPr>
                <w:rFonts w:hint="eastAsia" w:ascii="宋体" w:hAnsi="宋体" w:cs="宋体"/>
                <w:color w:val="auto"/>
                <w:szCs w:val="21"/>
                <w:highlight w:val="none"/>
              </w:rPr>
              <w:t>2.支持将电子白板、会议标语、文档主讲、外部信号信息广播到大屏展示。</w:t>
            </w:r>
          </w:p>
          <w:p w14:paraId="2E90911B">
            <w:pPr>
              <w:jc w:val="left"/>
              <w:rPr>
                <w:rFonts w:ascii="宋体" w:hAnsi="宋体" w:cs="宋体"/>
                <w:color w:val="auto"/>
                <w:szCs w:val="21"/>
                <w:highlight w:val="none"/>
              </w:rPr>
            </w:pPr>
            <w:r>
              <w:rPr>
                <w:rFonts w:hint="eastAsia" w:ascii="宋体" w:hAnsi="宋体" w:cs="宋体"/>
                <w:color w:val="auto"/>
                <w:szCs w:val="21"/>
                <w:highlight w:val="none"/>
              </w:rPr>
              <w:t>3.支持多媒体(桌面同屏、电子白板、文档资料)分组投屏功能， 可支持≥4分屏画面同时投屏输出显示。</w:t>
            </w:r>
          </w:p>
          <w:p w14:paraId="2B3F3EB2">
            <w:pPr>
              <w:jc w:val="left"/>
              <w:rPr>
                <w:rFonts w:ascii="宋体" w:hAnsi="宋体" w:cs="宋体"/>
                <w:color w:val="auto"/>
                <w:szCs w:val="21"/>
                <w:highlight w:val="none"/>
              </w:rPr>
            </w:pPr>
            <w:r>
              <w:rPr>
                <w:rFonts w:hint="eastAsia" w:ascii="宋体" w:hAnsi="宋体" w:cs="宋体"/>
                <w:color w:val="auto"/>
                <w:szCs w:val="21"/>
                <w:highlight w:val="none"/>
              </w:rPr>
              <w:t>4.支持大屏点播功能，直接播放服务器原生视频文件；支持大屏广播功能，将大屏的画面广播同步到各个终端并显示。</w:t>
            </w:r>
          </w:p>
          <w:p w14:paraId="6E8C1EA8">
            <w:pPr>
              <w:jc w:val="left"/>
              <w:rPr>
                <w:rFonts w:ascii="宋体" w:hAnsi="宋体" w:cs="宋体"/>
                <w:color w:val="auto"/>
                <w:szCs w:val="21"/>
                <w:highlight w:val="none"/>
              </w:rPr>
            </w:pPr>
            <w:r>
              <w:rPr>
                <w:rFonts w:hint="eastAsia" w:ascii="宋体" w:hAnsi="宋体" w:cs="宋体"/>
                <w:color w:val="auto"/>
                <w:szCs w:val="21"/>
                <w:highlight w:val="none"/>
              </w:rPr>
              <w:t>5.支持大屏视频矩阵功能，同时支持多路多媒体源进行播放功能。</w:t>
            </w:r>
          </w:p>
          <w:p w14:paraId="693BDCC0">
            <w:pPr>
              <w:jc w:val="left"/>
              <w:rPr>
                <w:rFonts w:ascii="宋体" w:hAnsi="宋体" w:cs="宋体"/>
                <w:color w:val="auto"/>
                <w:szCs w:val="21"/>
                <w:highlight w:val="none"/>
              </w:rPr>
            </w:pPr>
            <w:r>
              <w:rPr>
                <w:rFonts w:hint="eastAsia" w:ascii="宋体" w:hAnsi="宋体" w:cs="宋体"/>
                <w:color w:val="auto"/>
                <w:szCs w:val="21"/>
                <w:highlight w:val="none"/>
              </w:rPr>
              <w:t>7.支持评分投屏功能，评分过程中查看评分人数、未提交人数。支持评分结束后以柱状图（≥10项）或表格（≥10项）的形式投屏显示评分结果。</w:t>
            </w:r>
          </w:p>
          <w:p w14:paraId="67105C4F">
            <w:pPr>
              <w:jc w:val="left"/>
              <w:rPr>
                <w:rFonts w:ascii="宋体" w:hAnsi="宋体" w:cs="宋体"/>
                <w:color w:val="auto"/>
                <w:szCs w:val="21"/>
                <w:highlight w:val="none"/>
              </w:rPr>
            </w:pPr>
            <w:r>
              <w:rPr>
                <w:rFonts w:hint="eastAsia" w:ascii="宋体" w:hAnsi="宋体" w:cs="宋体"/>
                <w:color w:val="auto"/>
                <w:szCs w:val="21"/>
                <w:highlight w:val="none"/>
              </w:rPr>
              <w:t>8.支持座位图投屏功能，在会前或会中将参会者的座位图投放到流媒体大屏中显示，方便与会者快速找位入会。</w:t>
            </w:r>
          </w:p>
          <w:p w14:paraId="1DDE63FD">
            <w:pPr>
              <w:jc w:val="left"/>
              <w:rPr>
                <w:rFonts w:ascii="宋体" w:hAnsi="宋体" w:cs="宋体"/>
                <w:color w:val="auto"/>
                <w:szCs w:val="21"/>
                <w:highlight w:val="none"/>
              </w:rPr>
            </w:pPr>
            <w:r>
              <w:rPr>
                <w:rFonts w:hint="eastAsia" w:ascii="宋体" w:hAnsi="宋体"/>
                <w:color w:val="auto"/>
                <w:szCs w:val="21"/>
                <w:highlight w:val="none"/>
              </w:rPr>
              <w:t>▲</w:t>
            </w:r>
            <w:r>
              <w:rPr>
                <w:rFonts w:hint="eastAsia" w:ascii="宋体" w:hAnsi="宋体" w:cs="宋体"/>
                <w:color w:val="auto"/>
                <w:szCs w:val="21"/>
                <w:highlight w:val="none"/>
              </w:rPr>
              <w:t>9.同一会场支持≥4台流媒体功能，不同流媒体可以展示相同的媒体画面内容也可以展示不同的媒体画面内容。（投标时须提供佐证材料证明满足该功能，佐证材料包含但不限于经国家认可的第三方认证（检测）机构出具的带有CMA或CNAS标志的检测报告复印件或官网截图或彩页或功能截图，除检测报告外，其他佐证材料均需加盖原厂公章。）</w:t>
            </w:r>
          </w:p>
          <w:p w14:paraId="377B7B34">
            <w:pPr>
              <w:jc w:val="left"/>
              <w:rPr>
                <w:rFonts w:ascii="宋体" w:hAnsi="宋体" w:cs="宋体"/>
                <w:color w:val="auto"/>
                <w:szCs w:val="21"/>
                <w:highlight w:val="none"/>
              </w:rPr>
            </w:pPr>
            <w:r>
              <w:rPr>
                <w:rFonts w:hint="eastAsia" w:ascii="宋体" w:hAnsi="宋体" w:cs="宋体"/>
                <w:color w:val="auto"/>
                <w:szCs w:val="21"/>
                <w:highlight w:val="none"/>
              </w:rPr>
              <w:t>10.支持投票投屏功能，将投票过程、投票结果以文字、柱状图、饼状图方式展示在大屏上。</w:t>
            </w:r>
          </w:p>
        </w:tc>
      </w:tr>
      <w:tr w14:paraId="4B5C4E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jc w:val="center"/>
        </w:trPr>
        <w:tc>
          <w:tcPr>
            <w:tcW w:w="659" w:type="dxa"/>
            <w:vAlign w:val="center"/>
          </w:tcPr>
          <w:p w14:paraId="68147B56">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3</w:t>
            </w:r>
          </w:p>
        </w:tc>
        <w:tc>
          <w:tcPr>
            <w:tcW w:w="1148" w:type="dxa"/>
            <w:shd w:val="clear" w:color="auto" w:fill="auto"/>
            <w:vAlign w:val="center"/>
          </w:tcPr>
          <w:p w14:paraId="100684FD">
            <w:pPr>
              <w:jc w:val="center"/>
              <w:rPr>
                <w:rFonts w:ascii="宋体" w:hAnsi="宋体" w:cs="宋体"/>
                <w:color w:val="auto"/>
                <w:szCs w:val="21"/>
                <w:highlight w:val="none"/>
              </w:rPr>
            </w:pPr>
            <w:r>
              <w:rPr>
                <w:rFonts w:hint="eastAsia" w:ascii="宋体" w:hAnsi="宋体" w:cs="宋体"/>
                <w:color w:val="auto"/>
                <w:szCs w:val="21"/>
                <w:highlight w:val="none"/>
              </w:rPr>
              <w:t>无纸化会议终端</w:t>
            </w:r>
          </w:p>
        </w:tc>
        <w:tc>
          <w:tcPr>
            <w:tcW w:w="961" w:type="dxa"/>
            <w:shd w:val="clear" w:color="auto" w:fill="auto"/>
            <w:vAlign w:val="center"/>
          </w:tcPr>
          <w:p w14:paraId="3B2CD6CF">
            <w:pPr>
              <w:jc w:val="center"/>
              <w:rPr>
                <w:rFonts w:ascii="宋体" w:hAnsi="宋体" w:cs="宋体"/>
                <w:color w:val="auto"/>
                <w:szCs w:val="21"/>
                <w:highlight w:val="none"/>
              </w:rPr>
            </w:pPr>
            <w:r>
              <w:rPr>
                <w:rFonts w:hint="eastAsia" w:ascii="宋体" w:hAnsi="宋体" w:cs="宋体"/>
                <w:color w:val="auto"/>
                <w:szCs w:val="21"/>
                <w:highlight w:val="none"/>
              </w:rPr>
              <w:t>18台</w:t>
            </w:r>
          </w:p>
        </w:tc>
        <w:tc>
          <w:tcPr>
            <w:tcW w:w="701" w:type="dxa"/>
            <w:tcBorders>
              <w:right w:val="single" w:color="auto" w:sz="4" w:space="0"/>
            </w:tcBorders>
            <w:vAlign w:val="center"/>
          </w:tcPr>
          <w:p w14:paraId="41742CC3">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工业</w:t>
            </w:r>
          </w:p>
        </w:tc>
        <w:tc>
          <w:tcPr>
            <w:tcW w:w="6527" w:type="dxa"/>
            <w:tcBorders>
              <w:left w:val="single" w:color="auto" w:sz="4" w:space="0"/>
              <w:right w:val="single" w:color="auto" w:sz="4" w:space="0"/>
            </w:tcBorders>
            <w:shd w:val="clear" w:color="auto" w:fill="auto"/>
            <w:vAlign w:val="center"/>
          </w:tcPr>
          <w:p w14:paraId="4A5AC69D">
            <w:pPr>
              <w:jc w:val="left"/>
              <w:rPr>
                <w:rFonts w:ascii="宋体" w:hAnsi="宋体"/>
                <w:color w:val="auto"/>
                <w:szCs w:val="21"/>
                <w:highlight w:val="none"/>
              </w:rPr>
            </w:pPr>
            <w:r>
              <w:rPr>
                <w:rFonts w:hint="eastAsia" w:ascii="宋体" w:hAnsi="宋体"/>
                <w:color w:val="auto"/>
                <w:szCs w:val="21"/>
                <w:highlight w:val="none"/>
              </w:rPr>
              <w:t>▲1.多媒体会议终端主机搭配终端内嵌软件负责处理会议过程的文件推送、文件分发、浏览阅读、文件批注、智能签到、投票表决、电子白板、电子铭牌、会议交流、会议服务、视频信号互联互通、会议管控、同屏广播应用</w:t>
            </w:r>
            <w:r>
              <w:rPr>
                <w:rFonts w:hint="eastAsia" w:ascii="宋体" w:hAnsi="宋体" w:cs="宋体"/>
                <w:color w:val="auto"/>
                <w:szCs w:val="21"/>
                <w:highlight w:val="none"/>
              </w:rPr>
              <w:t>（投标时须提供佐证材料证明满足该功能，佐证材料包含但不限于经国家认可的第三方认证（检测）机构出具的带有CMA或CNAS标志的检测报告复印件或官网截图或彩页或功能截图，除检测报告外，其他佐证材料均需加盖原厂公章。）</w:t>
            </w:r>
          </w:p>
          <w:p w14:paraId="4F039097">
            <w:pPr>
              <w:jc w:val="left"/>
              <w:rPr>
                <w:rFonts w:ascii="宋体" w:hAnsi="宋体" w:cs="宋体"/>
                <w:color w:val="auto"/>
                <w:szCs w:val="21"/>
                <w:highlight w:val="none"/>
              </w:rPr>
            </w:pPr>
            <w:r>
              <w:rPr>
                <w:rFonts w:hint="eastAsia" w:ascii="宋体" w:hAnsi="宋体"/>
                <w:color w:val="auto"/>
                <w:szCs w:val="21"/>
                <w:highlight w:val="none"/>
              </w:rPr>
              <w:t>▲2.支持无纸化会议模式和Windows模式，可任意切换。</w:t>
            </w:r>
            <w:r>
              <w:rPr>
                <w:rFonts w:hint="eastAsia" w:ascii="宋体" w:hAnsi="宋体" w:cs="宋体"/>
                <w:color w:val="auto"/>
                <w:szCs w:val="21"/>
                <w:highlight w:val="none"/>
              </w:rPr>
              <w:t>（投标时须提供佐证材料证明满足该功能，佐证材料包含但不限于经国家认可的第三方认证（检测）机构出具的带有CMA或CNAS标志的检测报告复印件或官网截图或彩页或功能截图，除检测报告外，其他佐证材料均需加盖原厂公章。）</w:t>
            </w:r>
          </w:p>
          <w:p w14:paraId="5E051341">
            <w:pPr>
              <w:jc w:val="left"/>
              <w:rPr>
                <w:rFonts w:ascii="宋体" w:hAnsi="宋体" w:cs="宋体"/>
                <w:color w:val="auto"/>
                <w:szCs w:val="21"/>
                <w:highlight w:val="none"/>
              </w:rPr>
            </w:pPr>
            <w:r>
              <w:rPr>
                <w:rFonts w:hint="eastAsia" w:ascii="宋体" w:hAnsi="宋体"/>
                <w:color w:val="auto"/>
                <w:szCs w:val="21"/>
                <w:highlight w:val="none"/>
              </w:rPr>
              <w:t>▲3.可对多种文件格式进行阅览，包括常见格式doc/ docx /xls/ xlsx /ppt /pptx/ pdf /txt/jpg/png，参会人只可看到有权限的文件。</w:t>
            </w:r>
            <w:r>
              <w:rPr>
                <w:rFonts w:hint="eastAsia" w:ascii="宋体" w:hAnsi="宋体" w:cs="宋体"/>
                <w:color w:val="auto"/>
                <w:szCs w:val="21"/>
                <w:highlight w:val="none"/>
              </w:rPr>
              <w:t>（投标时须提供佐证材料证明满足该功能，佐证材料包含但不限于经国家认可的第三方认证（检测）机构出具的带有CMA或CNAS标志的检测报告复印件或官网截图或彩页或功能截图，除检测报告外，其他佐证材料均需加盖原厂公章。）</w:t>
            </w:r>
          </w:p>
          <w:p w14:paraId="0684D70B">
            <w:pPr>
              <w:rPr>
                <w:rFonts w:ascii="宋体" w:hAnsi="宋体"/>
                <w:color w:val="auto"/>
                <w:szCs w:val="21"/>
                <w:highlight w:val="none"/>
              </w:rPr>
            </w:pPr>
            <w:r>
              <w:rPr>
                <w:rFonts w:hint="eastAsia" w:ascii="宋体" w:hAnsi="宋体"/>
                <w:color w:val="auto"/>
                <w:szCs w:val="21"/>
                <w:highlight w:val="none"/>
              </w:rPr>
              <w:t>4.会议过程中可以随时进行会议笔记记录，支持下载到本地。</w:t>
            </w:r>
          </w:p>
          <w:p w14:paraId="51F71EC4">
            <w:pPr>
              <w:jc w:val="left"/>
              <w:rPr>
                <w:rFonts w:ascii="宋体" w:hAnsi="宋体" w:cs="宋体"/>
                <w:color w:val="auto"/>
                <w:szCs w:val="21"/>
                <w:highlight w:val="none"/>
              </w:rPr>
            </w:pPr>
            <w:r>
              <w:rPr>
                <w:rFonts w:hint="eastAsia" w:ascii="宋体" w:hAnsi="宋体"/>
                <w:color w:val="auto"/>
                <w:szCs w:val="21"/>
                <w:highlight w:val="none"/>
              </w:rPr>
              <w:t>▲5.个人中心模块支持会前、会中上传资料，查看资料（保密会议会前不能查看）；支持会后下载参加过的会议的资料。</w:t>
            </w:r>
            <w:r>
              <w:rPr>
                <w:rFonts w:hint="eastAsia" w:ascii="宋体" w:hAnsi="宋体" w:cs="宋体"/>
                <w:color w:val="auto"/>
                <w:szCs w:val="21"/>
                <w:highlight w:val="none"/>
              </w:rPr>
              <w:t>（投标时须提供佐证材料证明满足该功能，佐证材料包含但不限于经国家认可的第三方认证（检测）机构出具的带有CMA或CNAS标志的检测报告复印件或官网截图或彩页或功能截图，除检测报告外，其他佐证材料均需加盖原厂公章。）</w:t>
            </w:r>
          </w:p>
          <w:p w14:paraId="34CA58D5">
            <w:pPr>
              <w:jc w:val="left"/>
              <w:rPr>
                <w:rFonts w:ascii="宋体" w:hAnsi="宋体"/>
                <w:color w:val="auto"/>
                <w:szCs w:val="21"/>
                <w:highlight w:val="none"/>
              </w:rPr>
            </w:pPr>
            <w:r>
              <w:rPr>
                <w:rFonts w:hint="eastAsia" w:ascii="宋体" w:hAnsi="宋体"/>
                <w:color w:val="auto"/>
                <w:szCs w:val="21"/>
                <w:highlight w:val="none"/>
              </w:rPr>
              <w:t>▲6.结束会议终端自动清除本地会议文件。</w:t>
            </w:r>
            <w:r>
              <w:rPr>
                <w:rFonts w:hint="eastAsia" w:ascii="宋体" w:hAnsi="宋体" w:cs="宋体"/>
                <w:color w:val="auto"/>
                <w:szCs w:val="21"/>
                <w:highlight w:val="none"/>
              </w:rPr>
              <w:t>（投标时须提供佐证材料证明满足该功能，佐证材料包含但不限于经国家认可的第三方认证（检测）机构出具的带有CMA或CNAS标志的检测报告复印件或官网截图或彩页或功能截图，除检测报告外，其他佐证材料均需加盖原厂公章。）</w:t>
            </w:r>
          </w:p>
          <w:p w14:paraId="6A367482">
            <w:pPr>
              <w:rPr>
                <w:rFonts w:ascii="宋体" w:hAnsi="宋体"/>
                <w:color w:val="auto"/>
                <w:szCs w:val="21"/>
                <w:highlight w:val="none"/>
              </w:rPr>
            </w:pPr>
            <w:r>
              <w:rPr>
                <w:rFonts w:hint="eastAsia" w:ascii="宋体" w:hAnsi="宋体"/>
                <w:color w:val="auto"/>
                <w:szCs w:val="21"/>
                <w:highlight w:val="none"/>
              </w:rPr>
              <w:t>7.具有≥4×USB、≥1×HDMI、≥1×VGA、≥1×LAN、≥1×MIC-IN端口、≥1×LINE-OUT端口、≥1×DC端口、≥1×COM口</w:t>
            </w:r>
          </w:p>
          <w:p w14:paraId="4272614C">
            <w:pPr>
              <w:rPr>
                <w:rFonts w:ascii="宋体" w:hAnsi="宋体"/>
                <w:color w:val="auto"/>
                <w:szCs w:val="21"/>
                <w:highlight w:val="none"/>
              </w:rPr>
            </w:pPr>
            <w:r>
              <w:rPr>
                <w:rFonts w:hint="eastAsia" w:ascii="宋体" w:hAnsi="宋体"/>
                <w:color w:val="auto"/>
                <w:szCs w:val="21"/>
                <w:highlight w:val="none"/>
              </w:rPr>
              <w:t>8.采用的处理器配置≥4核，≥4线程，≥3.2GHz主频</w:t>
            </w:r>
          </w:p>
          <w:p w14:paraId="03701E26">
            <w:pPr>
              <w:rPr>
                <w:rFonts w:ascii="宋体" w:hAnsi="宋体"/>
                <w:color w:val="auto"/>
                <w:szCs w:val="21"/>
                <w:highlight w:val="none"/>
              </w:rPr>
            </w:pPr>
            <w:r>
              <w:rPr>
                <w:rFonts w:hint="eastAsia" w:ascii="宋体" w:hAnsi="宋体"/>
                <w:color w:val="auto"/>
                <w:szCs w:val="21"/>
                <w:highlight w:val="none"/>
              </w:rPr>
              <w:t>9.采用内存配置≥4GB</w:t>
            </w:r>
          </w:p>
          <w:p w14:paraId="4B9DE19D">
            <w:pPr>
              <w:rPr>
                <w:rFonts w:ascii="宋体" w:hAnsi="宋体"/>
                <w:color w:val="auto"/>
                <w:szCs w:val="21"/>
                <w:highlight w:val="none"/>
              </w:rPr>
            </w:pPr>
            <w:r>
              <w:rPr>
                <w:rFonts w:hint="eastAsia" w:ascii="宋体" w:hAnsi="宋体"/>
                <w:color w:val="auto"/>
                <w:szCs w:val="21"/>
                <w:highlight w:val="none"/>
              </w:rPr>
              <w:t>10.采用硬盘容量≥128GB 固态硬盘</w:t>
            </w:r>
          </w:p>
          <w:p w14:paraId="3D733476">
            <w:pPr>
              <w:rPr>
                <w:rFonts w:ascii="宋体" w:hAnsi="宋体"/>
                <w:color w:val="auto"/>
                <w:szCs w:val="21"/>
                <w:highlight w:val="none"/>
              </w:rPr>
            </w:pPr>
            <w:r>
              <w:rPr>
                <w:rFonts w:hint="eastAsia" w:ascii="宋体" w:hAnsi="宋体"/>
                <w:color w:val="auto"/>
                <w:szCs w:val="21"/>
                <w:highlight w:val="none"/>
              </w:rPr>
              <w:t>11.具有≥1×千兆网络接口（RJ45）</w:t>
            </w:r>
          </w:p>
        </w:tc>
      </w:tr>
      <w:tr w14:paraId="28CF81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jc w:val="center"/>
        </w:trPr>
        <w:tc>
          <w:tcPr>
            <w:tcW w:w="659" w:type="dxa"/>
            <w:vAlign w:val="center"/>
          </w:tcPr>
          <w:p w14:paraId="4D730C20">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4</w:t>
            </w:r>
          </w:p>
        </w:tc>
        <w:tc>
          <w:tcPr>
            <w:tcW w:w="1148" w:type="dxa"/>
            <w:shd w:val="clear" w:color="auto" w:fill="auto"/>
            <w:vAlign w:val="center"/>
          </w:tcPr>
          <w:p w14:paraId="41E86F29">
            <w:pPr>
              <w:jc w:val="center"/>
              <w:rPr>
                <w:rFonts w:ascii="宋体" w:hAnsi="宋体" w:cs="宋体"/>
                <w:color w:val="auto"/>
                <w:szCs w:val="21"/>
                <w:highlight w:val="none"/>
              </w:rPr>
            </w:pPr>
            <w:r>
              <w:rPr>
                <w:rFonts w:hint="eastAsia" w:ascii="宋体" w:hAnsi="宋体" w:cs="宋体"/>
                <w:color w:val="auto"/>
                <w:szCs w:val="21"/>
                <w:highlight w:val="none"/>
              </w:rPr>
              <w:t>无纸化会议终端软件</w:t>
            </w:r>
          </w:p>
        </w:tc>
        <w:tc>
          <w:tcPr>
            <w:tcW w:w="961" w:type="dxa"/>
            <w:shd w:val="clear" w:color="auto" w:fill="auto"/>
            <w:vAlign w:val="center"/>
          </w:tcPr>
          <w:p w14:paraId="00C47E1E">
            <w:pPr>
              <w:jc w:val="center"/>
              <w:rPr>
                <w:rFonts w:ascii="宋体" w:hAnsi="宋体" w:cs="宋体"/>
                <w:color w:val="auto"/>
                <w:szCs w:val="21"/>
                <w:highlight w:val="none"/>
              </w:rPr>
            </w:pPr>
            <w:r>
              <w:rPr>
                <w:rFonts w:hint="eastAsia" w:ascii="宋体" w:hAnsi="宋体" w:cs="宋体"/>
                <w:color w:val="auto"/>
                <w:szCs w:val="21"/>
                <w:highlight w:val="none"/>
              </w:rPr>
              <w:t>18套</w:t>
            </w:r>
          </w:p>
        </w:tc>
        <w:tc>
          <w:tcPr>
            <w:tcW w:w="701" w:type="dxa"/>
            <w:tcBorders>
              <w:right w:val="single" w:color="auto" w:sz="4" w:space="0"/>
            </w:tcBorders>
            <w:vAlign w:val="center"/>
          </w:tcPr>
          <w:p w14:paraId="086921E6">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w:t>
            </w:r>
          </w:p>
        </w:tc>
        <w:tc>
          <w:tcPr>
            <w:tcW w:w="6527" w:type="dxa"/>
            <w:tcBorders>
              <w:left w:val="single" w:color="auto" w:sz="4" w:space="0"/>
              <w:right w:val="single" w:color="auto" w:sz="4" w:space="0"/>
            </w:tcBorders>
            <w:shd w:val="clear" w:color="auto" w:fill="auto"/>
            <w:vAlign w:val="center"/>
          </w:tcPr>
          <w:p w14:paraId="05680CB9">
            <w:pPr>
              <w:rPr>
                <w:rFonts w:ascii="宋体" w:hAnsi="宋体"/>
                <w:color w:val="auto"/>
                <w:szCs w:val="21"/>
                <w:highlight w:val="none"/>
              </w:rPr>
            </w:pPr>
            <w:r>
              <w:rPr>
                <w:rFonts w:hint="eastAsia" w:ascii="宋体" w:hAnsi="宋体"/>
                <w:color w:val="auto"/>
                <w:szCs w:val="21"/>
                <w:highlight w:val="none"/>
              </w:rPr>
              <w:t>1.具有≥2种会议模式，包括常规会议模式和保密会议模式，保密会议模式启用后可以自定义参会人文件水印、文件阅后即焚保密机制。</w:t>
            </w:r>
          </w:p>
          <w:p w14:paraId="7119EC1C">
            <w:pPr>
              <w:rPr>
                <w:rFonts w:ascii="宋体" w:hAnsi="宋体" w:cs="宋体"/>
                <w:color w:val="auto"/>
                <w:szCs w:val="21"/>
                <w:highlight w:val="none"/>
              </w:rPr>
            </w:pPr>
            <w:r>
              <w:rPr>
                <w:rFonts w:hint="eastAsia" w:ascii="宋体" w:hAnsi="宋体"/>
                <w:color w:val="auto"/>
                <w:szCs w:val="21"/>
                <w:highlight w:val="none"/>
              </w:rPr>
              <w:t>▲2.具有切换客户端会议布局模式功能，能够根据用户的需求切换≥4种不同布局方式，包括卡片模式、简洁模式、导航模式、经典模式；卡片模式，将议题以卡片形式在首页呈现，通过横向滑动查看，在首页可以查看所有议题（包括议程）；简洁模式：将议程以节目表形式在首页进行呈现，纵向滑动查看；导航模式：首页界面具有导航目录，同时展示对应功能列表签到、投票、评分、纪要、视频内容；经典模式，点击对应的功能模块，层级式进入功能详情界面，展示对应功能相关查看和操作内容。</w:t>
            </w:r>
            <w:r>
              <w:rPr>
                <w:rFonts w:hint="eastAsia" w:ascii="宋体" w:hAnsi="宋体" w:cs="宋体"/>
                <w:color w:val="auto"/>
                <w:szCs w:val="21"/>
                <w:highlight w:val="none"/>
              </w:rPr>
              <w:t>（投标时须提供佐证材料证明满足该功能，佐证材料包含但不限于经国家认可的第三方认证（检测）机构出具的带有CMA或CNAS标志的检测报告复印件或官网截图或彩页或功能截图，除检测报告外，其他佐证材料均需加盖原厂公章。）</w:t>
            </w:r>
          </w:p>
          <w:p w14:paraId="06220658">
            <w:pPr>
              <w:rPr>
                <w:rFonts w:ascii="宋体" w:hAnsi="宋体"/>
                <w:color w:val="auto"/>
                <w:szCs w:val="21"/>
                <w:highlight w:val="none"/>
              </w:rPr>
            </w:pPr>
            <w:r>
              <w:rPr>
                <w:rFonts w:hint="eastAsia" w:ascii="宋体" w:hAnsi="宋体"/>
                <w:color w:val="auto"/>
                <w:szCs w:val="21"/>
                <w:highlight w:val="none"/>
              </w:rPr>
              <w:t>3.具有选择广播/主讲模式，包括自由模式、申请模式、自主模式；自由模式下，用户发起屏幕广播/主讲时，无需其他操作，一键进入到屏幕广播/主讲功能；申请模式，用户发起屏幕广播/主讲时，需等待管理员管理配置确认后，进入到屏幕广播/主讲功能；自主模式，用户发起屏幕广播/主讲时，可选择可查看本次同屏广播的人员；支持广播计时功能，可切换无需计时模式、正计时模式、倒计时模式，倒计时可设置时间。</w:t>
            </w:r>
          </w:p>
          <w:p w14:paraId="01010759">
            <w:pPr>
              <w:rPr>
                <w:rFonts w:ascii="宋体" w:hAnsi="宋体"/>
                <w:color w:val="auto"/>
                <w:szCs w:val="21"/>
                <w:highlight w:val="none"/>
              </w:rPr>
            </w:pPr>
            <w:r>
              <w:rPr>
                <w:rFonts w:hint="eastAsia" w:ascii="宋体" w:hAnsi="宋体"/>
                <w:color w:val="auto"/>
                <w:szCs w:val="21"/>
                <w:highlight w:val="none"/>
              </w:rPr>
              <w:t>4.具有会中暂停会议功能，管理员点击暂停会议，所有用户页面锁屏无法操作，大屏内容也会被屏蔽，增强系统安全性。（提供功能界面截图佐证）</w:t>
            </w:r>
          </w:p>
          <w:p w14:paraId="2876CA5A">
            <w:pPr>
              <w:rPr>
                <w:rFonts w:ascii="宋体" w:hAnsi="宋体"/>
                <w:color w:val="auto"/>
                <w:szCs w:val="21"/>
                <w:highlight w:val="none"/>
              </w:rPr>
            </w:pPr>
            <w:r>
              <w:rPr>
                <w:rFonts w:hint="eastAsia" w:ascii="宋体" w:hAnsi="宋体"/>
                <w:color w:val="auto"/>
                <w:szCs w:val="21"/>
                <w:highlight w:val="none"/>
              </w:rPr>
              <w:t>5.支持个人中心H5网页展示，可会前、会中上传资料，查看资料，支持会后查看参加过的历史会议的资料及批注文件，保密会议会前会后需申请权限才能查看会议资料。</w:t>
            </w:r>
          </w:p>
          <w:p w14:paraId="01B5F14C">
            <w:pPr>
              <w:rPr>
                <w:rFonts w:ascii="宋体" w:hAnsi="宋体"/>
                <w:color w:val="auto"/>
                <w:szCs w:val="21"/>
                <w:highlight w:val="none"/>
              </w:rPr>
            </w:pPr>
            <w:r>
              <w:rPr>
                <w:rFonts w:hint="eastAsia" w:ascii="宋体" w:hAnsi="宋体"/>
                <w:color w:val="auto"/>
                <w:szCs w:val="21"/>
                <w:highlight w:val="none"/>
              </w:rPr>
              <w:t>▲6.支持个人微终端功能，参会人通过手机app查阅未开始、进行中和已结束的会议资料，包含会议信息、参会名单、会议议题、临时资料、会议纪要。</w:t>
            </w:r>
            <w:r>
              <w:rPr>
                <w:rFonts w:hint="eastAsia" w:ascii="宋体" w:hAnsi="宋体" w:cs="宋体"/>
                <w:color w:val="auto"/>
                <w:szCs w:val="21"/>
                <w:highlight w:val="none"/>
              </w:rPr>
              <w:t>（投标时须提供佐证材料证明满足该功能，佐证材料包含但不限于经国家认可的第三方认证（检测）机构出具的带有CMA或CNAS标志的检测报告复印件或官网截图或彩页或功能截图，除检测报告外，其他佐证材料均需加盖原厂公章。）</w:t>
            </w:r>
          </w:p>
          <w:p w14:paraId="2BB27175">
            <w:pPr>
              <w:rPr>
                <w:rFonts w:ascii="宋体" w:hAnsi="宋体"/>
                <w:color w:val="auto"/>
                <w:szCs w:val="21"/>
                <w:highlight w:val="none"/>
              </w:rPr>
            </w:pPr>
            <w:r>
              <w:rPr>
                <w:rFonts w:hint="eastAsia" w:ascii="宋体" w:hAnsi="宋体"/>
                <w:color w:val="auto"/>
                <w:szCs w:val="21"/>
                <w:highlight w:val="none"/>
              </w:rPr>
              <w:t>7.具有扫码文件带走功能，会议资料生成二维码功能，可根据会议属性，控制显示二维码投屏，供参会人浏览器扫码下载会议资料。</w:t>
            </w:r>
          </w:p>
          <w:p w14:paraId="086802AB">
            <w:pPr>
              <w:rPr>
                <w:rFonts w:ascii="宋体" w:hAnsi="宋体"/>
                <w:color w:val="auto"/>
                <w:szCs w:val="21"/>
                <w:highlight w:val="none"/>
              </w:rPr>
            </w:pPr>
            <w:r>
              <w:rPr>
                <w:rFonts w:hint="eastAsia" w:ascii="宋体" w:hAnsi="宋体"/>
                <w:color w:val="auto"/>
                <w:szCs w:val="21"/>
                <w:highlight w:val="none"/>
              </w:rPr>
              <w:t>8.具有屏幕同屏广播功能，参会人员可以在会议进行中将本地画面共享至其他参会人员，同时可快捷屏幕投大屏，设备拓展支持跨平台（Windows系统、安卓、鸿蒙、银河麒麟桌面操作系统、统信桌面操作系统）广播；支持文档主讲(文档广播)功能，实现低带宽同步与共享同一份文档资料的功能；屏幕广播/文档主讲支持申请模式，发起申请后需会议管理员同意后才能发起同屏广播。同屏广播/文档主讲具有计时功能，可选择倒计时或顺计时，以及具有选择是否同步到大屏功能。文档主讲支持在文档广播过程中随时切换主讲人的功能。</w:t>
            </w:r>
          </w:p>
          <w:p w14:paraId="2AAD2CC0">
            <w:pPr>
              <w:rPr>
                <w:rFonts w:ascii="宋体" w:hAnsi="宋体"/>
                <w:color w:val="auto"/>
                <w:szCs w:val="21"/>
                <w:highlight w:val="none"/>
              </w:rPr>
            </w:pPr>
            <w:r>
              <w:rPr>
                <w:rFonts w:hint="eastAsia" w:ascii="宋体" w:hAnsi="宋体"/>
                <w:color w:val="auto"/>
                <w:szCs w:val="21"/>
                <w:highlight w:val="none"/>
              </w:rPr>
              <w:t>▲9.支持对接DeepSeek，豆包AI大模型，为参会人员提供实时智能问答功能；在会议进行过程中，参会人可随时在交互界面输入问题，AI助手将生成准确回答并显示在专用回答框内；支持在线AI文件概要总结功能，支持上传txt, word,excel,pdf办公文档通过DeepSeek、豆包在线AI大模型自动提取核心要点，生成结构化摘要。</w:t>
            </w:r>
            <w:r>
              <w:rPr>
                <w:rFonts w:hint="eastAsia" w:ascii="宋体" w:hAnsi="宋体" w:cs="宋体"/>
                <w:color w:val="auto"/>
                <w:szCs w:val="21"/>
                <w:highlight w:val="none"/>
              </w:rPr>
              <w:t>（投标时须提供佐证材料证明满足该功能，佐证材料包含但不限于经国家认可的第三方认证（检测）机构出具的带有CMA或CNAS标志的检测报告复印件或官网截图或彩页或功能截图，除检测报告外，其他佐证材料均需加盖原厂公章。）</w:t>
            </w:r>
          </w:p>
          <w:p w14:paraId="6EF2EE13">
            <w:pPr>
              <w:numPr>
                <w:ilvl w:val="0"/>
                <w:numId w:val="1"/>
              </w:numPr>
              <w:rPr>
                <w:rFonts w:ascii="宋体" w:hAnsi="宋体"/>
                <w:color w:val="auto"/>
                <w:szCs w:val="21"/>
                <w:highlight w:val="none"/>
              </w:rPr>
            </w:pPr>
            <w:r>
              <w:rPr>
                <w:rFonts w:hint="eastAsia" w:ascii="宋体" w:hAnsi="宋体"/>
                <w:color w:val="auto"/>
                <w:szCs w:val="21"/>
                <w:highlight w:val="none"/>
              </w:rPr>
              <w:t>支持同屏录制服务,支持对会议广播及屏幕共享内容进行无感知录制，可定时录制，录像文件数据上传后台服务器进行保存。</w:t>
            </w:r>
          </w:p>
        </w:tc>
      </w:tr>
      <w:tr w14:paraId="0F1FC4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jc w:val="center"/>
        </w:trPr>
        <w:tc>
          <w:tcPr>
            <w:tcW w:w="659" w:type="dxa"/>
            <w:vAlign w:val="center"/>
          </w:tcPr>
          <w:p w14:paraId="4C1B157F">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5</w:t>
            </w:r>
          </w:p>
        </w:tc>
        <w:tc>
          <w:tcPr>
            <w:tcW w:w="1148" w:type="dxa"/>
            <w:shd w:val="clear" w:color="auto" w:fill="auto"/>
            <w:vAlign w:val="center"/>
          </w:tcPr>
          <w:p w14:paraId="56A53C6B">
            <w:pPr>
              <w:jc w:val="center"/>
              <w:rPr>
                <w:rFonts w:ascii="宋体" w:hAnsi="宋体" w:cs="宋体"/>
                <w:color w:val="auto"/>
                <w:szCs w:val="21"/>
                <w:highlight w:val="none"/>
              </w:rPr>
            </w:pPr>
            <w:r>
              <w:rPr>
                <w:rFonts w:hint="eastAsia" w:ascii="宋体" w:hAnsi="宋体" w:cs="宋体"/>
                <w:color w:val="auto"/>
                <w:szCs w:val="21"/>
                <w:highlight w:val="none"/>
              </w:rPr>
              <w:t>无纸化升降器</w:t>
            </w:r>
          </w:p>
        </w:tc>
        <w:tc>
          <w:tcPr>
            <w:tcW w:w="961" w:type="dxa"/>
            <w:shd w:val="clear" w:color="auto" w:fill="auto"/>
            <w:vAlign w:val="center"/>
          </w:tcPr>
          <w:p w14:paraId="57D4AA6E">
            <w:pPr>
              <w:jc w:val="center"/>
              <w:rPr>
                <w:rFonts w:ascii="宋体" w:hAnsi="宋体" w:cs="宋体"/>
                <w:color w:val="auto"/>
                <w:szCs w:val="21"/>
                <w:highlight w:val="none"/>
              </w:rPr>
            </w:pPr>
            <w:r>
              <w:rPr>
                <w:rFonts w:hint="eastAsia" w:ascii="宋体" w:hAnsi="宋体" w:cs="宋体"/>
                <w:color w:val="auto"/>
                <w:szCs w:val="21"/>
                <w:highlight w:val="none"/>
              </w:rPr>
              <w:t>18台</w:t>
            </w:r>
          </w:p>
        </w:tc>
        <w:tc>
          <w:tcPr>
            <w:tcW w:w="701" w:type="dxa"/>
            <w:tcBorders>
              <w:right w:val="single" w:color="auto" w:sz="4" w:space="0"/>
            </w:tcBorders>
            <w:vAlign w:val="center"/>
          </w:tcPr>
          <w:p w14:paraId="190968DD">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工业</w:t>
            </w:r>
          </w:p>
        </w:tc>
        <w:tc>
          <w:tcPr>
            <w:tcW w:w="6527" w:type="dxa"/>
            <w:tcBorders>
              <w:left w:val="single" w:color="auto" w:sz="4" w:space="0"/>
              <w:right w:val="single" w:color="auto" w:sz="4" w:space="0"/>
            </w:tcBorders>
            <w:shd w:val="clear" w:color="auto" w:fill="auto"/>
            <w:vAlign w:val="center"/>
          </w:tcPr>
          <w:p w14:paraId="03D30176">
            <w:pPr>
              <w:rPr>
                <w:rFonts w:ascii="宋体" w:hAnsi="宋体"/>
                <w:color w:val="auto"/>
                <w:szCs w:val="21"/>
                <w:highlight w:val="none"/>
              </w:rPr>
            </w:pPr>
            <w:r>
              <w:rPr>
                <w:rFonts w:hint="eastAsia" w:ascii="宋体" w:hAnsi="宋体"/>
                <w:color w:val="auto"/>
                <w:szCs w:val="21"/>
                <w:highlight w:val="none"/>
              </w:rPr>
              <w:t>▲1.触控超薄高清显示屏与升降器一体化设计，无外露连接线、无连接背板、无外露螺丝，保证升降显示触控屏整体美观大方。</w:t>
            </w:r>
            <w:r>
              <w:rPr>
                <w:rFonts w:hint="eastAsia" w:ascii="宋体" w:hAnsi="宋体" w:cs="宋体"/>
                <w:color w:val="auto"/>
                <w:szCs w:val="21"/>
                <w:highlight w:val="none"/>
              </w:rPr>
              <w:t>（投标时须提供佐证材料证明满足该功能，佐证材料包含但不限于经国家认可的第三方认证（检测）机构出具的带有CMA或CNAS标志的检测报告复印件或官网截图或彩页或功能截图，除检测报告外，其他佐证材料均需加盖原厂公章。）</w:t>
            </w:r>
          </w:p>
          <w:p w14:paraId="6AEB8719">
            <w:pPr>
              <w:rPr>
                <w:rFonts w:ascii="宋体" w:hAnsi="宋体"/>
                <w:color w:val="auto"/>
                <w:szCs w:val="21"/>
                <w:highlight w:val="none"/>
              </w:rPr>
            </w:pPr>
            <w:r>
              <w:rPr>
                <w:rFonts w:hint="eastAsia" w:ascii="宋体" w:hAnsi="宋体"/>
                <w:color w:val="auto"/>
                <w:szCs w:val="21"/>
                <w:highlight w:val="none"/>
              </w:rPr>
              <w:t>2.设备采用全铝结构，优质铝材加上CNC精雕加工，显示屏框架、机箱都为铝合金带麦克风一体升降，设备的表面处理为阳极氧化处理。</w:t>
            </w:r>
          </w:p>
          <w:p w14:paraId="5882D735">
            <w:pPr>
              <w:rPr>
                <w:rFonts w:ascii="宋体" w:hAnsi="宋体"/>
                <w:color w:val="auto"/>
                <w:szCs w:val="21"/>
                <w:highlight w:val="none"/>
              </w:rPr>
            </w:pPr>
            <w:r>
              <w:rPr>
                <w:rFonts w:hint="eastAsia" w:ascii="宋体" w:hAnsi="宋体"/>
                <w:color w:val="auto"/>
                <w:szCs w:val="21"/>
                <w:highlight w:val="none"/>
              </w:rPr>
              <w:t>▲3.话筒升降具有自动扶直功能，当麦杆弯曲时，机器关闭可自动扶直麦杆，不会损坏麦杆。</w:t>
            </w:r>
            <w:r>
              <w:rPr>
                <w:rFonts w:hint="eastAsia" w:ascii="宋体" w:hAnsi="宋体" w:cs="宋体"/>
                <w:color w:val="auto"/>
                <w:szCs w:val="21"/>
                <w:highlight w:val="none"/>
              </w:rPr>
              <w:t>（投标时须提供佐证材料证明满足该功能，佐证材料包含但不限于经国家认可的第三方认证（检测）机构出具的带有CMA或CNAS标志的检测报告复印件或官网截图或彩页或功能截图，除检测报告外，其他佐证材料均需加盖原厂公章。）</w:t>
            </w:r>
          </w:p>
          <w:p w14:paraId="04DABE59">
            <w:pPr>
              <w:rPr>
                <w:rFonts w:ascii="宋体" w:hAnsi="宋体"/>
                <w:color w:val="auto"/>
                <w:szCs w:val="21"/>
                <w:highlight w:val="none"/>
              </w:rPr>
            </w:pPr>
            <w:r>
              <w:rPr>
                <w:rFonts w:hint="eastAsia" w:ascii="宋体" w:hAnsi="宋体"/>
                <w:color w:val="auto"/>
                <w:szCs w:val="21"/>
                <w:highlight w:val="none"/>
              </w:rPr>
              <w:t>4.具备≥1组232/485，≥2路USB接口。</w:t>
            </w:r>
          </w:p>
          <w:p w14:paraId="7703DB85">
            <w:pPr>
              <w:rPr>
                <w:rFonts w:ascii="宋体" w:hAnsi="宋体" w:cs="宋体"/>
                <w:color w:val="auto"/>
                <w:szCs w:val="21"/>
                <w:highlight w:val="none"/>
              </w:rPr>
            </w:pPr>
            <w:r>
              <w:rPr>
                <w:rFonts w:hint="eastAsia" w:ascii="宋体" w:hAnsi="宋体"/>
                <w:color w:val="auto"/>
                <w:szCs w:val="21"/>
                <w:highlight w:val="none"/>
              </w:rPr>
              <w:t>▲5.传动结构做特殊处理，噪音降到最低。产品传动方式以高品质耐拉皮带与高精密度的滑块导轨和直线轴承配合，交流减速电机做驱动动力；中控协议兼容性较强，兼容所有控制主机，控制设备在上升后，屏幕自动供电，下降后，屏幕自行断电，节约环保。</w:t>
            </w:r>
            <w:r>
              <w:rPr>
                <w:rFonts w:hint="eastAsia" w:ascii="宋体" w:hAnsi="宋体" w:cs="宋体"/>
                <w:color w:val="auto"/>
                <w:szCs w:val="21"/>
                <w:highlight w:val="none"/>
              </w:rPr>
              <w:t>（投标时须提供佐证材料证明满足该功能，佐证材料包含但不限于经国家认可的第三方认证（检测）机构出具的带有CMA或CNAS标志的检测报告复印件或官网截图或彩页或功能截图，除检测报告外，其他佐证材料均需加盖原厂公章。）</w:t>
            </w:r>
          </w:p>
          <w:p w14:paraId="0E52E4A0">
            <w:pPr>
              <w:rPr>
                <w:rFonts w:ascii="宋体" w:hAnsi="宋体"/>
                <w:color w:val="auto"/>
                <w:szCs w:val="21"/>
                <w:highlight w:val="none"/>
              </w:rPr>
            </w:pPr>
            <w:r>
              <w:rPr>
                <w:rFonts w:hint="eastAsia" w:ascii="宋体" w:hAnsi="宋体"/>
                <w:color w:val="auto"/>
                <w:szCs w:val="21"/>
                <w:highlight w:val="none"/>
              </w:rPr>
              <w:t>▲6.≥15.6英寸超薄液晶触屏显示器，分辨率达≥1920*1080P，显示效果清晰亮丽，可调节背光设计</w:t>
            </w:r>
            <w:r>
              <w:rPr>
                <w:rFonts w:hint="eastAsia" w:ascii="宋体" w:hAnsi="宋体" w:cs="宋体"/>
                <w:color w:val="auto"/>
                <w:szCs w:val="21"/>
                <w:highlight w:val="none"/>
              </w:rPr>
              <w:t>（投标时须提供佐证材料证明满足该功能，佐证材料包含但不限于经国家认可的第三方认证（检测）机构出具的带有CMA或CNAS标志的检测报告复印件或官网截图或彩页或功能截图，除检测报告外，其他佐证材料均需加盖原厂公章。）</w:t>
            </w:r>
          </w:p>
          <w:p w14:paraId="620C38CC">
            <w:pPr>
              <w:rPr>
                <w:rFonts w:ascii="宋体" w:hAnsi="宋体"/>
                <w:color w:val="auto"/>
                <w:szCs w:val="21"/>
                <w:highlight w:val="none"/>
              </w:rPr>
            </w:pPr>
            <w:r>
              <w:rPr>
                <w:rFonts w:hint="eastAsia" w:ascii="宋体" w:hAnsi="宋体"/>
                <w:color w:val="auto"/>
                <w:szCs w:val="21"/>
                <w:highlight w:val="none"/>
              </w:rPr>
              <w:t>▲7.支持≥1路HDMI和≥1路VGA信号输入，当只有一路信号输入时，屏幕会自动识别信号，当两路信号同时输入时，可通过面板按键手动切换，当无信号输入时，屏幕自动进入省电模式。</w:t>
            </w:r>
            <w:r>
              <w:rPr>
                <w:rFonts w:hint="eastAsia" w:ascii="宋体" w:hAnsi="宋体" w:cs="宋体"/>
                <w:color w:val="auto"/>
                <w:szCs w:val="21"/>
                <w:highlight w:val="none"/>
              </w:rPr>
              <w:t>（投标时须提供佐证材料证明满足该功能，佐证材料包含但不限于经国家认可的第三方认证（检测）机构出具的带有CMA或CNAS标志的检测报告复印件或官网截图或彩页或功能截图，除检测报告外，其他佐证材料均需加盖原厂公章。）</w:t>
            </w:r>
          </w:p>
          <w:p w14:paraId="0A5CC709">
            <w:pPr>
              <w:rPr>
                <w:rFonts w:ascii="宋体" w:hAnsi="宋体"/>
                <w:color w:val="auto"/>
                <w:szCs w:val="21"/>
                <w:highlight w:val="none"/>
              </w:rPr>
            </w:pPr>
            <w:r>
              <w:rPr>
                <w:rFonts w:hint="eastAsia" w:ascii="宋体" w:hAnsi="宋体"/>
                <w:color w:val="auto"/>
                <w:szCs w:val="21"/>
                <w:highlight w:val="none"/>
              </w:rPr>
              <w:t>▲8.设备可通过中控软件进行集中控制，可通过主机进行控制，一键可让室内所有的设备都上升或下降。</w:t>
            </w:r>
            <w:r>
              <w:rPr>
                <w:rFonts w:hint="eastAsia" w:ascii="宋体" w:hAnsi="宋体" w:cs="宋体"/>
                <w:color w:val="auto"/>
                <w:szCs w:val="21"/>
                <w:highlight w:val="none"/>
              </w:rPr>
              <w:t>（投标时须提供佐证材料证明满足该功能，佐证材料包含但不限于经国家认可的第三方认证（检测）机构出具的带有CMA或CNAS标志的检测报告复印件或官网截图或彩页或功能截图，除检测报告外，其他佐证材料均需加盖原厂公章。）</w:t>
            </w:r>
          </w:p>
          <w:p w14:paraId="749B3256">
            <w:pPr>
              <w:rPr>
                <w:rFonts w:ascii="宋体" w:hAnsi="宋体"/>
                <w:color w:val="auto"/>
                <w:szCs w:val="21"/>
                <w:highlight w:val="none"/>
              </w:rPr>
            </w:pPr>
            <w:r>
              <w:rPr>
                <w:rFonts w:hint="eastAsia" w:ascii="宋体" w:hAnsi="宋体"/>
                <w:color w:val="auto"/>
                <w:szCs w:val="21"/>
                <w:highlight w:val="none"/>
              </w:rPr>
              <w:t>9.显示屏仰角符合人体工程学原理，不遮挡视线和人脸，显示屏仰角角度可调0-30°。</w:t>
            </w:r>
          </w:p>
          <w:p w14:paraId="0239316F">
            <w:pPr>
              <w:rPr>
                <w:rFonts w:ascii="宋体" w:hAnsi="宋体"/>
                <w:color w:val="auto"/>
                <w:szCs w:val="21"/>
                <w:highlight w:val="none"/>
              </w:rPr>
            </w:pPr>
            <w:r>
              <w:rPr>
                <w:rFonts w:hint="eastAsia" w:ascii="宋体" w:hAnsi="宋体"/>
                <w:color w:val="auto"/>
                <w:szCs w:val="21"/>
                <w:highlight w:val="none"/>
              </w:rPr>
              <w:t>10.升降器具备≥1路环通输出电源插座，给终端供电减少终端电源插座布线。</w:t>
            </w:r>
          </w:p>
          <w:p w14:paraId="58E7B022">
            <w:pPr>
              <w:rPr>
                <w:rFonts w:ascii="宋体" w:hAnsi="宋体" w:cs="宋体"/>
                <w:color w:val="auto"/>
                <w:szCs w:val="21"/>
                <w:highlight w:val="none"/>
              </w:rPr>
            </w:pPr>
            <w:r>
              <w:rPr>
                <w:rFonts w:hint="eastAsia" w:ascii="宋体" w:hAnsi="宋体"/>
                <w:color w:val="auto"/>
                <w:szCs w:val="21"/>
                <w:highlight w:val="none"/>
              </w:rPr>
              <w:t>▲11.桌面面板具备≥1路USB接口，支持连接U盘可进行浏览文件或上传文件操作。</w:t>
            </w:r>
            <w:r>
              <w:rPr>
                <w:rFonts w:hint="eastAsia" w:ascii="宋体" w:hAnsi="宋体" w:cs="宋体"/>
                <w:color w:val="auto"/>
                <w:szCs w:val="21"/>
                <w:highlight w:val="none"/>
              </w:rPr>
              <w:t>（投标时须提供佐证材料证明满足该功能，佐证材料包含但不限于经国家认可的第三方认证（检测）机构出具的带有CMA或CNAS标志的检测报告复印件或官网截图或彩页或功能截图，除检测报告外，其他佐证材料均需加盖原厂公章。）</w:t>
            </w:r>
          </w:p>
          <w:p w14:paraId="219E1DC5">
            <w:pPr>
              <w:rPr>
                <w:rFonts w:ascii="宋体" w:hAnsi="宋体" w:cs="宋体"/>
                <w:color w:val="auto"/>
                <w:szCs w:val="21"/>
                <w:highlight w:val="none"/>
              </w:rPr>
            </w:pPr>
            <w:r>
              <w:rPr>
                <w:rFonts w:hint="eastAsia" w:ascii="宋体" w:hAnsi="宋体" w:cs="宋体"/>
                <w:color w:val="auto"/>
                <w:szCs w:val="21"/>
                <w:highlight w:val="none"/>
              </w:rPr>
              <w:t>▲12.本设备需要协调一期原设备厂商配合对接，产生的协调、授权、二次开发费用全部自理，可参照一期在用设备技术标准或同等档次产品，提供原厂互通证明并加盖制造商公章</w:t>
            </w:r>
            <w:r>
              <w:rPr>
                <w:rFonts w:hint="eastAsia"/>
                <w:color w:val="auto"/>
                <w:highlight w:val="none"/>
              </w:rPr>
              <w:t>，一期设备厂家为itc，型号为TS-0300M和TS-3400MAX。</w:t>
            </w:r>
          </w:p>
        </w:tc>
      </w:tr>
      <w:tr w14:paraId="032211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2" w:hRule="atLeast"/>
          <w:jc w:val="center"/>
        </w:trPr>
        <w:tc>
          <w:tcPr>
            <w:tcW w:w="659" w:type="dxa"/>
            <w:vAlign w:val="center"/>
          </w:tcPr>
          <w:p w14:paraId="656AD632">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6</w:t>
            </w:r>
          </w:p>
        </w:tc>
        <w:tc>
          <w:tcPr>
            <w:tcW w:w="1148" w:type="dxa"/>
            <w:shd w:val="clear" w:color="auto" w:fill="auto"/>
            <w:vAlign w:val="center"/>
          </w:tcPr>
          <w:p w14:paraId="5119E525">
            <w:pPr>
              <w:jc w:val="center"/>
              <w:rPr>
                <w:rFonts w:ascii="宋体" w:hAnsi="宋体" w:cs="宋体"/>
                <w:color w:val="auto"/>
                <w:szCs w:val="21"/>
                <w:highlight w:val="none"/>
              </w:rPr>
            </w:pPr>
            <w:r>
              <w:rPr>
                <w:rFonts w:hint="eastAsia" w:ascii="宋体" w:hAnsi="宋体" w:cs="宋体"/>
                <w:color w:val="auto"/>
                <w:szCs w:val="21"/>
                <w:highlight w:val="none"/>
              </w:rPr>
              <w:t>无纸化升降器内嵌软件</w:t>
            </w:r>
          </w:p>
        </w:tc>
        <w:tc>
          <w:tcPr>
            <w:tcW w:w="961" w:type="dxa"/>
            <w:shd w:val="clear" w:color="auto" w:fill="auto"/>
            <w:vAlign w:val="center"/>
          </w:tcPr>
          <w:p w14:paraId="3C39242E">
            <w:pPr>
              <w:jc w:val="center"/>
              <w:rPr>
                <w:rFonts w:ascii="宋体" w:hAnsi="宋体" w:cs="宋体"/>
                <w:color w:val="auto"/>
                <w:szCs w:val="21"/>
                <w:highlight w:val="none"/>
              </w:rPr>
            </w:pPr>
            <w:r>
              <w:rPr>
                <w:rFonts w:hint="eastAsia" w:ascii="宋体" w:hAnsi="宋体" w:cs="宋体"/>
                <w:color w:val="auto"/>
                <w:szCs w:val="21"/>
                <w:highlight w:val="none"/>
              </w:rPr>
              <w:t>18套</w:t>
            </w:r>
          </w:p>
        </w:tc>
        <w:tc>
          <w:tcPr>
            <w:tcW w:w="701" w:type="dxa"/>
            <w:tcBorders>
              <w:right w:val="single" w:color="auto" w:sz="4" w:space="0"/>
            </w:tcBorders>
            <w:vAlign w:val="center"/>
          </w:tcPr>
          <w:p w14:paraId="6F8298BC">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w:t>
            </w:r>
          </w:p>
        </w:tc>
        <w:tc>
          <w:tcPr>
            <w:tcW w:w="6527" w:type="dxa"/>
            <w:tcBorders>
              <w:left w:val="single" w:color="auto" w:sz="4" w:space="0"/>
              <w:right w:val="single" w:color="auto" w:sz="4" w:space="0"/>
            </w:tcBorders>
            <w:shd w:val="clear" w:color="auto" w:fill="auto"/>
            <w:vAlign w:val="center"/>
          </w:tcPr>
          <w:p w14:paraId="7A3E42B8">
            <w:pPr>
              <w:rPr>
                <w:rFonts w:ascii="宋体" w:hAnsi="宋体"/>
                <w:color w:val="auto"/>
                <w:szCs w:val="21"/>
                <w:highlight w:val="none"/>
              </w:rPr>
            </w:pPr>
            <w:r>
              <w:rPr>
                <w:rFonts w:hint="eastAsia" w:ascii="宋体" w:hAnsi="宋体"/>
                <w:color w:val="auto"/>
                <w:szCs w:val="21"/>
                <w:highlight w:val="none"/>
              </w:rPr>
              <w:t>1.软件内嵌于终端设备，显示端可对多种文件格式文档进行阅览。</w:t>
            </w:r>
          </w:p>
          <w:p w14:paraId="7A707E61">
            <w:pPr>
              <w:rPr>
                <w:rFonts w:ascii="宋体" w:hAnsi="宋体"/>
                <w:color w:val="auto"/>
                <w:szCs w:val="21"/>
                <w:highlight w:val="none"/>
              </w:rPr>
            </w:pPr>
            <w:r>
              <w:rPr>
                <w:rFonts w:hint="eastAsia" w:ascii="宋体" w:hAnsi="宋体"/>
                <w:color w:val="auto"/>
                <w:szCs w:val="21"/>
                <w:highlight w:val="none"/>
              </w:rPr>
              <w:t>2.支持多种分辨率适配，可适应各种终端界面。</w:t>
            </w:r>
          </w:p>
        </w:tc>
      </w:tr>
      <w:tr w14:paraId="3B4CDE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jc w:val="center"/>
        </w:trPr>
        <w:tc>
          <w:tcPr>
            <w:tcW w:w="659" w:type="dxa"/>
            <w:vAlign w:val="center"/>
          </w:tcPr>
          <w:p w14:paraId="0AFB92FC">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7</w:t>
            </w:r>
          </w:p>
        </w:tc>
        <w:tc>
          <w:tcPr>
            <w:tcW w:w="1148" w:type="dxa"/>
            <w:shd w:val="clear" w:color="auto" w:fill="auto"/>
            <w:vAlign w:val="center"/>
          </w:tcPr>
          <w:p w14:paraId="07799B52">
            <w:pPr>
              <w:jc w:val="center"/>
              <w:rPr>
                <w:rFonts w:ascii="宋体" w:hAnsi="宋体" w:cs="宋体"/>
                <w:color w:val="auto"/>
                <w:szCs w:val="21"/>
                <w:highlight w:val="none"/>
              </w:rPr>
            </w:pPr>
            <w:r>
              <w:rPr>
                <w:rFonts w:hint="eastAsia" w:ascii="宋体" w:hAnsi="宋体" w:cs="宋体"/>
                <w:color w:val="auto"/>
                <w:szCs w:val="21"/>
                <w:highlight w:val="none"/>
              </w:rPr>
              <w:t>网络主机</w:t>
            </w:r>
          </w:p>
        </w:tc>
        <w:tc>
          <w:tcPr>
            <w:tcW w:w="961" w:type="dxa"/>
            <w:shd w:val="clear" w:color="auto" w:fill="auto"/>
            <w:vAlign w:val="center"/>
          </w:tcPr>
          <w:p w14:paraId="671D90D4">
            <w:pPr>
              <w:jc w:val="center"/>
              <w:rPr>
                <w:rFonts w:ascii="宋体" w:hAnsi="宋体" w:cs="宋体"/>
                <w:color w:val="auto"/>
                <w:szCs w:val="21"/>
                <w:highlight w:val="none"/>
              </w:rPr>
            </w:pPr>
            <w:r>
              <w:rPr>
                <w:rFonts w:hint="eastAsia" w:ascii="宋体" w:hAnsi="宋体" w:cs="宋体"/>
                <w:color w:val="auto"/>
                <w:szCs w:val="21"/>
                <w:highlight w:val="none"/>
              </w:rPr>
              <w:t>1台</w:t>
            </w:r>
          </w:p>
        </w:tc>
        <w:tc>
          <w:tcPr>
            <w:tcW w:w="701" w:type="dxa"/>
            <w:tcBorders>
              <w:right w:val="single" w:color="auto" w:sz="4" w:space="0"/>
            </w:tcBorders>
            <w:vAlign w:val="center"/>
          </w:tcPr>
          <w:p w14:paraId="59A300CD">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工业</w:t>
            </w:r>
          </w:p>
        </w:tc>
        <w:tc>
          <w:tcPr>
            <w:tcW w:w="6527" w:type="dxa"/>
            <w:tcBorders>
              <w:left w:val="single" w:color="auto" w:sz="4" w:space="0"/>
              <w:right w:val="single" w:color="auto" w:sz="4" w:space="0"/>
            </w:tcBorders>
            <w:shd w:val="clear" w:color="auto" w:fill="auto"/>
            <w:vAlign w:val="center"/>
          </w:tcPr>
          <w:p w14:paraId="60339565">
            <w:pPr>
              <w:rPr>
                <w:rFonts w:ascii="宋体" w:hAnsi="宋体"/>
                <w:color w:val="auto"/>
                <w:szCs w:val="21"/>
                <w:highlight w:val="none"/>
              </w:rPr>
            </w:pPr>
            <w:r>
              <w:rPr>
                <w:rFonts w:hint="eastAsia" w:ascii="宋体" w:hAnsi="宋体" w:cs="宋体"/>
                <w:color w:val="auto"/>
                <w:szCs w:val="21"/>
                <w:highlight w:val="none"/>
              </w:rPr>
              <w:t>▲</w:t>
            </w:r>
            <w:r>
              <w:rPr>
                <w:rFonts w:hint="eastAsia" w:ascii="宋体" w:hAnsi="宋体"/>
                <w:color w:val="auto"/>
                <w:szCs w:val="21"/>
                <w:highlight w:val="none"/>
              </w:rPr>
              <w:t>1.具有≥24个网络端口，≥4个千兆SFP+光纤口，≥1个控制口。</w:t>
            </w:r>
            <w:r>
              <w:rPr>
                <w:rFonts w:hint="eastAsia" w:ascii="宋体" w:hAnsi="宋体" w:cs="宋体"/>
                <w:color w:val="auto"/>
                <w:szCs w:val="21"/>
                <w:highlight w:val="none"/>
              </w:rPr>
              <w:t>（投标时须提供佐证材料证明满足该功能，佐证材料包含但不限于经国家认可的第三方认证（检测）机构出具的带有CMA或CNAS标志的检测报告复印件或官网截图或彩页或功能截图，除检测报告外，其他佐证材料均需加盖原厂公章。）</w:t>
            </w:r>
          </w:p>
          <w:p w14:paraId="6CDA2BAD">
            <w:pPr>
              <w:rPr>
                <w:rFonts w:ascii="宋体" w:hAnsi="宋体"/>
                <w:color w:val="auto"/>
                <w:szCs w:val="21"/>
                <w:highlight w:val="none"/>
              </w:rPr>
            </w:pPr>
            <w:r>
              <w:rPr>
                <w:rFonts w:hint="eastAsia" w:ascii="宋体" w:hAnsi="宋体"/>
                <w:color w:val="auto"/>
                <w:szCs w:val="21"/>
                <w:highlight w:val="none"/>
              </w:rPr>
              <w:t>2.支持网口和光纤线热插拨，支持双备份链路。</w:t>
            </w:r>
          </w:p>
          <w:p w14:paraId="64FE8E0D">
            <w:pPr>
              <w:rPr>
                <w:rFonts w:ascii="宋体" w:hAnsi="宋体"/>
                <w:color w:val="auto"/>
                <w:szCs w:val="21"/>
                <w:highlight w:val="none"/>
              </w:rPr>
            </w:pPr>
            <w:r>
              <w:rPr>
                <w:rFonts w:hint="eastAsia" w:ascii="宋体" w:hAnsi="宋体"/>
                <w:color w:val="auto"/>
                <w:szCs w:val="21"/>
                <w:highlight w:val="none"/>
              </w:rPr>
              <w:t>3.支持胖瘦一体化，具有智能交换机和普通交换机两种工作模式。</w:t>
            </w:r>
          </w:p>
          <w:p w14:paraId="1DC4C524">
            <w:pPr>
              <w:rPr>
                <w:rFonts w:ascii="宋体" w:hAnsi="宋体"/>
                <w:color w:val="auto"/>
                <w:szCs w:val="21"/>
                <w:highlight w:val="none"/>
              </w:rPr>
            </w:pPr>
            <w:r>
              <w:rPr>
                <w:rFonts w:hint="eastAsia" w:ascii="宋体" w:hAnsi="宋体"/>
                <w:color w:val="auto"/>
                <w:szCs w:val="21"/>
                <w:highlight w:val="none"/>
              </w:rPr>
              <w:t>4.通过网络管理平台可实现一键快速替换故障设备。</w:t>
            </w:r>
          </w:p>
          <w:p w14:paraId="605F18D0">
            <w:pPr>
              <w:rPr>
                <w:rFonts w:ascii="宋体" w:hAnsi="宋体"/>
                <w:color w:val="auto"/>
                <w:szCs w:val="21"/>
                <w:highlight w:val="none"/>
              </w:rPr>
            </w:pPr>
            <w:r>
              <w:rPr>
                <w:rFonts w:hint="eastAsia" w:ascii="宋体" w:hAnsi="宋体"/>
                <w:color w:val="auto"/>
                <w:szCs w:val="21"/>
                <w:highlight w:val="none"/>
              </w:rPr>
              <w:t>5.具有 IEEE 802.3az 标准的 EEE 节能技术：当 EEE 使能时，可大幅度的减小端口在该阶段的功耗，达到了节能的目的。</w:t>
            </w:r>
          </w:p>
          <w:p w14:paraId="24A83844">
            <w:pPr>
              <w:rPr>
                <w:rFonts w:ascii="宋体" w:hAnsi="宋体"/>
                <w:color w:val="auto"/>
                <w:szCs w:val="21"/>
                <w:highlight w:val="none"/>
              </w:rPr>
            </w:pPr>
            <w:r>
              <w:rPr>
                <w:rFonts w:hint="eastAsia" w:ascii="宋体" w:hAnsi="宋体"/>
                <w:color w:val="auto"/>
                <w:szCs w:val="21"/>
                <w:highlight w:val="none"/>
              </w:rPr>
              <w:t>6.提供友好的Web管理界面，1:1还原交换机端口和面板状态，可方便、快捷查看交换机端口工作状态、流量趋势。</w:t>
            </w:r>
          </w:p>
          <w:p w14:paraId="1723DAF9">
            <w:pPr>
              <w:rPr>
                <w:rFonts w:ascii="宋体" w:hAnsi="宋体"/>
                <w:color w:val="auto"/>
                <w:szCs w:val="21"/>
                <w:highlight w:val="none"/>
              </w:rPr>
            </w:pPr>
            <w:r>
              <w:rPr>
                <w:rFonts w:hint="eastAsia" w:ascii="宋体" w:hAnsi="宋体"/>
                <w:color w:val="auto"/>
                <w:szCs w:val="21"/>
                <w:highlight w:val="none"/>
              </w:rPr>
              <w:t>7.采用“零部署”上线方式，交换机接上网线后自动展示在待激活列表，无需配置，一键即可激活。同时控制器还能对故障交换机进行一键重启和替换，最大程度节省运维时间。</w:t>
            </w:r>
          </w:p>
        </w:tc>
      </w:tr>
      <w:tr w14:paraId="0804A0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jc w:val="center"/>
        </w:trPr>
        <w:tc>
          <w:tcPr>
            <w:tcW w:w="659" w:type="dxa"/>
            <w:vAlign w:val="center"/>
          </w:tcPr>
          <w:p w14:paraId="3BA0775F">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8</w:t>
            </w:r>
          </w:p>
        </w:tc>
        <w:tc>
          <w:tcPr>
            <w:tcW w:w="1148" w:type="dxa"/>
            <w:shd w:val="clear" w:color="auto" w:fill="auto"/>
            <w:vAlign w:val="center"/>
          </w:tcPr>
          <w:p w14:paraId="4D20E581">
            <w:pPr>
              <w:jc w:val="center"/>
              <w:rPr>
                <w:rFonts w:ascii="宋体" w:hAnsi="宋体" w:cs="宋体"/>
                <w:color w:val="auto"/>
                <w:szCs w:val="21"/>
                <w:highlight w:val="none"/>
              </w:rPr>
            </w:pPr>
            <w:r>
              <w:rPr>
                <w:rFonts w:hint="eastAsia" w:ascii="宋体" w:hAnsi="宋体" w:cs="宋体"/>
                <w:color w:val="auto"/>
                <w:szCs w:val="21"/>
                <w:highlight w:val="none"/>
              </w:rPr>
              <w:t>连接线</w:t>
            </w:r>
          </w:p>
        </w:tc>
        <w:tc>
          <w:tcPr>
            <w:tcW w:w="961" w:type="dxa"/>
            <w:shd w:val="clear" w:color="auto" w:fill="auto"/>
            <w:vAlign w:val="center"/>
          </w:tcPr>
          <w:p w14:paraId="6D436417">
            <w:pPr>
              <w:jc w:val="center"/>
              <w:rPr>
                <w:rFonts w:ascii="宋体" w:hAnsi="宋体" w:cs="宋体"/>
                <w:color w:val="auto"/>
                <w:szCs w:val="21"/>
                <w:highlight w:val="none"/>
              </w:rPr>
            </w:pPr>
            <w:r>
              <w:rPr>
                <w:rFonts w:hint="eastAsia" w:ascii="宋体" w:hAnsi="宋体" w:cs="宋体"/>
                <w:color w:val="auto"/>
                <w:szCs w:val="21"/>
                <w:highlight w:val="none"/>
              </w:rPr>
              <w:t>2根</w:t>
            </w:r>
          </w:p>
        </w:tc>
        <w:tc>
          <w:tcPr>
            <w:tcW w:w="701" w:type="dxa"/>
            <w:tcBorders>
              <w:right w:val="single" w:color="auto" w:sz="4" w:space="0"/>
            </w:tcBorders>
            <w:vAlign w:val="center"/>
          </w:tcPr>
          <w:p w14:paraId="40FC4CA0">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工业</w:t>
            </w:r>
          </w:p>
        </w:tc>
        <w:tc>
          <w:tcPr>
            <w:tcW w:w="6527" w:type="dxa"/>
            <w:tcBorders>
              <w:left w:val="single" w:color="auto" w:sz="4" w:space="0"/>
              <w:right w:val="single" w:color="auto" w:sz="4" w:space="0"/>
            </w:tcBorders>
            <w:shd w:val="clear" w:color="auto" w:fill="auto"/>
            <w:vAlign w:val="center"/>
          </w:tcPr>
          <w:p w14:paraId="4857B1E3">
            <w:pPr>
              <w:rPr>
                <w:rFonts w:ascii="宋体" w:hAnsi="宋体"/>
                <w:color w:val="auto"/>
                <w:szCs w:val="21"/>
                <w:highlight w:val="none"/>
              </w:rPr>
            </w:pPr>
            <w:r>
              <w:rPr>
                <w:rFonts w:hint="eastAsia" w:ascii="宋体" w:hAnsi="宋体"/>
                <w:color w:val="auto"/>
                <w:szCs w:val="21"/>
                <w:highlight w:val="none"/>
              </w:rPr>
              <w:t>≥20米延长线（一公一母）</w:t>
            </w:r>
          </w:p>
        </w:tc>
      </w:tr>
      <w:tr w14:paraId="07CE34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jc w:val="center"/>
        </w:trPr>
        <w:tc>
          <w:tcPr>
            <w:tcW w:w="659" w:type="dxa"/>
            <w:vAlign w:val="center"/>
          </w:tcPr>
          <w:p w14:paraId="0A3CD148">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9</w:t>
            </w:r>
          </w:p>
        </w:tc>
        <w:tc>
          <w:tcPr>
            <w:tcW w:w="1148" w:type="dxa"/>
            <w:shd w:val="clear" w:color="auto" w:fill="auto"/>
            <w:vAlign w:val="center"/>
          </w:tcPr>
          <w:p w14:paraId="46623025">
            <w:pPr>
              <w:jc w:val="center"/>
              <w:rPr>
                <w:rFonts w:ascii="宋体" w:hAnsi="宋体" w:cs="宋体"/>
                <w:color w:val="auto"/>
                <w:szCs w:val="21"/>
                <w:highlight w:val="none"/>
              </w:rPr>
            </w:pPr>
            <w:r>
              <w:rPr>
                <w:rFonts w:hint="eastAsia" w:ascii="宋体" w:hAnsi="宋体" w:cs="宋体"/>
                <w:color w:val="auto"/>
                <w:szCs w:val="21"/>
                <w:highlight w:val="none"/>
              </w:rPr>
              <w:t>插座</w:t>
            </w:r>
          </w:p>
        </w:tc>
        <w:tc>
          <w:tcPr>
            <w:tcW w:w="961" w:type="dxa"/>
            <w:shd w:val="clear" w:color="auto" w:fill="auto"/>
            <w:vAlign w:val="center"/>
          </w:tcPr>
          <w:p w14:paraId="20E9B60C">
            <w:pPr>
              <w:jc w:val="center"/>
              <w:rPr>
                <w:rFonts w:ascii="宋体" w:hAnsi="宋体" w:cs="宋体"/>
                <w:color w:val="auto"/>
                <w:szCs w:val="21"/>
                <w:highlight w:val="none"/>
              </w:rPr>
            </w:pPr>
            <w:r>
              <w:rPr>
                <w:rFonts w:hint="eastAsia" w:ascii="宋体" w:hAnsi="宋体" w:cs="宋体"/>
                <w:color w:val="auto"/>
                <w:szCs w:val="21"/>
                <w:highlight w:val="none"/>
              </w:rPr>
              <w:t>2个</w:t>
            </w:r>
          </w:p>
        </w:tc>
        <w:tc>
          <w:tcPr>
            <w:tcW w:w="701" w:type="dxa"/>
            <w:tcBorders>
              <w:right w:val="single" w:color="auto" w:sz="4" w:space="0"/>
            </w:tcBorders>
            <w:vAlign w:val="center"/>
          </w:tcPr>
          <w:p w14:paraId="2511BF6D">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w:t>
            </w:r>
          </w:p>
        </w:tc>
        <w:tc>
          <w:tcPr>
            <w:tcW w:w="6527" w:type="dxa"/>
            <w:tcBorders>
              <w:left w:val="single" w:color="auto" w:sz="4" w:space="0"/>
              <w:right w:val="single" w:color="auto" w:sz="4" w:space="0"/>
            </w:tcBorders>
            <w:shd w:val="clear" w:color="auto" w:fill="auto"/>
            <w:vAlign w:val="center"/>
          </w:tcPr>
          <w:p w14:paraId="178106C9">
            <w:pPr>
              <w:rPr>
                <w:rFonts w:ascii="宋体" w:hAnsi="宋体"/>
                <w:color w:val="auto"/>
                <w:szCs w:val="21"/>
                <w:highlight w:val="none"/>
              </w:rPr>
            </w:pPr>
            <w:r>
              <w:rPr>
                <w:rFonts w:hint="eastAsia" w:ascii="宋体" w:hAnsi="宋体"/>
                <w:color w:val="auto"/>
                <w:szCs w:val="21"/>
                <w:highlight w:val="none"/>
              </w:rPr>
              <w:t>1.一进三出连接单元</w:t>
            </w:r>
          </w:p>
          <w:p w14:paraId="5DD9AF40">
            <w:pPr>
              <w:rPr>
                <w:rFonts w:ascii="宋体" w:hAnsi="宋体"/>
                <w:color w:val="auto"/>
                <w:szCs w:val="21"/>
                <w:highlight w:val="none"/>
              </w:rPr>
            </w:pPr>
            <w:r>
              <w:rPr>
                <w:rFonts w:hint="eastAsia" w:ascii="宋体" w:hAnsi="宋体"/>
                <w:color w:val="auto"/>
                <w:szCs w:val="21"/>
                <w:highlight w:val="none"/>
              </w:rPr>
              <w:t>2.采用 ≥100M/10M 自适应网络传输，可以实现手拉手级联。</w:t>
            </w:r>
          </w:p>
          <w:p w14:paraId="043AEA44">
            <w:pPr>
              <w:rPr>
                <w:rFonts w:ascii="宋体" w:hAnsi="宋体"/>
                <w:color w:val="auto"/>
                <w:szCs w:val="21"/>
                <w:highlight w:val="none"/>
              </w:rPr>
            </w:pPr>
            <w:r>
              <w:rPr>
                <w:rFonts w:hint="eastAsia" w:ascii="宋体" w:hAnsi="宋体"/>
                <w:color w:val="auto"/>
                <w:szCs w:val="21"/>
                <w:highlight w:val="none"/>
              </w:rPr>
              <w:t>3.每个六芯航空接口支持IEEE802.3、IEEE802.3u、 IEEE802.3x规范。</w:t>
            </w:r>
          </w:p>
        </w:tc>
      </w:tr>
      <w:tr w14:paraId="6AD4B2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jc w:val="center"/>
        </w:trPr>
        <w:tc>
          <w:tcPr>
            <w:tcW w:w="9996" w:type="dxa"/>
            <w:gridSpan w:val="5"/>
            <w:tcBorders>
              <w:right w:val="single" w:color="auto" w:sz="4" w:space="0"/>
            </w:tcBorders>
            <w:vAlign w:val="center"/>
          </w:tcPr>
          <w:p w14:paraId="1FA11E53">
            <w:pPr>
              <w:widowControl/>
              <w:jc w:val="left"/>
              <w:textAlignment w:val="center"/>
              <w:rPr>
                <w:rFonts w:ascii="宋体" w:hAnsi="宋体" w:cs="宋体"/>
                <w:color w:val="auto"/>
                <w:kern w:val="0"/>
                <w:szCs w:val="21"/>
                <w:highlight w:val="none"/>
                <w:lang w:bidi="ar"/>
              </w:rPr>
            </w:pPr>
            <w:r>
              <w:rPr>
                <w:rFonts w:hint="eastAsia" w:ascii="宋体" w:hAnsi="宋体" w:cs="宋体"/>
                <w:b/>
                <w:bCs/>
                <w:color w:val="auto"/>
                <w:kern w:val="0"/>
                <w:szCs w:val="21"/>
                <w:highlight w:val="none"/>
                <w:lang w:bidi="ar"/>
              </w:rPr>
              <w:t>（二）辅助材料</w:t>
            </w:r>
          </w:p>
        </w:tc>
      </w:tr>
      <w:tr w14:paraId="41A5C7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jc w:val="center"/>
        </w:trPr>
        <w:tc>
          <w:tcPr>
            <w:tcW w:w="659" w:type="dxa"/>
            <w:vAlign w:val="center"/>
          </w:tcPr>
          <w:p w14:paraId="6D5BFC4E">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w:t>
            </w:r>
          </w:p>
        </w:tc>
        <w:tc>
          <w:tcPr>
            <w:tcW w:w="1148" w:type="dxa"/>
            <w:shd w:val="clear" w:color="auto" w:fill="auto"/>
            <w:vAlign w:val="center"/>
          </w:tcPr>
          <w:p w14:paraId="27B1F8AB">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辅材</w:t>
            </w:r>
          </w:p>
        </w:tc>
        <w:tc>
          <w:tcPr>
            <w:tcW w:w="961" w:type="dxa"/>
            <w:shd w:val="clear" w:color="auto" w:fill="auto"/>
            <w:vAlign w:val="center"/>
          </w:tcPr>
          <w:p w14:paraId="487AC87C">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1批</w:t>
            </w:r>
          </w:p>
        </w:tc>
        <w:tc>
          <w:tcPr>
            <w:tcW w:w="701" w:type="dxa"/>
            <w:tcBorders>
              <w:right w:val="single" w:color="auto" w:sz="4" w:space="0"/>
            </w:tcBorders>
            <w:vAlign w:val="center"/>
          </w:tcPr>
          <w:p w14:paraId="41DCA27F">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工业</w:t>
            </w:r>
          </w:p>
        </w:tc>
        <w:tc>
          <w:tcPr>
            <w:tcW w:w="6527" w:type="dxa"/>
            <w:tcBorders>
              <w:left w:val="single" w:color="auto" w:sz="4" w:space="0"/>
              <w:right w:val="single" w:color="auto" w:sz="4" w:space="0"/>
            </w:tcBorders>
            <w:shd w:val="clear" w:color="auto" w:fill="auto"/>
            <w:vAlign w:val="center"/>
          </w:tcPr>
          <w:p w14:paraId="53665230">
            <w:pPr>
              <w:rPr>
                <w:rFonts w:ascii="宋体" w:hAnsi="宋体" w:cs="宋体"/>
                <w:color w:val="auto"/>
                <w:szCs w:val="21"/>
                <w:highlight w:val="none"/>
              </w:rPr>
            </w:pPr>
            <w:r>
              <w:rPr>
                <w:rFonts w:hint="eastAsia" w:ascii="宋体" w:hAnsi="宋体" w:cs="宋体"/>
                <w:color w:val="auto"/>
                <w:szCs w:val="21"/>
                <w:highlight w:val="none"/>
              </w:rPr>
              <w:t>设备安装所需材料</w:t>
            </w:r>
          </w:p>
        </w:tc>
      </w:tr>
      <w:tr w14:paraId="7CCE14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jc w:val="center"/>
        </w:trPr>
        <w:tc>
          <w:tcPr>
            <w:tcW w:w="9996" w:type="dxa"/>
            <w:gridSpan w:val="5"/>
            <w:tcBorders>
              <w:right w:val="single" w:color="auto" w:sz="4" w:space="0"/>
            </w:tcBorders>
            <w:vAlign w:val="center"/>
          </w:tcPr>
          <w:p w14:paraId="6F8779D2">
            <w:pPr>
              <w:widowControl/>
              <w:jc w:val="left"/>
              <w:textAlignment w:val="center"/>
              <w:rPr>
                <w:rFonts w:ascii="宋体" w:hAnsi="宋体" w:cs="宋体"/>
                <w:color w:val="auto"/>
                <w:kern w:val="0"/>
                <w:szCs w:val="21"/>
                <w:highlight w:val="none"/>
                <w:lang w:bidi="ar"/>
              </w:rPr>
            </w:pPr>
            <w:r>
              <w:rPr>
                <w:rFonts w:hint="eastAsia" w:ascii="宋体" w:hAnsi="宋体" w:cs="宋体"/>
                <w:b/>
                <w:bCs/>
                <w:color w:val="auto"/>
                <w:kern w:val="0"/>
                <w:szCs w:val="21"/>
                <w:highlight w:val="none"/>
                <w:lang w:bidi="ar"/>
              </w:rPr>
              <w:t>二、大会议室</w:t>
            </w:r>
          </w:p>
        </w:tc>
      </w:tr>
      <w:tr w14:paraId="756F78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jc w:val="center"/>
        </w:trPr>
        <w:tc>
          <w:tcPr>
            <w:tcW w:w="9996" w:type="dxa"/>
            <w:gridSpan w:val="5"/>
            <w:tcBorders>
              <w:right w:val="single" w:color="auto" w:sz="4" w:space="0"/>
            </w:tcBorders>
            <w:vAlign w:val="center"/>
          </w:tcPr>
          <w:p w14:paraId="6BB99823">
            <w:pPr>
              <w:widowControl/>
              <w:tabs>
                <w:tab w:val="left" w:pos="1133"/>
              </w:tabs>
              <w:textAlignment w:val="center"/>
              <w:rPr>
                <w:rFonts w:ascii="宋体" w:hAnsi="宋体" w:cs="宋体"/>
                <w:color w:val="auto"/>
                <w:kern w:val="0"/>
                <w:szCs w:val="21"/>
                <w:highlight w:val="none"/>
                <w:lang w:bidi="ar"/>
              </w:rPr>
            </w:pPr>
            <w:r>
              <w:rPr>
                <w:rFonts w:hint="eastAsia" w:ascii="宋体" w:hAnsi="宋体" w:cs="宋体"/>
                <w:b/>
                <w:bCs/>
                <w:color w:val="auto"/>
                <w:kern w:val="0"/>
                <w:szCs w:val="21"/>
                <w:highlight w:val="none"/>
                <w:lang w:bidi="ar"/>
              </w:rPr>
              <w:t>（一）无纸化会议系统</w:t>
            </w:r>
          </w:p>
        </w:tc>
      </w:tr>
      <w:tr w14:paraId="2A9493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jc w:val="center"/>
        </w:trPr>
        <w:tc>
          <w:tcPr>
            <w:tcW w:w="659" w:type="dxa"/>
            <w:vAlign w:val="center"/>
          </w:tcPr>
          <w:p w14:paraId="277289F2">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w:t>
            </w:r>
          </w:p>
        </w:tc>
        <w:tc>
          <w:tcPr>
            <w:tcW w:w="1148" w:type="dxa"/>
            <w:shd w:val="clear" w:color="auto" w:fill="auto"/>
            <w:vAlign w:val="center"/>
          </w:tcPr>
          <w:p w14:paraId="088D5B2D">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无纸化主机</w:t>
            </w:r>
          </w:p>
        </w:tc>
        <w:tc>
          <w:tcPr>
            <w:tcW w:w="961" w:type="dxa"/>
            <w:shd w:val="clear" w:color="auto" w:fill="auto"/>
            <w:vAlign w:val="center"/>
          </w:tcPr>
          <w:p w14:paraId="31820267">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1台</w:t>
            </w:r>
          </w:p>
        </w:tc>
        <w:tc>
          <w:tcPr>
            <w:tcW w:w="701" w:type="dxa"/>
            <w:tcBorders>
              <w:right w:val="single" w:color="auto" w:sz="4" w:space="0"/>
            </w:tcBorders>
            <w:vAlign w:val="center"/>
          </w:tcPr>
          <w:p w14:paraId="648B1C5A">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工业</w:t>
            </w:r>
          </w:p>
        </w:tc>
        <w:tc>
          <w:tcPr>
            <w:tcW w:w="6527" w:type="dxa"/>
            <w:tcBorders>
              <w:left w:val="single" w:color="auto" w:sz="4" w:space="0"/>
              <w:right w:val="single" w:color="auto" w:sz="4" w:space="0"/>
            </w:tcBorders>
            <w:shd w:val="clear" w:color="auto" w:fill="auto"/>
            <w:vAlign w:val="center"/>
          </w:tcPr>
          <w:p w14:paraId="1B018ACA">
            <w:pPr>
              <w:rPr>
                <w:rFonts w:ascii="宋体" w:hAnsi="宋体" w:cs="宋体"/>
                <w:color w:val="auto"/>
                <w:szCs w:val="21"/>
                <w:highlight w:val="none"/>
              </w:rPr>
            </w:pPr>
            <w:r>
              <w:rPr>
                <w:rFonts w:hint="eastAsia" w:ascii="宋体" w:hAnsi="宋体" w:cs="宋体"/>
                <w:color w:val="auto"/>
                <w:szCs w:val="21"/>
                <w:highlight w:val="none"/>
              </w:rPr>
              <w:t>1.无纸化服务主机搭配管理软件，负责处理会议功能模块、会议主题、参会人员信息、会议议题、投票内容会前信息预设，具有会议各类文件资料的上传分发、人员的权限管理设置、会议信息的实时记录应用功能。</w:t>
            </w:r>
          </w:p>
          <w:p w14:paraId="7DD75FDF">
            <w:pPr>
              <w:rPr>
                <w:rFonts w:ascii="宋体" w:hAnsi="宋体" w:cs="宋体"/>
                <w:color w:val="auto"/>
                <w:szCs w:val="21"/>
                <w:highlight w:val="none"/>
              </w:rPr>
            </w:pPr>
            <w:r>
              <w:rPr>
                <w:rFonts w:hint="eastAsia" w:ascii="宋体" w:hAnsi="宋体" w:cs="宋体"/>
                <w:color w:val="auto"/>
                <w:szCs w:val="21"/>
                <w:highlight w:val="none"/>
              </w:rPr>
              <w:t>▲2.产品使用国家密码管理局制定的SM2、SM4国产加密算法，对数据文件进行加密处理，并在传输过程中保持加密状态。（投标时须提供佐证材料证明满足该功能，佐证材料包含但不限于经国家认可的第三方认证（检测）机构出具的带有CMA或CNAS标志的检测报告复印件或官网截图或彩页或功能截图，除检测报告外，其他佐证材料均需加盖原厂公章。）</w:t>
            </w:r>
          </w:p>
          <w:p w14:paraId="2B9167AC">
            <w:pPr>
              <w:rPr>
                <w:rFonts w:ascii="宋体" w:hAnsi="宋体" w:cs="宋体"/>
                <w:color w:val="auto"/>
                <w:szCs w:val="21"/>
                <w:highlight w:val="none"/>
              </w:rPr>
            </w:pPr>
            <w:r>
              <w:rPr>
                <w:rFonts w:hint="eastAsia" w:ascii="宋体" w:hAnsi="宋体" w:cs="宋体"/>
                <w:color w:val="auto"/>
                <w:szCs w:val="21"/>
                <w:highlight w:val="none"/>
              </w:rPr>
              <w:t>▲3.搭配云会务系统支持统一管理无纸化会议室设备，并对设备进行定时/周期联检功能，检测设备使用状态、异常情况，并生成巡检工单；会务系统支持对接钉钉、企业微信，支持同步组织架构，并将组织架构同步至无纸化系统，可以通过钉钉、企业微信预约会议，同步至无纸化参会人员；会务系统支持与无纸化系统人员信息同步，在会务系统创建的无纸化会议，可通过短信、手机app、H5微信公众号方式通知与会人员。（投标时须提供佐证材料证明满足该功能，佐证材料包含但不限于经国家认可的第三方认证（检测）机构出具的带有CMA或CNAS标志的检测报告复印件或官网截图或彩页或功能截图，除检测报告外，其他佐证材料均需加盖原厂公章。）</w:t>
            </w:r>
          </w:p>
          <w:p w14:paraId="390170E0">
            <w:pPr>
              <w:numPr>
                <w:ilvl w:val="0"/>
                <w:numId w:val="2"/>
              </w:numPr>
              <w:rPr>
                <w:rFonts w:ascii="宋体" w:hAnsi="宋体" w:cs="宋体"/>
                <w:color w:val="auto"/>
                <w:szCs w:val="21"/>
                <w:highlight w:val="none"/>
              </w:rPr>
            </w:pPr>
            <w:r>
              <w:rPr>
                <w:rFonts w:hint="eastAsia" w:ascii="宋体" w:hAnsi="宋体" w:cs="宋体"/>
                <w:color w:val="auto"/>
                <w:szCs w:val="21"/>
                <w:highlight w:val="none"/>
              </w:rPr>
              <w:t>采用的处理器配置≥4核，≥8线程，≥3.4GHz主频；具有≥4个硬盘抽取盒设有锁定装置，滑轨设计，采用硬盘容量≥2TB；具有≥4个Intel千兆网口，支持端口聚合；具有视频输出接口≥1个VGA接口，≥1个串口，≥6个USB口。</w:t>
            </w:r>
          </w:p>
          <w:p w14:paraId="38F9C67F">
            <w:pPr>
              <w:rPr>
                <w:rFonts w:ascii="宋体" w:hAnsi="宋体" w:cs="宋体"/>
                <w:color w:val="auto"/>
                <w:szCs w:val="21"/>
                <w:highlight w:val="none"/>
              </w:rPr>
            </w:pPr>
            <w:r>
              <w:rPr>
                <w:rFonts w:hint="eastAsia" w:ascii="宋体" w:hAnsi="宋体" w:cs="宋体"/>
                <w:color w:val="auto"/>
                <w:szCs w:val="21"/>
                <w:highlight w:val="none"/>
              </w:rPr>
              <w:t>▲5.本设备需要协调一期原设备厂商配合对接，产生的协调、授权、二次开发费用全部自理，可参照一期在用设备技术标准或同等档次产品，提供原厂互通证明并加盖制造商公章</w:t>
            </w:r>
            <w:r>
              <w:rPr>
                <w:rFonts w:hint="eastAsia"/>
                <w:color w:val="auto"/>
                <w:highlight w:val="none"/>
              </w:rPr>
              <w:t>，一期设备厂家为itc，型号为TS-0300M和TS-3400MAX。</w:t>
            </w:r>
          </w:p>
        </w:tc>
      </w:tr>
      <w:tr w14:paraId="3082CC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jc w:val="center"/>
        </w:trPr>
        <w:tc>
          <w:tcPr>
            <w:tcW w:w="659" w:type="dxa"/>
            <w:vAlign w:val="center"/>
          </w:tcPr>
          <w:p w14:paraId="2B385BF3">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2</w:t>
            </w:r>
          </w:p>
        </w:tc>
        <w:tc>
          <w:tcPr>
            <w:tcW w:w="1148" w:type="dxa"/>
            <w:shd w:val="clear" w:color="auto" w:fill="auto"/>
            <w:vAlign w:val="center"/>
          </w:tcPr>
          <w:p w14:paraId="3318CC34">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智能无纸化会议管理服务器软件</w:t>
            </w:r>
          </w:p>
        </w:tc>
        <w:tc>
          <w:tcPr>
            <w:tcW w:w="961" w:type="dxa"/>
            <w:shd w:val="clear" w:color="auto" w:fill="auto"/>
            <w:vAlign w:val="center"/>
          </w:tcPr>
          <w:p w14:paraId="650EAFDD">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1套</w:t>
            </w:r>
          </w:p>
        </w:tc>
        <w:tc>
          <w:tcPr>
            <w:tcW w:w="701" w:type="dxa"/>
            <w:tcBorders>
              <w:right w:val="single" w:color="auto" w:sz="4" w:space="0"/>
            </w:tcBorders>
            <w:vAlign w:val="center"/>
          </w:tcPr>
          <w:p w14:paraId="7BD52B6B">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w:t>
            </w:r>
          </w:p>
        </w:tc>
        <w:tc>
          <w:tcPr>
            <w:tcW w:w="6527" w:type="dxa"/>
            <w:tcBorders>
              <w:left w:val="single" w:color="auto" w:sz="4" w:space="0"/>
              <w:right w:val="single" w:color="auto" w:sz="4" w:space="0"/>
            </w:tcBorders>
            <w:shd w:val="clear" w:color="auto" w:fill="auto"/>
            <w:vAlign w:val="center"/>
          </w:tcPr>
          <w:p w14:paraId="232F1C31">
            <w:pPr>
              <w:rPr>
                <w:rFonts w:ascii="宋体" w:hAnsi="宋体" w:cs="宋体"/>
                <w:color w:val="auto"/>
                <w:szCs w:val="21"/>
                <w:highlight w:val="none"/>
              </w:rPr>
            </w:pPr>
            <w:r>
              <w:rPr>
                <w:rFonts w:hint="eastAsia" w:ascii="宋体" w:hAnsi="宋体" w:cs="宋体"/>
                <w:color w:val="auto"/>
                <w:szCs w:val="21"/>
                <w:highlight w:val="none"/>
              </w:rPr>
              <w:t>1.产品使用国家密码管理局制定的SM2、SM4国产加密算法，对数据文件进行加密处理，并在传输过程中保持加密状态。</w:t>
            </w:r>
          </w:p>
          <w:p w14:paraId="4FF0A4D1">
            <w:pPr>
              <w:rPr>
                <w:rFonts w:ascii="宋体" w:hAnsi="宋体" w:cs="宋体"/>
                <w:color w:val="auto"/>
                <w:szCs w:val="21"/>
                <w:highlight w:val="none"/>
              </w:rPr>
            </w:pPr>
            <w:r>
              <w:rPr>
                <w:rFonts w:hint="eastAsia" w:ascii="宋体" w:hAnsi="宋体" w:cs="宋体"/>
                <w:color w:val="auto"/>
                <w:szCs w:val="21"/>
                <w:highlight w:val="none"/>
              </w:rPr>
              <w:t>▲2.具有自定义无纸化系统功能，包括控制客户端界面显示或隐藏当前时间、开启或关闭个人中心上传文件、会议自动结束、议题通知、三员管理；同时还具有选择广播/主讲模式，包括自由模式、申请模式、自主模式；自由模式下，用户发起屏幕广播/主讲时，无需其他操作，一键进入到屏幕广播/主讲功能；申请模式，用户发起屏幕广播/主讲时，需等待管理员管理配置确认后，进入到屏幕广播/主讲功能；自主模式，用户发起屏幕广播/主讲时，可选择可查看本次同屏广播的人员；支持广播计时功能，可切换无需计时模式、正计时模式、倒计时模式，倒计时可设置时间。（投标时须提供佐证材料证明满足该功能，佐证材料包含但不限于经国家认可的第三方认证（检测）机构出具的带有CMA或CNAS标志的检测报告复印件或官网截图或彩页或功能截图，除检测报告外，其他佐证材料均需加盖原厂公章。）</w:t>
            </w:r>
          </w:p>
          <w:p w14:paraId="4EB289B8">
            <w:pPr>
              <w:rPr>
                <w:rFonts w:ascii="宋体" w:hAnsi="宋体" w:cs="宋体"/>
                <w:color w:val="auto"/>
                <w:szCs w:val="21"/>
                <w:highlight w:val="none"/>
              </w:rPr>
            </w:pPr>
            <w:r>
              <w:rPr>
                <w:rFonts w:hint="eastAsia" w:ascii="宋体" w:hAnsi="宋体" w:cs="宋体"/>
                <w:color w:val="auto"/>
                <w:szCs w:val="21"/>
                <w:highlight w:val="none"/>
              </w:rPr>
              <w:t>3.具有自定义客户端界面模块功能，能够根据用户的个性化需求，设置欢迎界面、参会名单、查看批注、会议交流、会议笔记、网页浏览、读取U盘、电子白板、计算器、放大器、聚光灯、会议标语、集中控制、信号管理、屏幕广播、申请发言、手写批注、会议服务功能模块显示与隐藏，实现界面布局的精准定制；用户可选择将功能模块直接展示于首页，以供即时便捷访问；对于暂时无需频繁使用的功能，则可将其置于收纳弹窗内。</w:t>
            </w:r>
          </w:p>
          <w:p w14:paraId="0C4C4982">
            <w:pPr>
              <w:rPr>
                <w:rFonts w:ascii="宋体" w:hAnsi="宋体" w:cs="宋体"/>
                <w:color w:val="auto"/>
                <w:szCs w:val="21"/>
                <w:highlight w:val="none"/>
              </w:rPr>
            </w:pPr>
            <w:r>
              <w:rPr>
                <w:rFonts w:hint="eastAsia" w:ascii="宋体" w:hAnsi="宋体" w:cs="宋体"/>
                <w:color w:val="auto"/>
                <w:szCs w:val="21"/>
                <w:highlight w:val="none"/>
              </w:rPr>
              <w:t>4.具有自定义创建会议功能，可提前预设无纸化客户端界面不同会议模式；包括普通会议和保密会议，保密会议具有阅后即焚、文档水印保密机制以及会后文档资料不保留，不形成历史记录特性。</w:t>
            </w:r>
          </w:p>
          <w:p w14:paraId="199012D5">
            <w:pPr>
              <w:rPr>
                <w:rFonts w:ascii="宋体" w:hAnsi="宋体" w:cs="宋体"/>
                <w:color w:val="auto"/>
                <w:szCs w:val="21"/>
                <w:highlight w:val="none"/>
              </w:rPr>
            </w:pPr>
            <w:r>
              <w:rPr>
                <w:rFonts w:hint="eastAsia" w:ascii="宋体" w:hAnsi="宋体" w:cs="宋体"/>
                <w:color w:val="auto"/>
                <w:szCs w:val="21"/>
                <w:highlight w:val="none"/>
              </w:rPr>
              <w:t>5.支持在每个议题下创建签到投票，支持不同议题时不同参会人进行签到和投票，满足同会议下多议题独立签到投票。</w:t>
            </w:r>
          </w:p>
          <w:p w14:paraId="607DE453">
            <w:pPr>
              <w:rPr>
                <w:rFonts w:ascii="宋体" w:hAnsi="宋体" w:cs="宋体"/>
                <w:color w:val="auto"/>
                <w:szCs w:val="21"/>
                <w:highlight w:val="none"/>
              </w:rPr>
            </w:pPr>
            <w:r>
              <w:rPr>
                <w:rFonts w:hint="eastAsia" w:ascii="宋体" w:hAnsi="宋体" w:cs="宋体"/>
                <w:color w:val="auto"/>
                <w:szCs w:val="21"/>
                <w:highlight w:val="none"/>
              </w:rPr>
              <w:t>6.支持在线AI文件概要总结功能，支持上传txt, word,excel,pdf办公文档通过DeepSeek、豆包在线AI大模型自动提取核心要点，生成结构化摘要。</w:t>
            </w:r>
          </w:p>
          <w:p w14:paraId="1EECAD77">
            <w:pPr>
              <w:rPr>
                <w:rFonts w:ascii="宋体" w:hAnsi="宋体" w:cs="宋体"/>
                <w:color w:val="auto"/>
                <w:szCs w:val="21"/>
                <w:highlight w:val="none"/>
              </w:rPr>
            </w:pPr>
            <w:r>
              <w:rPr>
                <w:rFonts w:hint="eastAsia" w:ascii="宋体" w:hAnsi="宋体" w:cs="宋体"/>
                <w:color w:val="auto"/>
                <w:szCs w:val="21"/>
                <w:highlight w:val="none"/>
              </w:rPr>
              <w:t>▲7.支持选择会议相关文件（PDF/DOCX/PPTX/XLSX）、会议讨论记录、投票结果及签到名单，通过AI自动分析并提取核心内容（决议事项、待办任务、关键数据），生成结构化会议纪要。（投标时须提供佐证材料证明满足该功能，佐证材料包含但不限于经国家认可的第三方认证（检测）机构出具的带有CMA或CNAS标志的检测报告复印件或官网截图或彩页或功能截图，除检测报告外，其他佐证材料均需加盖原厂公章。）</w:t>
            </w:r>
          </w:p>
          <w:p w14:paraId="20F7F681">
            <w:pPr>
              <w:rPr>
                <w:rFonts w:ascii="宋体" w:hAnsi="宋体" w:cs="宋体"/>
                <w:color w:val="auto"/>
                <w:szCs w:val="21"/>
                <w:highlight w:val="none"/>
              </w:rPr>
            </w:pPr>
            <w:r>
              <w:rPr>
                <w:rFonts w:hint="eastAsia" w:ascii="宋体" w:hAnsi="宋体" w:cs="宋体"/>
                <w:color w:val="auto"/>
                <w:szCs w:val="21"/>
                <w:highlight w:val="none"/>
              </w:rPr>
              <w:t>8.具有三员管理功能；开启该功能后系统将分为系统管理员、安全管理员、安全审计员三种角色，不同角色功能不同；系统管理员负责系统管理，包含人员、服务器、会议室、升级、系统模块管理；安全管理员负责人员角色权限管理功能；安全审计员负责日志审计查看、追溯无纸化管理系统的人员操作记录。</w:t>
            </w:r>
          </w:p>
          <w:p w14:paraId="7B73194A">
            <w:pPr>
              <w:rPr>
                <w:rFonts w:ascii="宋体" w:hAnsi="宋体" w:cs="宋体"/>
                <w:color w:val="auto"/>
                <w:szCs w:val="21"/>
                <w:highlight w:val="none"/>
              </w:rPr>
            </w:pPr>
            <w:r>
              <w:rPr>
                <w:rFonts w:hint="eastAsia" w:ascii="宋体" w:hAnsi="宋体" w:cs="宋体"/>
                <w:color w:val="auto"/>
                <w:szCs w:val="21"/>
                <w:highlight w:val="none"/>
              </w:rPr>
              <w:t>9.具有会中暂停会议功能，管理员点击暂停会议，所有用户页面锁屏无法操作, 大屏内容也会被屏蔽，增强系统安全性。</w:t>
            </w:r>
          </w:p>
          <w:p w14:paraId="5AC68D3A">
            <w:pPr>
              <w:rPr>
                <w:rFonts w:ascii="宋体" w:hAnsi="宋体" w:cs="宋体"/>
                <w:color w:val="auto"/>
                <w:szCs w:val="21"/>
                <w:highlight w:val="none"/>
              </w:rPr>
            </w:pPr>
            <w:r>
              <w:rPr>
                <w:rFonts w:hint="eastAsia" w:ascii="宋体" w:hAnsi="宋体" w:cs="宋体"/>
                <w:color w:val="auto"/>
                <w:szCs w:val="21"/>
                <w:highlight w:val="none"/>
              </w:rPr>
              <w:t>10.支持个人中心H5网页展示，可会前、会中上传资料，查看资料，支持会后下载参加过的会议的资料及批注文件，保密会议会前会后需申请权限才能查看会议资料。</w:t>
            </w:r>
          </w:p>
          <w:p w14:paraId="12BDB419">
            <w:pPr>
              <w:rPr>
                <w:rFonts w:ascii="宋体" w:hAnsi="宋体" w:cs="宋体"/>
                <w:color w:val="auto"/>
                <w:szCs w:val="21"/>
                <w:highlight w:val="none"/>
              </w:rPr>
            </w:pPr>
            <w:r>
              <w:rPr>
                <w:rFonts w:hint="eastAsia" w:ascii="宋体" w:hAnsi="宋体" w:cs="宋体"/>
                <w:color w:val="auto"/>
                <w:szCs w:val="21"/>
                <w:highlight w:val="none"/>
              </w:rPr>
              <w:t>11.支持服务器系统资源监控，可查看服务器cpu使用率、内存使用率、磁盘空间、网络传输速率，可设置阈值警告。</w:t>
            </w:r>
          </w:p>
          <w:p w14:paraId="163346D1">
            <w:pPr>
              <w:rPr>
                <w:rFonts w:ascii="宋体" w:hAnsi="宋体" w:cs="宋体"/>
                <w:color w:val="auto"/>
                <w:szCs w:val="21"/>
                <w:highlight w:val="none"/>
              </w:rPr>
            </w:pPr>
            <w:r>
              <w:rPr>
                <w:rFonts w:hint="eastAsia" w:ascii="宋体" w:hAnsi="宋体" w:cs="宋体"/>
                <w:color w:val="auto"/>
                <w:szCs w:val="21"/>
                <w:highlight w:val="none"/>
              </w:rPr>
              <w:t>12.具有服务器列表显示功能，支持显示所有服务器编号、服务器名称、服务器类型、服务器在线/离线状态、服务器版本信息；具有服务器管理功能，无需搭配中控系统可通过后台软件对服务器进行管理，包括启用、停用、重启、升级、导出操作日志功能。</w:t>
            </w:r>
          </w:p>
          <w:p w14:paraId="1CDC9C34">
            <w:pPr>
              <w:rPr>
                <w:rFonts w:ascii="宋体" w:hAnsi="宋体" w:cs="宋体"/>
                <w:color w:val="auto"/>
                <w:szCs w:val="21"/>
                <w:highlight w:val="none"/>
              </w:rPr>
            </w:pPr>
            <w:r>
              <w:rPr>
                <w:rFonts w:hint="eastAsia" w:ascii="宋体" w:hAnsi="宋体" w:cs="宋体"/>
                <w:color w:val="auto"/>
                <w:szCs w:val="21"/>
                <w:highlight w:val="none"/>
              </w:rPr>
              <w:t>13.无纸化服务器支持双机热备功能，无需人工干预的实现自动启动，设备故障、操作系统故障、软件系统故障不可预期问题实现数据快速恢复。</w:t>
            </w:r>
          </w:p>
          <w:p w14:paraId="357545DF">
            <w:pPr>
              <w:rPr>
                <w:rFonts w:ascii="宋体" w:hAnsi="宋体" w:cs="宋体"/>
                <w:color w:val="auto"/>
                <w:szCs w:val="21"/>
                <w:highlight w:val="none"/>
              </w:rPr>
            </w:pPr>
            <w:r>
              <w:rPr>
                <w:rFonts w:hint="eastAsia" w:ascii="宋体" w:hAnsi="宋体" w:cs="宋体"/>
                <w:color w:val="auto"/>
                <w:szCs w:val="21"/>
                <w:highlight w:val="none"/>
              </w:rPr>
              <w:t>14.支持个人微终端功能，参会人通过手机app查阅未开始、进行中和已结束的会议资料，包含会议信息、参会名单、会议议题、临时资料、会议纪要。</w:t>
            </w:r>
          </w:p>
          <w:p w14:paraId="5B4E422D">
            <w:pPr>
              <w:rPr>
                <w:rFonts w:ascii="宋体" w:hAnsi="宋体" w:cs="宋体"/>
                <w:color w:val="auto"/>
                <w:szCs w:val="21"/>
                <w:highlight w:val="none"/>
              </w:rPr>
            </w:pPr>
            <w:r>
              <w:rPr>
                <w:rFonts w:hint="eastAsia" w:ascii="宋体" w:hAnsi="宋体" w:cs="宋体"/>
                <w:color w:val="auto"/>
                <w:szCs w:val="21"/>
                <w:highlight w:val="none"/>
              </w:rPr>
              <w:t>▲15.具有切换客户端个性化主题和布局样式功能，可切换≥四种会议主题风格，包括浅色风格、人大风格、政务风格、护眼风格，提供不同软件界面；可切换≥四种客户端会议模式，包括卡片模式、简洁模式、导航模式、经典模式。（投标时须提供佐证材料证明满足该功能，佐证材料包含但不限于经国家认可的第三方认证（检测）机构出具的带有CMA或CNAS标志的检测报告复印件或官网截图或彩页或功能截图，除检测报告外，其他佐证材料均需加盖原厂公章。）</w:t>
            </w:r>
          </w:p>
          <w:p w14:paraId="77CA8B71">
            <w:pPr>
              <w:rPr>
                <w:rFonts w:ascii="宋体" w:hAnsi="宋体" w:cs="宋体"/>
                <w:color w:val="auto"/>
                <w:szCs w:val="21"/>
                <w:highlight w:val="none"/>
              </w:rPr>
            </w:pPr>
            <w:r>
              <w:rPr>
                <w:rFonts w:hint="eastAsia" w:ascii="宋体" w:hAnsi="宋体" w:cs="宋体"/>
                <w:color w:val="auto"/>
                <w:szCs w:val="21"/>
                <w:highlight w:val="none"/>
              </w:rPr>
              <w:t>16.支持自定义投票类型，支持限时投票；支持≥3种投票界面样式选择；支持自定义投票结果展示，可更换背景、可选择显示内容、可选择倒计时、自定义文本、自定义字体，支持投票结果过程的实时查看和投大屏展示以及投终端展示；支持自定义签到结果界面、自定义背景图、选择需要展示的内容、可自定义文本、自定义字体，签到结果过程实时查看和投大屏展示。</w:t>
            </w:r>
          </w:p>
        </w:tc>
      </w:tr>
      <w:tr w14:paraId="0839BD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jc w:val="center"/>
        </w:trPr>
        <w:tc>
          <w:tcPr>
            <w:tcW w:w="659" w:type="dxa"/>
            <w:vAlign w:val="center"/>
          </w:tcPr>
          <w:p w14:paraId="2DB34508">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3</w:t>
            </w:r>
          </w:p>
        </w:tc>
        <w:tc>
          <w:tcPr>
            <w:tcW w:w="1148" w:type="dxa"/>
            <w:shd w:val="clear" w:color="auto" w:fill="auto"/>
            <w:vAlign w:val="center"/>
          </w:tcPr>
          <w:p w14:paraId="1D50A47D">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无纸化流媒体主机</w:t>
            </w:r>
          </w:p>
        </w:tc>
        <w:tc>
          <w:tcPr>
            <w:tcW w:w="961" w:type="dxa"/>
            <w:shd w:val="clear" w:color="auto" w:fill="auto"/>
            <w:vAlign w:val="center"/>
          </w:tcPr>
          <w:p w14:paraId="0B8F2215">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1台</w:t>
            </w:r>
          </w:p>
        </w:tc>
        <w:tc>
          <w:tcPr>
            <w:tcW w:w="701" w:type="dxa"/>
            <w:tcBorders>
              <w:right w:val="single" w:color="auto" w:sz="4" w:space="0"/>
            </w:tcBorders>
            <w:vAlign w:val="center"/>
          </w:tcPr>
          <w:p w14:paraId="2932EC72">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工业</w:t>
            </w:r>
          </w:p>
        </w:tc>
        <w:tc>
          <w:tcPr>
            <w:tcW w:w="6527" w:type="dxa"/>
            <w:tcBorders>
              <w:left w:val="single" w:color="auto" w:sz="4" w:space="0"/>
              <w:right w:val="single" w:color="auto" w:sz="4" w:space="0"/>
            </w:tcBorders>
            <w:shd w:val="clear" w:color="auto" w:fill="auto"/>
            <w:vAlign w:val="center"/>
          </w:tcPr>
          <w:p w14:paraId="395F2931">
            <w:pPr>
              <w:jc w:val="left"/>
              <w:rPr>
                <w:rFonts w:ascii="宋体" w:hAnsi="宋体" w:cs="宋体"/>
                <w:color w:val="auto"/>
                <w:szCs w:val="21"/>
                <w:highlight w:val="none"/>
              </w:rPr>
            </w:pPr>
            <w:r>
              <w:rPr>
                <w:rFonts w:hint="eastAsia" w:ascii="宋体" w:hAnsi="宋体" w:cs="宋体"/>
                <w:color w:val="auto"/>
                <w:szCs w:val="21"/>
                <w:highlight w:val="none"/>
              </w:rPr>
              <w:t>1.无纸化智能流媒体服务器用于无纸化会议系统外部高清视频信号采集与编码，以及音视频信号输出。可以为无纸化会议系统提供外部音视频信号和内部音视频信号互联互通，同时支持无纸化会议签到、投票、同屏会议信息的展示功能。</w:t>
            </w:r>
          </w:p>
          <w:p w14:paraId="46AC20AF">
            <w:pPr>
              <w:jc w:val="left"/>
              <w:rPr>
                <w:rFonts w:ascii="宋体" w:hAnsi="宋体" w:cs="宋体"/>
                <w:color w:val="auto"/>
                <w:szCs w:val="21"/>
                <w:highlight w:val="none"/>
              </w:rPr>
            </w:pPr>
            <w:r>
              <w:rPr>
                <w:rFonts w:hint="eastAsia" w:ascii="宋体" w:hAnsi="宋体" w:cs="宋体"/>
                <w:color w:val="auto"/>
                <w:szCs w:val="21"/>
                <w:highlight w:val="none"/>
              </w:rPr>
              <w:t>2.采用的处理器配置≥4核，≥4线程，≥3.2GHz主频，内存配置≥DDR4 8GB，硬盘为固态硬盘且容量≥128GB。</w:t>
            </w:r>
          </w:p>
          <w:p w14:paraId="25E24638">
            <w:pPr>
              <w:jc w:val="left"/>
              <w:rPr>
                <w:rFonts w:ascii="宋体" w:hAnsi="宋体" w:cs="宋体"/>
                <w:color w:val="auto"/>
                <w:szCs w:val="21"/>
                <w:highlight w:val="none"/>
              </w:rPr>
            </w:pPr>
            <w:r>
              <w:rPr>
                <w:rFonts w:hint="eastAsia" w:ascii="宋体" w:hAnsi="宋体" w:cs="宋体"/>
                <w:color w:val="auto"/>
                <w:szCs w:val="21"/>
                <w:highlight w:val="none"/>
              </w:rPr>
              <w:t>3.具有千兆网络接口≥2×LAN</w:t>
            </w:r>
          </w:p>
          <w:p w14:paraId="3543F91A">
            <w:pPr>
              <w:rPr>
                <w:rFonts w:ascii="宋体" w:hAnsi="宋体" w:cs="宋体"/>
                <w:color w:val="auto"/>
                <w:szCs w:val="21"/>
                <w:highlight w:val="none"/>
              </w:rPr>
            </w:pPr>
            <w:r>
              <w:rPr>
                <w:rFonts w:hint="eastAsia" w:ascii="宋体" w:hAnsi="宋体"/>
                <w:color w:val="auto"/>
                <w:szCs w:val="21"/>
                <w:highlight w:val="none"/>
              </w:rPr>
              <w:t>▲</w:t>
            </w:r>
            <w:r>
              <w:rPr>
                <w:rFonts w:hint="eastAsia" w:ascii="宋体" w:hAnsi="宋体" w:cs="宋体"/>
                <w:color w:val="auto"/>
                <w:szCs w:val="21"/>
                <w:highlight w:val="none"/>
              </w:rPr>
              <w:t>4.具备视频接口：≥1×DVI,≥1× HDMI，≥1×VGA；具备音频接口：≥1×MIC in,≥1× Line out,≥1× Line in；具备其他接口≥2×USB2.0,≥4×USB3.0 ，≥2×COM RS232，≥1×PS/2。（投标时须提供佐证材料证明满足该功能，佐证材料包含但不限于经国家认可的第三方认证（检测）机构出具的带有CMA或CNAS标志的检测报告复印件或官网截图或彩页或功能截图，除检测报告外，其他佐证材料均需加盖原厂公章。）</w:t>
            </w:r>
          </w:p>
        </w:tc>
      </w:tr>
      <w:tr w14:paraId="305382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jc w:val="center"/>
        </w:trPr>
        <w:tc>
          <w:tcPr>
            <w:tcW w:w="659" w:type="dxa"/>
            <w:vAlign w:val="center"/>
          </w:tcPr>
          <w:p w14:paraId="6C0AD714">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4</w:t>
            </w:r>
          </w:p>
        </w:tc>
        <w:tc>
          <w:tcPr>
            <w:tcW w:w="1148" w:type="dxa"/>
            <w:shd w:val="clear" w:color="auto" w:fill="auto"/>
            <w:vAlign w:val="center"/>
          </w:tcPr>
          <w:p w14:paraId="68407365">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无纸化流媒体服务器嵌入软件</w:t>
            </w:r>
          </w:p>
        </w:tc>
        <w:tc>
          <w:tcPr>
            <w:tcW w:w="961" w:type="dxa"/>
            <w:shd w:val="clear" w:color="auto" w:fill="auto"/>
            <w:vAlign w:val="center"/>
          </w:tcPr>
          <w:p w14:paraId="002CD0CB">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1套</w:t>
            </w:r>
          </w:p>
        </w:tc>
        <w:tc>
          <w:tcPr>
            <w:tcW w:w="701" w:type="dxa"/>
            <w:tcBorders>
              <w:right w:val="single" w:color="auto" w:sz="4" w:space="0"/>
            </w:tcBorders>
            <w:vAlign w:val="center"/>
          </w:tcPr>
          <w:p w14:paraId="4286A271">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w:t>
            </w:r>
          </w:p>
        </w:tc>
        <w:tc>
          <w:tcPr>
            <w:tcW w:w="6527" w:type="dxa"/>
            <w:tcBorders>
              <w:left w:val="single" w:color="auto" w:sz="4" w:space="0"/>
              <w:right w:val="single" w:color="auto" w:sz="4" w:space="0"/>
            </w:tcBorders>
            <w:shd w:val="clear" w:color="auto" w:fill="auto"/>
            <w:vAlign w:val="center"/>
          </w:tcPr>
          <w:p w14:paraId="12941A0D">
            <w:pPr>
              <w:jc w:val="left"/>
              <w:rPr>
                <w:rFonts w:ascii="宋体" w:hAnsi="宋体" w:cs="宋体"/>
                <w:color w:val="auto"/>
                <w:szCs w:val="21"/>
                <w:highlight w:val="none"/>
              </w:rPr>
            </w:pPr>
            <w:r>
              <w:rPr>
                <w:rFonts w:hint="eastAsia" w:ascii="宋体" w:hAnsi="宋体" w:cs="宋体"/>
                <w:color w:val="auto"/>
                <w:szCs w:val="21"/>
                <w:highlight w:val="none"/>
              </w:rPr>
              <w:t>1.支持签到投屏功能，将签到过程、签到结果展示在大屏上。</w:t>
            </w:r>
          </w:p>
          <w:p w14:paraId="195FD76C">
            <w:pPr>
              <w:jc w:val="left"/>
              <w:rPr>
                <w:rFonts w:ascii="宋体" w:hAnsi="宋体" w:cs="宋体"/>
                <w:color w:val="auto"/>
                <w:szCs w:val="21"/>
                <w:highlight w:val="none"/>
              </w:rPr>
            </w:pPr>
            <w:r>
              <w:rPr>
                <w:rFonts w:hint="eastAsia" w:ascii="宋体" w:hAnsi="宋体" w:cs="宋体"/>
                <w:color w:val="auto"/>
                <w:szCs w:val="21"/>
                <w:highlight w:val="none"/>
              </w:rPr>
              <w:t>2.支持将电子白板、会议标语、文档主讲、外部信号信息广播到大屏展示。</w:t>
            </w:r>
          </w:p>
          <w:p w14:paraId="0BA0D4B7">
            <w:pPr>
              <w:jc w:val="left"/>
              <w:rPr>
                <w:rFonts w:ascii="宋体" w:hAnsi="宋体" w:cs="宋体"/>
                <w:color w:val="auto"/>
                <w:szCs w:val="21"/>
                <w:highlight w:val="none"/>
              </w:rPr>
            </w:pPr>
            <w:r>
              <w:rPr>
                <w:rFonts w:hint="eastAsia" w:ascii="宋体" w:hAnsi="宋体" w:cs="宋体"/>
                <w:color w:val="auto"/>
                <w:szCs w:val="21"/>
                <w:highlight w:val="none"/>
              </w:rPr>
              <w:t>3.支持多媒体(桌面同屏、电子白板、文档资料)分组投屏功能， 可支持≥4分屏画面同时投屏输出显示。</w:t>
            </w:r>
          </w:p>
          <w:p w14:paraId="44880018">
            <w:pPr>
              <w:jc w:val="left"/>
              <w:rPr>
                <w:rFonts w:ascii="宋体" w:hAnsi="宋体" w:cs="宋体"/>
                <w:color w:val="auto"/>
                <w:szCs w:val="21"/>
                <w:highlight w:val="none"/>
              </w:rPr>
            </w:pPr>
            <w:r>
              <w:rPr>
                <w:rFonts w:hint="eastAsia" w:ascii="宋体" w:hAnsi="宋体" w:cs="宋体"/>
                <w:color w:val="auto"/>
                <w:szCs w:val="21"/>
                <w:highlight w:val="none"/>
              </w:rPr>
              <w:t>4.支持大屏点播功能，直接播放服务器原生视频文件；支持大屏广播功能，将大屏的画面广播同步到各个终端并显示。</w:t>
            </w:r>
          </w:p>
          <w:p w14:paraId="6A1431DD">
            <w:pPr>
              <w:jc w:val="left"/>
              <w:rPr>
                <w:rFonts w:ascii="宋体" w:hAnsi="宋体" w:cs="宋体"/>
                <w:color w:val="auto"/>
                <w:szCs w:val="21"/>
                <w:highlight w:val="none"/>
              </w:rPr>
            </w:pPr>
            <w:r>
              <w:rPr>
                <w:rFonts w:hint="eastAsia" w:ascii="宋体" w:hAnsi="宋体" w:cs="宋体"/>
                <w:color w:val="auto"/>
                <w:szCs w:val="21"/>
                <w:highlight w:val="none"/>
              </w:rPr>
              <w:t>5.支持大屏视频矩阵功能，同时支持多路多媒体源进行播放功能。</w:t>
            </w:r>
          </w:p>
          <w:p w14:paraId="5FBD0AF0">
            <w:pPr>
              <w:jc w:val="left"/>
              <w:rPr>
                <w:rFonts w:ascii="宋体" w:hAnsi="宋体" w:cs="宋体"/>
                <w:color w:val="auto"/>
                <w:szCs w:val="21"/>
                <w:highlight w:val="none"/>
              </w:rPr>
            </w:pPr>
            <w:r>
              <w:rPr>
                <w:rFonts w:hint="eastAsia" w:ascii="宋体" w:hAnsi="宋体" w:cs="宋体"/>
                <w:color w:val="auto"/>
                <w:szCs w:val="21"/>
                <w:highlight w:val="none"/>
              </w:rPr>
              <w:t>7.支持评分投屏功能，评分过程中查看评分人数、未提交人数。支持评分结束后以柱状图（≥10项）或表格（≥10项）的形式投屏显示评分结果。</w:t>
            </w:r>
          </w:p>
          <w:p w14:paraId="3F128171">
            <w:pPr>
              <w:jc w:val="left"/>
              <w:rPr>
                <w:rFonts w:ascii="宋体" w:hAnsi="宋体" w:cs="宋体"/>
                <w:color w:val="auto"/>
                <w:szCs w:val="21"/>
                <w:highlight w:val="none"/>
              </w:rPr>
            </w:pPr>
            <w:r>
              <w:rPr>
                <w:rFonts w:hint="eastAsia" w:ascii="宋体" w:hAnsi="宋体" w:cs="宋体"/>
                <w:color w:val="auto"/>
                <w:szCs w:val="21"/>
                <w:highlight w:val="none"/>
              </w:rPr>
              <w:t>8.支持座位图投屏功能，在会前或会中将参会者的座位图投放到流媒体大屏中显示，方便与会者快速找位入会。</w:t>
            </w:r>
          </w:p>
          <w:p w14:paraId="5A5271C7">
            <w:pPr>
              <w:jc w:val="left"/>
              <w:rPr>
                <w:rFonts w:ascii="宋体" w:hAnsi="宋体" w:cs="宋体"/>
                <w:color w:val="auto"/>
                <w:szCs w:val="21"/>
                <w:highlight w:val="none"/>
              </w:rPr>
            </w:pPr>
            <w:r>
              <w:rPr>
                <w:rFonts w:hint="eastAsia" w:ascii="宋体" w:hAnsi="宋体"/>
                <w:color w:val="auto"/>
                <w:szCs w:val="21"/>
                <w:highlight w:val="none"/>
              </w:rPr>
              <w:t>▲</w:t>
            </w:r>
            <w:r>
              <w:rPr>
                <w:rFonts w:hint="eastAsia" w:ascii="宋体" w:hAnsi="宋体" w:cs="宋体"/>
                <w:color w:val="auto"/>
                <w:szCs w:val="21"/>
                <w:highlight w:val="none"/>
              </w:rPr>
              <w:t>9.同一会场支持≥4台流媒体功能，不同流媒体可以展示相同的媒体画面内容也可以展示不同的媒体画面内容。（投标时须提供佐证材料证明满足该功能，佐证材料包含但不限于经国家认可的第三方认证（检测）机构出具的带有CMA或CNAS标志的检测报告复印件或官网截图或彩页或功能截图，除检测报告外，其他佐证材料均需加盖原厂公章。）</w:t>
            </w:r>
          </w:p>
          <w:p w14:paraId="0D49FE76">
            <w:pPr>
              <w:rPr>
                <w:rFonts w:ascii="宋体" w:hAnsi="宋体" w:cs="宋体"/>
                <w:color w:val="auto"/>
                <w:szCs w:val="21"/>
                <w:highlight w:val="none"/>
              </w:rPr>
            </w:pPr>
            <w:r>
              <w:rPr>
                <w:rFonts w:hint="eastAsia" w:ascii="宋体" w:hAnsi="宋体" w:cs="宋体"/>
                <w:color w:val="auto"/>
                <w:szCs w:val="21"/>
                <w:highlight w:val="none"/>
              </w:rPr>
              <w:t>10.支持投票投屏功能，将投票过程、投票结果以文字、柱状图、饼状图方式展示在大屏上。</w:t>
            </w:r>
          </w:p>
        </w:tc>
      </w:tr>
      <w:tr w14:paraId="37AE67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jc w:val="center"/>
        </w:trPr>
        <w:tc>
          <w:tcPr>
            <w:tcW w:w="659" w:type="dxa"/>
            <w:shd w:val="clear" w:color="auto" w:fill="auto"/>
            <w:vAlign w:val="center"/>
          </w:tcPr>
          <w:p w14:paraId="52E23330">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5</w:t>
            </w:r>
          </w:p>
        </w:tc>
        <w:tc>
          <w:tcPr>
            <w:tcW w:w="1148" w:type="dxa"/>
            <w:shd w:val="clear" w:color="auto" w:fill="auto"/>
            <w:vAlign w:val="center"/>
          </w:tcPr>
          <w:p w14:paraId="217B6899">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无纸化会议终端</w:t>
            </w:r>
          </w:p>
        </w:tc>
        <w:tc>
          <w:tcPr>
            <w:tcW w:w="961" w:type="dxa"/>
            <w:shd w:val="clear" w:color="auto" w:fill="auto"/>
            <w:vAlign w:val="center"/>
          </w:tcPr>
          <w:p w14:paraId="17EA9216">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12台</w:t>
            </w:r>
          </w:p>
        </w:tc>
        <w:tc>
          <w:tcPr>
            <w:tcW w:w="701" w:type="dxa"/>
            <w:tcBorders>
              <w:right w:val="single" w:color="auto" w:sz="4" w:space="0"/>
            </w:tcBorders>
            <w:vAlign w:val="center"/>
          </w:tcPr>
          <w:p w14:paraId="09D53EB8">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工业</w:t>
            </w:r>
          </w:p>
        </w:tc>
        <w:tc>
          <w:tcPr>
            <w:tcW w:w="6527" w:type="dxa"/>
            <w:tcBorders>
              <w:left w:val="single" w:color="auto" w:sz="4" w:space="0"/>
              <w:right w:val="single" w:color="auto" w:sz="4" w:space="0"/>
            </w:tcBorders>
            <w:shd w:val="clear" w:color="auto" w:fill="auto"/>
            <w:vAlign w:val="center"/>
          </w:tcPr>
          <w:p w14:paraId="55BC3F47">
            <w:pPr>
              <w:jc w:val="left"/>
              <w:rPr>
                <w:rFonts w:ascii="宋体" w:hAnsi="宋体"/>
                <w:color w:val="auto"/>
                <w:szCs w:val="21"/>
                <w:highlight w:val="none"/>
              </w:rPr>
            </w:pPr>
            <w:r>
              <w:rPr>
                <w:rFonts w:hint="eastAsia" w:ascii="宋体" w:hAnsi="宋体"/>
                <w:color w:val="auto"/>
                <w:szCs w:val="21"/>
                <w:highlight w:val="none"/>
              </w:rPr>
              <w:t>▲1.多媒体会议终端主机搭配终端内嵌软件负责处理会议过程的文件推送、文件分发、浏览阅读、文件批注、智能签到、投票表决、电子白板、电子铭牌、会议交流、会议服务、视频信号互联互通、会议管控、同屏广播应用</w:t>
            </w:r>
            <w:r>
              <w:rPr>
                <w:rFonts w:hint="eastAsia" w:ascii="宋体" w:hAnsi="宋体" w:cs="宋体"/>
                <w:color w:val="auto"/>
                <w:szCs w:val="21"/>
                <w:highlight w:val="none"/>
              </w:rPr>
              <w:t>（投标时须提供佐证材料证明满足该功能，佐证材料包含但不限于经国家认可的第三方认证（检测）机构出具的带有CMA或CNAS标志的检测报告复印件或官网截图或彩页或功能截图，除检测报告外，其他佐证材料均需加盖原厂公章。）</w:t>
            </w:r>
          </w:p>
          <w:p w14:paraId="7AD6824A">
            <w:pPr>
              <w:jc w:val="left"/>
              <w:rPr>
                <w:rFonts w:ascii="宋体" w:hAnsi="宋体" w:cs="宋体"/>
                <w:color w:val="auto"/>
                <w:szCs w:val="21"/>
                <w:highlight w:val="none"/>
              </w:rPr>
            </w:pPr>
            <w:r>
              <w:rPr>
                <w:rFonts w:hint="eastAsia" w:ascii="宋体" w:hAnsi="宋体"/>
                <w:color w:val="auto"/>
                <w:szCs w:val="21"/>
                <w:highlight w:val="none"/>
              </w:rPr>
              <w:t>▲2.支持无纸化会议模式和Windows模式，可任意切换。</w:t>
            </w:r>
            <w:r>
              <w:rPr>
                <w:rFonts w:hint="eastAsia" w:ascii="宋体" w:hAnsi="宋体" w:cs="宋体"/>
                <w:color w:val="auto"/>
                <w:szCs w:val="21"/>
                <w:highlight w:val="none"/>
              </w:rPr>
              <w:t>（投标时须提供佐证材料证明满足该功能，佐证材料包含但不限于经国家认可的第三方认证（检测）机构出具的带有CMA或CNAS标志的检测报告复印件或官网截图或彩页或功能截图，除检测报告外，其他佐证材料均需加盖原厂公章。）</w:t>
            </w:r>
          </w:p>
          <w:p w14:paraId="1CA05520">
            <w:pPr>
              <w:jc w:val="left"/>
              <w:rPr>
                <w:rFonts w:ascii="宋体" w:hAnsi="宋体" w:cs="宋体"/>
                <w:color w:val="auto"/>
                <w:szCs w:val="21"/>
                <w:highlight w:val="none"/>
              </w:rPr>
            </w:pPr>
            <w:r>
              <w:rPr>
                <w:rFonts w:hint="eastAsia" w:ascii="宋体" w:hAnsi="宋体"/>
                <w:color w:val="auto"/>
                <w:szCs w:val="21"/>
                <w:highlight w:val="none"/>
              </w:rPr>
              <w:t>▲3.可对多种文件格式进行阅览，包括常见格式doc/ docx /xls/ xlsx /ppt /pptx/ pdf /txt/jpg/png，参会人只可看到有权限的文件。</w:t>
            </w:r>
            <w:r>
              <w:rPr>
                <w:rFonts w:hint="eastAsia" w:ascii="宋体" w:hAnsi="宋体" w:cs="宋体"/>
                <w:color w:val="auto"/>
                <w:szCs w:val="21"/>
                <w:highlight w:val="none"/>
              </w:rPr>
              <w:t>（投标时须提供佐证材料证明满足该功能，佐证材料包含但不限于经国家认可的第三方认证（检测）机构出具的带有CMA或CNAS标志的检测报告复印件或官网截图或彩页或功能截图，除检测报告外，其他佐证材料均需加盖原厂公章。）</w:t>
            </w:r>
          </w:p>
          <w:p w14:paraId="32BEB6C0">
            <w:pPr>
              <w:rPr>
                <w:rFonts w:ascii="宋体" w:hAnsi="宋体"/>
                <w:color w:val="auto"/>
                <w:szCs w:val="21"/>
                <w:highlight w:val="none"/>
              </w:rPr>
            </w:pPr>
            <w:r>
              <w:rPr>
                <w:rFonts w:hint="eastAsia" w:ascii="宋体" w:hAnsi="宋体"/>
                <w:color w:val="auto"/>
                <w:szCs w:val="21"/>
                <w:highlight w:val="none"/>
              </w:rPr>
              <w:t>4.会议过程中可以随时进行会议笔记记录，支持下载到本地。</w:t>
            </w:r>
          </w:p>
          <w:p w14:paraId="433C7F4F">
            <w:pPr>
              <w:jc w:val="left"/>
              <w:rPr>
                <w:rFonts w:ascii="宋体" w:hAnsi="宋体" w:cs="宋体"/>
                <w:color w:val="auto"/>
                <w:szCs w:val="21"/>
                <w:highlight w:val="none"/>
              </w:rPr>
            </w:pPr>
            <w:r>
              <w:rPr>
                <w:rFonts w:hint="eastAsia" w:ascii="宋体" w:hAnsi="宋体"/>
                <w:color w:val="auto"/>
                <w:szCs w:val="21"/>
                <w:highlight w:val="none"/>
              </w:rPr>
              <w:t>▲5.个人中心模块支持会前、会中上传资料，查看资料（保密会议会前不能查看）；支持会后下载参加过的会议的资料。</w:t>
            </w:r>
            <w:r>
              <w:rPr>
                <w:rFonts w:hint="eastAsia" w:ascii="宋体" w:hAnsi="宋体" w:cs="宋体"/>
                <w:color w:val="auto"/>
                <w:szCs w:val="21"/>
                <w:highlight w:val="none"/>
              </w:rPr>
              <w:t>（投标时须提供佐证材料证明满足该功能，佐证材料包含但不限于经国家认可的第三方认证（检测）机构出具的带有CMA或CNAS标志的检测报告复印件或官网截图或彩页或功能截图，除检测报告外，其他佐证材料均需加盖原厂公章。）</w:t>
            </w:r>
          </w:p>
          <w:p w14:paraId="07886257">
            <w:pPr>
              <w:jc w:val="left"/>
              <w:rPr>
                <w:rFonts w:ascii="宋体" w:hAnsi="宋体"/>
                <w:color w:val="auto"/>
                <w:szCs w:val="21"/>
                <w:highlight w:val="none"/>
              </w:rPr>
            </w:pPr>
            <w:r>
              <w:rPr>
                <w:rFonts w:hint="eastAsia" w:ascii="宋体" w:hAnsi="宋体"/>
                <w:color w:val="auto"/>
                <w:szCs w:val="21"/>
                <w:highlight w:val="none"/>
              </w:rPr>
              <w:t>▲6.结束会议终端自动清除本地会议文件。</w:t>
            </w:r>
            <w:r>
              <w:rPr>
                <w:rFonts w:hint="eastAsia" w:ascii="宋体" w:hAnsi="宋体" w:cs="宋体"/>
                <w:color w:val="auto"/>
                <w:szCs w:val="21"/>
                <w:highlight w:val="none"/>
              </w:rPr>
              <w:t>（投标时须提供佐证材料证明满足该功能，佐证材料包含但不限于经国家认可的第三方认证（检测）机构出具的带有CMA或CNAS标志的检测报告复印件或官网截图或彩页或功能截图，除检测报告外，其他佐证材料均需加盖原厂公章。）</w:t>
            </w:r>
          </w:p>
          <w:p w14:paraId="0F824397">
            <w:pPr>
              <w:rPr>
                <w:rFonts w:ascii="宋体" w:hAnsi="宋体"/>
                <w:color w:val="auto"/>
                <w:szCs w:val="21"/>
                <w:highlight w:val="none"/>
              </w:rPr>
            </w:pPr>
            <w:r>
              <w:rPr>
                <w:rFonts w:hint="eastAsia" w:ascii="宋体" w:hAnsi="宋体"/>
                <w:color w:val="auto"/>
                <w:szCs w:val="21"/>
                <w:highlight w:val="none"/>
              </w:rPr>
              <w:t>7.具有≥4×USB、≥1×HDMI、≥1×VGA、≥1×LAN、≥1×MIC-IN端口、≥1×LINE-OUT端口、≥1×DC端口、≥1×COM口</w:t>
            </w:r>
          </w:p>
          <w:p w14:paraId="7D9632F9">
            <w:pPr>
              <w:rPr>
                <w:rFonts w:ascii="宋体" w:hAnsi="宋体"/>
                <w:color w:val="auto"/>
                <w:szCs w:val="21"/>
                <w:highlight w:val="none"/>
              </w:rPr>
            </w:pPr>
            <w:r>
              <w:rPr>
                <w:rFonts w:hint="eastAsia" w:ascii="宋体" w:hAnsi="宋体"/>
                <w:color w:val="auto"/>
                <w:szCs w:val="21"/>
                <w:highlight w:val="none"/>
              </w:rPr>
              <w:t>8.采用的处理器配置≥4核，≥4线程，≥3.2GHz主频</w:t>
            </w:r>
          </w:p>
          <w:p w14:paraId="1080FEBD">
            <w:pPr>
              <w:rPr>
                <w:rFonts w:ascii="宋体" w:hAnsi="宋体"/>
                <w:color w:val="auto"/>
                <w:szCs w:val="21"/>
                <w:highlight w:val="none"/>
              </w:rPr>
            </w:pPr>
            <w:r>
              <w:rPr>
                <w:rFonts w:hint="eastAsia" w:ascii="宋体" w:hAnsi="宋体"/>
                <w:color w:val="auto"/>
                <w:szCs w:val="21"/>
                <w:highlight w:val="none"/>
              </w:rPr>
              <w:t>9.采用内存配置≥4GB</w:t>
            </w:r>
          </w:p>
          <w:p w14:paraId="090218F2">
            <w:pPr>
              <w:rPr>
                <w:rFonts w:ascii="宋体" w:hAnsi="宋体"/>
                <w:color w:val="auto"/>
                <w:szCs w:val="21"/>
                <w:highlight w:val="none"/>
              </w:rPr>
            </w:pPr>
            <w:r>
              <w:rPr>
                <w:rFonts w:hint="eastAsia" w:ascii="宋体" w:hAnsi="宋体"/>
                <w:color w:val="auto"/>
                <w:szCs w:val="21"/>
                <w:highlight w:val="none"/>
              </w:rPr>
              <w:t>10.采用硬盘容量≥128GB 固态硬盘</w:t>
            </w:r>
          </w:p>
          <w:p w14:paraId="08129326">
            <w:pPr>
              <w:rPr>
                <w:rFonts w:ascii="宋体" w:hAnsi="宋体" w:cs="宋体"/>
                <w:color w:val="auto"/>
                <w:szCs w:val="21"/>
                <w:highlight w:val="none"/>
              </w:rPr>
            </w:pPr>
            <w:r>
              <w:rPr>
                <w:rFonts w:hint="eastAsia" w:ascii="宋体" w:hAnsi="宋体"/>
                <w:color w:val="auto"/>
                <w:szCs w:val="21"/>
                <w:highlight w:val="none"/>
              </w:rPr>
              <w:t>11.具有≥1×千兆网络接口（RJ45）</w:t>
            </w:r>
          </w:p>
        </w:tc>
      </w:tr>
      <w:tr w14:paraId="262CFE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jc w:val="center"/>
        </w:trPr>
        <w:tc>
          <w:tcPr>
            <w:tcW w:w="659" w:type="dxa"/>
            <w:shd w:val="clear" w:color="auto" w:fill="auto"/>
            <w:vAlign w:val="center"/>
          </w:tcPr>
          <w:p w14:paraId="74928304">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6</w:t>
            </w:r>
          </w:p>
        </w:tc>
        <w:tc>
          <w:tcPr>
            <w:tcW w:w="1148" w:type="dxa"/>
            <w:shd w:val="clear" w:color="auto" w:fill="auto"/>
            <w:vAlign w:val="center"/>
          </w:tcPr>
          <w:p w14:paraId="7718D6AB">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无纸化会议终端软件</w:t>
            </w:r>
          </w:p>
        </w:tc>
        <w:tc>
          <w:tcPr>
            <w:tcW w:w="961" w:type="dxa"/>
            <w:shd w:val="clear" w:color="auto" w:fill="auto"/>
            <w:vAlign w:val="center"/>
          </w:tcPr>
          <w:p w14:paraId="278792C5">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12套</w:t>
            </w:r>
          </w:p>
        </w:tc>
        <w:tc>
          <w:tcPr>
            <w:tcW w:w="701" w:type="dxa"/>
            <w:tcBorders>
              <w:right w:val="single" w:color="auto" w:sz="4" w:space="0"/>
            </w:tcBorders>
            <w:vAlign w:val="center"/>
          </w:tcPr>
          <w:p w14:paraId="790A6929">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w:t>
            </w:r>
          </w:p>
        </w:tc>
        <w:tc>
          <w:tcPr>
            <w:tcW w:w="6527" w:type="dxa"/>
            <w:tcBorders>
              <w:left w:val="single" w:color="auto" w:sz="4" w:space="0"/>
              <w:right w:val="single" w:color="auto" w:sz="4" w:space="0"/>
            </w:tcBorders>
            <w:shd w:val="clear" w:color="auto" w:fill="auto"/>
            <w:vAlign w:val="center"/>
          </w:tcPr>
          <w:p w14:paraId="6F81E10A">
            <w:pPr>
              <w:rPr>
                <w:rFonts w:ascii="宋体" w:hAnsi="宋体"/>
                <w:color w:val="auto"/>
                <w:szCs w:val="21"/>
                <w:highlight w:val="none"/>
              </w:rPr>
            </w:pPr>
            <w:r>
              <w:rPr>
                <w:rFonts w:hint="eastAsia" w:ascii="宋体" w:hAnsi="宋体"/>
                <w:color w:val="auto"/>
                <w:szCs w:val="21"/>
                <w:highlight w:val="none"/>
              </w:rPr>
              <w:t>1.具有≥2种会议模式，包括常规会议模式和保密会议模式，保密会议模式启用后可以自定义参会人文件水印、文件阅后即焚保密机制。</w:t>
            </w:r>
          </w:p>
          <w:p w14:paraId="7B348B07">
            <w:pPr>
              <w:rPr>
                <w:rFonts w:ascii="宋体" w:hAnsi="宋体"/>
                <w:color w:val="auto"/>
                <w:szCs w:val="21"/>
                <w:highlight w:val="none"/>
              </w:rPr>
            </w:pPr>
            <w:r>
              <w:rPr>
                <w:rFonts w:hint="eastAsia" w:ascii="宋体" w:hAnsi="宋体"/>
                <w:color w:val="auto"/>
                <w:szCs w:val="21"/>
                <w:highlight w:val="none"/>
              </w:rPr>
              <w:t>▲2.具有切换客户端会议布局模式功能，能够根据用户的需求切换≥4种不同布局方式，包括卡片模式、简洁模式、导航模式、经典模式；卡片模式，将议题以卡片形式在首页呈现，通过横向滑动查看，在首页可以查看所有议题（包括议程）；简洁模式：将议程以节目表形式在首页进行呈现，纵向滑动查看；导航模式：首页界面具有导航目录，同时展示对应功能列表签到、投票、评分、纪要、视频内容；经典模式，点击对应的功能模块，层级式进入功能详情界面，展示对应功能相关查看和操作内容。</w:t>
            </w:r>
            <w:r>
              <w:rPr>
                <w:rFonts w:hint="eastAsia" w:ascii="宋体" w:hAnsi="宋体" w:cs="宋体"/>
                <w:color w:val="auto"/>
                <w:szCs w:val="21"/>
                <w:highlight w:val="none"/>
              </w:rPr>
              <w:t>（投标时须提供佐证材料证明满足该功能，佐证材料包含但不限于经国家认可的第三方认证（检测）机构出具的带有CMA或CNAS标志的检测报告复印件或官网截图或彩页或功能截图，除检测报告外，其他佐证材料均需加盖原厂公章。）</w:t>
            </w:r>
          </w:p>
          <w:p w14:paraId="16B78656">
            <w:pPr>
              <w:rPr>
                <w:rFonts w:ascii="宋体" w:hAnsi="宋体"/>
                <w:color w:val="auto"/>
                <w:szCs w:val="21"/>
                <w:highlight w:val="none"/>
              </w:rPr>
            </w:pPr>
            <w:r>
              <w:rPr>
                <w:rFonts w:hint="eastAsia" w:ascii="宋体" w:hAnsi="宋体"/>
                <w:color w:val="auto"/>
                <w:szCs w:val="21"/>
                <w:highlight w:val="none"/>
              </w:rPr>
              <w:t>3.具有选择广播/主讲模式，包括自由模式、申请模式、自主模式；自由模式下，用户发起屏幕广播/主讲时，无需其他操作，一键进入到屏幕广播/主讲功能；申请模式，用户发起屏幕广播/主讲时，需等待管理员管理配置确认后，进入到屏幕广播/主讲功能；自主模式，用户发起屏幕广播/主讲时，可选择可查看本次同屏广播的人员；支持广播计时功能，可切换无需计时模式、正计时模式、倒计时模式，倒计时可设置时间。</w:t>
            </w:r>
          </w:p>
          <w:p w14:paraId="7FBEF493">
            <w:pPr>
              <w:rPr>
                <w:rFonts w:ascii="宋体" w:hAnsi="宋体"/>
                <w:color w:val="auto"/>
                <w:szCs w:val="21"/>
                <w:highlight w:val="none"/>
              </w:rPr>
            </w:pPr>
            <w:r>
              <w:rPr>
                <w:rFonts w:hint="eastAsia" w:ascii="宋体" w:hAnsi="宋体"/>
                <w:color w:val="auto"/>
                <w:szCs w:val="21"/>
                <w:highlight w:val="none"/>
              </w:rPr>
              <w:t>▲4.具有会中暂停会议功能，管理员点击暂停会议，所有用户页面锁屏无法操作，大屏内容也会被屏蔽，增强系统安全性。</w:t>
            </w:r>
            <w:r>
              <w:rPr>
                <w:rFonts w:hint="eastAsia" w:ascii="宋体" w:hAnsi="宋体" w:cs="宋体"/>
                <w:color w:val="auto"/>
                <w:szCs w:val="21"/>
                <w:highlight w:val="none"/>
              </w:rPr>
              <w:t>（投标时须提供佐证材料证明满足该功能，佐证材料包含但不限于经国家认可的第三方认证（检测）机构出具的带有CMA或CNAS标志的检测报告复印件或官网截图或彩页或功能截图，除检测报告外，其他佐证材料均需加盖原厂公章。）</w:t>
            </w:r>
          </w:p>
          <w:p w14:paraId="097CFB86">
            <w:pPr>
              <w:rPr>
                <w:rFonts w:ascii="宋体" w:hAnsi="宋体"/>
                <w:color w:val="auto"/>
                <w:szCs w:val="21"/>
                <w:highlight w:val="none"/>
              </w:rPr>
            </w:pPr>
            <w:r>
              <w:rPr>
                <w:rFonts w:hint="eastAsia" w:ascii="宋体" w:hAnsi="宋体"/>
                <w:color w:val="auto"/>
                <w:szCs w:val="21"/>
                <w:highlight w:val="none"/>
              </w:rPr>
              <w:t>5.支持个人中心H5网页展示，可会前、会中上传资料，查看资料，支持会后查看参加过的历史会议的资料及批注文件，保密会议会前会后需申请权限才能查看会议资料。</w:t>
            </w:r>
          </w:p>
          <w:p w14:paraId="565B33DF">
            <w:pPr>
              <w:rPr>
                <w:rFonts w:ascii="宋体" w:hAnsi="宋体"/>
                <w:color w:val="auto"/>
                <w:szCs w:val="21"/>
                <w:highlight w:val="none"/>
              </w:rPr>
            </w:pPr>
            <w:r>
              <w:rPr>
                <w:rFonts w:hint="eastAsia" w:ascii="宋体" w:hAnsi="宋体"/>
                <w:color w:val="auto"/>
                <w:szCs w:val="21"/>
                <w:highlight w:val="none"/>
              </w:rPr>
              <w:t>▲6.支持个人微终端功能，参会人通过手机app查阅未开始、进行中和已结束的会议资料，包含会议信息、参会名单、会议议题、临时资料、会议纪要。</w:t>
            </w:r>
            <w:r>
              <w:rPr>
                <w:rFonts w:hint="eastAsia" w:ascii="宋体" w:hAnsi="宋体" w:cs="宋体"/>
                <w:color w:val="auto"/>
                <w:szCs w:val="21"/>
                <w:highlight w:val="none"/>
              </w:rPr>
              <w:t>（投标时须提供佐证材料证明满足该功能，佐证材料包含但不限于经国家认可的第三方认证（检测）机构出具的带有CMA或CNAS标志的检测报告复印件或官网截图或彩页或功能截图，除检测报告外，其他佐证材料均需加盖原厂公章。）</w:t>
            </w:r>
          </w:p>
          <w:p w14:paraId="1FA9D889">
            <w:pPr>
              <w:rPr>
                <w:rFonts w:ascii="宋体" w:hAnsi="宋体"/>
                <w:color w:val="auto"/>
                <w:szCs w:val="21"/>
                <w:highlight w:val="none"/>
              </w:rPr>
            </w:pPr>
            <w:r>
              <w:rPr>
                <w:rFonts w:hint="eastAsia" w:ascii="宋体" w:hAnsi="宋体"/>
                <w:color w:val="auto"/>
                <w:szCs w:val="21"/>
                <w:highlight w:val="none"/>
              </w:rPr>
              <w:t>7.具有扫码文件带走功能，会议资料生成二维码功能，可根据会议属性，控制显示二维码投屏，供参会人浏览器扫码下载会议资料。</w:t>
            </w:r>
          </w:p>
          <w:p w14:paraId="24C52C07">
            <w:pPr>
              <w:rPr>
                <w:rFonts w:ascii="宋体" w:hAnsi="宋体"/>
                <w:color w:val="auto"/>
                <w:szCs w:val="21"/>
                <w:highlight w:val="none"/>
              </w:rPr>
            </w:pPr>
            <w:r>
              <w:rPr>
                <w:rFonts w:hint="eastAsia" w:ascii="宋体" w:hAnsi="宋体"/>
                <w:color w:val="auto"/>
                <w:szCs w:val="21"/>
                <w:highlight w:val="none"/>
              </w:rPr>
              <w:t>8.具有屏幕同屏广播功能，参会人员可以在会议进行中将本地画面共享至其他参会人员，同时可快捷屏幕投大屏，设备拓展支持跨平台（Windows系统、安卓、鸿蒙、银河麒麟桌面操作系统、统信桌面操作系统）广播；支持文档主讲(文档广播)功能，实现低带宽同步与共享同一份文档资料的功能；屏幕广播/文档主讲支持申请模式，发起申请后需会议管理员同意后才能发起同屏广播。同屏广播/文档主讲具有计时功能，可选择倒计时或顺计时，以及具有选择是否同步到大屏功能。文档主讲支持在文档广播过程中随时切换主讲人的功能。</w:t>
            </w:r>
          </w:p>
          <w:p w14:paraId="5210E110">
            <w:pPr>
              <w:rPr>
                <w:rFonts w:ascii="宋体" w:hAnsi="宋体"/>
                <w:color w:val="auto"/>
                <w:szCs w:val="21"/>
                <w:highlight w:val="none"/>
              </w:rPr>
            </w:pPr>
            <w:r>
              <w:rPr>
                <w:rFonts w:hint="eastAsia" w:ascii="宋体" w:hAnsi="宋体"/>
                <w:color w:val="auto"/>
                <w:szCs w:val="21"/>
                <w:highlight w:val="none"/>
              </w:rPr>
              <w:t>▲9.支持对接DeepSeek，豆包AI大模型，为参会人员提供实时智能问答功能；在会议进行过程中，参会人可随时在交互界面输入问题，AI助手将生成准确回答并显示在专用回答框内；支持在线AI文件概要总结功能，支持上传txt, word,excel,pdf办公文档通过DeepSeek、豆包在线AI大模型自动提取核心要点，生成结构化摘要。</w:t>
            </w:r>
            <w:r>
              <w:rPr>
                <w:rFonts w:hint="eastAsia" w:ascii="宋体" w:hAnsi="宋体" w:cs="宋体"/>
                <w:color w:val="auto"/>
                <w:szCs w:val="21"/>
                <w:highlight w:val="none"/>
              </w:rPr>
              <w:t>（投标时须提供佐证材料证明满足该功能，佐证材料包含但不限于经国家认可的第三方认证（检测）机构出具的带有CMA或CNAS标志的检测报告复印件或官网截图或彩页或功能截图，除检测报告外，其他佐证材料均需加盖原厂公章。）</w:t>
            </w:r>
          </w:p>
          <w:p w14:paraId="621DFC2E">
            <w:pPr>
              <w:rPr>
                <w:rFonts w:ascii="宋体" w:hAnsi="宋体" w:cs="宋体"/>
                <w:color w:val="auto"/>
                <w:szCs w:val="21"/>
                <w:highlight w:val="none"/>
              </w:rPr>
            </w:pPr>
            <w:r>
              <w:rPr>
                <w:rFonts w:hint="eastAsia" w:ascii="宋体" w:hAnsi="宋体"/>
                <w:color w:val="auto"/>
                <w:szCs w:val="21"/>
                <w:highlight w:val="none"/>
              </w:rPr>
              <w:t>支持同屏录制服务,支持对会议广播及屏幕共享内容进行无感知录制，可定时录制，录像文件数据上传后台服务器进行保存。</w:t>
            </w:r>
          </w:p>
        </w:tc>
      </w:tr>
      <w:tr w14:paraId="63BE9F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jc w:val="center"/>
        </w:trPr>
        <w:tc>
          <w:tcPr>
            <w:tcW w:w="659" w:type="dxa"/>
            <w:shd w:val="clear" w:color="auto" w:fill="auto"/>
            <w:vAlign w:val="center"/>
          </w:tcPr>
          <w:p w14:paraId="542CB144">
            <w:pPr>
              <w:widowControl/>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7</w:t>
            </w:r>
          </w:p>
        </w:tc>
        <w:tc>
          <w:tcPr>
            <w:tcW w:w="1148" w:type="dxa"/>
            <w:shd w:val="clear" w:color="auto" w:fill="auto"/>
            <w:vAlign w:val="center"/>
          </w:tcPr>
          <w:p w14:paraId="0065F81A">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无纸化升降器</w:t>
            </w:r>
          </w:p>
        </w:tc>
        <w:tc>
          <w:tcPr>
            <w:tcW w:w="961" w:type="dxa"/>
            <w:shd w:val="clear" w:color="auto" w:fill="auto"/>
            <w:vAlign w:val="center"/>
          </w:tcPr>
          <w:p w14:paraId="5AC4F7EA">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12台</w:t>
            </w:r>
          </w:p>
        </w:tc>
        <w:tc>
          <w:tcPr>
            <w:tcW w:w="701" w:type="dxa"/>
            <w:tcBorders>
              <w:right w:val="single" w:color="auto" w:sz="4" w:space="0"/>
            </w:tcBorders>
            <w:vAlign w:val="center"/>
          </w:tcPr>
          <w:p w14:paraId="281F91FC">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工业</w:t>
            </w:r>
          </w:p>
        </w:tc>
        <w:tc>
          <w:tcPr>
            <w:tcW w:w="6527" w:type="dxa"/>
            <w:tcBorders>
              <w:left w:val="single" w:color="auto" w:sz="4" w:space="0"/>
              <w:right w:val="single" w:color="auto" w:sz="4" w:space="0"/>
            </w:tcBorders>
            <w:shd w:val="clear" w:color="auto" w:fill="auto"/>
            <w:vAlign w:val="center"/>
          </w:tcPr>
          <w:p w14:paraId="4F183C11">
            <w:pPr>
              <w:rPr>
                <w:rFonts w:ascii="宋体" w:hAnsi="宋体" w:cs="宋体"/>
                <w:color w:val="auto"/>
                <w:szCs w:val="21"/>
                <w:highlight w:val="none"/>
              </w:rPr>
            </w:pPr>
            <w:r>
              <w:rPr>
                <w:rFonts w:hint="eastAsia" w:ascii="宋体" w:hAnsi="宋体" w:cs="宋体"/>
                <w:color w:val="auto"/>
                <w:szCs w:val="21"/>
                <w:highlight w:val="none"/>
              </w:rPr>
              <w:t>▲1.触控超薄高清显示屏与升降器一体化设计，无外露连接线、无连接背板、无外露螺丝，保证升降显示触控屏整体美观大方。（投标时须提供佐证材料证明满足该功能，佐证材料包含但不限于经国家认可的第三方认证（检测）机构出具的带有CMA或CNAS标志的检测报告复印件或官网截图或彩页或功能截图，除检测报告外，其他佐证材料均需加盖原厂公章。）</w:t>
            </w:r>
          </w:p>
          <w:p w14:paraId="24D26C71">
            <w:pPr>
              <w:rPr>
                <w:rFonts w:ascii="宋体" w:hAnsi="宋体" w:cs="宋体"/>
                <w:color w:val="auto"/>
                <w:szCs w:val="21"/>
                <w:highlight w:val="none"/>
              </w:rPr>
            </w:pPr>
            <w:r>
              <w:rPr>
                <w:rFonts w:hint="eastAsia" w:ascii="宋体" w:hAnsi="宋体" w:cs="宋体"/>
                <w:color w:val="auto"/>
                <w:szCs w:val="21"/>
                <w:highlight w:val="none"/>
              </w:rPr>
              <w:t>2.设备采用全铝结构，优质铝材加上CNC精雕加工，显示屏框架、机箱都为铝合金带麦克风一体升降，设备的表面处理为阳极氧化处理。</w:t>
            </w:r>
          </w:p>
          <w:p w14:paraId="6AB410C9">
            <w:pPr>
              <w:jc w:val="left"/>
              <w:rPr>
                <w:rFonts w:ascii="宋体" w:hAnsi="宋体" w:cs="宋体"/>
                <w:color w:val="auto"/>
                <w:szCs w:val="21"/>
                <w:highlight w:val="none"/>
              </w:rPr>
            </w:pPr>
            <w:r>
              <w:rPr>
                <w:rFonts w:hint="eastAsia" w:ascii="宋体" w:hAnsi="宋体" w:cs="宋体"/>
                <w:color w:val="auto"/>
                <w:szCs w:val="21"/>
                <w:highlight w:val="none"/>
              </w:rPr>
              <w:t>▲3.话筒升降具有自动扶直功能，当麦杆弯曲时，机器关闭可自动扶直麦杆，不会损坏麦杆。（投标时须提供佐证材料证明满足该功能，佐证材料包含但不限于经国家认可的第三方认证（检测）机构出具的带有CMA或CNAS标志的检测报告复印件或官网截图或彩页或功能截图，除检测报告外，其他佐证材料均需加盖原厂公章。）</w:t>
            </w:r>
          </w:p>
          <w:p w14:paraId="46D6C6CE">
            <w:pPr>
              <w:rPr>
                <w:rFonts w:ascii="宋体" w:hAnsi="宋体" w:cs="宋体"/>
                <w:color w:val="auto"/>
                <w:szCs w:val="21"/>
                <w:highlight w:val="none"/>
              </w:rPr>
            </w:pPr>
            <w:r>
              <w:rPr>
                <w:rFonts w:hint="eastAsia" w:ascii="宋体" w:hAnsi="宋体" w:cs="宋体"/>
                <w:color w:val="auto"/>
                <w:szCs w:val="21"/>
                <w:highlight w:val="none"/>
              </w:rPr>
              <w:t>4.具备≥1组232/485，≥2路USB接口。</w:t>
            </w:r>
          </w:p>
          <w:p w14:paraId="6E8DA597">
            <w:pPr>
              <w:jc w:val="left"/>
              <w:rPr>
                <w:rFonts w:ascii="宋体" w:hAnsi="宋体" w:cs="宋体"/>
                <w:color w:val="auto"/>
                <w:szCs w:val="21"/>
                <w:highlight w:val="none"/>
              </w:rPr>
            </w:pPr>
            <w:r>
              <w:rPr>
                <w:rFonts w:hint="eastAsia" w:ascii="宋体" w:hAnsi="宋体" w:cs="宋体"/>
                <w:color w:val="auto"/>
                <w:szCs w:val="21"/>
                <w:highlight w:val="none"/>
              </w:rPr>
              <w:t>▲5.传动结构做特殊处理，噪音降到最低。产品传动方式以高品质耐拉皮带与高精密度的滑块导轨和直线轴承配合，交流减速电机做驱动动力；中控协议兼容性较强，兼容所有控制主机，控制设备在上升后，屏幕自动供电，下降后，屏幕自行断电，节约环保。（投标时须提供佐证材料证明满足该功能，佐证材料包含但不限于经国家认可的第三方认证（检测）机构出具的带有CMA或CNAS标志的检测报告复印件或官网截图或彩页或功能截图，除检测报告外，其他佐证材料均需加盖原厂公章。）</w:t>
            </w:r>
          </w:p>
          <w:p w14:paraId="6CA2615F">
            <w:pPr>
              <w:jc w:val="left"/>
              <w:rPr>
                <w:rFonts w:ascii="宋体" w:hAnsi="宋体" w:cs="宋体"/>
                <w:color w:val="auto"/>
                <w:szCs w:val="21"/>
                <w:highlight w:val="none"/>
              </w:rPr>
            </w:pPr>
            <w:r>
              <w:rPr>
                <w:rFonts w:hint="eastAsia" w:ascii="宋体" w:hAnsi="宋体" w:cs="宋体"/>
                <w:color w:val="auto"/>
                <w:szCs w:val="21"/>
                <w:highlight w:val="none"/>
              </w:rPr>
              <w:t>▲6.</w:t>
            </w:r>
            <w:r>
              <w:rPr>
                <w:rFonts w:hint="eastAsia" w:ascii="宋体" w:hAnsi="宋体"/>
                <w:color w:val="auto"/>
                <w:szCs w:val="21"/>
                <w:highlight w:val="none"/>
              </w:rPr>
              <w:t>.≥</w:t>
            </w:r>
            <w:r>
              <w:rPr>
                <w:rFonts w:hint="eastAsia" w:ascii="宋体" w:hAnsi="宋体" w:cs="宋体"/>
                <w:color w:val="auto"/>
                <w:szCs w:val="21"/>
                <w:highlight w:val="none"/>
              </w:rPr>
              <w:t>15.6英寸超薄液晶触屏显示器，分辨率达≥1920*1080P，显示效果清晰亮丽，可调节背光设计（投标时须提供佐证材料证明满足该功能，佐证材料包含但不限于经国家认可的第三方认证（检测）机构出具的带有CMA或CNAS标志的检测报告复印件或官网截图或彩页或功能截图，除检测报告外，其他佐证材料均需加盖原厂公章。）</w:t>
            </w:r>
          </w:p>
          <w:p w14:paraId="0F076A02">
            <w:pPr>
              <w:rPr>
                <w:rFonts w:ascii="宋体" w:hAnsi="宋体" w:cs="宋体"/>
                <w:color w:val="auto"/>
                <w:szCs w:val="21"/>
                <w:highlight w:val="none"/>
              </w:rPr>
            </w:pPr>
            <w:r>
              <w:rPr>
                <w:rFonts w:hint="eastAsia" w:ascii="宋体" w:hAnsi="宋体" w:cs="宋体"/>
                <w:color w:val="auto"/>
                <w:szCs w:val="21"/>
                <w:highlight w:val="none"/>
              </w:rPr>
              <w:t>▲7.支持≥1路HDMI和≥1路VGA信号输入，当只有一路信号输入时，屏幕会自动识别信号，当两路信号同时输入时，可通过面板按键手动切换，当无信号输入时，屏幕自动进入省电模式。（投标时须提供佐证材料证明满足该功能，佐证材料包含但不限于经国家认可的第三方认证（检测）机构出具的带有CMA或CNAS标志的检测报告复印件或官网截图或彩页或功能截图，除检测报告外，其他佐证材料均需加盖原厂公章。）</w:t>
            </w:r>
          </w:p>
          <w:p w14:paraId="53EF51E6">
            <w:pPr>
              <w:rPr>
                <w:rFonts w:ascii="宋体" w:hAnsi="宋体" w:cs="宋体"/>
                <w:color w:val="auto"/>
                <w:szCs w:val="21"/>
                <w:highlight w:val="none"/>
              </w:rPr>
            </w:pPr>
            <w:r>
              <w:rPr>
                <w:rFonts w:hint="eastAsia" w:ascii="宋体" w:hAnsi="宋体" w:cs="宋体"/>
                <w:color w:val="auto"/>
                <w:szCs w:val="21"/>
                <w:highlight w:val="none"/>
              </w:rPr>
              <w:t>▲8.设备可通过中控软件进行集中控制，可通过主机进行控制，一键可让室内所有的设备都上升或下降。（投标时须提供佐证材料证明满足该功能，佐证材料包含但不限于经国家认可的第三方认证（检测）机构出具的带有CMA或CNAS标志的检测报告复印件或官网截图或彩页或功能截图，除检测报告外，其他佐证材料均需加盖原厂公章。）</w:t>
            </w:r>
          </w:p>
          <w:p w14:paraId="7ACF6191">
            <w:pPr>
              <w:rPr>
                <w:rFonts w:ascii="宋体" w:hAnsi="宋体" w:cs="宋体"/>
                <w:color w:val="auto"/>
                <w:szCs w:val="21"/>
                <w:highlight w:val="none"/>
              </w:rPr>
            </w:pPr>
            <w:r>
              <w:rPr>
                <w:rFonts w:hint="eastAsia" w:ascii="宋体" w:hAnsi="宋体" w:cs="宋体"/>
                <w:color w:val="auto"/>
                <w:szCs w:val="21"/>
                <w:highlight w:val="none"/>
              </w:rPr>
              <w:t>9.显示屏仰角符合人体工程学原理，不遮挡视线和人脸，显示屏仰角角度可调0-30°。</w:t>
            </w:r>
          </w:p>
          <w:p w14:paraId="207A066A">
            <w:pPr>
              <w:rPr>
                <w:rFonts w:ascii="宋体" w:hAnsi="宋体" w:cs="宋体"/>
                <w:color w:val="auto"/>
                <w:szCs w:val="21"/>
                <w:highlight w:val="none"/>
              </w:rPr>
            </w:pPr>
            <w:r>
              <w:rPr>
                <w:rFonts w:hint="eastAsia" w:ascii="宋体" w:hAnsi="宋体" w:cs="宋体"/>
                <w:color w:val="auto"/>
                <w:szCs w:val="21"/>
                <w:highlight w:val="none"/>
              </w:rPr>
              <w:t>10.升降器具备≥1路环通输出电源插座，给终端供电减少终端电源插座布线。</w:t>
            </w:r>
          </w:p>
          <w:p w14:paraId="14CC1F40">
            <w:pPr>
              <w:rPr>
                <w:rFonts w:ascii="宋体" w:hAnsi="宋体" w:cs="宋体"/>
                <w:color w:val="auto"/>
                <w:szCs w:val="21"/>
                <w:highlight w:val="none"/>
              </w:rPr>
            </w:pPr>
            <w:r>
              <w:rPr>
                <w:rFonts w:hint="eastAsia" w:ascii="宋体" w:hAnsi="宋体" w:cs="宋体"/>
                <w:color w:val="auto"/>
                <w:szCs w:val="21"/>
                <w:highlight w:val="none"/>
              </w:rPr>
              <w:t>▲11.桌面面板具备≥1路USB接口，支持连接U盘可进行浏览文件或上传文件操作。（投标时须提供佐证材料证明满足该功能，佐证材料包含但不限于经国家认可的第三方认证（检测）机构出具的带有CMA或CNAS标志的检测报告复印件或官网截图或彩页或功能截图，除检测报告外，其他佐证材料均需加盖原厂公章。）</w:t>
            </w:r>
          </w:p>
          <w:p w14:paraId="7B1EA396">
            <w:pPr>
              <w:rPr>
                <w:rFonts w:ascii="宋体" w:hAnsi="宋体" w:cs="宋体"/>
                <w:color w:val="auto"/>
                <w:szCs w:val="21"/>
                <w:highlight w:val="none"/>
              </w:rPr>
            </w:pPr>
            <w:r>
              <w:rPr>
                <w:rFonts w:hint="eastAsia" w:ascii="宋体" w:hAnsi="宋体" w:cs="宋体"/>
                <w:color w:val="auto"/>
                <w:szCs w:val="21"/>
                <w:highlight w:val="none"/>
              </w:rPr>
              <w:t>▲12.本设备需要协调一期原设备厂商配合对接，产生的协调、授权、二次开发费用全部自理，可参照一期在用设备技术标准或同等档次产品，提供原厂互通证明并加盖制造商公章，一期设备厂家为itc，型号为TS-0300M和TS-3400MAX。</w:t>
            </w:r>
          </w:p>
        </w:tc>
      </w:tr>
      <w:tr w14:paraId="62F9AF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jc w:val="center"/>
        </w:trPr>
        <w:tc>
          <w:tcPr>
            <w:tcW w:w="659" w:type="dxa"/>
            <w:vAlign w:val="center"/>
          </w:tcPr>
          <w:p w14:paraId="75E23C71">
            <w:pPr>
              <w:widowControl/>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8</w:t>
            </w:r>
          </w:p>
        </w:tc>
        <w:tc>
          <w:tcPr>
            <w:tcW w:w="1148" w:type="dxa"/>
            <w:shd w:val="clear" w:color="auto" w:fill="auto"/>
            <w:vAlign w:val="center"/>
          </w:tcPr>
          <w:p w14:paraId="264DF5C0">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无纸化升降器内嵌软件</w:t>
            </w:r>
          </w:p>
        </w:tc>
        <w:tc>
          <w:tcPr>
            <w:tcW w:w="961" w:type="dxa"/>
            <w:shd w:val="clear" w:color="auto" w:fill="auto"/>
            <w:vAlign w:val="center"/>
          </w:tcPr>
          <w:p w14:paraId="3272705F">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12套</w:t>
            </w:r>
          </w:p>
        </w:tc>
        <w:tc>
          <w:tcPr>
            <w:tcW w:w="701" w:type="dxa"/>
            <w:tcBorders>
              <w:right w:val="single" w:color="auto" w:sz="4" w:space="0"/>
            </w:tcBorders>
            <w:vAlign w:val="center"/>
          </w:tcPr>
          <w:p w14:paraId="4BB33EC5">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w:t>
            </w:r>
          </w:p>
        </w:tc>
        <w:tc>
          <w:tcPr>
            <w:tcW w:w="6527" w:type="dxa"/>
            <w:tcBorders>
              <w:left w:val="single" w:color="auto" w:sz="4" w:space="0"/>
              <w:right w:val="single" w:color="auto" w:sz="4" w:space="0"/>
            </w:tcBorders>
            <w:shd w:val="clear" w:color="auto" w:fill="auto"/>
            <w:vAlign w:val="center"/>
          </w:tcPr>
          <w:p w14:paraId="05333A44">
            <w:pPr>
              <w:rPr>
                <w:rFonts w:ascii="宋体" w:hAnsi="宋体" w:cs="宋体"/>
                <w:color w:val="auto"/>
                <w:szCs w:val="21"/>
                <w:highlight w:val="none"/>
              </w:rPr>
            </w:pPr>
            <w:r>
              <w:rPr>
                <w:rFonts w:hint="eastAsia" w:ascii="宋体" w:hAnsi="宋体" w:cs="宋体"/>
                <w:color w:val="auto"/>
                <w:szCs w:val="21"/>
                <w:highlight w:val="none"/>
              </w:rPr>
              <w:t>1.软件内嵌于终端设备，显示端可对多种文件格式文档进行阅览。</w:t>
            </w:r>
          </w:p>
          <w:p w14:paraId="5380E96C">
            <w:pPr>
              <w:rPr>
                <w:rFonts w:ascii="宋体" w:hAnsi="宋体" w:cs="宋体"/>
                <w:color w:val="auto"/>
                <w:szCs w:val="21"/>
                <w:highlight w:val="none"/>
              </w:rPr>
            </w:pPr>
            <w:r>
              <w:rPr>
                <w:rFonts w:hint="eastAsia" w:ascii="宋体" w:hAnsi="宋体" w:cs="宋体"/>
                <w:color w:val="auto"/>
                <w:szCs w:val="21"/>
                <w:highlight w:val="none"/>
              </w:rPr>
              <w:t>2.支持多种分辨率适配，可适应各种终端界面。</w:t>
            </w:r>
          </w:p>
        </w:tc>
      </w:tr>
      <w:tr w14:paraId="49D730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jc w:val="center"/>
        </w:trPr>
        <w:tc>
          <w:tcPr>
            <w:tcW w:w="659" w:type="dxa"/>
            <w:vAlign w:val="center"/>
          </w:tcPr>
          <w:p w14:paraId="232E6FFA">
            <w:pPr>
              <w:widowControl/>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9</w:t>
            </w:r>
          </w:p>
        </w:tc>
        <w:tc>
          <w:tcPr>
            <w:tcW w:w="1148" w:type="dxa"/>
            <w:shd w:val="clear" w:color="auto" w:fill="auto"/>
            <w:vAlign w:val="center"/>
          </w:tcPr>
          <w:p w14:paraId="6D599CB6">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网络主机</w:t>
            </w:r>
          </w:p>
        </w:tc>
        <w:tc>
          <w:tcPr>
            <w:tcW w:w="961" w:type="dxa"/>
            <w:shd w:val="clear" w:color="auto" w:fill="auto"/>
            <w:vAlign w:val="center"/>
          </w:tcPr>
          <w:p w14:paraId="3F02C2AF">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1台</w:t>
            </w:r>
          </w:p>
        </w:tc>
        <w:tc>
          <w:tcPr>
            <w:tcW w:w="701" w:type="dxa"/>
            <w:tcBorders>
              <w:right w:val="single" w:color="auto" w:sz="4" w:space="0"/>
            </w:tcBorders>
            <w:shd w:val="clear" w:color="auto" w:fill="auto"/>
            <w:vAlign w:val="center"/>
          </w:tcPr>
          <w:p w14:paraId="2DE07B28">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工业</w:t>
            </w:r>
          </w:p>
        </w:tc>
        <w:tc>
          <w:tcPr>
            <w:tcW w:w="6527" w:type="dxa"/>
            <w:tcBorders>
              <w:left w:val="single" w:color="auto" w:sz="4" w:space="0"/>
              <w:right w:val="single" w:color="auto" w:sz="4" w:space="0"/>
            </w:tcBorders>
            <w:shd w:val="clear" w:color="auto" w:fill="auto"/>
            <w:vAlign w:val="center"/>
          </w:tcPr>
          <w:p w14:paraId="6DC76D0A">
            <w:pPr>
              <w:rPr>
                <w:rFonts w:ascii="宋体" w:hAnsi="宋体" w:cs="宋体"/>
                <w:color w:val="auto"/>
                <w:szCs w:val="21"/>
                <w:highlight w:val="none"/>
              </w:rPr>
            </w:pPr>
            <w:r>
              <w:rPr>
                <w:rFonts w:hint="eastAsia" w:ascii="宋体" w:hAnsi="宋体" w:cs="宋体"/>
                <w:color w:val="auto"/>
                <w:szCs w:val="21"/>
                <w:highlight w:val="none"/>
              </w:rPr>
              <w:t>▲1.具有≥24个网络端口，≥4个千兆SFP+光纤口，≥1个控制口。（投标时须提供佐证材料证明满足该功能，佐证材料包含但不限于经国家认可的第三方认证（检测）机构出具的带有CMA或CNAS标志的检测报告复印件或官网截图或彩页或功能截图，除检测报告外，其他佐证材料均需加盖原厂公章。）</w:t>
            </w:r>
          </w:p>
          <w:p w14:paraId="39A5BF5E">
            <w:pPr>
              <w:rPr>
                <w:rFonts w:ascii="宋体" w:hAnsi="宋体" w:cs="宋体"/>
                <w:color w:val="auto"/>
                <w:szCs w:val="21"/>
                <w:highlight w:val="none"/>
              </w:rPr>
            </w:pPr>
            <w:r>
              <w:rPr>
                <w:rFonts w:hint="eastAsia" w:ascii="宋体" w:hAnsi="宋体" w:cs="宋体"/>
                <w:color w:val="auto"/>
                <w:szCs w:val="21"/>
                <w:highlight w:val="none"/>
              </w:rPr>
              <w:t>2.支持网口和光纤线热插拨，支持双备份链路。</w:t>
            </w:r>
          </w:p>
          <w:p w14:paraId="08775CC1">
            <w:pPr>
              <w:rPr>
                <w:rFonts w:ascii="宋体" w:hAnsi="宋体" w:cs="宋体"/>
                <w:color w:val="auto"/>
                <w:szCs w:val="21"/>
                <w:highlight w:val="none"/>
              </w:rPr>
            </w:pPr>
            <w:r>
              <w:rPr>
                <w:rFonts w:hint="eastAsia" w:ascii="宋体" w:hAnsi="宋体" w:cs="宋体"/>
                <w:color w:val="auto"/>
                <w:szCs w:val="21"/>
                <w:highlight w:val="none"/>
              </w:rPr>
              <w:t>3.支持胖瘦一体化，具有智能交换机和普通交换机两种工作模式。</w:t>
            </w:r>
          </w:p>
          <w:p w14:paraId="05B3765B">
            <w:pPr>
              <w:rPr>
                <w:rFonts w:ascii="宋体" w:hAnsi="宋体" w:cs="宋体"/>
                <w:color w:val="auto"/>
                <w:szCs w:val="21"/>
                <w:highlight w:val="none"/>
              </w:rPr>
            </w:pPr>
            <w:r>
              <w:rPr>
                <w:rFonts w:hint="eastAsia" w:ascii="宋体" w:hAnsi="宋体" w:cs="宋体"/>
                <w:color w:val="auto"/>
                <w:szCs w:val="21"/>
                <w:highlight w:val="none"/>
              </w:rPr>
              <w:t>4.通过网络管理平台可实现一键快速替换故障设备。</w:t>
            </w:r>
          </w:p>
          <w:p w14:paraId="16231C92">
            <w:pPr>
              <w:rPr>
                <w:rFonts w:ascii="宋体" w:hAnsi="宋体" w:cs="宋体"/>
                <w:color w:val="auto"/>
                <w:szCs w:val="21"/>
                <w:highlight w:val="none"/>
              </w:rPr>
            </w:pPr>
            <w:r>
              <w:rPr>
                <w:rFonts w:hint="eastAsia" w:ascii="宋体" w:hAnsi="宋体" w:cs="宋体"/>
                <w:color w:val="auto"/>
                <w:szCs w:val="21"/>
                <w:highlight w:val="none"/>
              </w:rPr>
              <w:t>5.具有 IEEE 802.3az 标准的 EEE 节能技术：当 EEE 使能时，可大幅度的减小端口在该阶段的功耗，达到了节能的目的。</w:t>
            </w:r>
          </w:p>
          <w:p w14:paraId="2007F832">
            <w:pPr>
              <w:rPr>
                <w:rFonts w:ascii="宋体" w:hAnsi="宋体" w:cs="宋体"/>
                <w:color w:val="auto"/>
                <w:szCs w:val="21"/>
                <w:highlight w:val="none"/>
              </w:rPr>
            </w:pPr>
            <w:r>
              <w:rPr>
                <w:rFonts w:hint="eastAsia" w:ascii="宋体" w:hAnsi="宋体" w:cs="宋体"/>
                <w:color w:val="auto"/>
                <w:szCs w:val="21"/>
                <w:highlight w:val="none"/>
              </w:rPr>
              <w:t>6.提供友好的Web管理界面，1:1还原交换机端口和面板状态，可方便、快捷查看交换机端口工作状态、流量趋势。</w:t>
            </w:r>
          </w:p>
          <w:p w14:paraId="503B31D9">
            <w:pPr>
              <w:rPr>
                <w:rFonts w:ascii="宋体" w:hAnsi="宋体" w:cs="宋体"/>
                <w:color w:val="auto"/>
                <w:szCs w:val="21"/>
                <w:highlight w:val="none"/>
              </w:rPr>
            </w:pPr>
            <w:r>
              <w:rPr>
                <w:rFonts w:hint="eastAsia" w:ascii="宋体" w:hAnsi="宋体" w:cs="宋体"/>
                <w:color w:val="auto"/>
                <w:szCs w:val="21"/>
                <w:highlight w:val="none"/>
              </w:rPr>
              <w:t>7.采用“零部署”上线方式，交换机接上网线后自动展示在待激活列表，无需配置，一键即可激活。同时控制器还能对故障交换机进行一键重启和替换，最大程度节省运维时间。</w:t>
            </w:r>
          </w:p>
        </w:tc>
      </w:tr>
      <w:tr w14:paraId="5E50A6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jc w:val="center"/>
        </w:trPr>
        <w:tc>
          <w:tcPr>
            <w:tcW w:w="659" w:type="dxa"/>
            <w:vAlign w:val="center"/>
          </w:tcPr>
          <w:p w14:paraId="3A889F7B">
            <w:pPr>
              <w:widowControl/>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10</w:t>
            </w:r>
          </w:p>
        </w:tc>
        <w:tc>
          <w:tcPr>
            <w:tcW w:w="1148" w:type="dxa"/>
            <w:shd w:val="clear" w:color="auto" w:fill="auto"/>
            <w:vAlign w:val="center"/>
          </w:tcPr>
          <w:p w14:paraId="6F19C335">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连接线</w:t>
            </w:r>
          </w:p>
        </w:tc>
        <w:tc>
          <w:tcPr>
            <w:tcW w:w="961" w:type="dxa"/>
            <w:shd w:val="clear" w:color="auto" w:fill="auto"/>
            <w:vAlign w:val="center"/>
          </w:tcPr>
          <w:p w14:paraId="45A8B447">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1根</w:t>
            </w:r>
          </w:p>
        </w:tc>
        <w:tc>
          <w:tcPr>
            <w:tcW w:w="701" w:type="dxa"/>
            <w:tcBorders>
              <w:right w:val="single" w:color="auto" w:sz="4" w:space="0"/>
            </w:tcBorders>
            <w:shd w:val="clear" w:color="auto" w:fill="auto"/>
            <w:vAlign w:val="center"/>
          </w:tcPr>
          <w:p w14:paraId="702CACAA">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工业</w:t>
            </w:r>
          </w:p>
        </w:tc>
        <w:tc>
          <w:tcPr>
            <w:tcW w:w="6527" w:type="dxa"/>
            <w:tcBorders>
              <w:left w:val="single" w:color="auto" w:sz="4" w:space="0"/>
              <w:right w:val="single" w:color="auto" w:sz="4" w:space="0"/>
            </w:tcBorders>
            <w:shd w:val="clear" w:color="auto" w:fill="auto"/>
            <w:vAlign w:val="center"/>
          </w:tcPr>
          <w:p w14:paraId="07DE72F3">
            <w:pPr>
              <w:rPr>
                <w:rFonts w:ascii="宋体" w:hAnsi="宋体" w:cs="宋体"/>
                <w:color w:val="auto"/>
                <w:szCs w:val="21"/>
                <w:highlight w:val="none"/>
              </w:rPr>
            </w:pPr>
            <w:r>
              <w:rPr>
                <w:rFonts w:hint="eastAsia" w:ascii="宋体" w:hAnsi="宋体" w:cs="宋体"/>
                <w:color w:val="auto"/>
                <w:szCs w:val="21"/>
                <w:highlight w:val="none"/>
              </w:rPr>
              <w:t>≥20米延长线（一公一母）</w:t>
            </w:r>
          </w:p>
        </w:tc>
      </w:tr>
      <w:tr w14:paraId="67C326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jc w:val="center"/>
        </w:trPr>
        <w:tc>
          <w:tcPr>
            <w:tcW w:w="659" w:type="dxa"/>
            <w:vAlign w:val="center"/>
          </w:tcPr>
          <w:p w14:paraId="6442A2E2">
            <w:pPr>
              <w:widowControl/>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11</w:t>
            </w:r>
          </w:p>
        </w:tc>
        <w:tc>
          <w:tcPr>
            <w:tcW w:w="1148" w:type="dxa"/>
            <w:shd w:val="clear" w:color="auto" w:fill="auto"/>
            <w:vAlign w:val="center"/>
          </w:tcPr>
          <w:p w14:paraId="5577791E">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插座</w:t>
            </w:r>
          </w:p>
        </w:tc>
        <w:tc>
          <w:tcPr>
            <w:tcW w:w="961" w:type="dxa"/>
            <w:shd w:val="clear" w:color="auto" w:fill="auto"/>
            <w:vAlign w:val="center"/>
          </w:tcPr>
          <w:p w14:paraId="6EEC89A5">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1个</w:t>
            </w:r>
          </w:p>
        </w:tc>
        <w:tc>
          <w:tcPr>
            <w:tcW w:w="701" w:type="dxa"/>
            <w:tcBorders>
              <w:right w:val="single" w:color="auto" w:sz="4" w:space="0"/>
            </w:tcBorders>
            <w:shd w:val="clear" w:color="auto" w:fill="auto"/>
            <w:vAlign w:val="center"/>
          </w:tcPr>
          <w:p w14:paraId="74F11384">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工业</w:t>
            </w:r>
          </w:p>
        </w:tc>
        <w:tc>
          <w:tcPr>
            <w:tcW w:w="6527" w:type="dxa"/>
            <w:tcBorders>
              <w:left w:val="single" w:color="auto" w:sz="4" w:space="0"/>
              <w:right w:val="single" w:color="auto" w:sz="4" w:space="0"/>
            </w:tcBorders>
            <w:shd w:val="clear" w:color="auto" w:fill="auto"/>
            <w:vAlign w:val="center"/>
          </w:tcPr>
          <w:p w14:paraId="2671C5D4">
            <w:pPr>
              <w:rPr>
                <w:rFonts w:ascii="宋体" w:hAnsi="宋体" w:cs="宋体"/>
                <w:color w:val="auto"/>
                <w:szCs w:val="21"/>
                <w:highlight w:val="none"/>
              </w:rPr>
            </w:pPr>
            <w:r>
              <w:rPr>
                <w:rFonts w:hint="eastAsia" w:ascii="宋体" w:hAnsi="宋体" w:cs="宋体"/>
                <w:color w:val="auto"/>
                <w:szCs w:val="21"/>
                <w:highlight w:val="none"/>
              </w:rPr>
              <w:t>1.一进三出连接单元</w:t>
            </w:r>
          </w:p>
          <w:p w14:paraId="7482010E">
            <w:pPr>
              <w:rPr>
                <w:rFonts w:ascii="宋体" w:hAnsi="宋体" w:cs="宋体"/>
                <w:color w:val="auto"/>
                <w:szCs w:val="21"/>
                <w:highlight w:val="none"/>
              </w:rPr>
            </w:pPr>
            <w:r>
              <w:rPr>
                <w:rFonts w:hint="eastAsia" w:ascii="宋体" w:hAnsi="宋体" w:cs="宋体"/>
                <w:color w:val="auto"/>
                <w:szCs w:val="21"/>
                <w:highlight w:val="none"/>
              </w:rPr>
              <w:t>2.采用 ≥100M/10M 自适应网络传输，可以实现手拉手级联。</w:t>
            </w:r>
          </w:p>
          <w:p w14:paraId="3EDE3296">
            <w:pPr>
              <w:rPr>
                <w:rFonts w:ascii="宋体" w:hAnsi="宋体" w:cs="宋体"/>
                <w:color w:val="auto"/>
                <w:szCs w:val="21"/>
                <w:highlight w:val="none"/>
              </w:rPr>
            </w:pPr>
            <w:r>
              <w:rPr>
                <w:rFonts w:hint="eastAsia" w:ascii="宋体" w:hAnsi="宋体" w:cs="宋体"/>
                <w:color w:val="auto"/>
                <w:szCs w:val="21"/>
                <w:highlight w:val="none"/>
              </w:rPr>
              <w:t>3.每个六芯航空接口支持IEEE802.3、IEEE802.3u、 IEEE802.3x规范。</w:t>
            </w:r>
          </w:p>
        </w:tc>
      </w:tr>
      <w:tr w14:paraId="2F8B83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jc w:val="center"/>
        </w:trPr>
        <w:tc>
          <w:tcPr>
            <w:tcW w:w="9996" w:type="dxa"/>
            <w:gridSpan w:val="5"/>
            <w:tcBorders>
              <w:right w:val="single" w:color="auto" w:sz="4" w:space="0"/>
            </w:tcBorders>
            <w:vAlign w:val="center"/>
          </w:tcPr>
          <w:p w14:paraId="0E1A6C52">
            <w:pPr>
              <w:widowControl/>
              <w:jc w:val="left"/>
              <w:textAlignment w:val="center"/>
              <w:rPr>
                <w:rFonts w:ascii="宋体" w:hAnsi="宋体" w:cs="宋体"/>
                <w:color w:val="auto"/>
                <w:kern w:val="0"/>
                <w:szCs w:val="21"/>
                <w:highlight w:val="none"/>
                <w:lang w:bidi="ar"/>
              </w:rPr>
            </w:pPr>
            <w:r>
              <w:rPr>
                <w:rFonts w:hint="eastAsia" w:ascii="宋体" w:hAnsi="宋体" w:cs="宋体"/>
                <w:b/>
                <w:bCs/>
                <w:color w:val="auto"/>
                <w:kern w:val="0"/>
                <w:szCs w:val="21"/>
                <w:highlight w:val="none"/>
                <w:lang w:bidi="ar"/>
              </w:rPr>
              <w:t>（二）辅材</w:t>
            </w:r>
          </w:p>
        </w:tc>
      </w:tr>
      <w:tr w14:paraId="428825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jc w:val="center"/>
        </w:trPr>
        <w:tc>
          <w:tcPr>
            <w:tcW w:w="659" w:type="dxa"/>
            <w:vAlign w:val="center"/>
          </w:tcPr>
          <w:p w14:paraId="50F1733C">
            <w:pPr>
              <w:widowControl/>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1</w:t>
            </w:r>
          </w:p>
        </w:tc>
        <w:tc>
          <w:tcPr>
            <w:tcW w:w="1148" w:type="dxa"/>
            <w:shd w:val="clear" w:color="auto" w:fill="auto"/>
            <w:vAlign w:val="center"/>
          </w:tcPr>
          <w:p w14:paraId="63D835E8">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辅材</w:t>
            </w:r>
          </w:p>
        </w:tc>
        <w:tc>
          <w:tcPr>
            <w:tcW w:w="961" w:type="dxa"/>
            <w:shd w:val="clear" w:color="auto" w:fill="auto"/>
            <w:vAlign w:val="center"/>
          </w:tcPr>
          <w:p w14:paraId="4A17B0CB">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1批</w:t>
            </w:r>
          </w:p>
        </w:tc>
        <w:tc>
          <w:tcPr>
            <w:tcW w:w="701" w:type="dxa"/>
            <w:tcBorders>
              <w:right w:val="single" w:color="auto" w:sz="4" w:space="0"/>
            </w:tcBorders>
            <w:shd w:val="clear" w:color="auto" w:fill="auto"/>
            <w:vAlign w:val="center"/>
          </w:tcPr>
          <w:p w14:paraId="30080410">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工业</w:t>
            </w:r>
          </w:p>
        </w:tc>
        <w:tc>
          <w:tcPr>
            <w:tcW w:w="6527" w:type="dxa"/>
            <w:tcBorders>
              <w:left w:val="single" w:color="auto" w:sz="4" w:space="0"/>
              <w:right w:val="single" w:color="auto" w:sz="4" w:space="0"/>
            </w:tcBorders>
            <w:shd w:val="clear" w:color="auto" w:fill="auto"/>
            <w:vAlign w:val="center"/>
          </w:tcPr>
          <w:p w14:paraId="2D6D4ABC">
            <w:pPr>
              <w:rPr>
                <w:rFonts w:ascii="宋体" w:hAnsi="宋体" w:cs="宋体"/>
                <w:color w:val="auto"/>
                <w:szCs w:val="21"/>
                <w:highlight w:val="none"/>
              </w:rPr>
            </w:pPr>
            <w:r>
              <w:rPr>
                <w:rFonts w:hint="eastAsia" w:ascii="宋体" w:hAnsi="宋体" w:cs="宋体"/>
                <w:color w:val="auto"/>
                <w:szCs w:val="21"/>
                <w:highlight w:val="none"/>
              </w:rPr>
              <w:t>设备安装所需材料</w:t>
            </w:r>
          </w:p>
        </w:tc>
      </w:tr>
      <w:tr w14:paraId="150517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jc w:val="center"/>
        </w:trPr>
        <w:tc>
          <w:tcPr>
            <w:tcW w:w="9996" w:type="dxa"/>
            <w:gridSpan w:val="5"/>
            <w:tcBorders>
              <w:right w:val="single" w:color="auto" w:sz="4" w:space="0"/>
            </w:tcBorders>
            <w:vAlign w:val="center"/>
          </w:tcPr>
          <w:p w14:paraId="4479851A">
            <w:pPr>
              <w:jc w:val="left"/>
              <w:rPr>
                <w:rFonts w:ascii="宋体" w:hAnsi="宋体" w:cs="宋体"/>
                <w:color w:val="auto"/>
                <w:szCs w:val="21"/>
                <w:highlight w:val="none"/>
              </w:rPr>
            </w:pPr>
            <w:r>
              <w:rPr>
                <w:rFonts w:hint="eastAsia" w:ascii="宋体" w:hAnsi="宋体" w:cs="宋体"/>
                <w:b/>
                <w:bCs/>
                <w:color w:val="auto"/>
                <w:szCs w:val="21"/>
                <w:highlight w:val="none"/>
              </w:rPr>
              <w:t>三、6F会议室</w:t>
            </w:r>
          </w:p>
        </w:tc>
      </w:tr>
      <w:tr w14:paraId="1A8A75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jc w:val="center"/>
        </w:trPr>
        <w:tc>
          <w:tcPr>
            <w:tcW w:w="9996" w:type="dxa"/>
            <w:gridSpan w:val="5"/>
            <w:tcBorders>
              <w:right w:val="single" w:color="auto" w:sz="4" w:space="0"/>
            </w:tcBorders>
            <w:shd w:val="clear" w:color="auto" w:fill="auto"/>
            <w:vAlign w:val="center"/>
          </w:tcPr>
          <w:p w14:paraId="09BCB830">
            <w:pPr>
              <w:jc w:val="left"/>
              <w:rPr>
                <w:rFonts w:ascii="宋体" w:hAnsi="宋体" w:cs="宋体"/>
                <w:color w:val="auto"/>
                <w:szCs w:val="21"/>
                <w:highlight w:val="none"/>
              </w:rPr>
            </w:pPr>
            <w:r>
              <w:rPr>
                <w:rFonts w:hint="eastAsia" w:ascii="宋体" w:hAnsi="宋体" w:cs="宋体"/>
                <w:b/>
                <w:bCs/>
                <w:color w:val="auto"/>
                <w:szCs w:val="21"/>
                <w:highlight w:val="none"/>
              </w:rPr>
              <w:t>（三）无纸化会议系统</w:t>
            </w:r>
          </w:p>
        </w:tc>
      </w:tr>
      <w:tr w14:paraId="04BDE1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jc w:val="center"/>
        </w:trPr>
        <w:tc>
          <w:tcPr>
            <w:tcW w:w="659" w:type="dxa"/>
            <w:shd w:val="clear" w:color="auto" w:fill="auto"/>
            <w:vAlign w:val="center"/>
          </w:tcPr>
          <w:p w14:paraId="61B7BAEA">
            <w:pPr>
              <w:jc w:val="center"/>
              <w:rPr>
                <w:rFonts w:ascii="宋体" w:hAnsi="宋体" w:cs="宋体"/>
                <w:color w:val="auto"/>
                <w:szCs w:val="21"/>
                <w:highlight w:val="none"/>
              </w:rPr>
            </w:pPr>
            <w:r>
              <w:rPr>
                <w:rFonts w:hint="eastAsia" w:ascii="宋体" w:hAnsi="宋体" w:cs="宋体"/>
                <w:color w:val="auto"/>
                <w:szCs w:val="21"/>
                <w:highlight w:val="none"/>
              </w:rPr>
              <w:t>1</w:t>
            </w:r>
          </w:p>
        </w:tc>
        <w:tc>
          <w:tcPr>
            <w:tcW w:w="1148" w:type="dxa"/>
            <w:shd w:val="clear" w:color="auto" w:fill="auto"/>
            <w:vAlign w:val="center"/>
          </w:tcPr>
          <w:p w14:paraId="0CC1969D">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无纸化流媒体主机</w:t>
            </w:r>
          </w:p>
        </w:tc>
        <w:tc>
          <w:tcPr>
            <w:tcW w:w="961" w:type="dxa"/>
            <w:shd w:val="clear" w:color="auto" w:fill="auto"/>
            <w:vAlign w:val="center"/>
          </w:tcPr>
          <w:p w14:paraId="3FC26CA1">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1台</w:t>
            </w:r>
          </w:p>
        </w:tc>
        <w:tc>
          <w:tcPr>
            <w:tcW w:w="701" w:type="dxa"/>
            <w:tcBorders>
              <w:right w:val="single" w:color="auto" w:sz="4" w:space="0"/>
            </w:tcBorders>
            <w:shd w:val="clear" w:color="auto" w:fill="auto"/>
            <w:vAlign w:val="center"/>
          </w:tcPr>
          <w:p w14:paraId="24009DCC">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工业</w:t>
            </w:r>
          </w:p>
        </w:tc>
        <w:tc>
          <w:tcPr>
            <w:tcW w:w="6527" w:type="dxa"/>
            <w:tcBorders>
              <w:left w:val="single" w:color="auto" w:sz="4" w:space="0"/>
              <w:right w:val="single" w:color="auto" w:sz="4" w:space="0"/>
            </w:tcBorders>
            <w:shd w:val="clear" w:color="auto" w:fill="auto"/>
          </w:tcPr>
          <w:p w14:paraId="05B3EABB">
            <w:pPr>
              <w:jc w:val="left"/>
              <w:rPr>
                <w:rFonts w:ascii="宋体" w:hAnsi="宋体" w:cs="宋体"/>
                <w:color w:val="auto"/>
                <w:szCs w:val="21"/>
                <w:highlight w:val="none"/>
              </w:rPr>
            </w:pPr>
            <w:r>
              <w:rPr>
                <w:rFonts w:hint="eastAsia" w:ascii="宋体" w:hAnsi="宋体" w:cs="宋体"/>
                <w:color w:val="auto"/>
                <w:szCs w:val="21"/>
                <w:highlight w:val="none"/>
              </w:rPr>
              <w:t>1.无纸化智能流媒体服务器用于无纸化会议系统外部高清视频信号采集与编码，以及音视频信号输出。可以为无纸化会议系统提供外部音视频信号和内部音视频信号互联互通，同时支持无纸化会议签到、投票、同屏会议信息的展示功能。</w:t>
            </w:r>
          </w:p>
          <w:p w14:paraId="4E8200FC">
            <w:pPr>
              <w:jc w:val="left"/>
              <w:rPr>
                <w:rFonts w:ascii="宋体" w:hAnsi="宋体" w:cs="宋体"/>
                <w:color w:val="auto"/>
                <w:szCs w:val="21"/>
                <w:highlight w:val="none"/>
              </w:rPr>
            </w:pPr>
            <w:r>
              <w:rPr>
                <w:rFonts w:hint="eastAsia" w:ascii="宋体" w:hAnsi="宋体" w:cs="宋体"/>
                <w:color w:val="auto"/>
                <w:szCs w:val="21"/>
                <w:highlight w:val="none"/>
              </w:rPr>
              <w:t>2.采用的处理器配置≥4核，≥4线程，≥3.2GHz主频，内存配置≥DDR4 8GB，硬盘为固态硬盘且容量≥128GB。</w:t>
            </w:r>
          </w:p>
          <w:p w14:paraId="6A19582C">
            <w:pPr>
              <w:jc w:val="left"/>
              <w:rPr>
                <w:rFonts w:ascii="宋体" w:hAnsi="宋体" w:cs="宋体"/>
                <w:color w:val="auto"/>
                <w:szCs w:val="21"/>
                <w:highlight w:val="none"/>
              </w:rPr>
            </w:pPr>
            <w:r>
              <w:rPr>
                <w:rFonts w:hint="eastAsia" w:ascii="宋体" w:hAnsi="宋体" w:cs="宋体"/>
                <w:color w:val="auto"/>
                <w:szCs w:val="21"/>
                <w:highlight w:val="none"/>
              </w:rPr>
              <w:t>3.具有千兆网络接口≥2×LAN</w:t>
            </w:r>
          </w:p>
          <w:p w14:paraId="21E74A77">
            <w:pPr>
              <w:rPr>
                <w:rFonts w:ascii="宋体" w:hAnsi="宋体" w:cs="宋体"/>
                <w:color w:val="auto"/>
                <w:szCs w:val="21"/>
                <w:highlight w:val="none"/>
              </w:rPr>
            </w:pPr>
            <w:r>
              <w:rPr>
                <w:rFonts w:hint="eastAsia" w:ascii="宋体" w:hAnsi="宋体"/>
                <w:color w:val="auto"/>
                <w:szCs w:val="21"/>
                <w:highlight w:val="none"/>
              </w:rPr>
              <w:t>▲</w:t>
            </w:r>
            <w:r>
              <w:rPr>
                <w:rFonts w:hint="eastAsia" w:ascii="宋体" w:hAnsi="宋体" w:cs="宋体"/>
                <w:color w:val="auto"/>
                <w:szCs w:val="21"/>
                <w:highlight w:val="none"/>
              </w:rPr>
              <w:t>4.具备视频接口：≥1×DVI,≥1× HDMI，≥1×VGA；具备音频接口：≥1×MIC in,≥1× Line out,≥1× Line in；具备其他接口≥2×USB2.0,≥4×USB3.0 ，≥2×COM RS232，≥1×PS/2。（投标时须提供佐证材料证明满足该功能，佐证材料包含但不限于经国家认可的第三方认证（检测）机构出具的带有CMA或CNAS标志的检测报告复印件或官网截图或彩页或功能截图，除检测报告外，其他佐证材料均需加盖原厂公章。）</w:t>
            </w:r>
          </w:p>
        </w:tc>
      </w:tr>
      <w:tr w14:paraId="2CCBFB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jc w:val="center"/>
        </w:trPr>
        <w:tc>
          <w:tcPr>
            <w:tcW w:w="659" w:type="dxa"/>
            <w:shd w:val="clear" w:color="auto" w:fill="auto"/>
            <w:vAlign w:val="center"/>
          </w:tcPr>
          <w:p w14:paraId="7EC194C0">
            <w:pPr>
              <w:jc w:val="center"/>
              <w:rPr>
                <w:rFonts w:ascii="宋体" w:hAnsi="宋体" w:cs="宋体"/>
                <w:color w:val="auto"/>
                <w:szCs w:val="21"/>
                <w:highlight w:val="none"/>
              </w:rPr>
            </w:pPr>
            <w:r>
              <w:rPr>
                <w:rFonts w:hint="eastAsia" w:ascii="宋体" w:hAnsi="宋体" w:cs="宋体"/>
                <w:color w:val="auto"/>
                <w:szCs w:val="21"/>
                <w:highlight w:val="none"/>
              </w:rPr>
              <w:t>2</w:t>
            </w:r>
          </w:p>
        </w:tc>
        <w:tc>
          <w:tcPr>
            <w:tcW w:w="1148" w:type="dxa"/>
            <w:shd w:val="clear" w:color="auto" w:fill="auto"/>
            <w:vAlign w:val="center"/>
          </w:tcPr>
          <w:p w14:paraId="68D5CE13">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无纸化流媒体服务器嵌入软件</w:t>
            </w:r>
          </w:p>
        </w:tc>
        <w:tc>
          <w:tcPr>
            <w:tcW w:w="961" w:type="dxa"/>
            <w:shd w:val="clear" w:color="auto" w:fill="auto"/>
            <w:vAlign w:val="center"/>
          </w:tcPr>
          <w:p w14:paraId="36B837FD">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1套</w:t>
            </w:r>
          </w:p>
        </w:tc>
        <w:tc>
          <w:tcPr>
            <w:tcW w:w="701" w:type="dxa"/>
            <w:tcBorders>
              <w:right w:val="single" w:color="auto" w:sz="4" w:space="0"/>
            </w:tcBorders>
            <w:shd w:val="clear" w:color="auto" w:fill="auto"/>
            <w:vAlign w:val="center"/>
          </w:tcPr>
          <w:p w14:paraId="3C8B1A14">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w:t>
            </w:r>
          </w:p>
        </w:tc>
        <w:tc>
          <w:tcPr>
            <w:tcW w:w="6527" w:type="dxa"/>
            <w:tcBorders>
              <w:left w:val="single" w:color="auto" w:sz="4" w:space="0"/>
              <w:right w:val="single" w:color="auto" w:sz="4" w:space="0"/>
            </w:tcBorders>
            <w:shd w:val="clear" w:color="auto" w:fill="auto"/>
          </w:tcPr>
          <w:p w14:paraId="746DE8FF">
            <w:pPr>
              <w:jc w:val="left"/>
              <w:rPr>
                <w:rFonts w:ascii="宋体" w:hAnsi="宋体" w:cs="宋体"/>
                <w:color w:val="auto"/>
                <w:szCs w:val="21"/>
                <w:highlight w:val="none"/>
              </w:rPr>
            </w:pPr>
            <w:r>
              <w:rPr>
                <w:rFonts w:hint="eastAsia" w:ascii="宋体" w:hAnsi="宋体" w:cs="宋体"/>
                <w:color w:val="auto"/>
                <w:szCs w:val="21"/>
                <w:highlight w:val="none"/>
              </w:rPr>
              <w:t>1.支持签到投屏功能，将签到过程、签到结果展示在大屏上。</w:t>
            </w:r>
          </w:p>
          <w:p w14:paraId="185A19A0">
            <w:pPr>
              <w:jc w:val="left"/>
              <w:rPr>
                <w:rFonts w:ascii="宋体" w:hAnsi="宋体" w:cs="宋体"/>
                <w:color w:val="auto"/>
                <w:szCs w:val="21"/>
                <w:highlight w:val="none"/>
              </w:rPr>
            </w:pPr>
            <w:r>
              <w:rPr>
                <w:rFonts w:hint="eastAsia" w:ascii="宋体" w:hAnsi="宋体" w:cs="宋体"/>
                <w:color w:val="auto"/>
                <w:szCs w:val="21"/>
                <w:highlight w:val="none"/>
              </w:rPr>
              <w:t>2.支持将电子白板、会议标语、文档主讲、外部信号信息广播到大屏展示。</w:t>
            </w:r>
          </w:p>
          <w:p w14:paraId="5FF4E0D1">
            <w:pPr>
              <w:jc w:val="left"/>
              <w:rPr>
                <w:rFonts w:ascii="宋体" w:hAnsi="宋体" w:cs="宋体"/>
                <w:color w:val="auto"/>
                <w:szCs w:val="21"/>
                <w:highlight w:val="none"/>
              </w:rPr>
            </w:pPr>
            <w:r>
              <w:rPr>
                <w:rFonts w:hint="eastAsia" w:ascii="宋体" w:hAnsi="宋体" w:cs="宋体"/>
                <w:color w:val="auto"/>
                <w:szCs w:val="21"/>
                <w:highlight w:val="none"/>
              </w:rPr>
              <w:t>3.支持多媒体(桌面同屏、电子白板、文档资料)分组投屏功能， 可支持≥4分屏画面同时投屏输出显示。</w:t>
            </w:r>
          </w:p>
          <w:p w14:paraId="28755164">
            <w:pPr>
              <w:jc w:val="left"/>
              <w:rPr>
                <w:rFonts w:ascii="宋体" w:hAnsi="宋体" w:cs="宋体"/>
                <w:color w:val="auto"/>
                <w:szCs w:val="21"/>
                <w:highlight w:val="none"/>
              </w:rPr>
            </w:pPr>
            <w:r>
              <w:rPr>
                <w:rFonts w:hint="eastAsia" w:ascii="宋体" w:hAnsi="宋体" w:cs="宋体"/>
                <w:color w:val="auto"/>
                <w:szCs w:val="21"/>
                <w:highlight w:val="none"/>
              </w:rPr>
              <w:t>4.支持大屏点播功能，直接播放服务器原生视频文件；支持大屏广播功能，将大屏的画面广播同步到各个终端并显示。</w:t>
            </w:r>
          </w:p>
          <w:p w14:paraId="6C9C2998">
            <w:pPr>
              <w:jc w:val="left"/>
              <w:rPr>
                <w:rFonts w:ascii="宋体" w:hAnsi="宋体" w:cs="宋体"/>
                <w:color w:val="auto"/>
                <w:szCs w:val="21"/>
                <w:highlight w:val="none"/>
              </w:rPr>
            </w:pPr>
            <w:r>
              <w:rPr>
                <w:rFonts w:hint="eastAsia" w:ascii="宋体" w:hAnsi="宋体" w:cs="宋体"/>
                <w:color w:val="auto"/>
                <w:szCs w:val="21"/>
                <w:highlight w:val="none"/>
              </w:rPr>
              <w:t>5.支持大屏视频矩阵功能，同时支持多路多媒体源进行播放功能。</w:t>
            </w:r>
          </w:p>
          <w:p w14:paraId="0E0BD061">
            <w:pPr>
              <w:jc w:val="left"/>
              <w:rPr>
                <w:rFonts w:ascii="宋体" w:hAnsi="宋体" w:cs="宋体"/>
                <w:color w:val="auto"/>
                <w:szCs w:val="21"/>
                <w:highlight w:val="none"/>
              </w:rPr>
            </w:pPr>
            <w:r>
              <w:rPr>
                <w:rFonts w:hint="eastAsia" w:ascii="宋体" w:hAnsi="宋体" w:cs="宋体"/>
                <w:color w:val="auto"/>
                <w:szCs w:val="21"/>
                <w:highlight w:val="none"/>
              </w:rPr>
              <w:t>7.支持评分投屏功能，评分过程中查看评分人数、未提交人数。支持评分结束后以柱状图（≥10项）或表格（≥10项）的形式投屏显示评分结果。</w:t>
            </w:r>
          </w:p>
          <w:p w14:paraId="60FFF3F2">
            <w:pPr>
              <w:jc w:val="left"/>
              <w:rPr>
                <w:rFonts w:ascii="宋体" w:hAnsi="宋体" w:cs="宋体"/>
                <w:color w:val="auto"/>
                <w:szCs w:val="21"/>
                <w:highlight w:val="none"/>
              </w:rPr>
            </w:pPr>
            <w:r>
              <w:rPr>
                <w:rFonts w:hint="eastAsia" w:ascii="宋体" w:hAnsi="宋体" w:cs="宋体"/>
                <w:color w:val="auto"/>
                <w:szCs w:val="21"/>
                <w:highlight w:val="none"/>
              </w:rPr>
              <w:t>8.支持座位图投屏功能，在会前或会中将参会者的座位图投放到流媒体大屏中显示，方便与会者快速找位入会。</w:t>
            </w:r>
          </w:p>
          <w:p w14:paraId="72B119F4">
            <w:pPr>
              <w:jc w:val="left"/>
              <w:rPr>
                <w:rFonts w:ascii="宋体" w:hAnsi="宋体" w:cs="宋体"/>
                <w:color w:val="auto"/>
                <w:szCs w:val="21"/>
                <w:highlight w:val="none"/>
              </w:rPr>
            </w:pPr>
            <w:r>
              <w:rPr>
                <w:rFonts w:hint="eastAsia" w:ascii="宋体" w:hAnsi="宋体"/>
                <w:color w:val="auto"/>
                <w:szCs w:val="21"/>
                <w:highlight w:val="none"/>
              </w:rPr>
              <w:t>▲</w:t>
            </w:r>
            <w:r>
              <w:rPr>
                <w:rFonts w:hint="eastAsia" w:ascii="宋体" w:hAnsi="宋体" w:cs="宋体"/>
                <w:color w:val="auto"/>
                <w:szCs w:val="21"/>
                <w:highlight w:val="none"/>
              </w:rPr>
              <w:t>9.同一会场支持≥4台流媒体功能，不同流媒体可以展示相同的媒体画面内容也可以展示不同的媒体画面内容。（投标时须提供佐证材料证明满足该功能，佐证材料包含但不限于经国家认可的第三方认证（检测）机构出具的带有CMA或CNAS标志的检测报告复印件或官网截图或彩页或功能截图，除检测报告外，其他佐证材料均需加盖原厂公章。）</w:t>
            </w:r>
          </w:p>
          <w:p w14:paraId="1E90B545">
            <w:pPr>
              <w:rPr>
                <w:rFonts w:ascii="宋体" w:hAnsi="宋体" w:cs="宋体"/>
                <w:color w:val="auto"/>
                <w:szCs w:val="21"/>
                <w:highlight w:val="none"/>
              </w:rPr>
            </w:pPr>
            <w:r>
              <w:rPr>
                <w:rFonts w:hint="eastAsia" w:ascii="宋体" w:hAnsi="宋体" w:cs="宋体"/>
                <w:color w:val="auto"/>
                <w:szCs w:val="21"/>
                <w:highlight w:val="none"/>
              </w:rPr>
              <w:t>10.支持投票投屏功能，将投票过程、投票结果以文字、柱状图、饼状图方式展示在大屏上。</w:t>
            </w:r>
          </w:p>
        </w:tc>
      </w:tr>
      <w:tr w14:paraId="04F028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jc w:val="center"/>
        </w:trPr>
        <w:tc>
          <w:tcPr>
            <w:tcW w:w="659" w:type="dxa"/>
            <w:shd w:val="clear" w:color="auto" w:fill="auto"/>
            <w:vAlign w:val="center"/>
          </w:tcPr>
          <w:p w14:paraId="20D1E162">
            <w:pPr>
              <w:jc w:val="center"/>
              <w:rPr>
                <w:rFonts w:ascii="宋体" w:hAnsi="宋体" w:cs="宋体"/>
                <w:color w:val="auto"/>
                <w:szCs w:val="21"/>
                <w:highlight w:val="none"/>
              </w:rPr>
            </w:pPr>
            <w:r>
              <w:rPr>
                <w:rFonts w:hint="eastAsia" w:ascii="宋体" w:hAnsi="宋体" w:cs="宋体"/>
                <w:color w:val="auto"/>
                <w:szCs w:val="21"/>
                <w:highlight w:val="none"/>
              </w:rPr>
              <w:t>3</w:t>
            </w:r>
          </w:p>
        </w:tc>
        <w:tc>
          <w:tcPr>
            <w:tcW w:w="1148" w:type="dxa"/>
            <w:shd w:val="clear" w:color="auto" w:fill="auto"/>
            <w:vAlign w:val="center"/>
          </w:tcPr>
          <w:p w14:paraId="6222E035">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无纸化会议终端</w:t>
            </w:r>
          </w:p>
        </w:tc>
        <w:tc>
          <w:tcPr>
            <w:tcW w:w="961" w:type="dxa"/>
            <w:shd w:val="clear" w:color="auto" w:fill="auto"/>
            <w:vAlign w:val="center"/>
          </w:tcPr>
          <w:p w14:paraId="22F94923">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14台</w:t>
            </w:r>
          </w:p>
        </w:tc>
        <w:tc>
          <w:tcPr>
            <w:tcW w:w="701" w:type="dxa"/>
            <w:tcBorders>
              <w:right w:val="single" w:color="auto" w:sz="4" w:space="0"/>
            </w:tcBorders>
            <w:shd w:val="clear" w:color="auto" w:fill="auto"/>
            <w:vAlign w:val="center"/>
          </w:tcPr>
          <w:p w14:paraId="470E4D69">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工业</w:t>
            </w:r>
          </w:p>
        </w:tc>
        <w:tc>
          <w:tcPr>
            <w:tcW w:w="6527" w:type="dxa"/>
            <w:tcBorders>
              <w:left w:val="single" w:color="auto" w:sz="4" w:space="0"/>
              <w:right w:val="single" w:color="auto" w:sz="4" w:space="0"/>
            </w:tcBorders>
            <w:shd w:val="clear" w:color="auto" w:fill="auto"/>
          </w:tcPr>
          <w:p w14:paraId="62A402C2">
            <w:pPr>
              <w:jc w:val="left"/>
              <w:rPr>
                <w:rFonts w:ascii="宋体" w:hAnsi="宋体"/>
                <w:color w:val="auto"/>
                <w:szCs w:val="21"/>
                <w:highlight w:val="none"/>
              </w:rPr>
            </w:pPr>
            <w:r>
              <w:rPr>
                <w:rFonts w:hint="eastAsia" w:ascii="宋体" w:hAnsi="宋体"/>
                <w:color w:val="auto"/>
                <w:szCs w:val="21"/>
                <w:highlight w:val="none"/>
              </w:rPr>
              <w:t>▲1.多媒体会议终端主机搭配终端内嵌软件负责处理会议过程的文件推送、文件分发、浏览阅读、文件批注、智能签到、投票表决、电子白板、电子铭牌、会议交流、会议服务、视频信号互联互通、会议管控、同屏广播应用</w:t>
            </w:r>
            <w:r>
              <w:rPr>
                <w:rFonts w:hint="eastAsia" w:ascii="宋体" w:hAnsi="宋体" w:cs="宋体"/>
                <w:color w:val="auto"/>
                <w:szCs w:val="21"/>
                <w:highlight w:val="none"/>
              </w:rPr>
              <w:t>（投标时须提供佐证材料证明满足该功能，佐证材料包含但不限于经国家认可的第三方认证（检测）机构出具的带有CMA或CNAS标志的检测报告复印件或官网截图或彩页或功能截图，除检测报告外，其他佐证材料均需加盖原厂公章。）</w:t>
            </w:r>
          </w:p>
          <w:p w14:paraId="38AE756A">
            <w:pPr>
              <w:jc w:val="left"/>
              <w:rPr>
                <w:rFonts w:ascii="宋体" w:hAnsi="宋体" w:cs="宋体"/>
                <w:color w:val="auto"/>
                <w:szCs w:val="21"/>
                <w:highlight w:val="none"/>
              </w:rPr>
            </w:pPr>
            <w:r>
              <w:rPr>
                <w:rFonts w:hint="eastAsia" w:ascii="宋体" w:hAnsi="宋体"/>
                <w:color w:val="auto"/>
                <w:szCs w:val="21"/>
                <w:highlight w:val="none"/>
              </w:rPr>
              <w:t>▲2.支持无纸化会议模式和Windows模式，可任意切换。</w:t>
            </w:r>
            <w:r>
              <w:rPr>
                <w:rFonts w:hint="eastAsia" w:ascii="宋体" w:hAnsi="宋体" w:cs="宋体"/>
                <w:color w:val="auto"/>
                <w:szCs w:val="21"/>
                <w:highlight w:val="none"/>
              </w:rPr>
              <w:t>（投标时须提供佐证材料证明满足该功能，佐证材料包含但不限于经国家认可的第三方认证（检测）机构出具的带有CMA或CNAS标志的检测报告复印件或官网截图或彩页或功能截图，除检测报告外，其他佐证材料均需加盖原厂公章。）</w:t>
            </w:r>
          </w:p>
          <w:p w14:paraId="56137A9F">
            <w:pPr>
              <w:jc w:val="left"/>
              <w:rPr>
                <w:rFonts w:ascii="宋体" w:hAnsi="宋体" w:cs="宋体"/>
                <w:color w:val="auto"/>
                <w:szCs w:val="21"/>
                <w:highlight w:val="none"/>
              </w:rPr>
            </w:pPr>
            <w:r>
              <w:rPr>
                <w:rFonts w:hint="eastAsia" w:ascii="宋体" w:hAnsi="宋体"/>
                <w:color w:val="auto"/>
                <w:szCs w:val="21"/>
                <w:highlight w:val="none"/>
              </w:rPr>
              <w:t>▲3.可对多种文件格式进行阅览，包括常见格式doc/ docx /xls/ xlsx /ppt /pptx/ pdf /txt/jpg/png，参会人只可看到有权限的文件。</w:t>
            </w:r>
            <w:r>
              <w:rPr>
                <w:rFonts w:hint="eastAsia" w:ascii="宋体" w:hAnsi="宋体" w:cs="宋体"/>
                <w:color w:val="auto"/>
                <w:szCs w:val="21"/>
                <w:highlight w:val="none"/>
              </w:rPr>
              <w:t>（投标时须提供佐证材料证明满足该功能，佐证材料包含但不限于经国家认可的第三方认证（检测）机构出具的带有CMA或CNAS标志的检测报告复印件或官网截图或彩页或功能截图，除检测报告外，其他佐证材料均需加盖原厂公章。）</w:t>
            </w:r>
          </w:p>
          <w:p w14:paraId="2264A9D8">
            <w:pPr>
              <w:rPr>
                <w:rFonts w:ascii="宋体" w:hAnsi="宋体"/>
                <w:color w:val="auto"/>
                <w:szCs w:val="21"/>
                <w:highlight w:val="none"/>
              </w:rPr>
            </w:pPr>
            <w:r>
              <w:rPr>
                <w:rFonts w:hint="eastAsia" w:ascii="宋体" w:hAnsi="宋体"/>
                <w:color w:val="auto"/>
                <w:szCs w:val="21"/>
                <w:highlight w:val="none"/>
              </w:rPr>
              <w:t>4.会议过程中可以随时进行会议笔记记录，支持下载到本地。</w:t>
            </w:r>
          </w:p>
          <w:p w14:paraId="2E66DDAE">
            <w:pPr>
              <w:jc w:val="left"/>
              <w:rPr>
                <w:rFonts w:ascii="宋体" w:hAnsi="宋体" w:cs="宋体"/>
                <w:color w:val="auto"/>
                <w:szCs w:val="21"/>
                <w:highlight w:val="none"/>
              </w:rPr>
            </w:pPr>
            <w:r>
              <w:rPr>
                <w:rFonts w:hint="eastAsia" w:ascii="宋体" w:hAnsi="宋体"/>
                <w:color w:val="auto"/>
                <w:szCs w:val="21"/>
                <w:highlight w:val="none"/>
              </w:rPr>
              <w:t>▲5.个人中心模块支持会前、会中上传资料，查看资料（保密会议会前不能查看）；支持会后下载参加过的会议的资料。</w:t>
            </w:r>
            <w:r>
              <w:rPr>
                <w:rFonts w:hint="eastAsia" w:ascii="宋体" w:hAnsi="宋体" w:cs="宋体"/>
                <w:color w:val="auto"/>
                <w:szCs w:val="21"/>
                <w:highlight w:val="none"/>
              </w:rPr>
              <w:t>（投标时须提供佐证材料证明满足该功能，佐证材料包含但不限于经国家认可的第三方认证（检测）机构出具的带有CMA或CNAS标志的检测报告复印件或官网截图或彩页或功能截图，除检测报告外，其他佐证材料均需加盖原厂公章。）</w:t>
            </w:r>
          </w:p>
          <w:p w14:paraId="0D8C1B03">
            <w:pPr>
              <w:jc w:val="left"/>
              <w:rPr>
                <w:rFonts w:ascii="宋体" w:hAnsi="宋体"/>
                <w:color w:val="auto"/>
                <w:szCs w:val="21"/>
                <w:highlight w:val="none"/>
              </w:rPr>
            </w:pPr>
            <w:r>
              <w:rPr>
                <w:rFonts w:hint="eastAsia" w:ascii="宋体" w:hAnsi="宋体"/>
                <w:color w:val="auto"/>
                <w:szCs w:val="21"/>
                <w:highlight w:val="none"/>
              </w:rPr>
              <w:t>▲6.结束会议终端自动清除本地会议文件。</w:t>
            </w:r>
            <w:r>
              <w:rPr>
                <w:rFonts w:hint="eastAsia" w:ascii="宋体" w:hAnsi="宋体" w:cs="宋体"/>
                <w:color w:val="auto"/>
                <w:szCs w:val="21"/>
                <w:highlight w:val="none"/>
              </w:rPr>
              <w:t>（投标时须提供佐证材料证明满足该功能，佐证材料包含但不限于经国家认可的第三方认证（检测）机构出具的带有CMA或CNAS标志的检测报告复印件或官网截图或彩页或功能截图，除检测报告外，其他佐证材料均需加盖原厂公章。）</w:t>
            </w:r>
          </w:p>
          <w:p w14:paraId="0FACB784">
            <w:pPr>
              <w:rPr>
                <w:rFonts w:ascii="宋体" w:hAnsi="宋体"/>
                <w:color w:val="auto"/>
                <w:szCs w:val="21"/>
                <w:highlight w:val="none"/>
              </w:rPr>
            </w:pPr>
            <w:r>
              <w:rPr>
                <w:rFonts w:hint="eastAsia" w:ascii="宋体" w:hAnsi="宋体"/>
                <w:color w:val="auto"/>
                <w:szCs w:val="21"/>
                <w:highlight w:val="none"/>
              </w:rPr>
              <w:t>7.具有≥4×USB、≥1×HDMI、≥1×VGA、≥1×LAN、≥1×MIC-IN端口、≥1×LINE-OUT端口、≥1×DC端口、≥1×COM口</w:t>
            </w:r>
          </w:p>
          <w:p w14:paraId="77A0C519">
            <w:pPr>
              <w:rPr>
                <w:rFonts w:ascii="宋体" w:hAnsi="宋体"/>
                <w:color w:val="auto"/>
                <w:szCs w:val="21"/>
                <w:highlight w:val="none"/>
              </w:rPr>
            </w:pPr>
            <w:r>
              <w:rPr>
                <w:rFonts w:hint="eastAsia" w:ascii="宋体" w:hAnsi="宋体"/>
                <w:color w:val="auto"/>
                <w:szCs w:val="21"/>
                <w:highlight w:val="none"/>
              </w:rPr>
              <w:t>8.采用的处理器配置≥4核，≥4线程，≥3.2GHz主频</w:t>
            </w:r>
          </w:p>
          <w:p w14:paraId="47922DE2">
            <w:pPr>
              <w:rPr>
                <w:rFonts w:ascii="宋体" w:hAnsi="宋体"/>
                <w:color w:val="auto"/>
                <w:szCs w:val="21"/>
                <w:highlight w:val="none"/>
              </w:rPr>
            </w:pPr>
            <w:r>
              <w:rPr>
                <w:rFonts w:hint="eastAsia" w:ascii="宋体" w:hAnsi="宋体"/>
                <w:color w:val="auto"/>
                <w:szCs w:val="21"/>
                <w:highlight w:val="none"/>
              </w:rPr>
              <w:t>9.采用内存配置≥4GB</w:t>
            </w:r>
          </w:p>
          <w:p w14:paraId="50698DDF">
            <w:pPr>
              <w:rPr>
                <w:rFonts w:ascii="宋体" w:hAnsi="宋体"/>
                <w:color w:val="auto"/>
                <w:szCs w:val="21"/>
                <w:highlight w:val="none"/>
              </w:rPr>
            </w:pPr>
            <w:r>
              <w:rPr>
                <w:rFonts w:hint="eastAsia" w:ascii="宋体" w:hAnsi="宋体"/>
                <w:color w:val="auto"/>
                <w:szCs w:val="21"/>
                <w:highlight w:val="none"/>
              </w:rPr>
              <w:t>10.采用硬盘容量≥128GB 固态硬盘</w:t>
            </w:r>
          </w:p>
          <w:p w14:paraId="56598268">
            <w:pPr>
              <w:rPr>
                <w:rFonts w:ascii="宋体" w:hAnsi="宋体" w:cs="宋体"/>
                <w:color w:val="auto"/>
                <w:szCs w:val="21"/>
                <w:highlight w:val="none"/>
              </w:rPr>
            </w:pPr>
            <w:r>
              <w:rPr>
                <w:rFonts w:hint="eastAsia" w:ascii="宋体" w:hAnsi="宋体"/>
                <w:color w:val="auto"/>
                <w:szCs w:val="21"/>
                <w:highlight w:val="none"/>
              </w:rPr>
              <w:t>11.具有≥1×千兆网络接口（RJ45）</w:t>
            </w:r>
          </w:p>
        </w:tc>
      </w:tr>
      <w:tr w14:paraId="3F8487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jc w:val="center"/>
        </w:trPr>
        <w:tc>
          <w:tcPr>
            <w:tcW w:w="659" w:type="dxa"/>
            <w:shd w:val="clear" w:color="auto" w:fill="auto"/>
            <w:vAlign w:val="center"/>
          </w:tcPr>
          <w:p w14:paraId="0C1E7824">
            <w:pPr>
              <w:jc w:val="center"/>
              <w:rPr>
                <w:rFonts w:ascii="宋体" w:hAnsi="宋体" w:cs="宋体"/>
                <w:color w:val="auto"/>
                <w:szCs w:val="21"/>
                <w:highlight w:val="none"/>
              </w:rPr>
            </w:pPr>
            <w:r>
              <w:rPr>
                <w:rFonts w:hint="eastAsia" w:ascii="宋体" w:hAnsi="宋体" w:cs="宋体"/>
                <w:color w:val="auto"/>
                <w:szCs w:val="21"/>
                <w:highlight w:val="none"/>
              </w:rPr>
              <w:t>4</w:t>
            </w:r>
          </w:p>
        </w:tc>
        <w:tc>
          <w:tcPr>
            <w:tcW w:w="1148" w:type="dxa"/>
            <w:shd w:val="clear" w:color="auto" w:fill="auto"/>
            <w:vAlign w:val="center"/>
          </w:tcPr>
          <w:p w14:paraId="3229236D">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无纸化会议终端软件</w:t>
            </w:r>
          </w:p>
        </w:tc>
        <w:tc>
          <w:tcPr>
            <w:tcW w:w="961" w:type="dxa"/>
            <w:shd w:val="clear" w:color="auto" w:fill="auto"/>
            <w:vAlign w:val="center"/>
          </w:tcPr>
          <w:p w14:paraId="06257207">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14套</w:t>
            </w:r>
          </w:p>
        </w:tc>
        <w:tc>
          <w:tcPr>
            <w:tcW w:w="701" w:type="dxa"/>
            <w:tcBorders>
              <w:right w:val="single" w:color="auto" w:sz="4" w:space="0"/>
            </w:tcBorders>
            <w:shd w:val="clear" w:color="auto" w:fill="auto"/>
            <w:vAlign w:val="center"/>
          </w:tcPr>
          <w:p w14:paraId="2B427386">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w:t>
            </w:r>
          </w:p>
        </w:tc>
        <w:tc>
          <w:tcPr>
            <w:tcW w:w="6527" w:type="dxa"/>
            <w:tcBorders>
              <w:left w:val="single" w:color="auto" w:sz="4" w:space="0"/>
              <w:right w:val="single" w:color="auto" w:sz="4" w:space="0"/>
            </w:tcBorders>
            <w:shd w:val="clear" w:color="auto" w:fill="auto"/>
          </w:tcPr>
          <w:p w14:paraId="0482E078">
            <w:pPr>
              <w:rPr>
                <w:rFonts w:ascii="宋体" w:hAnsi="宋体"/>
                <w:color w:val="auto"/>
                <w:szCs w:val="21"/>
                <w:highlight w:val="none"/>
              </w:rPr>
            </w:pPr>
            <w:r>
              <w:rPr>
                <w:rFonts w:hint="eastAsia" w:ascii="宋体" w:hAnsi="宋体"/>
                <w:color w:val="auto"/>
                <w:szCs w:val="21"/>
                <w:highlight w:val="none"/>
              </w:rPr>
              <w:t>1.具有≥2种会议模式，包括常规会议模式和保密会议模式，保密会议模式启用后可以自定义参会人文件水印、文件阅后即焚保密机制。</w:t>
            </w:r>
          </w:p>
          <w:p w14:paraId="405F6F97">
            <w:pPr>
              <w:rPr>
                <w:rFonts w:ascii="宋体" w:hAnsi="宋体"/>
                <w:color w:val="auto"/>
                <w:szCs w:val="21"/>
                <w:highlight w:val="none"/>
              </w:rPr>
            </w:pPr>
            <w:r>
              <w:rPr>
                <w:rFonts w:hint="eastAsia" w:ascii="宋体" w:hAnsi="宋体"/>
                <w:color w:val="auto"/>
                <w:szCs w:val="21"/>
                <w:highlight w:val="none"/>
              </w:rPr>
              <w:t>▲2.具有切换客户端会议布局模式功能，能够根据用户的需求切换≥4种不同布局方式，包括卡片模式、简洁模式、导航模式、经典模式；卡片模式，将议题以卡片形式在首页呈现，通过横向滑动查看，在首页可以查看所有议题（包括议程）；简洁模式：将议程以节目表形式在首页进行呈现，纵向滑动查看；导航模式：首页界面具有导航目录，同时展示对应功能列表签到、投票、评分、纪要、视频内容；经典模式，点击对应的功能模块，层级式进入功能详情界面，展示对应功能相关查看和操作内容。</w:t>
            </w:r>
            <w:r>
              <w:rPr>
                <w:rFonts w:hint="eastAsia" w:ascii="宋体" w:hAnsi="宋体" w:cs="宋体"/>
                <w:color w:val="auto"/>
                <w:szCs w:val="21"/>
                <w:highlight w:val="none"/>
              </w:rPr>
              <w:t>（投标时须提供佐证材料证明满足该功能，佐证材料包含但不限于经国家认可的第三方认证（检测）机构出具的带有CMA或CNAS标志的检测报告复印件或官网截图或彩页或功能截图，除检测报告外，其他佐证材料均需加盖原厂公章。）</w:t>
            </w:r>
          </w:p>
          <w:p w14:paraId="6D61B5D9">
            <w:pPr>
              <w:rPr>
                <w:rFonts w:ascii="宋体" w:hAnsi="宋体"/>
                <w:color w:val="auto"/>
                <w:szCs w:val="21"/>
                <w:highlight w:val="none"/>
              </w:rPr>
            </w:pPr>
            <w:r>
              <w:rPr>
                <w:rFonts w:hint="eastAsia" w:ascii="宋体" w:hAnsi="宋体"/>
                <w:color w:val="auto"/>
                <w:szCs w:val="21"/>
                <w:highlight w:val="none"/>
              </w:rPr>
              <w:t>3.具有选择广播/主讲模式，包括自由模式、申请模式、自主模式；自由模式下，用户发起屏幕广播/主讲时，无需其他操作，一键进入到屏幕广播/主讲功能；申请模式，用户发起屏幕广播/主讲时，需等待管理员管理配置确认后，进入到屏幕广播/主讲功能；自主模式，用户发起屏幕广播/主讲时，可选择可查看本次同屏广播的人员；支持广播计时功能，可切换无需计时模式、正计时模式、倒计时模式，倒计时可设置时间。</w:t>
            </w:r>
          </w:p>
          <w:p w14:paraId="6E3F3871">
            <w:pPr>
              <w:rPr>
                <w:rFonts w:ascii="宋体" w:hAnsi="宋体"/>
                <w:color w:val="auto"/>
                <w:szCs w:val="21"/>
                <w:highlight w:val="none"/>
              </w:rPr>
            </w:pPr>
            <w:r>
              <w:rPr>
                <w:rFonts w:hint="eastAsia" w:ascii="宋体" w:hAnsi="宋体"/>
                <w:color w:val="auto"/>
                <w:szCs w:val="21"/>
                <w:highlight w:val="none"/>
              </w:rPr>
              <w:t>▲4.具有会中暂停会议功能，管理员点击暂停会议，所有用户页面锁屏无法操作，大屏内容也会被屏蔽，增强系统安全性。</w:t>
            </w:r>
            <w:r>
              <w:rPr>
                <w:rFonts w:hint="eastAsia" w:ascii="宋体" w:hAnsi="宋体" w:cs="宋体"/>
                <w:color w:val="auto"/>
                <w:szCs w:val="21"/>
                <w:highlight w:val="none"/>
              </w:rPr>
              <w:t>（投标时须提供佐证材料证明满足该功能，佐证材料包含但不限于经国家认可的第三方认证（检测）机构出具的带有CMA或CNAS标志的检测报告复印件或官网截图或彩页或功能截图，除检测报告外，其他佐证材料均需加盖原厂公章。）</w:t>
            </w:r>
          </w:p>
          <w:p w14:paraId="2C06EEBF">
            <w:pPr>
              <w:rPr>
                <w:rFonts w:ascii="宋体" w:hAnsi="宋体"/>
                <w:color w:val="auto"/>
                <w:szCs w:val="21"/>
                <w:highlight w:val="none"/>
              </w:rPr>
            </w:pPr>
            <w:r>
              <w:rPr>
                <w:rFonts w:hint="eastAsia" w:ascii="宋体" w:hAnsi="宋体"/>
                <w:color w:val="auto"/>
                <w:szCs w:val="21"/>
                <w:highlight w:val="none"/>
              </w:rPr>
              <w:t>5.支持个人中心H5网页展示，可会前、会中上传资料，查看资料，支持会后查看参加过的历史会议的资料及批注文件，保密会议会前会后需申请权限才能查看会议资料。</w:t>
            </w:r>
          </w:p>
          <w:p w14:paraId="45FFD81E">
            <w:pPr>
              <w:rPr>
                <w:rFonts w:ascii="宋体" w:hAnsi="宋体"/>
                <w:color w:val="auto"/>
                <w:szCs w:val="21"/>
                <w:highlight w:val="none"/>
              </w:rPr>
            </w:pPr>
            <w:r>
              <w:rPr>
                <w:rFonts w:hint="eastAsia" w:ascii="宋体" w:hAnsi="宋体"/>
                <w:color w:val="auto"/>
                <w:szCs w:val="21"/>
                <w:highlight w:val="none"/>
              </w:rPr>
              <w:t>▲6.支持个人微终端功能，参会人通过手机app查阅未开始、进行中和已结束的会议资料，包含会议信息、参会名单、会议议题、临时资料、会议纪要。</w:t>
            </w:r>
            <w:r>
              <w:rPr>
                <w:rFonts w:hint="eastAsia" w:ascii="宋体" w:hAnsi="宋体" w:cs="宋体"/>
                <w:color w:val="auto"/>
                <w:szCs w:val="21"/>
                <w:highlight w:val="none"/>
              </w:rPr>
              <w:t>（投标时须提供佐证材料证明满足该功能，佐证材料包含但不限于经国家认可的第三方认证（检测）机构出具的带有CMA或CNAS标志的检测报告复印件或官网截图或彩页或功能截图，除检测报告外，其他佐证材料均需加盖原厂公章。）</w:t>
            </w:r>
          </w:p>
          <w:p w14:paraId="503D9979">
            <w:pPr>
              <w:rPr>
                <w:rFonts w:ascii="宋体" w:hAnsi="宋体"/>
                <w:color w:val="auto"/>
                <w:szCs w:val="21"/>
                <w:highlight w:val="none"/>
              </w:rPr>
            </w:pPr>
            <w:r>
              <w:rPr>
                <w:rFonts w:hint="eastAsia" w:ascii="宋体" w:hAnsi="宋体"/>
                <w:color w:val="auto"/>
                <w:szCs w:val="21"/>
                <w:highlight w:val="none"/>
              </w:rPr>
              <w:t>7.具有扫码文件带走功能，会议资料生成二维码功能，可根据会议属性，控制显示二维码投屏，供参会人浏览器扫码下载会议资料。</w:t>
            </w:r>
          </w:p>
          <w:p w14:paraId="48AB8D7E">
            <w:pPr>
              <w:rPr>
                <w:rFonts w:ascii="宋体" w:hAnsi="宋体"/>
                <w:color w:val="auto"/>
                <w:szCs w:val="21"/>
                <w:highlight w:val="none"/>
              </w:rPr>
            </w:pPr>
            <w:r>
              <w:rPr>
                <w:rFonts w:hint="eastAsia" w:ascii="宋体" w:hAnsi="宋体"/>
                <w:color w:val="auto"/>
                <w:szCs w:val="21"/>
                <w:highlight w:val="none"/>
              </w:rPr>
              <w:t>8.具有屏幕同屏广播功能，参会人员可以在会议进行中将本地画面共享至其他参会人员，同时可快捷屏幕投大屏，设备拓展支持跨平台（Windows系统、安卓、鸿蒙、银河麒麟桌面操作系统、统信桌面操作系统）广播；支持文档主讲(文档广播)功能，实现低带宽同步与共享同一份文档资料的功能；屏幕广播/文档主讲支持申请模式，发起申请后需会议管理员同意后才能发起同屏广播。同屏广播/文档主讲具有计时功能，可选择倒计时或顺计时，以及具有选择是否同步到大屏功能。文档主讲支持在文档广播过程中随时切换主讲人的功能。</w:t>
            </w:r>
          </w:p>
          <w:p w14:paraId="2B5BB75B">
            <w:pPr>
              <w:rPr>
                <w:rFonts w:ascii="宋体" w:hAnsi="宋体"/>
                <w:color w:val="auto"/>
                <w:szCs w:val="21"/>
                <w:highlight w:val="none"/>
              </w:rPr>
            </w:pPr>
            <w:r>
              <w:rPr>
                <w:rFonts w:hint="eastAsia" w:ascii="宋体" w:hAnsi="宋体"/>
                <w:color w:val="auto"/>
                <w:szCs w:val="21"/>
                <w:highlight w:val="none"/>
              </w:rPr>
              <w:t>▲9.支持对接DeepSeek，豆包AI大模型，为参会人员提供实时智能问答功能；在会议进行过程中，参会人可随时在交互界面输入问题，AI助手将生成准确回答并显示在专用回答框内；支持在线AI文件概要总结功能，支持上传txt, word,excel,pdf办公文档通过DeepSeek、豆包在线AI大模型自动提取核心要点，生成结构化摘要。</w:t>
            </w:r>
            <w:r>
              <w:rPr>
                <w:rFonts w:hint="eastAsia" w:ascii="宋体" w:hAnsi="宋体" w:cs="宋体"/>
                <w:color w:val="auto"/>
                <w:szCs w:val="21"/>
                <w:highlight w:val="none"/>
              </w:rPr>
              <w:t>（投标时须提供佐证材料证明满足该功能，佐证材料包含但不限于经国家认可的第三方认证（检测）机构出具的带有CMA或CNAS标志的检测报告复印件或官网截图或彩页或功能截图，除检测报告外，其他佐证材料均需加盖原厂公章。）</w:t>
            </w:r>
          </w:p>
          <w:p w14:paraId="02B4D65D">
            <w:pPr>
              <w:rPr>
                <w:rFonts w:ascii="宋体" w:hAnsi="宋体" w:cs="宋体"/>
                <w:color w:val="auto"/>
                <w:szCs w:val="21"/>
                <w:highlight w:val="none"/>
              </w:rPr>
            </w:pPr>
            <w:r>
              <w:rPr>
                <w:rFonts w:hint="eastAsia" w:ascii="宋体" w:hAnsi="宋体"/>
                <w:color w:val="auto"/>
                <w:szCs w:val="21"/>
                <w:highlight w:val="none"/>
              </w:rPr>
              <w:t>支持同屏录制服务,支持对会议广播及屏幕共享内容进行无感知录制，可定时录制，录像文件数据上传后台服务器进行保存。</w:t>
            </w:r>
          </w:p>
        </w:tc>
      </w:tr>
      <w:tr w14:paraId="24748A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jc w:val="center"/>
        </w:trPr>
        <w:tc>
          <w:tcPr>
            <w:tcW w:w="659" w:type="dxa"/>
            <w:shd w:val="clear" w:color="auto" w:fill="auto"/>
            <w:vAlign w:val="center"/>
          </w:tcPr>
          <w:p w14:paraId="4DEF4A19">
            <w:pPr>
              <w:jc w:val="center"/>
              <w:rPr>
                <w:rFonts w:ascii="宋体" w:hAnsi="宋体" w:cs="宋体"/>
                <w:color w:val="auto"/>
                <w:szCs w:val="21"/>
                <w:highlight w:val="none"/>
              </w:rPr>
            </w:pPr>
            <w:r>
              <w:rPr>
                <w:rFonts w:hint="eastAsia" w:ascii="宋体" w:hAnsi="宋体" w:cs="宋体"/>
                <w:color w:val="auto"/>
                <w:szCs w:val="21"/>
                <w:highlight w:val="none"/>
              </w:rPr>
              <w:t>5</w:t>
            </w:r>
          </w:p>
        </w:tc>
        <w:tc>
          <w:tcPr>
            <w:tcW w:w="1148" w:type="dxa"/>
            <w:shd w:val="clear" w:color="auto" w:fill="auto"/>
            <w:vAlign w:val="center"/>
          </w:tcPr>
          <w:p w14:paraId="1CC617C7">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无纸化升降器</w:t>
            </w:r>
          </w:p>
        </w:tc>
        <w:tc>
          <w:tcPr>
            <w:tcW w:w="961" w:type="dxa"/>
            <w:shd w:val="clear" w:color="auto" w:fill="auto"/>
            <w:vAlign w:val="center"/>
          </w:tcPr>
          <w:p w14:paraId="42F39879">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14台</w:t>
            </w:r>
          </w:p>
        </w:tc>
        <w:tc>
          <w:tcPr>
            <w:tcW w:w="701" w:type="dxa"/>
            <w:tcBorders>
              <w:right w:val="single" w:color="auto" w:sz="4" w:space="0"/>
            </w:tcBorders>
            <w:shd w:val="clear" w:color="auto" w:fill="auto"/>
            <w:vAlign w:val="center"/>
          </w:tcPr>
          <w:p w14:paraId="2F5F65B4">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工业</w:t>
            </w:r>
          </w:p>
        </w:tc>
        <w:tc>
          <w:tcPr>
            <w:tcW w:w="6527" w:type="dxa"/>
            <w:tcBorders>
              <w:left w:val="single" w:color="auto" w:sz="4" w:space="0"/>
              <w:right w:val="single" w:color="auto" w:sz="4" w:space="0"/>
            </w:tcBorders>
            <w:shd w:val="clear" w:color="auto" w:fill="auto"/>
          </w:tcPr>
          <w:p w14:paraId="03A00D13">
            <w:pPr>
              <w:rPr>
                <w:rFonts w:ascii="宋体" w:hAnsi="宋体" w:cs="宋体"/>
                <w:color w:val="auto"/>
                <w:szCs w:val="21"/>
                <w:highlight w:val="none"/>
              </w:rPr>
            </w:pPr>
            <w:r>
              <w:rPr>
                <w:rFonts w:hint="eastAsia" w:ascii="宋体" w:hAnsi="宋体" w:cs="宋体"/>
                <w:color w:val="auto"/>
                <w:szCs w:val="21"/>
                <w:highlight w:val="none"/>
              </w:rPr>
              <w:t>▲1.触控超薄高清显示屏与升降器一体化设计，无外露连接线、无连接背板、无外露螺丝，保证升降显示触控屏整体美观大方。（投标时须提供佐证材料证明满足该功能，佐证材料包含但不限于经国家认可的第三方认证（检测）机构出具的带有CMA或CNAS标志的检测报告复印件或官网截图或彩页或功能截图，除检测报告外，其他佐证材料均需加盖原厂公章。）</w:t>
            </w:r>
          </w:p>
          <w:p w14:paraId="51B2274C">
            <w:pPr>
              <w:rPr>
                <w:rFonts w:ascii="宋体" w:hAnsi="宋体" w:cs="宋体"/>
                <w:color w:val="auto"/>
                <w:szCs w:val="21"/>
                <w:highlight w:val="none"/>
              </w:rPr>
            </w:pPr>
            <w:r>
              <w:rPr>
                <w:rFonts w:hint="eastAsia" w:ascii="宋体" w:hAnsi="宋体" w:cs="宋体"/>
                <w:color w:val="auto"/>
                <w:szCs w:val="21"/>
                <w:highlight w:val="none"/>
              </w:rPr>
              <w:t>2.设备采用全铝结构，优质铝材加上CNC精雕加工，显示屏框架、机箱都为铝合金带麦克风一体升降，设备的表面处理为阳极氧化处理。</w:t>
            </w:r>
          </w:p>
          <w:p w14:paraId="7A3FD03E">
            <w:pPr>
              <w:jc w:val="left"/>
              <w:rPr>
                <w:rFonts w:ascii="宋体" w:hAnsi="宋体" w:cs="宋体"/>
                <w:color w:val="auto"/>
                <w:szCs w:val="21"/>
                <w:highlight w:val="none"/>
              </w:rPr>
            </w:pPr>
            <w:r>
              <w:rPr>
                <w:rFonts w:hint="eastAsia" w:ascii="宋体" w:hAnsi="宋体" w:cs="宋体"/>
                <w:color w:val="auto"/>
                <w:szCs w:val="21"/>
                <w:highlight w:val="none"/>
              </w:rPr>
              <w:t>▲3.话筒升降具有自动扶直功能，当麦杆弯曲时，机器关闭可自动扶直麦杆，不会损坏麦杆。（投标时须提供佐证材料证明满足该功能，佐证材料包含但不限于经国家认可的第三方认证（检测）机构出具的带有CMA或CNAS标志的检测报告复印件或官网截图或彩页或功能截图，除检测报告外，其他佐证材料均需加盖原厂公章。）</w:t>
            </w:r>
          </w:p>
          <w:p w14:paraId="52E23C05">
            <w:pPr>
              <w:rPr>
                <w:rFonts w:ascii="宋体" w:hAnsi="宋体" w:cs="宋体"/>
                <w:color w:val="auto"/>
                <w:szCs w:val="21"/>
                <w:highlight w:val="none"/>
              </w:rPr>
            </w:pPr>
            <w:r>
              <w:rPr>
                <w:rFonts w:hint="eastAsia" w:ascii="宋体" w:hAnsi="宋体" w:cs="宋体"/>
                <w:color w:val="auto"/>
                <w:szCs w:val="21"/>
                <w:highlight w:val="none"/>
              </w:rPr>
              <w:t>4.具备≥1组232/485，≥2路USB接口。</w:t>
            </w:r>
          </w:p>
          <w:p w14:paraId="66CAD3FD">
            <w:pPr>
              <w:jc w:val="left"/>
              <w:rPr>
                <w:rFonts w:ascii="宋体" w:hAnsi="宋体" w:cs="宋体"/>
                <w:color w:val="auto"/>
                <w:szCs w:val="21"/>
                <w:highlight w:val="none"/>
              </w:rPr>
            </w:pPr>
            <w:r>
              <w:rPr>
                <w:rFonts w:hint="eastAsia" w:ascii="宋体" w:hAnsi="宋体" w:cs="宋体"/>
                <w:color w:val="auto"/>
                <w:szCs w:val="21"/>
                <w:highlight w:val="none"/>
              </w:rPr>
              <w:t>▲5.传动结构做特殊处理，噪音降到最低。产品传动方式以高品质耐拉皮带与高精密度的滑块导轨和直线轴承配合，交流减速电机做驱动动力；中控协议兼容性较强，兼容所有控制主机，控制设备在上升后，屏幕自动供电，下降后，屏幕自行断电，节约环保。（投标时须提供佐证材料证明满足该功能，佐证材料包含但不限于经国家认可的第三方认证（检测）机构出具的带有CMA或CNAS标志的检测报告复印件或官网截图或彩页或功能截图，除检测报告外，其他佐证材料均需加盖原厂公章。）</w:t>
            </w:r>
          </w:p>
          <w:p w14:paraId="37F79F36">
            <w:pPr>
              <w:jc w:val="left"/>
              <w:rPr>
                <w:rFonts w:ascii="宋体" w:hAnsi="宋体" w:cs="宋体"/>
                <w:color w:val="auto"/>
                <w:szCs w:val="21"/>
                <w:highlight w:val="none"/>
              </w:rPr>
            </w:pPr>
            <w:r>
              <w:rPr>
                <w:rFonts w:hint="eastAsia" w:ascii="宋体" w:hAnsi="宋体" w:cs="宋体"/>
                <w:color w:val="auto"/>
                <w:szCs w:val="21"/>
                <w:highlight w:val="none"/>
              </w:rPr>
              <w:t>▲6.</w:t>
            </w:r>
            <w:r>
              <w:rPr>
                <w:rFonts w:hint="eastAsia" w:ascii="宋体" w:hAnsi="宋体"/>
                <w:color w:val="auto"/>
                <w:szCs w:val="21"/>
                <w:highlight w:val="none"/>
              </w:rPr>
              <w:t>.≥</w:t>
            </w:r>
            <w:r>
              <w:rPr>
                <w:rFonts w:hint="eastAsia" w:ascii="宋体" w:hAnsi="宋体" w:cs="宋体"/>
                <w:color w:val="auto"/>
                <w:szCs w:val="21"/>
                <w:highlight w:val="none"/>
              </w:rPr>
              <w:t>15.6英寸超薄液晶触屏显示器，分辨率达≥1920*1080P，显示效果清晰亮丽，可调节背光设计（投标时须提供佐证材料证明满足该功能，佐证材料包含但不限于经国家认可的第三方认证（检测）机构出具的带有CMA或CNAS标志的检测报告复印件或官网截图或彩页或功能截图，除检测报告外，其他佐证材料均需加盖原厂公章。）</w:t>
            </w:r>
          </w:p>
          <w:p w14:paraId="587A480A">
            <w:pPr>
              <w:rPr>
                <w:rFonts w:ascii="宋体" w:hAnsi="宋体" w:cs="宋体"/>
                <w:color w:val="auto"/>
                <w:szCs w:val="21"/>
                <w:highlight w:val="none"/>
              </w:rPr>
            </w:pPr>
            <w:r>
              <w:rPr>
                <w:rFonts w:hint="eastAsia" w:ascii="宋体" w:hAnsi="宋体" w:cs="宋体"/>
                <w:color w:val="auto"/>
                <w:szCs w:val="21"/>
                <w:highlight w:val="none"/>
              </w:rPr>
              <w:t>▲7.支持≥1路HDMI和≥1路VGA信号输入，当只有一路信号输入时，屏幕会自动识别信号，当两路信号同时输入时，可通过面板按键手动切换，当无信号输入时，屏幕自动进入省电模式。（投标时须提供佐证材料证明满足该功能，佐证材料包含但不限于经国家认可的第三方认证（检测）机构出具的带有CMA或CNAS标志的检测报告复印件或官网截图或彩页或功能截图，除检测报告外，其他佐证材料均需加盖原厂公章。）</w:t>
            </w:r>
          </w:p>
          <w:p w14:paraId="5BE67E83">
            <w:pPr>
              <w:rPr>
                <w:rFonts w:ascii="宋体" w:hAnsi="宋体" w:cs="宋体"/>
                <w:color w:val="auto"/>
                <w:szCs w:val="21"/>
                <w:highlight w:val="none"/>
              </w:rPr>
            </w:pPr>
            <w:r>
              <w:rPr>
                <w:rFonts w:hint="eastAsia" w:ascii="宋体" w:hAnsi="宋体" w:cs="宋体"/>
                <w:color w:val="auto"/>
                <w:szCs w:val="21"/>
                <w:highlight w:val="none"/>
              </w:rPr>
              <w:t>▲8.设备可通过中控软件进行集中控制，可通过主机进行控制，一键可让室内所有的设备都上升或下降。（投标时须提供佐证材料证明满足该功能，佐证材料包含但不限于经国家认可的第三方认证（检测）机构出具的带有CMA或CNAS标志的检测报告复印件或官网截图或彩页或功能截图，除检测报告外，其他佐证材料均需加盖原厂公章。）</w:t>
            </w:r>
          </w:p>
          <w:p w14:paraId="397A8988">
            <w:pPr>
              <w:rPr>
                <w:rFonts w:ascii="宋体" w:hAnsi="宋体" w:cs="宋体"/>
                <w:color w:val="auto"/>
                <w:szCs w:val="21"/>
                <w:highlight w:val="none"/>
              </w:rPr>
            </w:pPr>
            <w:r>
              <w:rPr>
                <w:rFonts w:hint="eastAsia" w:ascii="宋体" w:hAnsi="宋体" w:cs="宋体"/>
                <w:color w:val="auto"/>
                <w:szCs w:val="21"/>
                <w:highlight w:val="none"/>
              </w:rPr>
              <w:t>9.显示屏仰角符合人体工程学原理，不遮挡视线和人脸，显示屏仰角角度可调0-30°。</w:t>
            </w:r>
          </w:p>
          <w:p w14:paraId="14C7C6F1">
            <w:pPr>
              <w:rPr>
                <w:rFonts w:ascii="宋体" w:hAnsi="宋体" w:cs="宋体"/>
                <w:color w:val="auto"/>
                <w:szCs w:val="21"/>
                <w:highlight w:val="none"/>
              </w:rPr>
            </w:pPr>
            <w:r>
              <w:rPr>
                <w:rFonts w:hint="eastAsia" w:ascii="宋体" w:hAnsi="宋体" w:cs="宋体"/>
                <w:color w:val="auto"/>
                <w:szCs w:val="21"/>
                <w:highlight w:val="none"/>
              </w:rPr>
              <w:t>10.升降器具备≥1路环通输出电源插座，给终端供电减少终端电源插座布线。</w:t>
            </w:r>
          </w:p>
          <w:p w14:paraId="6025535B">
            <w:pPr>
              <w:rPr>
                <w:rFonts w:ascii="宋体" w:hAnsi="宋体" w:cs="宋体"/>
                <w:color w:val="auto"/>
                <w:szCs w:val="21"/>
                <w:highlight w:val="none"/>
              </w:rPr>
            </w:pPr>
            <w:r>
              <w:rPr>
                <w:rFonts w:hint="eastAsia" w:ascii="宋体" w:hAnsi="宋体" w:cs="宋体"/>
                <w:color w:val="auto"/>
                <w:szCs w:val="21"/>
                <w:highlight w:val="none"/>
              </w:rPr>
              <w:t>▲11.桌面面板具备≥1路USB接口，支持连接U盘可进行浏览文件或上传文件操作。（投标时须提供佐证材料证明满足该功能，佐证材料包含但不限于经国家认可的第三方认证（检测）机构出具的带有CMA或CNAS标志的检测报告复印件或官网截图或彩页或功能截图，除检测报告外，其他佐证材料均需加盖原厂公章。）</w:t>
            </w:r>
          </w:p>
          <w:p w14:paraId="271B6527">
            <w:pPr>
              <w:rPr>
                <w:rFonts w:ascii="宋体" w:hAnsi="宋体" w:cs="宋体"/>
                <w:color w:val="auto"/>
                <w:szCs w:val="21"/>
                <w:highlight w:val="none"/>
              </w:rPr>
            </w:pPr>
            <w:r>
              <w:rPr>
                <w:rFonts w:hint="eastAsia" w:ascii="宋体" w:hAnsi="宋体" w:cs="宋体"/>
                <w:color w:val="auto"/>
                <w:szCs w:val="21"/>
                <w:highlight w:val="none"/>
              </w:rPr>
              <w:t>▲12.本设备需要协调一期原设备厂商配合对接，产生的协调、授权、二次开发费用全部自理，可参照一期在用设备技术标准或同等档次产品，提供原厂互通证明并加盖制造商公章，一期设备厂家为itc，型号为TS-0300M和TS-3400MAX。</w:t>
            </w:r>
          </w:p>
        </w:tc>
      </w:tr>
      <w:tr w14:paraId="0530FA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jc w:val="center"/>
        </w:trPr>
        <w:tc>
          <w:tcPr>
            <w:tcW w:w="659" w:type="dxa"/>
            <w:shd w:val="clear" w:color="auto" w:fill="auto"/>
            <w:vAlign w:val="center"/>
          </w:tcPr>
          <w:p w14:paraId="7B100325">
            <w:pPr>
              <w:jc w:val="center"/>
              <w:rPr>
                <w:rFonts w:ascii="宋体" w:hAnsi="宋体" w:cs="宋体"/>
                <w:color w:val="auto"/>
                <w:szCs w:val="21"/>
                <w:highlight w:val="none"/>
              </w:rPr>
            </w:pPr>
            <w:r>
              <w:rPr>
                <w:rFonts w:hint="eastAsia" w:ascii="宋体" w:hAnsi="宋体" w:cs="宋体"/>
                <w:color w:val="auto"/>
                <w:szCs w:val="21"/>
                <w:highlight w:val="none"/>
              </w:rPr>
              <w:t>6</w:t>
            </w:r>
          </w:p>
        </w:tc>
        <w:tc>
          <w:tcPr>
            <w:tcW w:w="1148" w:type="dxa"/>
            <w:shd w:val="clear" w:color="auto" w:fill="auto"/>
            <w:vAlign w:val="center"/>
          </w:tcPr>
          <w:p w14:paraId="06459F0F">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无纸化升降器内嵌软件</w:t>
            </w:r>
          </w:p>
        </w:tc>
        <w:tc>
          <w:tcPr>
            <w:tcW w:w="961" w:type="dxa"/>
            <w:shd w:val="clear" w:color="auto" w:fill="auto"/>
            <w:vAlign w:val="center"/>
          </w:tcPr>
          <w:p w14:paraId="7AA9AEE5">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14套</w:t>
            </w:r>
          </w:p>
        </w:tc>
        <w:tc>
          <w:tcPr>
            <w:tcW w:w="701" w:type="dxa"/>
            <w:tcBorders>
              <w:right w:val="single" w:color="auto" w:sz="4" w:space="0"/>
            </w:tcBorders>
            <w:shd w:val="clear" w:color="auto" w:fill="auto"/>
            <w:vAlign w:val="center"/>
          </w:tcPr>
          <w:p w14:paraId="048200BA">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w:t>
            </w:r>
          </w:p>
        </w:tc>
        <w:tc>
          <w:tcPr>
            <w:tcW w:w="6527" w:type="dxa"/>
            <w:tcBorders>
              <w:left w:val="single" w:color="auto" w:sz="4" w:space="0"/>
              <w:right w:val="single" w:color="auto" w:sz="4" w:space="0"/>
            </w:tcBorders>
            <w:shd w:val="clear" w:color="auto" w:fill="auto"/>
            <w:vAlign w:val="center"/>
          </w:tcPr>
          <w:p w14:paraId="6C7B7958">
            <w:pPr>
              <w:rPr>
                <w:rFonts w:ascii="宋体" w:hAnsi="宋体" w:cs="宋体"/>
                <w:color w:val="auto"/>
                <w:szCs w:val="21"/>
                <w:highlight w:val="none"/>
              </w:rPr>
            </w:pPr>
            <w:r>
              <w:rPr>
                <w:rFonts w:hint="eastAsia" w:ascii="宋体" w:hAnsi="宋体" w:cs="宋体"/>
                <w:color w:val="auto"/>
                <w:szCs w:val="21"/>
                <w:highlight w:val="none"/>
              </w:rPr>
              <w:t>1.软件内嵌于终端设备，显示端可对多种文件格式文档进行阅览。</w:t>
            </w:r>
          </w:p>
          <w:p w14:paraId="02ED4442">
            <w:pPr>
              <w:rPr>
                <w:rFonts w:ascii="宋体" w:hAnsi="宋体" w:cs="宋体"/>
                <w:color w:val="auto"/>
                <w:szCs w:val="21"/>
                <w:highlight w:val="none"/>
              </w:rPr>
            </w:pPr>
            <w:r>
              <w:rPr>
                <w:rFonts w:hint="eastAsia" w:ascii="宋体" w:hAnsi="宋体" w:cs="宋体"/>
                <w:color w:val="auto"/>
                <w:szCs w:val="21"/>
                <w:highlight w:val="none"/>
              </w:rPr>
              <w:t>2.支持多种分辨率适配，可适应各种终端界面。</w:t>
            </w:r>
          </w:p>
        </w:tc>
      </w:tr>
      <w:tr w14:paraId="0582BE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jc w:val="center"/>
        </w:trPr>
        <w:tc>
          <w:tcPr>
            <w:tcW w:w="659" w:type="dxa"/>
            <w:shd w:val="clear" w:color="auto" w:fill="auto"/>
            <w:vAlign w:val="center"/>
          </w:tcPr>
          <w:p w14:paraId="6AD66D3F">
            <w:pPr>
              <w:jc w:val="center"/>
              <w:rPr>
                <w:rFonts w:ascii="宋体" w:hAnsi="宋体" w:cs="宋体"/>
                <w:color w:val="auto"/>
                <w:szCs w:val="21"/>
                <w:highlight w:val="none"/>
              </w:rPr>
            </w:pPr>
            <w:r>
              <w:rPr>
                <w:rFonts w:hint="eastAsia" w:ascii="宋体" w:hAnsi="宋体" w:cs="宋体"/>
                <w:color w:val="auto"/>
                <w:szCs w:val="21"/>
                <w:highlight w:val="none"/>
              </w:rPr>
              <w:t>7</w:t>
            </w:r>
          </w:p>
        </w:tc>
        <w:tc>
          <w:tcPr>
            <w:tcW w:w="1148" w:type="dxa"/>
            <w:shd w:val="clear" w:color="auto" w:fill="auto"/>
            <w:vAlign w:val="center"/>
          </w:tcPr>
          <w:p w14:paraId="7583E43A">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网络主机</w:t>
            </w:r>
          </w:p>
        </w:tc>
        <w:tc>
          <w:tcPr>
            <w:tcW w:w="961" w:type="dxa"/>
            <w:shd w:val="clear" w:color="auto" w:fill="auto"/>
            <w:vAlign w:val="center"/>
          </w:tcPr>
          <w:p w14:paraId="471280B8">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1台</w:t>
            </w:r>
          </w:p>
        </w:tc>
        <w:tc>
          <w:tcPr>
            <w:tcW w:w="701" w:type="dxa"/>
            <w:tcBorders>
              <w:right w:val="single" w:color="auto" w:sz="4" w:space="0"/>
            </w:tcBorders>
            <w:shd w:val="clear" w:color="auto" w:fill="auto"/>
            <w:vAlign w:val="center"/>
          </w:tcPr>
          <w:p w14:paraId="5234C7B5">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工业</w:t>
            </w:r>
          </w:p>
        </w:tc>
        <w:tc>
          <w:tcPr>
            <w:tcW w:w="6527" w:type="dxa"/>
            <w:tcBorders>
              <w:left w:val="single" w:color="auto" w:sz="4" w:space="0"/>
              <w:right w:val="single" w:color="auto" w:sz="4" w:space="0"/>
            </w:tcBorders>
            <w:shd w:val="clear" w:color="auto" w:fill="auto"/>
          </w:tcPr>
          <w:p w14:paraId="5AB56DBA">
            <w:pPr>
              <w:rPr>
                <w:rFonts w:ascii="宋体" w:hAnsi="宋体" w:cs="宋体"/>
                <w:color w:val="auto"/>
                <w:szCs w:val="21"/>
                <w:highlight w:val="none"/>
              </w:rPr>
            </w:pPr>
            <w:r>
              <w:rPr>
                <w:rFonts w:hint="eastAsia" w:ascii="宋体" w:hAnsi="宋体" w:cs="宋体"/>
                <w:color w:val="auto"/>
                <w:szCs w:val="21"/>
                <w:highlight w:val="none"/>
              </w:rPr>
              <w:t>▲1.具有≥24个网络端口，≥4个千兆SFP+光纤口，≥1个控制口。（投标时须提供佐证材料证明满足该功能，佐证材料包含但不限于经国家认可的第三方认证（检测）机构出具的带有CMA或CNAS标志的检测报告复印件或官网截图或彩页或功能截图，除检测报告外，其他佐证材料均需加盖原厂公章。）</w:t>
            </w:r>
          </w:p>
          <w:p w14:paraId="0AACE047">
            <w:pPr>
              <w:rPr>
                <w:rFonts w:ascii="宋体" w:hAnsi="宋体" w:cs="宋体"/>
                <w:color w:val="auto"/>
                <w:szCs w:val="21"/>
                <w:highlight w:val="none"/>
              </w:rPr>
            </w:pPr>
            <w:r>
              <w:rPr>
                <w:rFonts w:hint="eastAsia" w:ascii="宋体" w:hAnsi="宋体" w:cs="宋体"/>
                <w:color w:val="auto"/>
                <w:szCs w:val="21"/>
                <w:highlight w:val="none"/>
              </w:rPr>
              <w:t>2.支持网口和光纤线热插拨，支持双备份链路。</w:t>
            </w:r>
          </w:p>
          <w:p w14:paraId="0E522C24">
            <w:pPr>
              <w:rPr>
                <w:rFonts w:ascii="宋体" w:hAnsi="宋体" w:cs="宋体"/>
                <w:color w:val="auto"/>
                <w:szCs w:val="21"/>
                <w:highlight w:val="none"/>
              </w:rPr>
            </w:pPr>
            <w:r>
              <w:rPr>
                <w:rFonts w:hint="eastAsia" w:ascii="宋体" w:hAnsi="宋体" w:cs="宋体"/>
                <w:color w:val="auto"/>
                <w:szCs w:val="21"/>
                <w:highlight w:val="none"/>
              </w:rPr>
              <w:t>3.支持胖瘦一体化，具有智能交换机和普通交换机两种工作模式。</w:t>
            </w:r>
          </w:p>
          <w:p w14:paraId="52913BA4">
            <w:pPr>
              <w:rPr>
                <w:rFonts w:ascii="宋体" w:hAnsi="宋体" w:cs="宋体"/>
                <w:color w:val="auto"/>
                <w:szCs w:val="21"/>
                <w:highlight w:val="none"/>
              </w:rPr>
            </w:pPr>
            <w:r>
              <w:rPr>
                <w:rFonts w:hint="eastAsia" w:ascii="宋体" w:hAnsi="宋体" w:cs="宋体"/>
                <w:color w:val="auto"/>
                <w:szCs w:val="21"/>
                <w:highlight w:val="none"/>
              </w:rPr>
              <w:t>4.通过网络管理平台可实现一键快速替换故障设备。</w:t>
            </w:r>
          </w:p>
          <w:p w14:paraId="17E6B569">
            <w:pPr>
              <w:rPr>
                <w:rFonts w:ascii="宋体" w:hAnsi="宋体" w:cs="宋体"/>
                <w:color w:val="auto"/>
                <w:szCs w:val="21"/>
                <w:highlight w:val="none"/>
              </w:rPr>
            </w:pPr>
            <w:r>
              <w:rPr>
                <w:rFonts w:hint="eastAsia" w:ascii="宋体" w:hAnsi="宋体" w:cs="宋体"/>
                <w:color w:val="auto"/>
                <w:szCs w:val="21"/>
                <w:highlight w:val="none"/>
              </w:rPr>
              <w:t>5.具有 IEEE 802.3az 标准的 EEE 节能技术：当 EEE 使能时，可大幅度的减小端口在该阶段的功耗，达到了节能的目的。</w:t>
            </w:r>
          </w:p>
          <w:p w14:paraId="74E85860">
            <w:pPr>
              <w:rPr>
                <w:rFonts w:ascii="宋体" w:hAnsi="宋体" w:cs="宋体"/>
                <w:color w:val="auto"/>
                <w:szCs w:val="21"/>
                <w:highlight w:val="none"/>
              </w:rPr>
            </w:pPr>
            <w:r>
              <w:rPr>
                <w:rFonts w:hint="eastAsia" w:ascii="宋体" w:hAnsi="宋体" w:cs="宋体"/>
                <w:color w:val="auto"/>
                <w:szCs w:val="21"/>
                <w:highlight w:val="none"/>
              </w:rPr>
              <w:t>6.提供友好的Web管理界面，1:1还原交换机端口和面板状态，可方便、快捷查看交换机端口工作状态、流量趋势。</w:t>
            </w:r>
          </w:p>
          <w:p w14:paraId="593B3572">
            <w:pPr>
              <w:rPr>
                <w:rFonts w:ascii="宋体" w:hAnsi="宋体" w:cs="宋体"/>
                <w:color w:val="auto"/>
                <w:szCs w:val="21"/>
                <w:highlight w:val="none"/>
              </w:rPr>
            </w:pPr>
            <w:r>
              <w:rPr>
                <w:rFonts w:hint="eastAsia" w:ascii="宋体" w:hAnsi="宋体" w:cs="宋体"/>
                <w:color w:val="auto"/>
                <w:szCs w:val="21"/>
                <w:highlight w:val="none"/>
              </w:rPr>
              <w:t>7.采用“零部署”上线方式，交换机接上网线后自动展示在待激活列表，无需配置，一键即可激活。同时控制器还能对故障交换机进行一键重启和替换，最大程度节省运维时间。</w:t>
            </w:r>
          </w:p>
        </w:tc>
      </w:tr>
      <w:tr w14:paraId="5502C0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jc w:val="center"/>
        </w:trPr>
        <w:tc>
          <w:tcPr>
            <w:tcW w:w="659" w:type="dxa"/>
            <w:shd w:val="clear" w:color="auto" w:fill="auto"/>
            <w:vAlign w:val="center"/>
          </w:tcPr>
          <w:p w14:paraId="043DCD9B">
            <w:pPr>
              <w:jc w:val="center"/>
              <w:rPr>
                <w:rFonts w:ascii="宋体" w:hAnsi="宋体" w:cs="宋体"/>
                <w:color w:val="auto"/>
                <w:szCs w:val="21"/>
                <w:highlight w:val="none"/>
              </w:rPr>
            </w:pPr>
            <w:r>
              <w:rPr>
                <w:rFonts w:hint="eastAsia" w:ascii="宋体" w:hAnsi="宋体" w:cs="宋体"/>
                <w:color w:val="auto"/>
                <w:szCs w:val="21"/>
                <w:highlight w:val="none"/>
              </w:rPr>
              <w:t>8</w:t>
            </w:r>
          </w:p>
        </w:tc>
        <w:tc>
          <w:tcPr>
            <w:tcW w:w="1148" w:type="dxa"/>
            <w:shd w:val="clear" w:color="auto" w:fill="auto"/>
            <w:vAlign w:val="center"/>
          </w:tcPr>
          <w:p w14:paraId="4C078BF1">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连接线</w:t>
            </w:r>
          </w:p>
        </w:tc>
        <w:tc>
          <w:tcPr>
            <w:tcW w:w="961" w:type="dxa"/>
            <w:shd w:val="clear" w:color="auto" w:fill="auto"/>
            <w:vAlign w:val="center"/>
          </w:tcPr>
          <w:p w14:paraId="2C001A4E">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1根</w:t>
            </w:r>
          </w:p>
        </w:tc>
        <w:tc>
          <w:tcPr>
            <w:tcW w:w="701" w:type="dxa"/>
            <w:tcBorders>
              <w:right w:val="single" w:color="auto" w:sz="4" w:space="0"/>
            </w:tcBorders>
            <w:shd w:val="clear" w:color="auto" w:fill="auto"/>
            <w:vAlign w:val="center"/>
          </w:tcPr>
          <w:p w14:paraId="31F17A77">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工业</w:t>
            </w:r>
          </w:p>
        </w:tc>
        <w:tc>
          <w:tcPr>
            <w:tcW w:w="6527" w:type="dxa"/>
            <w:tcBorders>
              <w:left w:val="single" w:color="auto" w:sz="4" w:space="0"/>
              <w:right w:val="single" w:color="auto" w:sz="4" w:space="0"/>
            </w:tcBorders>
            <w:shd w:val="clear" w:color="auto" w:fill="auto"/>
          </w:tcPr>
          <w:p w14:paraId="6F378234">
            <w:pPr>
              <w:rPr>
                <w:rFonts w:ascii="宋体" w:hAnsi="宋体" w:cs="宋体"/>
                <w:color w:val="auto"/>
                <w:szCs w:val="21"/>
                <w:highlight w:val="none"/>
              </w:rPr>
            </w:pPr>
            <w:r>
              <w:rPr>
                <w:rFonts w:hint="eastAsia" w:ascii="宋体" w:hAnsi="宋体" w:cs="宋体"/>
                <w:color w:val="auto"/>
                <w:szCs w:val="21"/>
                <w:highlight w:val="none"/>
              </w:rPr>
              <w:t>≥20米延长线（一公一母）</w:t>
            </w:r>
          </w:p>
        </w:tc>
      </w:tr>
      <w:tr w14:paraId="3ACD0D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jc w:val="center"/>
        </w:trPr>
        <w:tc>
          <w:tcPr>
            <w:tcW w:w="659" w:type="dxa"/>
            <w:shd w:val="clear" w:color="auto" w:fill="auto"/>
            <w:vAlign w:val="center"/>
          </w:tcPr>
          <w:p w14:paraId="2D5D4B0F">
            <w:pPr>
              <w:jc w:val="center"/>
              <w:rPr>
                <w:rFonts w:ascii="宋体" w:hAnsi="宋体" w:cs="宋体"/>
                <w:color w:val="auto"/>
                <w:szCs w:val="21"/>
                <w:highlight w:val="none"/>
              </w:rPr>
            </w:pPr>
            <w:r>
              <w:rPr>
                <w:rFonts w:hint="eastAsia" w:ascii="宋体" w:hAnsi="宋体" w:cs="宋体"/>
                <w:color w:val="auto"/>
                <w:szCs w:val="21"/>
                <w:highlight w:val="none"/>
              </w:rPr>
              <w:t>9</w:t>
            </w:r>
          </w:p>
        </w:tc>
        <w:tc>
          <w:tcPr>
            <w:tcW w:w="1148" w:type="dxa"/>
            <w:shd w:val="clear" w:color="auto" w:fill="auto"/>
            <w:vAlign w:val="center"/>
          </w:tcPr>
          <w:p w14:paraId="454EB7D8">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插座</w:t>
            </w:r>
          </w:p>
        </w:tc>
        <w:tc>
          <w:tcPr>
            <w:tcW w:w="961" w:type="dxa"/>
            <w:shd w:val="clear" w:color="auto" w:fill="auto"/>
            <w:vAlign w:val="center"/>
          </w:tcPr>
          <w:p w14:paraId="2250E81E">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1个</w:t>
            </w:r>
          </w:p>
        </w:tc>
        <w:tc>
          <w:tcPr>
            <w:tcW w:w="701" w:type="dxa"/>
            <w:tcBorders>
              <w:right w:val="single" w:color="auto" w:sz="4" w:space="0"/>
            </w:tcBorders>
            <w:shd w:val="clear" w:color="auto" w:fill="auto"/>
            <w:vAlign w:val="center"/>
          </w:tcPr>
          <w:p w14:paraId="22AD4829">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w:t>
            </w:r>
          </w:p>
        </w:tc>
        <w:tc>
          <w:tcPr>
            <w:tcW w:w="6527" w:type="dxa"/>
            <w:tcBorders>
              <w:left w:val="single" w:color="auto" w:sz="4" w:space="0"/>
              <w:right w:val="single" w:color="auto" w:sz="4" w:space="0"/>
            </w:tcBorders>
            <w:shd w:val="clear" w:color="auto" w:fill="auto"/>
          </w:tcPr>
          <w:p w14:paraId="2AC2F370">
            <w:pPr>
              <w:rPr>
                <w:rFonts w:ascii="宋体" w:hAnsi="宋体" w:cs="宋体"/>
                <w:color w:val="auto"/>
                <w:szCs w:val="21"/>
                <w:highlight w:val="none"/>
              </w:rPr>
            </w:pPr>
            <w:r>
              <w:rPr>
                <w:rFonts w:hint="eastAsia" w:ascii="宋体" w:hAnsi="宋体" w:cs="宋体"/>
                <w:color w:val="auto"/>
                <w:szCs w:val="21"/>
                <w:highlight w:val="none"/>
              </w:rPr>
              <w:t>1.一进三出连接单元</w:t>
            </w:r>
          </w:p>
          <w:p w14:paraId="7F749C61">
            <w:pPr>
              <w:rPr>
                <w:rFonts w:ascii="宋体" w:hAnsi="宋体" w:cs="宋体"/>
                <w:color w:val="auto"/>
                <w:szCs w:val="21"/>
                <w:highlight w:val="none"/>
              </w:rPr>
            </w:pPr>
            <w:r>
              <w:rPr>
                <w:rFonts w:hint="eastAsia" w:ascii="宋体" w:hAnsi="宋体" w:cs="宋体"/>
                <w:color w:val="auto"/>
                <w:szCs w:val="21"/>
                <w:highlight w:val="none"/>
              </w:rPr>
              <w:t>2.采用 ≥100M/10M 自适应网络传输，可以实现手拉手级联。</w:t>
            </w:r>
          </w:p>
          <w:p w14:paraId="19C6F203">
            <w:pPr>
              <w:rPr>
                <w:rFonts w:ascii="宋体" w:hAnsi="宋体" w:cs="宋体"/>
                <w:color w:val="auto"/>
                <w:szCs w:val="21"/>
                <w:highlight w:val="none"/>
              </w:rPr>
            </w:pPr>
            <w:r>
              <w:rPr>
                <w:rFonts w:hint="eastAsia" w:ascii="宋体" w:hAnsi="宋体" w:cs="宋体"/>
                <w:color w:val="auto"/>
                <w:szCs w:val="21"/>
                <w:highlight w:val="none"/>
              </w:rPr>
              <w:t>3.每个六芯航空接口支持IEEE802.3、IEEE802.3u、 IEEE802.3x规范。</w:t>
            </w:r>
          </w:p>
        </w:tc>
      </w:tr>
      <w:tr w14:paraId="0A51AE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jc w:val="center"/>
        </w:trPr>
        <w:tc>
          <w:tcPr>
            <w:tcW w:w="9996" w:type="dxa"/>
            <w:gridSpan w:val="5"/>
            <w:tcBorders>
              <w:right w:val="single" w:color="auto" w:sz="4" w:space="0"/>
            </w:tcBorders>
            <w:shd w:val="clear" w:color="auto" w:fill="auto"/>
            <w:vAlign w:val="center"/>
          </w:tcPr>
          <w:p w14:paraId="3546B726">
            <w:pPr>
              <w:jc w:val="left"/>
              <w:rPr>
                <w:rFonts w:ascii="宋体" w:hAnsi="宋体" w:cs="宋体"/>
                <w:color w:val="auto"/>
                <w:szCs w:val="21"/>
                <w:highlight w:val="none"/>
              </w:rPr>
            </w:pPr>
            <w:r>
              <w:rPr>
                <w:rFonts w:hint="eastAsia" w:ascii="宋体" w:hAnsi="宋体" w:cs="宋体"/>
                <w:b/>
                <w:bCs/>
                <w:color w:val="auto"/>
                <w:szCs w:val="21"/>
                <w:highlight w:val="none"/>
              </w:rPr>
              <w:t>（四）辅助材料</w:t>
            </w:r>
          </w:p>
        </w:tc>
      </w:tr>
      <w:tr w14:paraId="780893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jc w:val="center"/>
        </w:trPr>
        <w:tc>
          <w:tcPr>
            <w:tcW w:w="659" w:type="dxa"/>
            <w:shd w:val="clear" w:color="auto" w:fill="auto"/>
            <w:vAlign w:val="center"/>
          </w:tcPr>
          <w:p w14:paraId="2031B32E">
            <w:pPr>
              <w:jc w:val="center"/>
              <w:rPr>
                <w:rFonts w:ascii="宋体" w:hAnsi="宋体" w:cs="宋体"/>
                <w:color w:val="auto"/>
                <w:szCs w:val="21"/>
                <w:highlight w:val="none"/>
              </w:rPr>
            </w:pPr>
            <w:r>
              <w:rPr>
                <w:rFonts w:hint="eastAsia" w:ascii="宋体" w:hAnsi="宋体" w:cs="宋体"/>
                <w:color w:val="auto"/>
                <w:szCs w:val="21"/>
                <w:highlight w:val="none"/>
              </w:rPr>
              <w:t>1</w:t>
            </w:r>
          </w:p>
        </w:tc>
        <w:tc>
          <w:tcPr>
            <w:tcW w:w="1148" w:type="dxa"/>
            <w:shd w:val="clear" w:color="auto" w:fill="auto"/>
            <w:vAlign w:val="center"/>
          </w:tcPr>
          <w:p w14:paraId="19AF581F">
            <w:pPr>
              <w:jc w:val="center"/>
              <w:rPr>
                <w:rFonts w:ascii="宋体" w:hAnsi="宋体" w:cs="宋体"/>
                <w:color w:val="auto"/>
                <w:szCs w:val="21"/>
                <w:highlight w:val="none"/>
              </w:rPr>
            </w:pPr>
            <w:r>
              <w:rPr>
                <w:rFonts w:hint="eastAsia" w:ascii="宋体" w:hAnsi="宋体" w:cs="宋体"/>
                <w:color w:val="auto"/>
                <w:szCs w:val="21"/>
                <w:highlight w:val="none"/>
              </w:rPr>
              <w:t>辅材</w:t>
            </w:r>
          </w:p>
        </w:tc>
        <w:tc>
          <w:tcPr>
            <w:tcW w:w="961" w:type="dxa"/>
            <w:shd w:val="clear" w:color="auto" w:fill="auto"/>
            <w:vAlign w:val="center"/>
          </w:tcPr>
          <w:p w14:paraId="2246EA71">
            <w:pPr>
              <w:jc w:val="center"/>
              <w:rPr>
                <w:rFonts w:ascii="宋体" w:hAnsi="宋体" w:cs="宋体"/>
                <w:color w:val="auto"/>
                <w:szCs w:val="21"/>
                <w:highlight w:val="none"/>
              </w:rPr>
            </w:pPr>
            <w:r>
              <w:rPr>
                <w:rFonts w:hint="eastAsia" w:ascii="宋体" w:hAnsi="宋体" w:cs="宋体"/>
                <w:color w:val="auto"/>
                <w:szCs w:val="21"/>
                <w:highlight w:val="none"/>
              </w:rPr>
              <w:t>1批</w:t>
            </w:r>
          </w:p>
        </w:tc>
        <w:tc>
          <w:tcPr>
            <w:tcW w:w="701" w:type="dxa"/>
            <w:tcBorders>
              <w:right w:val="single" w:color="auto" w:sz="4" w:space="0"/>
            </w:tcBorders>
            <w:shd w:val="clear" w:color="auto" w:fill="auto"/>
            <w:vAlign w:val="center"/>
          </w:tcPr>
          <w:p w14:paraId="32010053">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工业</w:t>
            </w:r>
          </w:p>
        </w:tc>
        <w:tc>
          <w:tcPr>
            <w:tcW w:w="6527" w:type="dxa"/>
            <w:tcBorders>
              <w:left w:val="single" w:color="auto" w:sz="4" w:space="0"/>
              <w:right w:val="single" w:color="auto" w:sz="4" w:space="0"/>
            </w:tcBorders>
            <w:shd w:val="clear" w:color="auto" w:fill="auto"/>
          </w:tcPr>
          <w:p w14:paraId="38C03B5C">
            <w:pPr>
              <w:jc w:val="left"/>
              <w:rPr>
                <w:rFonts w:ascii="宋体" w:hAnsi="宋体" w:cs="宋体"/>
                <w:color w:val="auto"/>
                <w:szCs w:val="21"/>
                <w:highlight w:val="none"/>
              </w:rPr>
            </w:pPr>
            <w:r>
              <w:rPr>
                <w:rFonts w:hint="eastAsia" w:ascii="宋体" w:hAnsi="宋体" w:cs="宋体"/>
                <w:color w:val="auto"/>
                <w:szCs w:val="21"/>
                <w:highlight w:val="none"/>
              </w:rPr>
              <w:t>设备安装所需材料</w:t>
            </w:r>
          </w:p>
        </w:tc>
      </w:tr>
      <w:tr w14:paraId="72B401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jc w:val="center"/>
        </w:trPr>
        <w:tc>
          <w:tcPr>
            <w:tcW w:w="9996" w:type="dxa"/>
            <w:gridSpan w:val="5"/>
            <w:tcBorders>
              <w:right w:val="single" w:color="auto" w:sz="4" w:space="0"/>
            </w:tcBorders>
            <w:shd w:val="clear" w:color="auto" w:fill="auto"/>
            <w:vAlign w:val="center"/>
          </w:tcPr>
          <w:p w14:paraId="676C0BFE">
            <w:pPr>
              <w:jc w:val="left"/>
              <w:rPr>
                <w:rFonts w:ascii="宋体" w:hAnsi="宋体" w:cs="宋体"/>
                <w:color w:val="auto"/>
                <w:szCs w:val="21"/>
                <w:highlight w:val="none"/>
              </w:rPr>
            </w:pPr>
            <w:r>
              <w:rPr>
                <w:rFonts w:hint="eastAsia" w:ascii="宋体" w:hAnsi="宋体" w:cs="宋体"/>
                <w:b/>
                <w:bCs/>
                <w:color w:val="auto"/>
                <w:szCs w:val="21"/>
                <w:highlight w:val="none"/>
              </w:rPr>
              <w:t>四、指挥中心</w:t>
            </w:r>
          </w:p>
        </w:tc>
      </w:tr>
      <w:tr w14:paraId="76BEEC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jc w:val="center"/>
        </w:trPr>
        <w:tc>
          <w:tcPr>
            <w:tcW w:w="9996" w:type="dxa"/>
            <w:gridSpan w:val="5"/>
            <w:tcBorders>
              <w:right w:val="single" w:color="auto" w:sz="4" w:space="0"/>
            </w:tcBorders>
            <w:shd w:val="clear" w:color="auto" w:fill="auto"/>
            <w:vAlign w:val="center"/>
          </w:tcPr>
          <w:p w14:paraId="2E8AAF01">
            <w:pPr>
              <w:jc w:val="left"/>
              <w:rPr>
                <w:rFonts w:ascii="宋体" w:hAnsi="宋体" w:cs="宋体"/>
                <w:b/>
                <w:bCs/>
                <w:color w:val="auto"/>
                <w:szCs w:val="21"/>
                <w:highlight w:val="none"/>
              </w:rPr>
            </w:pPr>
            <w:r>
              <w:rPr>
                <w:rFonts w:hint="eastAsia" w:ascii="宋体" w:hAnsi="宋体" w:cs="宋体"/>
                <w:b/>
                <w:bCs/>
                <w:color w:val="auto"/>
                <w:szCs w:val="21"/>
                <w:highlight w:val="none"/>
              </w:rPr>
              <w:t>（一）LED显示系统</w:t>
            </w:r>
          </w:p>
        </w:tc>
      </w:tr>
      <w:tr w14:paraId="7DB534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jc w:val="center"/>
        </w:trPr>
        <w:tc>
          <w:tcPr>
            <w:tcW w:w="9996" w:type="dxa"/>
            <w:gridSpan w:val="5"/>
            <w:tcBorders>
              <w:right w:val="single" w:color="auto" w:sz="4" w:space="0"/>
            </w:tcBorders>
            <w:shd w:val="clear" w:color="auto" w:fill="auto"/>
            <w:vAlign w:val="center"/>
          </w:tcPr>
          <w:p w14:paraId="0A8E61F3">
            <w:pPr>
              <w:jc w:val="left"/>
              <w:rPr>
                <w:rFonts w:ascii="宋体" w:hAnsi="宋体" w:cs="宋体"/>
                <w:b/>
                <w:bCs/>
                <w:color w:val="auto"/>
                <w:szCs w:val="21"/>
                <w:highlight w:val="none"/>
              </w:rPr>
            </w:pPr>
            <w:r>
              <w:rPr>
                <w:rFonts w:hint="eastAsia" w:ascii="宋体" w:hAnsi="宋体" w:cs="宋体"/>
                <w:b/>
                <w:bCs/>
                <w:color w:val="auto"/>
                <w:szCs w:val="21"/>
                <w:highlight w:val="none"/>
              </w:rPr>
              <w:t>1.LED显示屏系统</w:t>
            </w:r>
          </w:p>
        </w:tc>
      </w:tr>
      <w:tr w14:paraId="1907B9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jc w:val="center"/>
        </w:trPr>
        <w:tc>
          <w:tcPr>
            <w:tcW w:w="659" w:type="dxa"/>
            <w:vAlign w:val="center"/>
          </w:tcPr>
          <w:p w14:paraId="113554C3">
            <w:pPr>
              <w:widowControl/>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1.1</w:t>
            </w:r>
          </w:p>
        </w:tc>
        <w:tc>
          <w:tcPr>
            <w:tcW w:w="1148" w:type="dxa"/>
            <w:shd w:val="clear" w:color="auto" w:fill="auto"/>
            <w:vAlign w:val="center"/>
          </w:tcPr>
          <w:p w14:paraId="74954A66">
            <w:pPr>
              <w:widowControl/>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户内全彩LED屏</w:t>
            </w:r>
          </w:p>
        </w:tc>
        <w:tc>
          <w:tcPr>
            <w:tcW w:w="961" w:type="dxa"/>
            <w:shd w:val="clear" w:color="auto" w:fill="auto"/>
            <w:vAlign w:val="center"/>
          </w:tcPr>
          <w:p w14:paraId="47ED5D3A">
            <w:pPr>
              <w:widowControl/>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36.864平方米</w:t>
            </w:r>
          </w:p>
        </w:tc>
        <w:tc>
          <w:tcPr>
            <w:tcW w:w="701" w:type="dxa"/>
            <w:tcBorders>
              <w:right w:val="single" w:color="auto" w:sz="4" w:space="0"/>
            </w:tcBorders>
            <w:shd w:val="clear" w:color="auto" w:fill="auto"/>
            <w:vAlign w:val="center"/>
          </w:tcPr>
          <w:p w14:paraId="0996F540">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工业</w:t>
            </w:r>
          </w:p>
        </w:tc>
        <w:tc>
          <w:tcPr>
            <w:tcW w:w="6527" w:type="dxa"/>
            <w:tcBorders>
              <w:left w:val="single" w:color="auto" w:sz="4" w:space="0"/>
              <w:right w:val="single" w:color="auto" w:sz="4" w:space="0"/>
            </w:tcBorders>
            <w:shd w:val="clear" w:color="auto" w:fill="auto"/>
          </w:tcPr>
          <w:p w14:paraId="70BB8D08">
            <w:pPr>
              <w:jc w:val="left"/>
              <w:rPr>
                <w:rFonts w:ascii="宋体" w:hAnsi="宋体" w:cs="宋体"/>
                <w:color w:val="auto"/>
                <w:szCs w:val="21"/>
                <w:highlight w:val="none"/>
              </w:rPr>
            </w:pPr>
            <w:r>
              <w:rPr>
                <w:rFonts w:hint="eastAsia" w:ascii="宋体" w:hAnsi="宋体" w:cs="宋体"/>
                <w:color w:val="auto"/>
                <w:szCs w:val="21"/>
                <w:highlight w:val="none"/>
              </w:rPr>
              <w:t>1.LED像素点间距≤1.538mm，像素密度≥422500点/㎡；整屏显示尺寸≥9.6m×3.84m，分辨率≥6240*2496。</w:t>
            </w:r>
          </w:p>
          <w:p w14:paraId="0F295C58">
            <w:pPr>
              <w:jc w:val="left"/>
              <w:rPr>
                <w:rFonts w:ascii="宋体" w:hAnsi="宋体" w:cs="宋体"/>
                <w:color w:val="auto"/>
                <w:szCs w:val="21"/>
                <w:highlight w:val="none"/>
              </w:rPr>
            </w:pPr>
            <w:r>
              <w:rPr>
                <w:rFonts w:hint="eastAsia" w:ascii="宋体" w:hAnsi="宋体" w:cs="宋体"/>
                <w:color w:val="auto"/>
                <w:szCs w:val="21"/>
                <w:highlight w:val="none"/>
              </w:rPr>
              <w:t>2.显示屏幕峰值亮度≥600cd/㎡，峰值功耗≤420W/㎡ ，平均功耗≤140W/㎡。</w:t>
            </w:r>
          </w:p>
          <w:p w14:paraId="10FC8D1D">
            <w:pPr>
              <w:jc w:val="left"/>
              <w:rPr>
                <w:rFonts w:ascii="宋体" w:hAnsi="宋体" w:cs="宋体"/>
                <w:color w:val="auto"/>
                <w:szCs w:val="21"/>
                <w:highlight w:val="none"/>
              </w:rPr>
            </w:pPr>
            <w:r>
              <w:rPr>
                <w:rFonts w:hint="eastAsia" w:ascii="宋体" w:hAnsi="宋体" w:cs="宋体"/>
                <w:color w:val="auto"/>
                <w:szCs w:val="21"/>
                <w:highlight w:val="none"/>
              </w:rPr>
              <w:t>3.维护方式支持完全前维护。</w:t>
            </w:r>
          </w:p>
          <w:p w14:paraId="7528019C">
            <w:pPr>
              <w:jc w:val="left"/>
              <w:rPr>
                <w:rFonts w:ascii="宋体" w:hAnsi="宋体" w:cs="宋体"/>
                <w:color w:val="auto"/>
                <w:szCs w:val="21"/>
                <w:highlight w:val="none"/>
              </w:rPr>
            </w:pPr>
            <w:r>
              <w:rPr>
                <w:rFonts w:hint="eastAsia" w:ascii="宋体" w:hAnsi="宋体" w:cs="宋体"/>
                <w:color w:val="auto"/>
                <w:szCs w:val="21"/>
                <w:highlight w:val="none"/>
              </w:rPr>
              <w:t>4.模组尺寸：≥320（W）× 160（H） mm，模组分辨率≥208 × 104。</w:t>
            </w:r>
          </w:p>
          <w:p w14:paraId="45CFE0F5">
            <w:pPr>
              <w:jc w:val="left"/>
              <w:rPr>
                <w:rFonts w:ascii="宋体" w:hAnsi="宋体" w:cs="宋体"/>
                <w:color w:val="auto"/>
                <w:szCs w:val="21"/>
                <w:highlight w:val="none"/>
              </w:rPr>
            </w:pPr>
            <w:r>
              <w:rPr>
                <w:rFonts w:hint="eastAsia" w:ascii="宋体" w:hAnsi="宋体" w:cs="宋体"/>
                <w:color w:val="auto"/>
                <w:szCs w:val="21"/>
                <w:highlight w:val="none"/>
              </w:rPr>
              <w:t>5.白平衡亮度：≥60 cd/㎡，色温：3000-10000 K可调，亮度均匀性≥97%。</w:t>
            </w:r>
          </w:p>
          <w:p w14:paraId="4A88AEF9">
            <w:pPr>
              <w:jc w:val="left"/>
              <w:rPr>
                <w:rFonts w:ascii="宋体" w:hAnsi="宋体" w:cs="宋体"/>
                <w:color w:val="auto"/>
                <w:szCs w:val="21"/>
                <w:highlight w:val="none"/>
              </w:rPr>
            </w:pPr>
            <w:r>
              <w:rPr>
                <w:rFonts w:hint="eastAsia" w:ascii="宋体" w:hAnsi="宋体" w:cs="宋体"/>
                <w:color w:val="auto"/>
                <w:szCs w:val="21"/>
                <w:highlight w:val="none"/>
              </w:rPr>
              <w:t>6. 显示屏幕峰值亮度≥600cd/㎡，峰值功耗≤430W/㎡ ，平均功耗≤140W/㎡</w:t>
            </w:r>
          </w:p>
          <w:p w14:paraId="2CBAF67E">
            <w:pPr>
              <w:jc w:val="left"/>
              <w:rPr>
                <w:rFonts w:ascii="宋体" w:hAnsi="宋体" w:cs="宋体"/>
                <w:color w:val="auto"/>
                <w:szCs w:val="21"/>
                <w:highlight w:val="none"/>
              </w:rPr>
            </w:pPr>
            <w:r>
              <w:rPr>
                <w:rFonts w:hint="eastAsia" w:ascii="宋体" w:hAnsi="宋体" w:cs="宋体"/>
                <w:color w:val="auto"/>
                <w:szCs w:val="21"/>
                <w:highlight w:val="none"/>
              </w:rPr>
              <w:t>▲7. 支持信源接入状态显示，可通过物理按键、客户端、遥控器、设备自带Web 浏览器进行信源切换。（投标时须提供佐证材料证明满足该功能，佐证材料包含但不限于经国家认可的第三方认证（检测）机构出具的带有CMA或CNAS标志的检测报告复印件或官网截图或彩页或功能截图，除检测报告外，其他佐证材料均需加盖原厂公章。）</w:t>
            </w:r>
          </w:p>
          <w:p w14:paraId="2089C79F">
            <w:pPr>
              <w:jc w:val="left"/>
              <w:rPr>
                <w:rFonts w:ascii="宋体" w:hAnsi="宋体" w:cs="宋体"/>
                <w:color w:val="auto"/>
                <w:szCs w:val="21"/>
                <w:highlight w:val="none"/>
              </w:rPr>
            </w:pPr>
            <w:r>
              <w:rPr>
                <w:rFonts w:hint="eastAsia" w:ascii="宋体" w:hAnsi="宋体" w:cs="宋体"/>
                <w:color w:val="auto"/>
                <w:szCs w:val="21"/>
                <w:highlight w:val="none"/>
              </w:rPr>
              <w:t>▲8.支持通过Web浏览器查看LED整墙的概览信息和LED屏连线状态，支持查看行列网格展示屏幕接收卡规模，在Web端鼠标移到网格上时，可展示该网格所属网口的所有接收卡单元并高亮展示，可展示网线连线顺序，网口号，工作状态。（投标时须提供佐证材料证明满足该功能，佐证材料包含但不限于经国家认可的第三方认证（检测）机构出具的带有CMA或CNAS标志的检测报告复印件或官网截图或彩页或功能截图，除检测报告外，其他佐证材料均需加盖原厂公章。）</w:t>
            </w:r>
          </w:p>
          <w:p w14:paraId="42ADC8C5">
            <w:pPr>
              <w:jc w:val="left"/>
              <w:rPr>
                <w:rFonts w:ascii="宋体" w:hAnsi="宋体" w:cs="宋体"/>
                <w:color w:val="auto"/>
                <w:szCs w:val="21"/>
                <w:highlight w:val="none"/>
              </w:rPr>
            </w:pPr>
            <w:r>
              <w:rPr>
                <w:rFonts w:hint="eastAsia" w:ascii="宋体" w:hAnsi="宋体" w:cs="宋体"/>
                <w:color w:val="auto"/>
                <w:szCs w:val="21"/>
                <w:highlight w:val="none"/>
              </w:rPr>
              <w:t>▲9.支持从客户端、设备自带Web浏览器，查看绑定的接收卡序号、接收卡型号、接收卡软件版本、网口link状态、接收卡电压、接收卡温度。（投标时须提供佐证材料证明满足该功能，佐证材料包含但不限于经国家认可的第三方认证（检测）机构出具的带有CMA或CNAS标志的检测报告复印件或官网截图或彩页或功能截图，除检测报告外，其他佐证材料均需加盖原厂公章。）</w:t>
            </w:r>
          </w:p>
          <w:p w14:paraId="2603AF8F">
            <w:pPr>
              <w:jc w:val="left"/>
              <w:rPr>
                <w:rFonts w:ascii="宋体" w:hAnsi="宋体" w:cs="宋体"/>
                <w:color w:val="auto"/>
                <w:szCs w:val="21"/>
                <w:highlight w:val="none"/>
              </w:rPr>
            </w:pPr>
            <w:r>
              <w:rPr>
                <w:rFonts w:hint="eastAsia" w:ascii="宋体" w:hAnsi="宋体" w:cs="宋体"/>
                <w:color w:val="auto"/>
                <w:szCs w:val="21"/>
                <w:highlight w:val="none"/>
              </w:rPr>
              <w:t>10.依据 GB/T 20145-2006标准进行光生物安全评估检测,应属无危害类;光生物安全检测无危害类限值:30000s 曝辐中不造成光化学紫外危害(ES),并在1000s内不造成近紫外危害(EUVA),并在 10s内不造成对视网膜热危害 (LR),且在 1000s 内不造成对眼睛的红外辐射危害(EIR)。</w:t>
            </w:r>
          </w:p>
          <w:p w14:paraId="5BA0D719">
            <w:pPr>
              <w:jc w:val="left"/>
              <w:rPr>
                <w:rFonts w:hint="eastAsia" w:ascii="宋体" w:hAnsi="宋体" w:cs="宋体"/>
                <w:color w:val="auto"/>
                <w:szCs w:val="21"/>
                <w:highlight w:val="none"/>
              </w:rPr>
            </w:pPr>
            <w:r>
              <w:rPr>
                <w:rFonts w:hint="eastAsia" w:ascii="宋体" w:hAnsi="宋体" w:cs="宋体"/>
                <w:color w:val="auto"/>
                <w:szCs w:val="21"/>
                <w:highlight w:val="none"/>
              </w:rPr>
              <w:t>▲11.在同一局域网段/级联模式下，支持通过LED客户端发现该网络下的所有在线设备，并能展示设备ip、端口、网关、型号、序列号、软件版本号等信息，支持通过RS485接口与中控设备进行对接。（投标时须提供佐证材料证明满足该功能，佐证材料包含但不限于经国家认可的第三方认证（检测）机构出具的带有CMA或CNAS标志的检测报告复印件或官网截图或彩页或功能截图，除检测报告外，其他佐证材料均需加盖原厂公章。）</w:t>
            </w:r>
          </w:p>
          <w:p w14:paraId="11AA57CE">
            <w:pPr>
              <w:jc w:val="left"/>
              <w:rPr>
                <w:rFonts w:ascii="宋体" w:hAnsi="宋体" w:cs="宋体"/>
                <w:color w:val="auto"/>
                <w:szCs w:val="21"/>
                <w:highlight w:val="none"/>
              </w:rPr>
            </w:pPr>
            <w:r>
              <w:rPr>
                <w:rFonts w:hint="eastAsia" w:ascii="宋体" w:hAnsi="宋体" w:cs="宋体"/>
                <w:color w:val="auto"/>
                <w:szCs w:val="21"/>
                <w:highlight w:val="none"/>
              </w:rPr>
              <w:t>12.视网膜蓝光危害:符合 GB/T 20145-2006 标准要求，对设备发光器件(灯珠)蓝色光的波长进行测试。为保证产品屏幕光看起来柔和不刺眼,产品需要具备蓝光护眼多重过渡保护系统显示屏调到蓝光最亮状态下测试,蓝光危害加权辐亮度值(LB)应符合标限量值≤100W·m-2·sr-1，并在2.8h内不造成对视网膜蓝光伤害(LB)，蓝光视网膜危害应属无危害类。</w:t>
            </w:r>
          </w:p>
          <w:p w14:paraId="74E59CD3">
            <w:pPr>
              <w:jc w:val="left"/>
              <w:rPr>
                <w:rFonts w:ascii="宋体" w:hAnsi="宋体" w:cs="宋体"/>
                <w:color w:val="auto"/>
                <w:szCs w:val="21"/>
                <w:highlight w:val="none"/>
              </w:rPr>
            </w:pPr>
            <w:r>
              <w:rPr>
                <w:rFonts w:hint="eastAsia" w:ascii="宋体" w:hAnsi="宋体" w:cs="宋体"/>
                <w:color w:val="auto"/>
                <w:szCs w:val="21"/>
                <w:highlight w:val="none"/>
              </w:rPr>
              <w:t>13.设备支持在-10 ℃ ~ 40 ℃的温度环境，10%~80% RH的湿度环境下正常工作。</w:t>
            </w:r>
          </w:p>
        </w:tc>
      </w:tr>
      <w:tr w14:paraId="25B423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jc w:val="center"/>
        </w:trPr>
        <w:tc>
          <w:tcPr>
            <w:tcW w:w="659" w:type="dxa"/>
            <w:vAlign w:val="center"/>
          </w:tcPr>
          <w:p w14:paraId="5C9D8637">
            <w:pPr>
              <w:widowControl/>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1.2</w:t>
            </w:r>
          </w:p>
        </w:tc>
        <w:tc>
          <w:tcPr>
            <w:tcW w:w="1148" w:type="dxa"/>
            <w:shd w:val="clear" w:color="auto" w:fill="auto"/>
            <w:vAlign w:val="center"/>
          </w:tcPr>
          <w:p w14:paraId="1267643D">
            <w:pPr>
              <w:widowControl/>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发送盒</w:t>
            </w:r>
          </w:p>
        </w:tc>
        <w:tc>
          <w:tcPr>
            <w:tcW w:w="961" w:type="dxa"/>
            <w:shd w:val="clear" w:color="auto" w:fill="auto"/>
            <w:vAlign w:val="center"/>
          </w:tcPr>
          <w:p w14:paraId="57C74A02">
            <w:pPr>
              <w:widowControl/>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4台</w:t>
            </w:r>
          </w:p>
        </w:tc>
        <w:tc>
          <w:tcPr>
            <w:tcW w:w="701" w:type="dxa"/>
            <w:tcBorders>
              <w:right w:val="single" w:color="auto" w:sz="4" w:space="0"/>
            </w:tcBorders>
            <w:shd w:val="clear" w:color="auto" w:fill="auto"/>
            <w:vAlign w:val="center"/>
          </w:tcPr>
          <w:p w14:paraId="21D39170">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工业</w:t>
            </w:r>
          </w:p>
        </w:tc>
        <w:tc>
          <w:tcPr>
            <w:tcW w:w="6527" w:type="dxa"/>
            <w:tcBorders>
              <w:left w:val="single" w:color="auto" w:sz="4" w:space="0"/>
              <w:right w:val="single" w:color="auto" w:sz="4" w:space="0"/>
            </w:tcBorders>
            <w:shd w:val="clear" w:color="auto" w:fill="auto"/>
          </w:tcPr>
          <w:p w14:paraId="7FDB3443">
            <w:pPr>
              <w:jc w:val="left"/>
              <w:rPr>
                <w:rFonts w:ascii="宋体" w:hAnsi="宋体" w:cs="宋体"/>
                <w:color w:val="auto"/>
                <w:szCs w:val="21"/>
                <w:highlight w:val="none"/>
              </w:rPr>
            </w:pPr>
            <w:r>
              <w:rPr>
                <w:rFonts w:hint="eastAsia" w:ascii="宋体" w:hAnsi="宋体" w:cs="宋体"/>
                <w:color w:val="auto"/>
                <w:szCs w:val="21"/>
                <w:highlight w:val="none"/>
              </w:rPr>
              <w:t>1.输入接口满足或优于：1个HDMI2.0接口、1个DP1.2接口、1个DVI接口、1个USB2.0接口、1个DEBUG接口、2个控制网口、2个RS485接口、1个IR IN接口，输出接口满足或优于：1个Audio OUT接口，1个HDMI 2.0(Loop) 接口，20个带载网口，具备1个开关按键、3个功能按键。</w:t>
            </w:r>
          </w:p>
          <w:p w14:paraId="2EC0C039">
            <w:pPr>
              <w:jc w:val="left"/>
              <w:rPr>
                <w:rFonts w:hint="eastAsia" w:ascii="宋体" w:hAnsi="宋体" w:cs="宋体"/>
                <w:color w:val="auto"/>
                <w:szCs w:val="21"/>
                <w:highlight w:val="none"/>
              </w:rPr>
            </w:pPr>
            <w:r>
              <w:rPr>
                <w:rFonts w:hint="eastAsia" w:ascii="宋体" w:hAnsi="宋体" w:cs="宋体"/>
                <w:color w:val="auto"/>
                <w:szCs w:val="21"/>
                <w:highlight w:val="none"/>
              </w:rPr>
              <w:t>▲2.具有≥2个控制网口，支持TCP/IP网络协议，双网口均可用于控制设备或设备网络级联，其中一个接口用于控制设备时，另外一个网口就用于设备网络级联，单网口带载支持≥65W像素，设备总带载支持≥1300W像素。（投标时须提供佐证材料证明满足该功能，佐证材料包含但不限于经国家认可的第三方认证（检测）机构出具的带有CMA或CNAS标志的检测报告复印件或官网截图或彩页或功能截图，除检测报告外，其他佐证材料均需加盖原厂公章。）</w:t>
            </w:r>
          </w:p>
          <w:p w14:paraId="5BD3DA13">
            <w:pPr>
              <w:jc w:val="left"/>
              <w:rPr>
                <w:rFonts w:hint="eastAsia" w:ascii="宋体" w:hAnsi="宋体" w:cs="宋体"/>
                <w:color w:val="auto"/>
                <w:szCs w:val="21"/>
                <w:highlight w:val="none"/>
              </w:rPr>
            </w:pPr>
            <w:r>
              <w:rPr>
                <w:rFonts w:hint="eastAsia" w:ascii="宋体" w:hAnsi="宋体" w:cs="宋体"/>
                <w:color w:val="auto"/>
                <w:szCs w:val="21"/>
                <w:highlight w:val="none"/>
              </w:rPr>
              <w:t>▲3.支持通过设备自带Web浏览器、客户端、遥控器操作，支持对图像的亮度、色温以及图像模式进行调节设置，支持亮度调节，可通过LED显示屏客户端、遥控器、物理按键进行亮度调节。（投标时须提供佐证材料证明满足该功能，佐证材料包含但不限于经国家认可的第三方认证（检测）机构出具的带有CMA或CNAS标志的检测报告复印件或官网截图或彩页或功能截图，除检测报告外，其他佐证材料均需加盖原厂公章。）</w:t>
            </w:r>
          </w:p>
          <w:p w14:paraId="52A33C0C">
            <w:pPr>
              <w:jc w:val="left"/>
              <w:rPr>
                <w:rFonts w:ascii="宋体" w:hAnsi="宋体" w:cs="宋体"/>
                <w:color w:val="auto"/>
                <w:szCs w:val="21"/>
                <w:highlight w:val="none"/>
              </w:rPr>
            </w:pPr>
            <w:r>
              <w:rPr>
                <w:rFonts w:hint="eastAsia" w:ascii="宋体" w:hAnsi="宋体" w:cs="宋体"/>
                <w:color w:val="auto"/>
                <w:szCs w:val="21"/>
                <w:highlight w:val="none"/>
              </w:rPr>
              <w:t>4.支持红绿蓝三色多级调节。支持通过客户端、遥控器进行调节。</w:t>
            </w:r>
          </w:p>
          <w:p w14:paraId="75ED0F83">
            <w:pPr>
              <w:jc w:val="left"/>
              <w:rPr>
                <w:rFonts w:ascii="宋体" w:hAnsi="宋体" w:cs="宋体"/>
                <w:color w:val="auto"/>
                <w:szCs w:val="21"/>
                <w:highlight w:val="none"/>
              </w:rPr>
            </w:pPr>
            <w:r>
              <w:rPr>
                <w:rFonts w:hint="eastAsia" w:ascii="宋体" w:hAnsi="宋体" w:cs="宋体"/>
                <w:color w:val="auto"/>
                <w:szCs w:val="21"/>
                <w:highlight w:val="none"/>
              </w:rPr>
              <w:t>5.支持动态节能算法，开启动态节能算法后，相同显示内容屏幕功耗降低30%。</w:t>
            </w:r>
          </w:p>
          <w:p w14:paraId="691293DA">
            <w:pPr>
              <w:jc w:val="left"/>
              <w:rPr>
                <w:rFonts w:ascii="宋体" w:hAnsi="宋体" w:cs="宋体"/>
                <w:color w:val="auto"/>
                <w:szCs w:val="21"/>
                <w:highlight w:val="none"/>
              </w:rPr>
            </w:pPr>
            <w:r>
              <w:rPr>
                <w:rFonts w:hint="eastAsia" w:ascii="宋体" w:hAnsi="宋体" w:cs="宋体"/>
                <w:color w:val="auto"/>
                <w:szCs w:val="21"/>
                <w:highlight w:val="none"/>
              </w:rPr>
              <w:t>▲6.支持射频遥控器和红外两种遥控器。射频遥控器最远距离≥10m，可穿过建筑物墙壁进行遥控。（投标时须提供佐证材料证明满足该功能，佐证材料包含但不限于经国家认可的第三方认证（检测）机构出具的带有CMA或CNAS标志的检测报告复印件或官网截图或彩页或功能截图，除检测报告外，其他佐证材料均需加盖原厂公章。）</w:t>
            </w:r>
          </w:p>
          <w:p w14:paraId="62B915EB">
            <w:pPr>
              <w:jc w:val="left"/>
              <w:rPr>
                <w:rFonts w:ascii="宋体" w:hAnsi="宋体" w:cs="宋体"/>
                <w:color w:val="auto"/>
                <w:szCs w:val="21"/>
                <w:highlight w:val="none"/>
              </w:rPr>
            </w:pPr>
            <w:r>
              <w:rPr>
                <w:rFonts w:hint="eastAsia" w:ascii="宋体" w:hAnsi="宋体" w:cs="宋体"/>
                <w:color w:val="auto"/>
                <w:szCs w:val="21"/>
                <w:highlight w:val="none"/>
              </w:rPr>
              <w:t>7.支持通过设备双千兆网络接口，通过TCP/IP协议实现多设备级联管理。</w:t>
            </w:r>
          </w:p>
          <w:p w14:paraId="234C87F4">
            <w:pPr>
              <w:jc w:val="left"/>
              <w:rPr>
                <w:rFonts w:ascii="宋体" w:hAnsi="宋体" w:cs="宋体"/>
                <w:color w:val="auto"/>
                <w:szCs w:val="21"/>
                <w:highlight w:val="none"/>
              </w:rPr>
            </w:pPr>
            <w:r>
              <w:rPr>
                <w:rFonts w:hint="eastAsia" w:ascii="宋体" w:hAnsi="宋体" w:cs="宋体"/>
                <w:color w:val="auto"/>
                <w:szCs w:val="21"/>
                <w:highlight w:val="none"/>
              </w:rPr>
              <w:t>8.支持信源接入状态显示，可通过设备上的source按键、客户端、遥控器的快捷键或菜单键、设备自带Web浏览器进行信源切换。</w:t>
            </w:r>
          </w:p>
          <w:p w14:paraId="6153AD91">
            <w:pPr>
              <w:jc w:val="left"/>
              <w:rPr>
                <w:rFonts w:ascii="宋体" w:hAnsi="宋体" w:cs="宋体"/>
                <w:color w:val="auto"/>
                <w:szCs w:val="21"/>
                <w:highlight w:val="none"/>
              </w:rPr>
            </w:pPr>
            <w:r>
              <w:rPr>
                <w:rFonts w:hint="eastAsia" w:ascii="宋体" w:hAnsi="宋体" w:cs="宋体"/>
                <w:color w:val="auto"/>
                <w:szCs w:val="21"/>
                <w:highlight w:val="none"/>
              </w:rPr>
              <w:t>9.支持通过客户端和设备自带Web浏览器进行多台设备同时远程重启操作，响应正常。</w:t>
            </w:r>
          </w:p>
          <w:p w14:paraId="01FC2DDF">
            <w:pPr>
              <w:jc w:val="left"/>
              <w:rPr>
                <w:rFonts w:ascii="宋体" w:hAnsi="宋体" w:cs="宋体"/>
                <w:color w:val="auto"/>
                <w:szCs w:val="21"/>
                <w:highlight w:val="none"/>
              </w:rPr>
            </w:pPr>
            <w:r>
              <w:rPr>
                <w:rFonts w:hint="eastAsia" w:ascii="宋体" w:hAnsi="宋体" w:cs="宋体"/>
                <w:color w:val="auto"/>
                <w:szCs w:val="21"/>
                <w:highlight w:val="none"/>
              </w:rPr>
              <w:t>▲10.设备支持通过客户端、物理按键、Web浏览器对屏幕红、绿、蓝、白、条纹逐行扫描进行自检操作，支持设备自带Web浏览器、PC客户端、遥控器、物理按键进行控制，可（投标时须提供佐证材料证明满足该功能，佐证材料包含但不限于经国家认可的第三方认证（检测）机构出具的带有CMA或CNAS标志的检测报告复印件或官网截图或彩页或功能截图，除检测报告外，其他佐证材料均需加盖原厂公章。）</w:t>
            </w:r>
          </w:p>
          <w:p w14:paraId="667454A2">
            <w:pPr>
              <w:jc w:val="left"/>
              <w:rPr>
                <w:rFonts w:ascii="宋体" w:hAnsi="宋体" w:cs="宋体"/>
                <w:color w:val="auto"/>
                <w:szCs w:val="21"/>
                <w:highlight w:val="none"/>
              </w:rPr>
            </w:pPr>
            <w:r>
              <w:rPr>
                <w:rFonts w:hint="eastAsia" w:ascii="宋体" w:hAnsi="宋体" w:cs="宋体"/>
                <w:color w:val="auto"/>
                <w:szCs w:val="21"/>
                <w:highlight w:val="none"/>
              </w:rPr>
              <w:t>11.支持设置多种显示模式，具体包括常规，文稿、广告、视讯、HDR、影院、安防、自定义模式。</w:t>
            </w:r>
          </w:p>
          <w:p w14:paraId="1AA77C45">
            <w:pPr>
              <w:jc w:val="left"/>
              <w:rPr>
                <w:rFonts w:ascii="宋体" w:hAnsi="宋体" w:cs="宋体"/>
                <w:color w:val="auto"/>
                <w:szCs w:val="21"/>
                <w:highlight w:val="none"/>
              </w:rPr>
            </w:pPr>
            <w:r>
              <w:rPr>
                <w:rFonts w:hint="eastAsia" w:ascii="宋体" w:hAnsi="宋体" w:cs="宋体"/>
                <w:color w:val="auto"/>
                <w:szCs w:val="21"/>
                <w:highlight w:val="none"/>
              </w:rPr>
              <w:t>▲12.支持手动校时，支持 NTP校时，支持查看网络在线设备列表，可根据IP地址进行搜索，支持日志查询和用户手册查看功能。（投标时须提供佐证材料证明满足该功能，佐证材料包含但不限于经国家认可的第三方认证（检测）机构出具的带有CMA或CNAS标志的检测报告复印件或官网截图或彩页或功能截图，除检测报告外，其他佐证材料均需加盖原厂公章。）</w:t>
            </w:r>
          </w:p>
          <w:p w14:paraId="3B017871">
            <w:pPr>
              <w:jc w:val="left"/>
              <w:rPr>
                <w:rFonts w:ascii="宋体" w:hAnsi="宋体" w:cs="宋体"/>
                <w:color w:val="auto"/>
                <w:szCs w:val="21"/>
                <w:highlight w:val="none"/>
              </w:rPr>
            </w:pPr>
            <w:r>
              <w:rPr>
                <w:rFonts w:hint="eastAsia" w:ascii="宋体" w:hAnsi="宋体" w:cs="宋体"/>
                <w:color w:val="auto"/>
                <w:szCs w:val="21"/>
                <w:highlight w:val="none"/>
              </w:rPr>
              <w:t>▲13.支持通过HDMI线直接传递分辨率信息实现输出分辨率配置、序列号，支持通过Web查看屏幕连线正常、发送卡掉线、电压电流异常等状态。（投标时须提供佐证材料证明满足该功能，佐证材料包含但不限于经国家认可的第三方认证（检测）机构出具的带有CMA或CNAS标志的检测报告复印件或官网截图或彩页或功能截图，除检测报告外，其他佐证材料均需加盖原厂公章。）</w:t>
            </w:r>
          </w:p>
          <w:p w14:paraId="7D57F98C">
            <w:pPr>
              <w:jc w:val="left"/>
              <w:rPr>
                <w:rFonts w:ascii="宋体" w:hAnsi="宋体" w:cs="宋体"/>
                <w:color w:val="auto"/>
                <w:szCs w:val="21"/>
                <w:highlight w:val="none"/>
              </w:rPr>
            </w:pPr>
            <w:r>
              <w:rPr>
                <w:rFonts w:hint="eastAsia" w:ascii="宋体" w:hAnsi="宋体" w:cs="宋体"/>
                <w:color w:val="auto"/>
                <w:szCs w:val="21"/>
                <w:highlight w:val="none"/>
              </w:rPr>
              <w:t>14.支持通过RS485接口与中控设备进行对接。</w:t>
            </w:r>
          </w:p>
          <w:p w14:paraId="59B4D824">
            <w:pPr>
              <w:jc w:val="left"/>
              <w:rPr>
                <w:rFonts w:ascii="宋体" w:hAnsi="宋体" w:cs="宋体"/>
                <w:color w:val="auto"/>
                <w:szCs w:val="21"/>
                <w:highlight w:val="none"/>
              </w:rPr>
            </w:pPr>
            <w:r>
              <w:rPr>
                <w:rFonts w:hint="eastAsia" w:ascii="宋体" w:hAnsi="宋体" w:cs="宋体"/>
                <w:color w:val="auto"/>
                <w:szCs w:val="21"/>
                <w:highlight w:val="none"/>
              </w:rPr>
              <w:t>15.支持通过登录主设备，查看主发送卡下所有级联从发送卡的屏幕位置、发送卡IP 地址、序列号、带载屏幕分辨率、运行状态、软件版本、运行温度内存使用率等信息。</w:t>
            </w:r>
          </w:p>
          <w:p w14:paraId="46A01FB7">
            <w:pPr>
              <w:jc w:val="left"/>
              <w:rPr>
                <w:rFonts w:ascii="宋体" w:hAnsi="宋体" w:cs="宋体"/>
                <w:color w:val="auto"/>
                <w:szCs w:val="21"/>
                <w:highlight w:val="none"/>
              </w:rPr>
            </w:pPr>
            <w:r>
              <w:rPr>
                <w:rFonts w:hint="eastAsia" w:ascii="宋体" w:hAnsi="宋体" w:cs="宋体"/>
                <w:color w:val="auto"/>
                <w:szCs w:val="21"/>
                <w:highlight w:val="none"/>
              </w:rPr>
              <w:t>16.支持在级联模式下，可以在同一界面下支持查看多发送卡下LED整墙的概览信息和LED屏连线状态；支持查看行列网格展示屏幕接收卡规模、在Web端鼠标移到网格上时，可展示该网格所属网口的所有接收卡单元，高亮展示，展示网线连线顺序，网口号，展示工作状态。</w:t>
            </w:r>
          </w:p>
          <w:p w14:paraId="30770385">
            <w:pPr>
              <w:jc w:val="left"/>
              <w:rPr>
                <w:rFonts w:ascii="宋体" w:hAnsi="宋体" w:cs="宋体"/>
                <w:color w:val="auto"/>
                <w:szCs w:val="21"/>
                <w:highlight w:val="none"/>
              </w:rPr>
            </w:pPr>
            <w:r>
              <w:rPr>
                <w:rFonts w:hint="eastAsia" w:ascii="宋体" w:hAnsi="宋体" w:cs="宋体"/>
                <w:color w:val="auto"/>
                <w:szCs w:val="21"/>
                <w:highlight w:val="none"/>
              </w:rPr>
              <w:t>17.支持从客户端、设备自带Web浏览器查看与绑定的接收卡的序号、接收卡型号、接收卡软件版本、网口link状态、接收卡电压、接收卡温度，状态显示正常。</w:t>
            </w:r>
          </w:p>
          <w:p w14:paraId="3CB97ADA">
            <w:pPr>
              <w:jc w:val="left"/>
              <w:rPr>
                <w:rFonts w:ascii="宋体" w:hAnsi="宋体" w:cs="宋体"/>
                <w:color w:val="auto"/>
                <w:szCs w:val="21"/>
                <w:highlight w:val="none"/>
              </w:rPr>
            </w:pPr>
            <w:r>
              <w:rPr>
                <w:rFonts w:hint="eastAsia" w:ascii="宋体" w:hAnsi="宋体" w:cs="宋体"/>
                <w:color w:val="auto"/>
                <w:szCs w:val="21"/>
                <w:highlight w:val="none"/>
              </w:rPr>
              <w:t>▲18.支持在级联模式下指定主从关系，可以任意指定一台发送卡作为主发送卡，其他发送卡作为从发送卡，支持在级联模式下登录主发送卡设备，查看所管理的全部从发送卡的设备运行状态。（投标时须提供佐证材料证明满足该功能，佐证材料包含但不限于经国家认可的第三方认证（检测）机构出具的带有CMA或CNAS标志的检测报告复印件或官网截图或彩页或功能截图，除检测报告外，其他佐证材料均需加盖原厂公章。）</w:t>
            </w:r>
          </w:p>
          <w:p w14:paraId="49B42B66">
            <w:pPr>
              <w:jc w:val="left"/>
              <w:rPr>
                <w:rFonts w:ascii="宋体" w:hAnsi="宋体" w:cs="宋体"/>
                <w:color w:val="auto"/>
                <w:szCs w:val="21"/>
                <w:highlight w:val="none"/>
              </w:rPr>
            </w:pPr>
            <w:r>
              <w:rPr>
                <w:rFonts w:hint="eastAsia" w:ascii="宋体" w:hAnsi="宋体" w:cs="宋体"/>
                <w:color w:val="auto"/>
                <w:szCs w:val="21"/>
                <w:highlight w:val="none"/>
              </w:rPr>
              <w:t>▲19.支持标准带载模式，该模式下单网口最大支持带载292.5W像素点，支持带载模式切换，支持在客户端、web端进行迷你带载模式和标准带载模式的切换，功能响应正常。（投标时须提供佐证材料证明满足该功能，佐证材料包含但不限于经国家认可的第三方认证（检测）机构出具的带有CMA或CNAS标志的检测报告复印件或官网截图或彩页或功能截图，除检测报告外，其他佐证材料均需加盖原厂公章。）</w:t>
            </w:r>
          </w:p>
          <w:p w14:paraId="0A4A3BEF">
            <w:pPr>
              <w:jc w:val="left"/>
              <w:rPr>
                <w:rFonts w:ascii="宋体" w:hAnsi="宋体" w:cs="宋体"/>
                <w:color w:val="auto"/>
                <w:szCs w:val="21"/>
                <w:highlight w:val="none"/>
              </w:rPr>
            </w:pPr>
            <w:r>
              <w:rPr>
                <w:rFonts w:hint="eastAsia" w:ascii="宋体" w:hAnsi="宋体" w:cs="宋体"/>
                <w:color w:val="auto"/>
                <w:szCs w:val="21"/>
                <w:highlight w:val="none"/>
              </w:rPr>
              <w:t>20.支持定时开关屏设置，模式开启后，在web端和客户端可配置定时开关屏时间，屏幕可按照指定时间配置自动开关屏幕；关屏前屏幕显示灭屏提示。</w:t>
            </w:r>
          </w:p>
          <w:p w14:paraId="2DCB2DBE">
            <w:pPr>
              <w:jc w:val="left"/>
              <w:rPr>
                <w:rFonts w:ascii="宋体" w:hAnsi="宋体" w:cs="宋体"/>
                <w:color w:val="auto"/>
                <w:szCs w:val="21"/>
                <w:highlight w:val="none"/>
              </w:rPr>
            </w:pPr>
            <w:r>
              <w:rPr>
                <w:rFonts w:hint="eastAsia" w:ascii="宋体" w:hAnsi="宋体" w:cs="宋体"/>
                <w:color w:val="auto"/>
                <w:szCs w:val="21"/>
                <w:highlight w:val="none"/>
              </w:rPr>
              <w:t>21.支持定时亮度设置，模式开启后，在web端、客户端可以配置定时亮度调节计划，屏幕在指定的时间段显示对应亮度，亮度切换后系统显示亮度同步更新，支持LED屏幕带载无矩形框架限制，可将输入信号进行缩放，以匹配 LED的分辨率进行输出。</w:t>
            </w:r>
          </w:p>
          <w:p w14:paraId="3676204A">
            <w:pPr>
              <w:jc w:val="left"/>
              <w:rPr>
                <w:rFonts w:ascii="宋体" w:hAnsi="宋体" w:cs="宋体"/>
                <w:color w:val="auto"/>
                <w:szCs w:val="21"/>
                <w:highlight w:val="none"/>
              </w:rPr>
            </w:pPr>
            <w:r>
              <w:rPr>
                <w:rFonts w:hint="eastAsia" w:ascii="宋体" w:hAnsi="宋体" w:cs="宋体"/>
                <w:color w:val="auto"/>
                <w:szCs w:val="21"/>
                <w:highlight w:val="none"/>
              </w:rPr>
              <w:t>22.具有除湿模式，可让显示屏亮度逐渐提升，除湿功能开启后可手动关。</w:t>
            </w:r>
          </w:p>
        </w:tc>
      </w:tr>
      <w:tr w14:paraId="203E8A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jc w:val="center"/>
        </w:trPr>
        <w:tc>
          <w:tcPr>
            <w:tcW w:w="659" w:type="dxa"/>
            <w:vAlign w:val="center"/>
          </w:tcPr>
          <w:p w14:paraId="73F5D4D7">
            <w:pPr>
              <w:widowControl/>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1.3</w:t>
            </w:r>
          </w:p>
        </w:tc>
        <w:tc>
          <w:tcPr>
            <w:tcW w:w="1148" w:type="dxa"/>
            <w:shd w:val="clear" w:color="auto" w:fill="auto"/>
            <w:vAlign w:val="center"/>
          </w:tcPr>
          <w:p w14:paraId="3C74B296">
            <w:pPr>
              <w:widowControl/>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配电柜</w:t>
            </w:r>
          </w:p>
        </w:tc>
        <w:tc>
          <w:tcPr>
            <w:tcW w:w="961" w:type="dxa"/>
            <w:shd w:val="clear" w:color="auto" w:fill="auto"/>
            <w:vAlign w:val="center"/>
          </w:tcPr>
          <w:p w14:paraId="41E4E394">
            <w:pPr>
              <w:widowControl/>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1台</w:t>
            </w:r>
          </w:p>
        </w:tc>
        <w:tc>
          <w:tcPr>
            <w:tcW w:w="701" w:type="dxa"/>
            <w:tcBorders>
              <w:right w:val="single" w:color="auto" w:sz="4" w:space="0"/>
            </w:tcBorders>
            <w:shd w:val="clear" w:color="auto" w:fill="auto"/>
            <w:vAlign w:val="center"/>
          </w:tcPr>
          <w:p w14:paraId="34F54861">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工业</w:t>
            </w:r>
          </w:p>
        </w:tc>
        <w:tc>
          <w:tcPr>
            <w:tcW w:w="6527" w:type="dxa"/>
            <w:tcBorders>
              <w:left w:val="single" w:color="auto" w:sz="4" w:space="0"/>
              <w:right w:val="single" w:color="auto" w:sz="4" w:space="0"/>
            </w:tcBorders>
            <w:shd w:val="clear" w:color="auto" w:fill="auto"/>
          </w:tcPr>
          <w:p w14:paraId="07860342">
            <w:pPr>
              <w:jc w:val="left"/>
              <w:rPr>
                <w:rFonts w:ascii="宋体" w:hAnsi="宋体" w:cs="宋体"/>
                <w:color w:val="auto"/>
                <w:szCs w:val="21"/>
                <w:highlight w:val="none"/>
              </w:rPr>
            </w:pPr>
            <w:r>
              <w:rPr>
                <w:rFonts w:hint="eastAsia" w:ascii="宋体" w:hAnsi="宋体" w:cs="宋体"/>
                <w:color w:val="auto"/>
                <w:szCs w:val="21"/>
                <w:highlight w:val="none"/>
              </w:rPr>
              <w:t>1.配电柜额定功率≥30KW，具备≥3个单相回路。</w:t>
            </w:r>
          </w:p>
          <w:p w14:paraId="4FA34CA8">
            <w:pPr>
              <w:jc w:val="left"/>
              <w:rPr>
                <w:rFonts w:ascii="宋体" w:hAnsi="宋体" w:cs="宋体"/>
                <w:color w:val="auto"/>
                <w:szCs w:val="21"/>
                <w:highlight w:val="none"/>
              </w:rPr>
            </w:pPr>
            <w:r>
              <w:rPr>
                <w:rFonts w:hint="eastAsia" w:ascii="宋体" w:hAnsi="宋体" w:cs="宋体"/>
                <w:color w:val="auto"/>
                <w:szCs w:val="21"/>
                <w:highlight w:val="none"/>
              </w:rPr>
              <w:t>2.可通过RS485接口读取配电柜内部温度。</w:t>
            </w:r>
          </w:p>
          <w:p w14:paraId="1810310F">
            <w:pPr>
              <w:jc w:val="left"/>
              <w:rPr>
                <w:rFonts w:ascii="宋体" w:hAnsi="宋体" w:cs="宋体"/>
                <w:color w:val="auto"/>
                <w:szCs w:val="21"/>
                <w:highlight w:val="none"/>
              </w:rPr>
            </w:pPr>
            <w:r>
              <w:rPr>
                <w:rFonts w:hint="eastAsia" w:ascii="宋体" w:hAnsi="宋体" w:cs="宋体"/>
                <w:color w:val="auto"/>
                <w:szCs w:val="21"/>
                <w:highlight w:val="none"/>
              </w:rPr>
              <w:t>3.检测到烟雾后可自动断电，超过温度阈值后可自动断电。</w:t>
            </w:r>
          </w:p>
          <w:p w14:paraId="53DEC549">
            <w:pPr>
              <w:jc w:val="left"/>
              <w:rPr>
                <w:rFonts w:ascii="宋体" w:hAnsi="宋体" w:cs="宋体"/>
                <w:color w:val="auto"/>
                <w:szCs w:val="21"/>
                <w:highlight w:val="none"/>
              </w:rPr>
            </w:pPr>
            <w:r>
              <w:rPr>
                <w:rFonts w:hint="eastAsia" w:ascii="宋体" w:hAnsi="宋体" w:cs="宋体"/>
                <w:color w:val="auto"/>
                <w:szCs w:val="21"/>
                <w:highlight w:val="none"/>
              </w:rPr>
              <w:t>4.输入输出均有断路器保护措施，在发生过流或短路后可以自动断电。</w:t>
            </w:r>
          </w:p>
          <w:p w14:paraId="3D34EA86">
            <w:pPr>
              <w:jc w:val="left"/>
              <w:rPr>
                <w:rFonts w:ascii="宋体" w:hAnsi="宋体" w:cs="宋体"/>
                <w:color w:val="auto"/>
                <w:szCs w:val="21"/>
                <w:highlight w:val="none"/>
              </w:rPr>
            </w:pPr>
            <w:r>
              <w:rPr>
                <w:rFonts w:hint="eastAsia" w:ascii="宋体" w:hAnsi="宋体" w:cs="宋体"/>
                <w:color w:val="auto"/>
                <w:szCs w:val="21"/>
                <w:highlight w:val="none"/>
              </w:rPr>
              <w:t>5.支持手动一键启动、停止，支持单路（单交流控制器）启动停止，支持分时段控制，支持电脑远程控制。</w:t>
            </w:r>
          </w:p>
          <w:p w14:paraId="733472BE">
            <w:pPr>
              <w:jc w:val="left"/>
              <w:rPr>
                <w:rFonts w:ascii="宋体" w:hAnsi="宋体" w:cs="宋体"/>
                <w:color w:val="auto"/>
                <w:szCs w:val="21"/>
                <w:highlight w:val="none"/>
              </w:rPr>
            </w:pPr>
            <w:r>
              <w:rPr>
                <w:rFonts w:hint="eastAsia" w:ascii="宋体" w:hAnsi="宋体" w:cs="宋体"/>
                <w:color w:val="auto"/>
                <w:szCs w:val="21"/>
                <w:highlight w:val="none"/>
              </w:rPr>
              <w:t>6.支持记录电源参数、运行状态、异常报警(高温、烟雾)等。</w:t>
            </w:r>
          </w:p>
          <w:p w14:paraId="6728819B">
            <w:pPr>
              <w:jc w:val="left"/>
              <w:rPr>
                <w:rFonts w:ascii="宋体" w:hAnsi="宋体" w:cs="宋体"/>
                <w:color w:val="auto"/>
                <w:szCs w:val="21"/>
                <w:highlight w:val="none"/>
              </w:rPr>
            </w:pPr>
            <w:r>
              <w:rPr>
                <w:rFonts w:hint="eastAsia" w:ascii="宋体" w:hAnsi="宋体" w:cs="宋体"/>
                <w:color w:val="auto"/>
                <w:szCs w:val="21"/>
                <w:highlight w:val="none"/>
              </w:rPr>
              <w:t>7.网络接口支持MODBUS-TCP协议，串口通讯端口支持RS485,MODBUS-RTU协议。</w:t>
            </w:r>
          </w:p>
          <w:p w14:paraId="3ABD67C6">
            <w:pPr>
              <w:jc w:val="left"/>
              <w:rPr>
                <w:rFonts w:ascii="宋体" w:hAnsi="宋体" w:cs="宋体"/>
                <w:color w:val="auto"/>
                <w:szCs w:val="21"/>
                <w:highlight w:val="none"/>
              </w:rPr>
            </w:pPr>
            <w:r>
              <w:rPr>
                <w:rFonts w:hint="eastAsia" w:ascii="宋体" w:hAnsi="宋体" w:cs="宋体"/>
                <w:color w:val="auto"/>
                <w:szCs w:val="21"/>
                <w:highlight w:val="none"/>
              </w:rPr>
              <w:t>8.支持设备分级上电，避免瞬间电流过大。</w:t>
            </w:r>
          </w:p>
        </w:tc>
      </w:tr>
      <w:tr w14:paraId="158D53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jc w:val="center"/>
        </w:trPr>
        <w:tc>
          <w:tcPr>
            <w:tcW w:w="9996" w:type="dxa"/>
            <w:gridSpan w:val="5"/>
            <w:tcBorders>
              <w:right w:val="single" w:color="auto" w:sz="4" w:space="0"/>
            </w:tcBorders>
            <w:vAlign w:val="center"/>
          </w:tcPr>
          <w:p w14:paraId="42CCF05F">
            <w:pPr>
              <w:jc w:val="left"/>
              <w:rPr>
                <w:rFonts w:ascii="宋体" w:hAnsi="宋体" w:cs="宋体"/>
                <w:color w:val="auto"/>
                <w:szCs w:val="21"/>
                <w:highlight w:val="none"/>
              </w:rPr>
            </w:pPr>
            <w:r>
              <w:rPr>
                <w:rFonts w:hint="eastAsia" w:ascii="宋体" w:hAnsi="宋体" w:cs="宋体"/>
                <w:b/>
                <w:bCs/>
                <w:color w:val="auto"/>
                <w:szCs w:val="21"/>
                <w:highlight w:val="none"/>
              </w:rPr>
              <w:t>2.技术服务费</w:t>
            </w:r>
          </w:p>
        </w:tc>
      </w:tr>
      <w:tr w14:paraId="4F95F2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jc w:val="center"/>
        </w:trPr>
        <w:tc>
          <w:tcPr>
            <w:tcW w:w="659" w:type="dxa"/>
            <w:vAlign w:val="center"/>
          </w:tcPr>
          <w:p w14:paraId="1BB7EC1D">
            <w:pPr>
              <w:widowControl/>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2.1</w:t>
            </w:r>
          </w:p>
        </w:tc>
        <w:tc>
          <w:tcPr>
            <w:tcW w:w="1148" w:type="dxa"/>
            <w:shd w:val="clear" w:color="auto" w:fill="auto"/>
            <w:vAlign w:val="center"/>
          </w:tcPr>
          <w:p w14:paraId="542C69F2">
            <w:pPr>
              <w:jc w:val="center"/>
              <w:rPr>
                <w:rFonts w:ascii="宋体" w:hAnsi="宋体" w:cs="宋体"/>
                <w:color w:val="auto"/>
                <w:szCs w:val="21"/>
                <w:highlight w:val="none"/>
              </w:rPr>
            </w:pPr>
            <w:r>
              <w:rPr>
                <w:rFonts w:hint="eastAsia" w:ascii="宋体" w:hAnsi="宋体" w:cs="宋体"/>
                <w:color w:val="auto"/>
                <w:szCs w:val="21"/>
                <w:highlight w:val="none"/>
              </w:rPr>
              <w:t>技术服务费</w:t>
            </w:r>
          </w:p>
        </w:tc>
        <w:tc>
          <w:tcPr>
            <w:tcW w:w="961" w:type="dxa"/>
            <w:shd w:val="clear" w:color="auto" w:fill="auto"/>
            <w:vAlign w:val="center"/>
          </w:tcPr>
          <w:p w14:paraId="7B9BCFE4">
            <w:pPr>
              <w:jc w:val="center"/>
              <w:rPr>
                <w:rFonts w:ascii="宋体" w:hAnsi="宋体" w:cs="宋体"/>
                <w:color w:val="auto"/>
                <w:szCs w:val="21"/>
                <w:highlight w:val="none"/>
              </w:rPr>
            </w:pPr>
            <w:r>
              <w:rPr>
                <w:rFonts w:hint="eastAsia" w:ascii="宋体" w:hAnsi="宋体" w:cs="宋体"/>
                <w:color w:val="auto"/>
                <w:szCs w:val="21"/>
                <w:highlight w:val="none"/>
              </w:rPr>
              <w:t>44.544项</w:t>
            </w:r>
          </w:p>
        </w:tc>
        <w:tc>
          <w:tcPr>
            <w:tcW w:w="701" w:type="dxa"/>
            <w:tcBorders>
              <w:right w:val="single" w:color="auto" w:sz="4" w:space="0"/>
            </w:tcBorders>
            <w:shd w:val="clear" w:color="auto" w:fill="auto"/>
            <w:vAlign w:val="center"/>
          </w:tcPr>
          <w:p w14:paraId="7BF2F7F8">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w:t>
            </w:r>
          </w:p>
        </w:tc>
        <w:tc>
          <w:tcPr>
            <w:tcW w:w="6527" w:type="dxa"/>
            <w:tcBorders>
              <w:left w:val="single" w:color="auto" w:sz="4" w:space="0"/>
              <w:right w:val="single" w:color="auto" w:sz="4" w:space="0"/>
            </w:tcBorders>
            <w:shd w:val="clear" w:color="auto" w:fill="auto"/>
            <w:vAlign w:val="center"/>
          </w:tcPr>
          <w:p w14:paraId="5844EE1E">
            <w:pPr>
              <w:rPr>
                <w:rFonts w:ascii="宋体" w:hAnsi="宋体" w:cs="宋体"/>
                <w:color w:val="auto"/>
                <w:szCs w:val="21"/>
                <w:highlight w:val="none"/>
              </w:rPr>
            </w:pPr>
            <w:r>
              <w:rPr>
                <w:rFonts w:hint="eastAsia" w:ascii="宋体" w:hAnsi="宋体" w:cs="宋体"/>
                <w:color w:val="auto"/>
                <w:szCs w:val="21"/>
                <w:highlight w:val="none"/>
              </w:rPr>
              <w:t>室内钢结构设计</w:t>
            </w:r>
          </w:p>
        </w:tc>
      </w:tr>
      <w:tr w14:paraId="676DDC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jc w:val="center"/>
        </w:trPr>
        <w:tc>
          <w:tcPr>
            <w:tcW w:w="9996" w:type="dxa"/>
            <w:gridSpan w:val="5"/>
            <w:tcBorders>
              <w:right w:val="single" w:color="auto" w:sz="4" w:space="0"/>
            </w:tcBorders>
            <w:vAlign w:val="center"/>
          </w:tcPr>
          <w:p w14:paraId="44ABE3AD">
            <w:pPr>
              <w:rPr>
                <w:rFonts w:ascii="宋体" w:hAnsi="宋体" w:cs="宋体"/>
                <w:color w:val="auto"/>
                <w:szCs w:val="21"/>
                <w:highlight w:val="none"/>
              </w:rPr>
            </w:pPr>
            <w:r>
              <w:rPr>
                <w:rFonts w:hint="eastAsia" w:ascii="宋体" w:hAnsi="宋体" w:cs="宋体"/>
                <w:b/>
                <w:bCs/>
                <w:color w:val="auto"/>
                <w:szCs w:val="21"/>
                <w:highlight w:val="none"/>
              </w:rPr>
              <w:t>（二）分布式综合管理系统</w:t>
            </w:r>
          </w:p>
        </w:tc>
      </w:tr>
      <w:tr w14:paraId="290A62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jc w:val="center"/>
        </w:trPr>
        <w:tc>
          <w:tcPr>
            <w:tcW w:w="9996" w:type="dxa"/>
            <w:gridSpan w:val="5"/>
            <w:tcBorders>
              <w:right w:val="single" w:color="auto" w:sz="4" w:space="0"/>
            </w:tcBorders>
            <w:vAlign w:val="center"/>
          </w:tcPr>
          <w:p w14:paraId="2CADF35C">
            <w:pPr>
              <w:rPr>
                <w:rFonts w:ascii="宋体" w:hAnsi="宋体" w:cs="宋体"/>
                <w:b/>
                <w:bCs/>
                <w:color w:val="auto"/>
                <w:szCs w:val="21"/>
                <w:highlight w:val="none"/>
              </w:rPr>
            </w:pPr>
            <w:r>
              <w:rPr>
                <w:rFonts w:hint="eastAsia" w:ascii="宋体" w:hAnsi="宋体" w:cs="宋体"/>
                <w:b/>
                <w:bCs/>
                <w:color w:val="auto"/>
                <w:szCs w:val="21"/>
                <w:highlight w:val="none"/>
              </w:rPr>
              <w:t>1.分布式环境控制系统</w:t>
            </w:r>
          </w:p>
        </w:tc>
      </w:tr>
      <w:tr w14:paraId="6E1FEA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jc w:val="center"/>
        </w:trPr>
        <w:tc>
          <w:tcPr>
            <w:tcW w:w="659" w:type="dxa"/>
            <w:shd w:val="clear" w:color="auto" w:fill="auto"/>
            <w:vAlign w:val="center"/>
          </w:tcPr>
          <w:p w14:paraId="79E5F5EB">
            <w:pPr>
              <w:jc w:val="center"/>
              <w:rPr>
                <w:rFonts w:ascii="宋体" w:hAnsi="宋体" w:cs="宋体"/>
                <w:color w:val="auto"/>
                <w:szCs w:val="21"/>
                <w:highlight w:val="none"/>
              </w:rPr>
            </w:pPr>
            <w:r>
              <w:rPr>
                <w:rFonts w:hint="eastAsia" w:ascii="宋体" w:hAnsi="宋体" w:cs="宋体"/>
                <w:color w:val="auto"/>
                <w:szCs w:val="21"/>
                <w:highlight w:val="none"/>
              </w:rPr>
              <w:t>1.1</w:t>
            </w:r>
          </w:p>
        </w:tc>
        <w:tc>
          <w:tcPr>
            <w:tcW w:w="1148" w:type="dxa"/>
            <w:shd w:val="clear" w:color="auto" w:fill="auto"/>
            <w:vAlign w:val="center"/>
          </w:tcPr>
          <w:p w14:paraId="4FFF5D28">
            <w:pPr>
              <w:jc w:val="center"/>
              <w:rPr>
                <w:rFonts w:ascii="宋体" w:hAnsi="宋体" w:cs="宋体"/>
                <w:color w:val="auto"/>
                <w:szCs w:val="21"/>
                <w:highlight w:val="none"/>
              </w:rPr>
            </w:pPr>
            <w:r>
              <w:rPr>
                <w:rFonts w:hint="eastAsia" w:ascii="宋体" w:hAnsi="宋体" w:cs="宋体"/>
                <w:color w:val="auto"/>
                <w:szCs w:val="21"/>
                <w:highlight w:val="none"/>
              </w:rPr>
              <w:t>AI智慧分布式中控</w:t>
            </w:r>
          </w:p>
        </w:tc>
        <w:tc>
          <w:tcPr>
            <w:tcW w:w="961" w:type="dxa"/>
            <w:shd w:val="clear" w:color="auto" w:fill="auto"/>
            <w:vAlign w:val="center"/>
          </w:tcPr>
          <w:p w14:paraId="4022E023">
            <w:pPr>
              <w:jc w:val="center"/>
              <w:rPr>
                <w:rFonts w:ascii="宋体" w:hAnsi="宋体" w:cs="宋体"/>
                <w:color w:val="auto"/>
                <w:szCs w:val="21"/>
                <w:highlight w:val="none"/>
              </w:rPr>
            </w:pPr>
            <w:r>
              <w:rPr>
                <w:rFonts w:hint="eastAsia" w:ascii="宋体" w:hAnsi="宋体" w:cs="宋体"/>
                <w:color w:val="auto"/>
                <w:szCs w:val="21"/>
                <w:highlight w:val="none"/>
              </w:rPr>
              <w:t>1台</w:t>
            </w:r>
          </w:p>
        </w:tc>
        <w:tc>
          <w:tcPr>
            <w:tcW w:w="701" w:type="dxa"/>
            <w:tcBorders>
              <w:right w:val="single" w:color="auto" w:sz="4" w:space="0"/>
            </w:tcBorders>
            <w:shd w:val="clear" w:color="auto" w:fill="auto"/>
            <w:vAlign w:val="center"/>
          </w:tcPr>
          <w:p w14:paraId="34719C85">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工业</w:t>
            </w:r>
          </w:p>
        </w:tc>
        <w:tc>
          <w:tcPr>
            <w:tcW w:w="6527" w:type="dxa"/>
            <w:tcBorders>
              <w:left w:val="single" w:color="auto" w:sz="4" w:space="0"/>
              <w:right w:val="single" w:color="auto" w:sz="4" w:space="0"/>
            </w:tcBorders>
            <w:shd w:val="clear" w:color="auto" w:fill="auto"/>
          </w:tcPr>
          <w:p w14:paraId="4F6B9DED">
            <w:pPr>
              <w:jc w:val="left"/>
              <w:rPr>
                <w:rFonts w:ascii="宋体" w:hAnsi="宋体" w:cs="宋体"/>
                <w:color w:val="auto"/>
                <w:szCs w:val="21"/>
                <w:highlight w:val="none"/>
              </w:rPr>
            </w:pPr>
            <w:r>
              <w:rPr>
                <w:rFonts w:hint="eastAsia" w:ascii="宋体" w:hAnsi="宋体" w:cs="宋体"/>
                <w:color w:val="auto"/>
                <w:szCs w:val="21"/>
                <w:highlight w:val="none"/>
              </w:rPr>
              <w:t>1.采用处理器配置优于或等同于64位4核、主频≥1.5GHz。</w:t>
            </w:r>
          </w:p>
          <w:p w14:paraId="5D2D0517">
            <w:pPr>
              <w:jc w:val="left"/>
              <w:rPr>
                <w:rFonts w:ascii="宋体" w:hAnsi="宋体" w:cs="宋体"/>
                <w:color w:val="auto"/>
                <w:szCs w:val="21"/>
                <w:highlight w:val="none"/>
              </w:rPr>
            </w:pPr>
            <w:r>
              <w:rPr>
                <w:rFonts w:hint="eastAsia" w:ascii="宋体" w:hAnsi="宋体" w:cs="宋体"/>
                <w:color w:val="auto"/>
                <w:szCs w:val="21"/>
                <w:highlight w:val="none"/>
              </w:rPr>
              <w:t>2.具备≥两个千兆网口；支持B/S架构，支持IOS、安卓移动平台以及PC可视化触摸控制。</w:t>
            </w:r>
          </w:p>
          <w:p w14:paraId="77D3F116">
            <w:pPr>
              <w:jc w:val="left"/>
              <w:rPr>
                <w:rFonts w:ascii="宋体" w:hAnsi="宋体" w:cs="宋体"/>
                <w:color w:val="auto"/>
                <w:szCs w:val="21"/>
                <w:highlight w:val="none"/>
              </w:rPr>
            </w:pPr>
            <w:r>
              <w:rPr>
                <w:rFonts w:hint="eastAsia" w:ascii="宋体" w:hAnsi="宋体" w:cs="宋体"/>
                <w:color w:val="auto"/>
                <w:szCs w:val="21"/>
                <w:highlight w:val="none"/>
              </w:rPr>
              <w:t>3.支持可编程控制平台，系统支持音频、视频和周边设备控制集中于一个平台软件上控制，拖拽式操作达到人机交互功能，支持多设备间一键联动控制功能。</w:t>
            </w:r>
          </w:p>
          <w:p w14:paraId="19293B0A">
            <w:pPr>
              <w:jc w:val="left"/>
              <w:rPr>
                <w:rFonts w:ascii="宋体" w:hAnsi="宋体" w:cs="宋体"/>
                <w:color w:val="auto"/>
                <w:szCs w:val="21"/>
                <w:highlight w:val="none"/>
              </w:rPr>
            </w:pPr>
            <w:r>
              <w:rPr>
                <w:rFonts w:hint="eastAsia" w:ascii="宋体" w:hAnsi="宋体" w:cs="宋体"/>
                <w:color w:val="auto"/>
                <w:szCs w:val="21"/>
                <w:highlight w:val="none"/>
              </w:rPr>
              <w:t>4.支持会场的灯光、窗帘、音响音量、无纸化系统控制管理。</w:t>
            </w:r>
          </w:p>
          <w:p w14:paraId="2004E5B3">
            <w:pPr>
              <w:jc w:val="left"/>
              <w:rPr>
                <w:rFonts w:ascii="宋体" w:hAnsi="宋体" w:cs="宋体"/>
                <w:color w:val="auto"/>
                <w:szCs w:val="21"/>
                <w:highlight w:val="none"/>
              </w:rPr>
            </w:pPr>
            <w:r>
              <w:rPr>
                <w:rFonts w:hint="eastAsia" w:ascii="宋体" w:hAnsi="宋体" w:cs="宋体"/>
                <w:color w:val="auto"/>
                <w:szCs w:val="21"/>
                <w:highlight w:val="none"/>
              </w:rPr>
              <w:t>5.通过管理平台对多个会议室进行单独、统一控制管理，支持会议摄像实时跟踪，支持对各品牌云台、球机的控制，以及会议主机联动控制摄像头。</w:t>
            </w:r>
          </w:p>
          <w:p w14:paraId="7FBB4A62">
            <w:pPr>
              <w:jc w:val="left"/>
              <w:rPr>
                <w:rFonts w:ascii="宋体" w:hAnsi="宋体" w:cs="宋体"/>
                <w:color w:val="auto"/>
                <w:szCs w:val="21"/>
                <w:highlight w:val="none"/>
              </w:rPr>
            </w:pPr>
            <w:r>
              <w:rPr>
                <w:rFonts w:hint="eastAsia" w:ascii="宋体" w:hAnsi="宋体" w:cs="宋体"/>
                <w:color w:val="auto"/>
                <w:szCs w:val="21"/>
                <w:highlight w:val="none"/>
              </w:rPr>
              <w:t>6.支持对大屏、投影、一体机设备的电源控制。</w:t>
            </w:r>
          </w:p>
          <w:p w14:paraId="53B8F3D9">
            <w:pPr>
              <w:jc w:val="left"/>
              <w:rPr>
                <w:rFonts w:ascii="宋体" w:hAnsi="宋体" w:cs="宋体"/>
                <w:color w:val="auto"/>
                <w:szCs w:val="21"/>
                <w:highlight w:val="none"/>
              </w:rPr>
            </w:pPr>
            <w:r>
              <w:rPr>
                <w:rFonts w:hint="eastAsia" w:ascii="宋体" w:hAnsi="宋体" w:cs="宋体"/>
                <w:color w:val="auto"/>
                <w:szCs w:val="21"/>
                <w:highlight w:val="none"/>
              </w:rPr>
              <w:t>7.支持大屏拼接控制，实时对视频窗口的放大、缩小、移动、关闭，可以在触摸屏实现回显，预览内容和大屏内容同步，含配套红外学习和发射。</w:t>
            </w:r>
          </w:p>
          <w:p w14:paraId="2632E850">
            <w:pPr>
              <w:jc w:val="left"/>
              <w:rPr>
                <w:rFonts w:ascii="宋体" w:hAnsi="宋体" w:cs="宋体"/>
                <w:color w:val="auto"/>
                <w:szCs w:val="21"/>
                <w:highlight w:val="none"/>
              </w:rPr>
            </w:pPr>
            <w:r>
              <w:rPr>
                <w:rFonts w:hint="eastAsia" w:ascii="宋体" w:hAnsi="宋体" w:cs="宋体"/>
                <w:color w:val="auto"/>
                <w:szCs w:val="21"/>
                <w:highlight w:val="none"/>
              </w:rPr>
              <w:t>8.可分配不同权限，设置不同登录帐号，具备双向反馈功能。</w:t>
            </w:r>
          </w:p>
          <w:p w14:paraId="2B83BFEC">
            <w:pPr>
              <w:jc w:val="left"/>
              <w:rPr>
                <w:rFonts w:ascii="宋体" w:hAnsi="宋体" w:cs="宋体"/>
                <w:color w:val="auto"/>
                <w:szCs w:val="21"/>
                <w:highlight w:val="none"/>
              </w:rPr>
            </w:pPr>
            <w:r>
              <w:rPr>
                <w:rFonts w:hint="eastAsia" w:ascii="宋体" w:hAnsi="宋体" w:cs="宋体"/>
                <w:color w:val="auto"/>
                <w:szCs w:val="21"/>
                <w:highlight w:val="none"/>
              </w:rPr>
              <w:t>▲9.可通过RS-232/RS-485/RS-422串口接口对被控设备发送≥16进制或ASC命令进行控制，支持≥10路RS-232、RS-485、RS-422接口同时发送控制指令。（投标时须提供经国家认可的第三方认证（检测）机构出具的带有CMA或CNAS标志的检测报告复印件。）</w:t>
            </w:r>
          </w:p>
          <w:p w14:paraId="6C572B02">
            <w:pPr>
              <w:jc w:val="left"/>
              <w:rPr>
                <w:rFonts w:ascii="宋体" w:hAnsi="宋体" w:cs="宋体"/>
                <w:color w:val="auto"/>
                <w:szCs w:val="21"/>
                <w:highlight w:val="none"/>
              </w:rPr>
            </w:pPr>
            <w:r>
              <w:rPr>
                <w:rFonts w:hint="eastAsia" w:ascii="宋体" w:hAnsi="宋体" w:cs="宋体"/>
                <w:color w:val="auto"/>
                <w:szCs w:val="21"/>
                <w:highlight w:val="none"/>
              </w:rPr>
              <w:t>10.可通过IR接口对受控设备发送红外控制指令，支持≥8路IR控制口同时发送控制指令。</w:t>
            </w:r>
          </w:p>
          <w:p w14:paraId="6F5AE617">
            <w:pPr>
              <w:jc w:val="left"/>
              <w:rPr>
                <w:rFonts w:ascii="宋体" w:hAnsi="宋体" w:cs="宋体"/>
                <w:color w:val="auto"/>
                <w:szCs w:val="21"/>
                <w:highlight w:val="none"/>
              </w:rPr>
            </w:pPr>
            <w:r>
              <w:rPr>
                <w:rFonts w:hint="eastAsia" w:ascii="宋体" w:hAnsi="宋体" w:cs="宋体"/>
                <w:color w:val="auto"/>
                <w:szCs w:val="21"/>
                <w:highlight w:val="none"/>
              </w:rPr>
              <w:t>11.可通过I/O接口对受控设备进行控制，支持≥8路I/O控制口同时发送控制指令。</w:t>
            </w:r>
          </w:p>
          <w:p w14:paraId="34FC5888">
            <w:pPr>
              <w:jc w:val="left"/>
              <w:rPr>
                <w:rFonts w:ascii="宋体" w:hAnsi="宋体" w:cs="宋体"/>
                <w:color w:val="auto"/>
                <w:szCs w:val="21"/>
                <w:highlight w:val="none"/>
              </w:rPr>
            </w:pPr>
            <w:r>
              <w:rPr>
                <w:rFonts w:hint="eastAsia" w:ascii="宋体" w:hAnsi="宋体" w:cs="宋体"/>
                <w:color w:val="auto"/>
                <w:szCs w:val="21"/>
                <w:highlight w:val="none"/>
              </w:rPr>
              <w:t>12.可通过弱继电器接口对受控设备进行控制，支持≥8路弱继电器同时发送控制指令。</w:t>
            </w:r>
          </w:p>
          <w:p w14:paraId="1444C79F">
            <w:pPr>
              <w:jc w:val="left"/>
              <w:rPr>
                <w:rFonts w:ascii="宋体" w:hAnsi="宋体" w:cs="宋体"/>
                <w:color w:val="auto"/>
                <w:szCs w:val="21"/>
                <w:highlight w:val="none"/>
              </w:rPr>
            </w:pPr>
            <w:r>
              <w:rPr>
                <w:rFonts w:hint="eastAsia" w:ascii="宋体" w:hAnsi="宋体" w:cs="宋体"/>
                <w:color w:val="auto"/>
                <w:szCs w:val="21"/>
                <w:highlight w:val="none"/>
              </w:rPr>
              <w:t>13.可通过DMX512控制接口对受控设备发送控制指令。</w:t>
            </w:r>
          </w:p>
          <w:p w14:paraId="591366DF">
            <w:pPr>
              <w:jc w:val="left"/>
              <w:rPr>
                <w:rFonts w:ascii="宋体" w:hAnsi="宋体" w:cs="宋体"/>
                <w:color w:val="auto"/>
                <w:szCs w:val="21"/>
                <w:highlight w:val="none"/>
              </w:rPr>
            </w:pPr>
            <w:r>
              <w:rPr>
                <w:rFonts w:hint="eastAsia" w:ascii="宋体" w:hAnsi="宋体" w:cs="宋体"/>
                <w:color w:val="auto"/>
                <w:szCs w:val="21"/>
                <w:highlight w:val="none"/>
              </w:rPr>
              <w:t>14.支持双向反馈，可显示温度、湿度、PM2.5及周边环境状态。</w:t>
            </w:r>
          </w:p>
          <w:p w14:paraId="42CFE161">
            <w:pPr>
              <w:jc w:val="left"/>
              <w:rPr>
                <w:rFonts w:ascii="宋体" w:hAnsi="宋体" w:cs="宋体"/>
                <w:color w:val="auto"/>
                <w:szCs w:val="21"/>
                <w:highlight w:val="none"/>
              </w:rPr>
            </w:pPr>
            <w:r>
              <w:rPr>
                <w:rFonts w:hint="eastAsia" w:ascii="宋体" w:hAnsi="宋体" w:cs="宋体"/>
                <w:color w:val="auto"/>
                <w:szCs w:val="21"/>
                <w:highlight w:val="none"/>
              </w:rPr>
              <w:t>15.支持扩展搭配移动硬盘，可记录操作日志及运行日志。</w:t>
            </w:r>
          </w:p>
          <w:p w14:paraId="5D7DBDF0">
            <w:pPr>
              <w:jc w:val="left"/>
              <w:rPr>
                <w:rFonts w:ascii="宋体" w:hAnsi="宋体" w:cs="宋体"/>
                <w:color w:val="auto"/>
                <w:szCs w:val="21"/>
                <w:highlight w:val="none"/>
              </w:rPr>
            </w:pPr>
            <w:r>
              <w:rPr>
                <w:rFonts w:hint="eastAsia" w:ascii="宋体" w:hAnsi="宋体" w:cs="宋体"/>
                <w:color w:val="auto"/>
                <w:szCs w:val="21"/>
                <w:highlight w:val="none"/>
              </w:rPr>
              <w:t>▲16.配备OLED显示屏，可实时显示终端IP及运行状态；具备≥1路HDMI2.0高清调试监控接口和≥2路USB3.0鼠标键盘接口，方便系统的灵活管理；≥1路TYPE-C调试接口。（投标时须提供佐证材料证明满足该功能，佐证材料包含但不限于经国家认可的第三方认证（检测）机构出具的带有CMA或CNAS标志的检测报告复印件或官网截图或彩页或功能截图，除检测报告外，其他佐证材料均需加盖原厂公章。）</w:t>
            </w:r>
          </w:p>
        </w:tc>
      </w:tr>
      <w:tr w14:paraId="6846F4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jc w:val="center"/>
        </w:trPr>
        <w:tc>
          <w:tcPr>
            <w:tcW w:w="659" w:type="dxa"/>
            <w:shd w:val="clear" w:color="auto" w:fill="auto"/>
            <w:vAlign w:val="center"/>
          </w:tcPr>
          <w:p w14:paraId="437BFA05">
            <w:pPr>
              <w:jc w:val="center"/>
              <w:rPr>
                <w:rFonts w:ascii="宋体" w:hAnsi="宋体" w:cs="宋体"/>
                <w:color w:val="auto"/>
                <w:szCs w:val="21"/>
                <w:highlight w:val="none"/>
              </w:rPr>
            </w:pPr>
            <w:r>
              <w:rPr>
                <w:rFonts w:hint="eastAsia" w:ascii="宋体" w:hAnsi="宋体" w:cs="宋体"/>
                <w:color w:val="auto"/>
                <w:szCs w:val="21"/>
                <w:highlight w:val="none"/>
              </w:rPr>
              <w:t>1.2</w:t>
            </w:r>
          </w:p>
        </w:tc>
        <w:tc>
          <w:tcPr>
            <w:tcW w:w="1148" w:type="dxa"/>
            <w:shd w:val="clear" w:color="auto" w:fill="auto"/>
            <w:vAlign w:val="center"/>
          </w:tcPr>
          <w:p w14:paraId="17A4AF05">
            <w:pPr>
              <w:jc w:val="center"/>
              <w:rPr>
                <w:rFonts w:ascii="宋体" w:hAnsi="宋体" w:cs="宋体"/>
                <w:color w:val="auto"/>
                <w:szCs w:val="21"/>
                <w:highlight w:val="none"/>
              </w:rPr>
            </w:pPr>
            <w:r>
              <w:rPr>
                <w:rFonts w:hint="eastAsia" w:ascii="宋体" w:hAnsi="宋体" w:cs="宋体"/>
                <w:color w:val="auto"/>
                <w:szCs w:val="21"/>
                <w:highlight w:val="none"/>
              </w:rPr>
              <w:t>分布式中控系统逻辑处理内嵌软件</w:t>
            </w:r>
          </w:p>
        </w:tc>
        <w:tc>
          <w:tcPr>
            <w:tcW w:w="961" w:type="dxa"/>
            <w:shd w:val="clear" w:color="auto" w:fill="auto"/>
            <w:vAlign w:val="center"/>
          </w:tcPr>
          <w:p w14:paraId="7D962460">
            <w:pPr>
              <w:jc w:val="center"/>
              <w:rPr>
                <w:rFonts w:ascii="宋体" w:hAnsi="宋体" w:cs="宋体"/>
                <w:color w:val="auto"/>
                <w:szCs w:val="21"/>
                <w:highlight w:val="none"/>
              </w:rPr>
            </w:pPr>
            <w:r>
              <w:rPr>
                <w:rFonts w:hint="eastAsia" w:ascii="宋体" w:hAnsi="宋体" w:cs="宋体"/>
                <w:color w:val="auto"/>
                <w:szCs w:val="21"/>
                <w:highlight w:val="none"/>
              </w:rPr>
              <w:t>1套</w:t>
            </w:r>
          </w:p>
        </w:tc>
        <w:tc>
          <w:tcPr>
            <w:tcW w:w="701" w:type="dxa"/>
            <w:tcBorders>
              <w:right w:val="single" w:color="auto" w:sz="4" w:space="0"/>
            </w:tcBorders>
            <w:shd w:val="clear" w:color="auto" w:fill="auto"/>
            <w:vAlign w:val="center"/>
          </w:tcPr>
          <w:p w14:paraId="249B1686">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w:t>
            </w:r>
          </w:p>
        </w:tc>
        <w:tc>
          <w:tcPr>
            <w:tcW w:w="6527" w:type="dxa"/>
            <w:tcBorders>
              <w:left w:val="single" w:color="auto" w:sz="4" w:space="0"/>
              <w:right w:val="single" w:color="auto" w:sz="4" w:space="0"/>
            </w:tcBorders>
            <w:shd w:val="clear" w:color="auto" w:fill="auto"/>
          </w:tcPr>
          <w:p w14:paraId="0DC03A1F">
            <w:pPr>
              <w:jc w:val="left"/>
              <w:rPr>
                <w:rFonts w:ascii="宋体" w:hAnsi="宋体" w:cs="宋体"/>
                <w:color w:val="auto"/>
                <w:szCs w:val="21"/>
                <w:highlight w:val="none"/>
              </w:rPr>
            </w:pPr>
            <w:r>
              <w:rPr>
                <w:rFonts w:hint="eastAsia" w:ascii="宋体" w:hAnsi="宋体" w:cs="宋体"/>
                <w:color w:val="auto"/>
                <w:szCs w:val="21"/>
                <w:highlight w:val="none"/>
              </w:rPr>
              <w:t>1.软件内嵌于分布式中央控制系统主机设备，实现系统控制逻辑、处理等功能。</w:t>
            </w:r>
          </w:p>
          <w:p w14:paraId="38DC0088">
            <w:pPr>
              <w:jc w:val="left"/>
              <w:rPr>
                <w:rFonts w:ascii="宋体" w:hAnsi="宋体" w:cs="宋体"/>
                <w:color w:val="auto"/>
                <w:szCs w:val="21"/>
                <w:highlight w:val="none"/>
              </w:rPr>
            </w:pPr>
            <w:r>
              <w:rPr>
                <w:rFonts w:hint="eastAsia" w:ascii="宋体" w:hAnsi="宋体" w:cs="宋体"/>
                <w:color w:val="auto"/>
                <w:szCs w:val="21"/>
                <w:highlight w:val="none"/>
              </w:rPr>
              <w:t>2.主要包括硬件逻辑模块、软件逻辑模块、红外代码管理、编译、监视等。</w:t>
            </w:r>
          </w:p>
          <w:p w14:paraId="12FBBA85">
            <w:pPr>
              <w:jc w:val="left"/>
              <w:rPr>
                <w:rFonts w:ascii="宋体" w:hAnsi="宋体" w:cs="宋体"/>
                <w:color w:val="auto"/>
                <w:szCs w:val="21"/>
                <w:highlight w:val="none"/>
              </w:rPr>
            </w:pPr>
            <w:r>
              <w:rPr>
                <w:rFonts w:hint="eastAsia" w:ascii="宋体" w:hAnsi="宋体" w:cs="宋体"/>
                <w:color w:val="auto"/>
                <w:szCs w:val="21"/>
                <w:highlight w:val="none"/>
              </w:rPr>
              <w:t>3.编程软件支持添加与实际工程对应硬件的逻辑模块。</w:t>
            </w:r>
          </w:p>
          <w:p w14:paraId="4E046FB9">
            <w:pPr>
              <w:jc w:val="left"/>
              <w:rPr>
                <w:rFonts w:ascii="宋体" w:hAnsi="宋体" w:cs="宋体"/>
                <w:color w:val="auto"/>
                <w:szCs w:val="21"/>
                <w:highlight w:val="none"/>
              </w:rPr>
            </w:pPr>
            <w:r>
              <w:rPr>
                <w:rFonts w:hint="eastAsia" w:ascii="宋体" w:hAnsi="宋体" w:cs="宋体"/>
                <w:color w:val="auto"/>
                <w:szCs w:val="21"/>
                <w:highlight w:val="none"/>
              </w:rPr>
              <w:t>4.实现串口代码数据、IR红外数据、继电器、I/O数据等的代码转发、逻辑算法处理等编程功能。</w:t>
            </w:r>
          </w:p>
          <w:p w14:paraId="33034261">
            <w:pPr>
              <w:jc w:val="left"/>
              <w:rPr>
                <w:rFonts w:ascii="宋体" w:hAnsi="宋体" w:cs="宋体"/>
                <w:color w:val="auto"/>
                <w:szCs w:val="21"/>
                <w:highlight w:val="none"/>
              </w:rPr>
            </w:pPr>
            <w:r>
              <w:rPr>
                <w:rFonts w:hint="eastAsia" w:ascii="宋体" w:hAnsi="宋体" w:cs="宋体"/>
                <w:color w:val="auto"/>
                <w:szCs w:val="21"/>
                <w:highlight w:val="none"/>
              </w:rPr>
              <w:t>5.支持界面设计软件实现中控控制界面的制作及编辑。</w:t>
            </w:r>
          </w:p>
        </w:tc>
      </w:tr>
      <w:tr w14:paraId="452268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jc w:val="center"/>
        </w:trPr>
        <w:tc>
          <w:tcPr>
            <w:tcW w:w="659" w:type="dxa"/>
            <w:shd w:val="clear" w:color="auto" w:fill="auto"/>
            <w:vAlign w:val="center"/>
          </w:tcPr>
          <w:p w14:paraId="383DAE21">
            <w:pPr>
              <w:jc w:val="center"/>
              <w:rPr>
                <w:rFonts w:ascii="宋体" w:hAnsi="宋体" w:cs="宋体"/>
                <w:color w:val="auto"/>
                <w:szCs w:val="21"/>
                <w:highlight w:val="none"/>
              </w:rPr>
            </w:pPr>
            <w:r>
              <w:rPr>
                <w:rFonts w:hint="eastAsia" w:ascii="宋体" w:hAnsi="宋体" w:cs="宋体"/>
                <w:color w:val="auto"/>
                <w:szCs w:val="21"/>
                <w:highlight w:val="none"/>
              </w:rPr>
              <w:t>1.3</w:t>
            </w:r>
          </w:p>
        </w:tc>
        <w:tc>
          <w:tcPr>
            <w:tcW w:w="1148" w:type="dxa"/>
            <w:shd w:val="clear" w:color="auto" w:fill="auto"/>
            <w:vAlign w:val="center"/>
          </w:tcPr>
          <w:p w14:paraId="4BD03D2E">
            <w:pPr>
              <w:jc w:val="center"/>
              <w:rPr>
                <w:rFonts w:ascii="宋体" w:hAnsi="宋体" w:cs="宋体"/>
                <w:color w:val="auto"/>
                <w:szCs w:val="21"/>
                <w:highlight w:val="none"/>
              </w:rPr>
            </w:pPr>
            <w:r>
              <w:rPr>
                <w:rFonts w:hint="eastAsia" w:ascii="宋体" w:hAnsi="宋体" w:cs="宋体"/>
                <w:color w:val="auto"/>
                <w:szCs w:val="21"/>
                <w:highlight w:val="none"/>
              </w:rPr>
              <w:t>控制器</w:t>
            </w:r>
          </w:p>
        </w:tc>
        <w:tc>
          <w:tcPr>
            <w:tcW w:w="961" w:type="dxa"/>
            <w:shd w:val="clear" w:color="auto" w:fill="auto"/>
            <w:vAlign w:val="center"/>
          </w:tcPr>
          <w:p w14:paraId="39E37C9F">
            <w:pPr>
              <w:jc w:val="center"/>
              <w:rPr>
                <w:rFonts w:ascii="宋体" w:hAnsi="宋体" w:cs="宋体"/>
                <w:color w:val="auto"/>
                <w:szCs w:val="21"/>
                <w:highlight w:val="none"/>
              </w:rPr>
            </w:pPr>
            <w:r>
              <w:rPr>
                <w:rFonts w:hint="eastAsia" w:ascii="宋体" w:hAnsi="宋体" w:cs="宋体"/>
                <w:color w:val="auto"/>
                <w:szCs w:val="21"/>
                <w:highlight w:val="none"/>
              </w:rPr>
              <w:t>2个</w:t>
            </w:r>
          </w:p>
        </w:tc>
        <w:tc>
          <w:tcPr>
            <w:tcW w:w="701" w:type="dxa"/>
            <w:tcBorders>
              <w:right w:val="single" w:color="auto" w:sz="4" w:space="0"/>
            </w:tcBorders>
            <w:shd w:val="clear" w:color="auto" w:fill="auto"/>
            <w:vAlign w:val="center"/>
          </w:tcPr>
          <w:p w14:paraId="220EEA0C">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工业</w:t>
            </w:r>
          </w:p>
        </w:tc>
        <w:tc>
          <w:tcPr>
            <w:tcW w:w="6527" w:type="dxa"/>
            <w:tcBorders>
              <w:left w:val="single" w:color="auto" w:sz="4" w:space="0"/>
              <w:right w:val="single" w:color="auto" w:sz="4" w:space="0"/>
            </w:tcBorders>
            <w:shd w:val="clear" w:color="auto" w:fill="auto"/>
          </w:tcPr>
          <w:p w14:paraId="0D74D1A1">
            <w:pPr>
              <w:jc w:val="left"/>
              <w:rPr>
                <w:rFonts w:ascii="宋体" w:hAnsi="宋体" w:cs="宋体"/>
                <w:color w:val="auto"/>
                <w:szCs w:val="21"/>
                <w:highlight w:val="none"/>
              </w:rPr>
            </w:pPr>
            <w:r>
              <w:rPr>
                <w:rFonts w:hint="eastAsia" w:ascii="宋体" w:hAnsi="宋体" w:cs="宋体"/>
                <w:color w:val="auto"/>
                <w:szCs w:val="21"/>
                <w:highlight w:val="none"/>
              </w:rPr>
              <w:t>▲1.采用导轨式安装设计，自带≥9个物理按键可对设备工作模式进行设置，满足不同客户使用需求。（投标时须提供佐证材料证明满足该功能，佐证材料包含但不限于经国家认可的第三方认证（检测）机构出具的带有CMA或CNAS标志的检测报告复印件或官网截图或彩页或功能截图，除检测报告外，其他佐证材料均需加盖原厂公章。）</w:t>
            </w:r>
          </w:p>
          <w:p w14:paraId="420FE213">
            <w:pPr>
              <w:jc w:val="left"/>
              <w:rPr>
                <w:rFonts w:ascii="宋体" w:hAnsi="宋体" w:cs="宋体"/>
                <w:color w:val="auto"/>
                <w:szCs w:val="21"/>
                <w:highlight w:val="none"/>
              </w:rPr>
            </w:pPr>
            <w:r>
              <w:rPr>
                <w:rFonts w:hint="eastAsia" w:ascii="宋体" w:hAnsi="宋体" w:cs="宋体"/>
                <w:color w:val="auto"/>
                <w:szCs w:val="21"/>
                <w:highlight w:val="none"/>
              </w:rPr>
              <w:t>2.具有≥8路独立电源开关控制，单路电流支持≥16A。</w:t>
            </w:r>
          </w:p>
          <w:p w14:paraId="7D455DE8">
            <w:pPr>
              <w:jc w:val="left"/>
              <w:rPr>
                <w:rFonts w:ascii="宋体" w:hAnsi="宋体" w:cs="宋体"/>
                <w:color w:val="auto"/>
                <w:szCs w:val="21"/>
                <w:highlight w:val="none"/>
              </w:rPr>
            </w:pPr>
            <w:r>
              <w:rPr>
                <w:rFonts w:hint="eastAsia" w:ascii="宋体" w:hAnsi="宋体" w:cs="宋体"/>
                <w:color w:val="auto"/>
                <w:szCs w:val="21"/>
                <w:highlight w:val="none"/>
              </w:rPr>
              <w:t>3.自带数码管显示屏可显示设备设置以及运行状态。</w:t>
            </w:r>
          </w:p>
          <w:p w14:paraId="21368245">
            <w:pPr>
              <w:jc w:val="left"/>
              <w:rPr>
                <w:rFonts w:ascii="宋体" w:hAnsi="宋体" w:cs="宋体"/>
                <w:color w:val="auto"/>
                <w:szCs w:val="21"/>
                <w:highlight w:val="none"/>
              </w:rPr>
            </w:pPr>
            <w:r>
              <w:rPr>
                <w:rFonts w:hint="eastAsia" w:ascii="宋体" w:hAnsi="宋体" w:cs="宋体"/>
                <w:color w:val="auto"/>
                <w:szCs w:val="21"/>
                <w:highlight w:val="none"/>
              </w:rPr>
              <w:t>4.支持手动控制，紧急情况下可以手动控制继电器的开关。</w:t>
            </w:r>
          </w:p>
          <w:p w14:paraId="24F20DFF">
            <w:pPr>
              <w:jc w:val="left"/>
              <w:rPr>
                <w:rFonts w:ascii="宋体" w:hAnsi="宋体" w:cs="宋体"/>
                <w:color w:val="auto"/>
                <w:szCs w:val="21"/>
                <w:highlight w:val="none"/>
              </w:rPr>
            </w:pPr>
            <w:r>
              <w:rPr>
                <w:rFonts w:hint="eastAsia" w:ascii="宋体" w:hAnsi="宋体" w:cs="宋体"/>
                <w:color w:val="auto"/>
                <w:szCs w:val="21"/>
                <w:highlight w:val="none"/>
              </w:rPr>
              <w:t>5.支持三种上电模式。模块上电时，可设置所有输出回路打开、所有输出回路关闭或者保持上次断电时工作状态。</w:t>
            </w:r>
          </w:p>
          <w:p w14:paraId="1C175FE3">
            <w:pPr>
              <w:jc w:val="left"/>
              <w:rPr>
                <w:rFonts w:ascii="宋体" w:hAnsi="宋体" w:cs="宋体"/>
                <w:color w:val="auto"/>
                <w:szCs w:val="21"/>
                <w:highlight w:val="none"/>
              </w:rPr>
            </w:pPr>
            <w:r>
              <w:rPr>
                <w:rFonts w:hint="eastAsia" w:ascii="宋体" w:hAnsi="宋体" w:cs="宋体"/>
                <w:color w:val="auto"/>
                <w:szCs w:val="21"/>
                <w:highlight w:val="none"/>
              </w:rPr>
              <w:t>6.具有消防24V电压强启和强切功能。当消防24V电压输入时，可设置模块全部回路开启或断开。</w:t>
            </w:r>
          </w:p>
          <w:p w14:paraId="0C486A08">
            <w:pPr>
              <w:jc w:val="left"/>
              <w:rPr>
                <w:rFonts w:ascii="宋体" w:hAnsi="宋体" w:cs="宋体"/>
                <w:color w:val="auto"/>
                <w:szCs w:val="21"/>
                <w:highlight w:val="none"/>
              </w:rPr>
            </w:pPr>
            <w:r>
              <w:rPr>
                <w:rFonts w:hint="eastAsia" w:ascii="宋体" w:hAnsi="宋体" w:cs="宋体"/>
                <w:color w:val="auto"/>
                <w:szCs w:val="21"/>
                <w:highlight w:val="none"/>
              </w:rPr>
              <w:t>7.支持延时设置功能。设置全开或全关时每个回路之间的开启或关闭间隔时间，最短为≤0.1秒，最长≤2秒。</w:t>
            </w:r>
          </w:p>
        </w:tc>
      </w:tr>
      <w:tr w14:paraId="50938E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jc w:val="center"/>
        </w:trPr>
        <w:tc>
          <w:tcPr>
            <w:tcW w:w="9996" w:type="dxa"/>
            <w:gridSpan w:val="5"/>
            <w:tcBorders>
              <w:right w:val="single" w:color="auto" w:sz="4" w:space="0"/>
            </w:tcBorders>
            <w:shd w:val="clear" w:color="auto" w:fill="auto"/>
            <w:vAlign w:val="center"/>
          </w:tcPr>
          <w:p w14:paraId="2C822C9B">
            <w:pPr>
              <w:jc w:val="left"/>
              <w:rPr>
                <w:rFonts w:ascii="宋体" w:hAnsi="宋体" w:cs="宋体"/>
                <w:color w:val="auto"/>
                <w:szCs w:val="21"/>
                <w:highlight w:val="none"/>
              </w:rPr>
            </w:pPr>
            <w:r>
              <w:rPr>
                <w:rFonts w:hint="eastAsia" w:ascii="宋体" w:hAnsi="宋体" w:cs="宋体"/>
                <w:b/>
                <w:bCs/>
                <w:color w:val="auto"/>
                <w:szCs w:val="21"/>
                <w:highlight w:val="none"/>
              </w:rPr>
              <w:t>2.分布式系统集中控制设备</w:t>
            </w:r>
          </w:p>
        </w:tc>
      </w:tr>
      <w:tr w14:paraId="3AF748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jc w:val="center"/>
        </w:trPr>
        <w:tc>
          <w:tcPr>
            <w:tcW w:w="659" w:type="dxa"/>
            <w:shd w:val="clear" w:color="auto" w:fill="auto"/>
            <w:vAlign w:val="center"/>
          </w:tcPr>
          <w:p w14:paraId="1A091C42">
            <w:pPr>
              <w:jc w:val="center"/>
              <w:rPr>
                <w:rFonts w:ascii="宋体" w:hAnsi="宋体" w:cs="宋体"/>
                <w:color w:val="auto"/>
                <w:szCs w:val="21"/>
                <w:highlight w:val="none"/>
              </w:rPr>
            </w:pPr>
            <w:r>
              <w:rPr>
                <w:rFonts w:hint="eastAsia" w:ascii="宋体" w:hAnsi="宋体" w:cs="宋体"/>
                <w:color w:val="auto"/>
                <w:szCs w:val="21"/>
                <w:highlight w:val="none"/>
              </w:rPr>
              <w:t>2.1</w:t>
            </w:r>
          </w:p>
        </w:tc>
        <w:tc>
          <w:tcPr>
            <w:tcW w:w="1148" w:type="dxa"/>
            <w:shd w:val="clear" w:color="auto" w:fill="auto"/>
            <w:vAlign w:val="center"/>
          </w:tcPr>
          <w:p w14:paraId="69BA0CC1">
            <w:pPr>
              <w:jc w:val="center"/>
              <w:rPr>
                <w:rFonts w:ascii="宋体" w:hAnsi="宋体" w:cs="宋体"/>
                <w:color w:val="auto"/>
                <w:szCs w:val="21"/>
                <w:highlight w:val="none"/>
              </w:rPr>
            </w:pPr>
            <w:r>
              <w:rPr>
                <w:rFonts w:hint="eastAsia" w:ascii="宋体" w:hAnsi="宋体" w:cs="宋体"/>
                <w:color w:val="auto"/>
                <w:szCs w:val="21"/>
                <w:highlight w:val="none"/>
              </w:rPr>
              <w:t>触摸屏</w:t>
            </w:r>
          </w:p>
        </w:tc>
        <w:tc>
          <w:tcPr>
            <w:tcW w:w="961" w:type="dxa"/>
            <w:shd w:val="clear" w:color="auto" w:fill="auto"/>
            <w:vAlign w:val="center"/>
          </w:tcPr>
          <w:p w14:paraId="31EFEABB">
            <w:pPr>
              <w:jc w:val="center"/>
              <w:rPr>
                <w:rFonts w:ascii="宋体" w:hAnsi="宋体" w:cs="宋体"/>
                <w:color w:val="auto"/>
                <w:szCs w:val="21"/>
                <w:highlight w:val="none"/>
              </w:rPr>
            </w:pPr>
            <w:r>
              <w:rPr>
                <w:rFonts w:hint="eastAsia" w:ascii="宋体" w:hAnsi="宋体" w:cs="宋体"/>
                <w:color w:val="auto"/>
                <w:szCs w:val="21"/>
                <w:highlight w:val="none"/>
              </w:rPr>
              <w:t>1台</w:t>
            </w:r>
          </w:p>
        </w:tc>
        <w:tc>
          <w:tcPr>
            <w:tcW w:w="701" w:type="dxa"/>
            <w:tcBorders>
              <w:right w:val="single" w:color="auto" w:sz="4" w:space="0"/>
            </w:tcBorders>
            <w:shd w:val="clear" w:color="auto" w:fill="auto"/>
            <w:vAlign w:val="center"/>
          </w:tcPr>
          <w:p w14:paraId="297115D7">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工业</w:t>
            </w:r>
          </w:p>
        </w:tc>
        <w:tc>
          <w:tcPr>
            <w:tcW w:w="6527" w:type="dxa"/>
            <w:tcBorders>
              <w:left w:val="single" w:color="auto" w:sz="4" w:space="0"/>
              <w:right w:val="single" w:color="auto" w:sz="4" w:space="0"/>
            </w:tcBorders>
            <w:shd w:val="clear" w:color="auto" w:fill="auto"/>
          </w:tcPr>
          <w:p w14:paraId="61F3DF16">
            <w:pPr>
              <w:jc w:val="left"/>
              <w:rPr>
                <w:rFonts w:ascii="宋体" w:hAnsi="宋体" w:cs="宋体"/>
                <w:color w:val="auto"/>
                <w:szCs w:val="21"/>
                <w:highlight w:val="none"/>
              </w:rPr>
            </w:pPr>
            <w:r>
              <w:rPr>
                <w:rFonts w:hint="eastAsia" w:ascii="宋体" w:hAnsi="宋体" w:cs="宋体"/>
                <w:color w:val="auto"/>
                <w:szCs w:val="21"/>
                <w:highlight w:val="none"/>
              </w:rPr>
              <w:t>1.设备采用Android等操作系统，显示屏≥10.1 英寸，显示画面≥1920×1200分辨率，显示屏支持≥十点触控。</w:t>
            </w:r>
          </w:p>
          <w:p w14:paraId="0E4B4BAA">
            <w:pPr>
              <w:jc w:val="left"/>
              <w:rPr>
                <w:rFonts w:ascii="宋体" w:hAnsi="宋体" w:cs="宋体"/>
                <w:color w:val="auto"/>
                <w:szCs w:val="21"/>
                <w:highlight w:val="none"/>
              </w:rPr>
            </w:pPr>
            <w:r>
              <w:rPr>
                <w:rFonts w:hint="eastAsia" w:ascii="宋体" w:hAnsi="宋体" w:cs="宋体"/>
                <w:color w:val="auto"/>
                <w:szCs w:val="21"/>
                <w:highlight w:val="none"/>
              </w:rPr>
              <w:t>2.具备前置≥500万像素的摄像头，并具有物理隐私拨片，滑动可遮挡摄像头。</w:t>
            </w:r>
          </w:p>
          <w:p w14:paraId="7BB23E2F">
            <w:pPr>
              <w:jc w:val="left"/>
              <w:rPr>
                <w:rFonts w:ascii="宋体" w:hAnsi="宋体" w:cs="宋体"/>
                <w:color w:val="auto"/>
                <w:szCs w:val="21"/>
                <w:highlight w:val="none"/>
              </w:rPr>
            </w:pPr>
            <w:r>
              <w:rPr>
                <w:rFonts w:hint="eastAsia" w:ascii="宋体" w:hAnsi="宋体" w:cs="宋体"/>
                <w:color w:val="auto"/>
                <w:szCs w:val="21"/>
                <w:highlight w:val="none"/>
              </w:rPr>
              <w:t>3.支持自由操控，支持拖曳视频源到显示控制区域，可实现所有视频信号源的视窗管理、拼接、任意缩放、画中画、画面漫游等功能，可实现对视窗参数的调整（叠加关系、位置、大小、比例等），可打开或关闭拼墙回显视频画面，支持调整拼墙声音输出的音量大小。</w:t>
            </w:r>
          </w:p>
          <w:p w14:paraId="645410E5">
            <w:pPr>
              <w:jc w:val="left"/>
              <w:rPr>
                <w:rFonts w:ascii="宋体" w:hAnsi="宋体" w:cs="宋体"/>
                <w:color w:val="auto"/>
                <w:szCs w:val="21"/>
                <w:highlight w:val="none"/>
              </w:rPr>
            </w:pPr>
            <w:r>
              <w:rPr>
                <w:rFonts w:hint="eastAsia" w:ascii="宋体" w:hAnsi="宋体" w:cs="宋体"/>
                <w:color w:val="auto"/>
                <w:szCs w:val="21"/>
                <w:highlight w:val="none"/>
              </w:rPr>
              <w:t>4.支持分组显示拼墙列表，选中拼墙时，自动回显该拼墙的画面内容，可拼墙进行调整画面布局、开窗、关窗、切换场景、锁定或解锁布局等操作，开窗模式具有自由模式、固化模式、两点模式。</w:t>
            </w:r>
          </w:p>
          <w:p w14:paraId="61180E97">
            <w:pPr>
              <w:jc w:val="left"/>
              <w:rPr>
                <w:rFonts w:ascii="宋体" w:hAnsi="宋体" w:cs="宋体"/>
                <w:color w:val="auto"/>
                <w:szCs w:val="21"/>
                <w:highlight w:val="none"/>
              </w:rPr>
            </w:pPr>
            <w:r>
              <w:rPr>
                <w:rFonts w:hint="eastAsia" w:ascii="宋体" w:hAnsi="宋体" w:cs="宋体"/>
                <w:color w:val="auto"/>
                <w:szCs w:val="21"/>
                <w:highlight w:val="none"/>
              </w:rPr>
              <w:t>5.支持虚拟KVM功能，可全屏显示信号源的画面，对信号源进行点击、滑动等操作，实现对PPT、视频播放等的控制。</w:t>
            </w:r>
          </w:p>
          <w:p w14:paraId="33FD9EA1">
            <w:pPr>
              <w:jc w:val="left"/>
              <w:rPr>
                <w:rFonts w:ascii="宋体" w:hAnsi="宋体" w:cs="宋体"/>
                <w:color w:val="auto"/>
                <w:szCs w:val="21"/>
                <w:highlight w:val="none"/>
              </w:rPr>
            </w:pPr>
            <w:r>
              <w:rPr>
                <w:rFonts w:hint="eastAsia" w:ascii="宋体" w:hAnsi="宋体" w:cs="宋体"/>
                <w:color w:val="auto"/>
                <w:szCs w:val="21"/>
                <w:highlight w:val="none"/>
              </w:rPr>
              <w:t>6.支持信号源可视化预览，实时显示输入盒信号源图像，支持搜索信号源；具备布局切换功能，可选择≥6种不同样式布局模板。</w:t>
            </w:r>
          </w:p>
          <w:p w14:paraId="74256D14">
            <w:pPr>
              <w:jc w:val="left"/>
              <w:rPr>
                <w:rFonts w:ascii="宋体" w:hAnsi="宋体" w:cs="宋体"/>
                <w:color w:val="auto"/>
                <w:szCs w:val="21"/>
                <w:highlight w:val="none"/>
              </w:rPr>
            </w:pPr>
            <w:r>
              <w:rPr>
                <w:rFonts w:hint="eastAsia" w:ascii="宋体" w:hAnsi="宋体" w:cs="宋体"/>
                <w:color w:val="auto"/>
                <w:szCs w:val="21"/>
                <w:highlight w:val="none"/>
              </w:rPr>
              <w:t>7.支持对输入信号进行标注，支持自由画线、直线、箭头、方形、圆形、三角形等标注形态，可设置标注线条粗细、线条颜色，可撤销或还原批注操作，可通过橡皮擦框选删除标注或全部删除。</w:t>
            </w:r>
          </w:p>
          <w:p w14:paraId="02CA3DA1">
            <w:pPr>
              <w:jc w:val="left"/>
              <w:rPr>
                <w:rFonts w:ascii="宋体" w:hAnsi="宋体" w:cs="宋体"/>
                <w:color w:val="auto"/>
                <w:szCs w:val="21"/>
                <w:highlight w:val="none"/>
              </w:rPr>
            </w:pPr>
            <w:r>
              <w:rPr>
                <w:rFonts w:hint="eastAsia" w:ascii="宋体" w:hAnsi="宋体" w:cs="宋体"/>
                <w:color w:val="auto"/>
                <w:szCs w:val="21"/>
                <w:highlight w:val="none"/>
              </w:rPr>
              <w:t>8.具有距离传感器，支持感应人体位置，实现人来亮屏功能；具有光感传感器，支持采集周边环境光线亮度值并可将数值实时显示；具有温湿度传感器，支持采集周边温湿度环境并可将数值实时显示。</w:t>
            </w:r>
          </w:p>
          <w:p w14:paraId="0A4B49F5">
            <w:pPr>
              <w:jc w:val="left"/>
              <w:rPr>
                <w:rFonts w:ascii="宋体" w:hAnsi="宋体" w:cs="宋体"/>
                <w:color w:val="auto"/>
                <w:szCs w:val="21"/>
                <w:highlight w:val="none"/>
              </w:rPr>
            </w:pPr>
            <w:r>
              <w:rPr>
                <w:rFonts w:hint="eastAsia" w:ascii="宋体" w:hAnsi="宋体" w:cs="宋体"/>
                <w:color w:val="auto"/>
                <w:szCs w:val="21"/>
                <w:highlight w:val="none"/>
              </w:rPr>
              <w:t>▲9.内置≥4个拾音麦，拾音距离≥5米，并支持拓展普通话语音控制功能，可实现语音控制信号源的开窗、切换信号源、场景布局、空调温度、音响音量、窗帘开闭、灯光开关、摄像头动作、中控场景切换等功能。（投标时须提供佐证材料证明满足该功能，佐证材料包含但不限于经国家认可的第三方认证（检测）机构出具的带有CMA或CNAS标志的检测报告复印件或官网截图或彩页或功能截图，除检测报告外，其他佐证材料均需加盖原厂公章。）</w:t>
            </w:r>
          </w:p>
        </w:tc>
      </w:tr>
      <w:tr w14:paraId="41CC8A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jc w:val="center"/>
        </w:trPr>
        <w:tc>
          <w:tcPr>
            <w:tcW w:w="659" w:type="dxa"/>
            <w:shd w:val="clear" w:color="auto" w:fill="auto"/>
            <w:vAlign w:val="center"/>
          </w:tcPr>
          <w:p w14:paraId="5EF2330C">
            <w:pPr>
              <w:jc w:val="center"/>
              <w:rPr>
                <w:rFonts w:ascii="宋体" w:hAnsi="宋体" w:cs="宋体"/>
                <w:color w:val="auto"/>
                <w:szCs w:val="21"/>
                <w:highlight w:val="none"/>
              </w:rPr>
            </w:pPr>
            <w:r>
              <w:rPr>
                <w:rFonts w:hint="eastAsia" w:ascii="宋体" w:hAnsi="宋体" w:cs="宋体"/>
                <w:color w:val="auto"/>
                <w:szCs w:val="21"/>
                <w:highlight w:val="none"/>
              </w:rPr>
              <w:t>2.2</w:t>
            </w:r>
          </w:p>
        </w:tc>
        <w:tc>
          <w:tcPr>
            <w:tcW w:w="1148" w:type="dxa"/>
            <w:shd w:val="clear" w:color="auto" w:fill="auto"/>
            <w:vAlign w:val="center"/>
          </w:tcPr>
          <w:p w14:paraId="53813E93">
            <w:pPr>
              <w:jc w:val="center"/>
              <w:rPr>
                <w:rFonts w:ascii="宋体" w:hAnsi="宋体" w:cs="宋体"/>
                <w:color w:val="auto"/>
                <w:szCs w:val="21"/>
                <w:highlight w:val="none"/>
              </w:rPr>
            </w:pPr>
            <w:r>
              <w:rPr>
                <w:rFonts w:hint="eastAsia" w:ascii="宋体" w:hAnsi="宋体" w:cs="宋体"/>
                <w:color w:val="auto"/>
                <w:szCs w:val="21"/>
                <w:highlight w:val="none"/>
              </w:rPr>
              <w:t>新中控编辑软件</w:t>
            </w:r>
          </w:p>
        </w:tc>
        <w:tc>
          <w:tcPr>
            <w:tcW w:w="961" w:type="dxa"/>
            <w:shd w:val="clear" w:color="auto" w:fill="auto"/>
            <w:vAlign w:val="center"/>
          </w:tcPr>
          <w:p w14:paraId="22C500F4">
            <w:pPr>
              <w:jc w:val="center"/>
              <w:rPr>
                <w:rFonts w:ascii="宋体" w:hAnsi="宋体" w:cs="宋体"/>
                <w:color w:val="auto"/>
                <w:szCs w:val="21"/>
                <w:highlight w:val="none"/>
              </w:rPr>
            </w:pPr>
            <w:r>
              <w:rPr>
                <w:rFonts w:hint="eastAsia" w:ascii="宋体" w:hAnsi="宋体" w:cs="宋体"/>
                <w:color w:val="auto"/>
                <w:szCs w:val="21"/>
                <w:highlight w:val="none"/>
              </w:rPr>
              <w:t>1套</w:t>
            </w:r>
          </w:p>
        </w:tc>
        <w:tc>
          <w:tcPr>
            <w:tcW w:w="701" w:type="dxa"/>
            <w:tcBorders>
              <w:right w:val="single" w:color="auto" w:sz="4" w:space="0"/>
            </w:tcBorders>
            <w:shd w:val="clear" w:color="auto" w:fill="auto"/>
            <w:vAlign w:val="center"/>
          </w:tcPr>
          <w:p w14:paraId="47F66273">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w:t>
            </w:r>
          </w:p>
        </w:tc>
        <w:tc>
          <w:tcPr>
            <w:tcW w:w="6527" w:type="dxa"/>
            <w:tcBorders>
              <w:left w:val="single" w:color="auto" w:sz="4" w:space="0"/>
              <w:right w:val="single" w:color="auto" w:sz="4" w:space="0"/>
            </w:tcBorders>
            <w:shd w:val="clear" w:color="auto" w:fill="auto"/>
          </w:tcPr>
          <w:p w14:paraId="757064F0">
            <w:pPr>
              <w:jc w:val="left"/>
              <w:rPr>
                <w:rFonts w:ascii="宋体" w:hAnsi="宋体" w:cs="宋体"/>
                <w:color w:val="auto"/>
                <w:szCs w:val="21"/>
                <w:highlight w:val="none"/>
              </w:rPr>
            </w:pPr>
            <w:r>
              <w:rPr>
                <w:rFonts w:hint="eastAsia" w:ascii="宋体" w:hAnsi="宋体" w:cs="宋体"/>
                <w:color w:val="auto"/>
                <w:szCs w:val="21"/>
                <w:highlight w:val="none"/>
              </w:rPr>
              <w:t>1.软件内嵌于中央控制系统触控设备，实现系统控制逻辑、处理等功能。</w:t>
            </w:r>
          </w:p>
          <w:p w14:paraId="4EAC938D">
            <w:pPr>
              <w:jc w:val="left"/>
              <w:rPr>
                <w:rFonts w:ascii="宋体" w:hAnsi="宋体" w:cs="宋体"/>
                <w:color w:val="auto"/>
                <w:szCs w:val="21"/>
                <w:highlight w:val="none"/>
              </w:rPr>
            </w:pPr>
            <w:r>
              <w:rPr>
                <w:rFonts w:hint="eastAsia" w:ascii="宋体" w:hAnsi="宋体" w:cs="宋体"/>
                <w:color w:val="auto"/>
                <w:szCs w:val="21"/>
                <w:highlight w:val="none"/>
              </w:rPr>
              <w:t>2.支持编程图片、图形、文字、按键等更具人性化的界面。</w:t>
            </w:r>
          </w:p>
          <w:p w14:paraId="030B8159">
            <w:pPr>
              <w:jc w:val="left"/>
              <w:rPr>
                <w:rFonts w:ascii="宋体" w:hAnsi="宋体" w:cs="宋体"/>
                <w:color w:val="auto"/>
                <w:szCs w:val="21"/>
                <w:highlight w:val="none"/>
              </w:rPr>
            </w:pPr>
            <w:r>
              <w:rPr>
                <w:rFonts w:hint="eastAsia" w:ascii="宋体" w:hAnsi="宋体" w:cs="宋体"/>
                <w:color w:val="auto"/>
                <w:szCs w:val="21"/>
                <w:highlight w:val="none"/>
              </w:rPr>
              <w:t>3.软件界面简单清晰、操作方便。</w:t>
            </w:r>
          </w:p>
        </w:tc>
      </w:tr>
      <w:tr w14:paraId="79967C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jc w:val="center"/>
        </w:trPr>
        <w:tc>
          <w:tcPr>
            <w:tcW w:w="659" w:type="dxa"/>
            <w:shd w:val="clear" w:color="auto" w:fill="auto"/>
            <w:vAlign w:val="center"/>
          </w:tcPr>
          <w:p w14:paraId="3CC31A78">
            <w:pPr>
              <w:jc w:val="center"/>
              <w:rPr>
                <w:rFonts w:ascii="宋体" w:hAnsi="宋体" w:cs="宋体"/>
                <w:color w:val="auto"/>
                <w:szCs w:val="21"/>
                <w:highlight w:val="none"/>
              </w:rPr>
            </w:pPr>
            <w:r>
              <w:rPr>
                <w:rFonts w:hint="eastAsia" w:ascii="宋体" w:hAnsi="宋体" w:cs="宋体"/>
                <w:color w:val="auto"/>
                <w:szCs w:val="21"/>
                <w:highlight w:val="none"/>
              </w:rPr>
              <w:t>2.3</w:t>
            </w:r>
          </w:p>
        </w:tc>
        <w:tc>
          <w:tcPr>
            <w:tcW w:w="1148" w:type="dxa"/>
            <w:shd w:val="clear" w:color="auto" w:fill="auto"/>
            <w:vAlign w:val="center"/>
          </w:tcPr>
          <w:p w14:paraId="75E9D0C7">
            <w:pPr>
              <w:jc w:val="center"/>
              <w:rPr>
                <w:rFonts w:ascii="宋体" w:hAnsi="宋体" w:cs="宋体"/>
                <w:color w:val="auto"/>
                <w:szCs w:val="21"/>
                <w:highlight w:val="none"/>
              </w:rPr>
            </w:pPr>
            <w:r>
              <w:rPr>
                <w:rFonts w:hint="eastAsia" w:ascii="宋体" w:hAnsi="宋体" w:cs="宋体"/>
                <w:color w:val="auto"/>
                <w:szCs w:val="21"/>
                <w:highlight w:val="none"/>
              </w:rPr>
              <w:t>分布式系统后台管理设备</w:t>
            </w:r>
          </w:p>
        </w:tc>
        <w:tc>
          <w:tcPr>
            <w:tcW w:w="961" w:type="dxa"/>
            <w:shd w:val="clear" w:color="auto" w:fill="auto"/>
            <w:vAlign w:val="center"/>
          </w:tcPr>
          <w:p w14:paraId="676A8496">
            <w:pPr>
              <w:jc w:val="center"/>
              <w:rPr>
                <w:rFonts w:ascii="宋体" w:hAnsi="宋体" w:cs="宋体"/>
                <w:color w:val="auto"/>
                <w:szCs w:val="21"/>
                <w:highlight w:val="none"/>
              </w:rPr>
            </w:pPr>
            <w:r>
              <w:rPr>
                <w:rFonts w:hint="eastAsia" w:ascii="宋体" w:hAnsi="宋体" w:cs="宋体"/>
                <w:color w:val="auto"/>
                <w:szCs w:val="21"/>
                <w:highlight w:val="none"/>
              </w:rPr>
              <w:t>1台</w:t>
            </w:r>
          </w:p>
        </w:tc>
        <w:tc>
          <w:tcPr>
            <w:tcW w:w="701" w:type="dxa"/>
            <w:tcBorders>
              <w:right w:val="single" w:color="auto" w:sz="4" w:space="0"/>
            </w:tcBorders>
            <w:shd w:val="clear" w:color="auto" w:fill="auto"/>
            <w:vAlign w:val="center"/>
          </w:tcPr>
          <w:p w14:paraId="38714EE4">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工业</w:t>
            </w:r>
          </w:p>
        </w:tc>
        <w:tc>
          <w:tcPr>
            <w:tcW w:w="6527" w:type="dxa"/>
            <w:tcBorders>
              <w:left w:val="single" w:color="auto" w:sz="4" w:space="0"/>
              <w:right w:val="single" w:color="auto" w:sz="4" w:space="0"/>
            </w:tcBorders>
            <w:shd w:val="clear" w:color="auto" w:fill="auto"/>
          </w:tcPr>
          <w:p w14:paraId="7BAE6EF0">
            <w:pPr>
              <w:jc w:val="left"/>
              <w:rPr>
                <w:rFonts w:ascii="宋体" w:hAnsi="宋体" w:cs="宋体"/>
                <w:color w:val="auto"/>
                <w:szCs w:val="21"/>
                <w:highlight w:val="none"/>
              </w:rPr>
            </w:pPr>
            <w:r>
              <w:rPr>
                <w:rFonts w:hint="eastAsia" w:ascii="宋体" w:hAnsi="宋体" w:cs="宋体"/>
                <w:color w:val="auto"/>
                <w:szCs w:val="21"/>
                <w:highlight w:val="none"/>
              </w:rPr>
              <w:t>1.处理器：.核心线程:6核12线程及以上</w:t>
            </w:r>
          </w:p>
          <w:p w14:paraId="34281DA8">
            <w:pPr>
              <w:jc w:val="left"/>
              <w:rPr>
                <w:rFonts w:ascii="宋体" w:hAnsi="宋体" w:cs="宋体"/>
                <w:color w:val="auto"/>
                <w:szCs w:val="21"/>
                <w:highlight w:val="none"/>
              </w:rPr>
            </w:pPr>
            <w:r>
              <w:rPr>
                <w:rFonts w:hint="eastAsia" w:ascii="宋体" w:hAnsi="宋体" w:cs="宋体"/>
                <w:color w:val="auto"/>
                <w:szCs w:val="21"/>
                <w:highlight w:val="none"/>
              </w:rPr>
              <w:t>2.基础主频:2.5GHz及以上</w:t>
            </w:r>
          </w:p>
          <w:p w14:paraId="4F0CEFCB">
            <w:pPr>
              <w:jc w:val="left"/>
              <w:rPr>
                <w:rFonts w:ascii="宋体" w:hAnsi="宋体" w:cs="宋体"/>
                <w:color w:val="auto"/>
                <w:szCs w:val="21"/>
                <w:highlight w:val="none"/>
              </w:rPr>
            </w:pPr>
            <w:r>
              <w:rPr>
                <w:rFonts w:hint="eastAsia" w:ascii="宋体" w:hAnsi="宋体" w:cs="宋体"/>
                <w:color w:val="auto"/>
                <w:szCs w:val="21"/>
                <w:highlight w:val="none"/>
              </w:rPr>
              <w:t>3.加速主频:4.0GHz及以上</w:t>
            </w:r>
          </w:p>
          <w:p w14:paraId="0DE9C094">
            <w:pPr>
              <w:jc w:val="left"/>
              <w:rPr>
                <w:rFonts w:ascii="宋体" w:hAnsi="宋体" w:cs="宋体"/>
                <w:color w:val="auto"/>
                <w:szCs w:val="21"/>
                <w:highlight w:val="none"/>
              </w:rPr>
            </w:pPr>
            <w:r>
              <w:rPr>
                <w:rFonts w:hint="eastAsia" w:ascii="宋体" w:hAnsi="宋体" w:cs="宋体"/>
                <w:color w:val="auto"/>
                <w:szCs w:val="21"/>
                <w:highlight w:val="none"/>
              </w:rPr>
              <w:t>4.三级缓存:12MB及以上</w:t>
            </w:r>
          </w:p>
          <w:p w14:paraId="53BDC9A2">
            <w:pPr>
              <w:jc w:val="left"/>
              <w:rPr>
                <w:rFonts w:ascii="宋体" w:hAnsi="宋体" w:cs="宋体"/>
                <w:color w:val="auto"/>
                <w:szCs w:val="21"/>
                <w:highlight w:val="none"/>
              </w:rPr>
            </w:pPr>
            <w:r>
              <w:rPr>
                <w:rFonts w:hint="eastAsia" w:ascii="宋体" w:hAnsi="宋体" w:cs="宋体"/>
                <w:color w:val="auto"/>
                <w:szCs w:val="21"/>
                <w:highlight w:val="none"/>
              </w:rPr>
              <w:t>5.制程工艺:7nm/10nm 及以上先进工艺</w:t>
            </w:r>
          </w:p>
          <w:p w14:paraId="146E7C23">
            <w:pPr>
              <w:jc w:val="left"/>
              <w:rPr>
                <w:rFonts w:ascii="宋体" w:hAnsi="宋体" w:cs="宋体"/>
                <w:color w:val="auto"/>
                <w:szCs w:val="21"/>
                <w:highlight w:val="none"/>
              </w:rPr>
            </w:pPr>
            <w:r>
              <w:rPr>
                <w:rFonts w:hint="eastAsia" w:ascii="宋体" w:hAnsi="宋体" w:cs="宋体"/>
                <w:color w:val="auto"/>
                <w:szCs w:val="21"/>
                <w:highlight w:val="none"/>
              </w:rPr>
              <w:t>6.内存：≥16G</w:t>
            </w:r>
          </w:p>
          <w:p w14:paraId="5BD13F47">
            <w:pPr>
              <w:jc w:val="left"/>
              <w:rPr>
                <w:rFonts w:ascii="宋体" w:hAnsi="宋体" w:cs="宋体"/>
                <w:color w:val="auto"/>
                <w:szCs w:val="21"/>
                <w:highlight w:val="none"/>
              </w:rPr>
            </w:pPr>
            <w:r>
              <w:rPr>
                <w:rFonts w:hint="eastAsia" w:ascii="宋体" w:hAnsi="宋体" w:cs="宋体"/>
                <w:color w:val="auto"/>
                <w:szCs w:val="21"/>
                <w:highlight w:val="none"/>
              </w:rPr>
              <w:t>7.硬盘：≥1TB SSD</w:t>
            </w:r>
          </w:p>
          <w:p w14:paraId="4815C359">
            <w:pPr>
              <w:jc w:val="left"/>
              <w:rPr>
                <w:rFonts w:ascii="宋体" w:hAnsi="宋体" w:cs="宋体"/>
                <w:color w:val="auto"/>
                <w:szCs w:val="21"/>
                <w:highlight w:val="none"/>
              </w:rPr>
            </w:pPr>
            <w:r>
              <w:rPr>
                <w:rFonts w:hint="eastAsia" w:ascii="宋体" w:hAnsi="宋体" w:cs="宋体"/>
                <w:color w:val="auto"/>
                <w:szCs w:val="21"/>
                <w:highlight w:val="none"/>
              </w:rPr>
              <w:t>8.系统：纯国产操作系统，需适配市面主流软件</w:t>
            </w:r>
          </w:p>
          <w:p w14:paraId="42B52268">
            <w:pPr>
              <w:jc w:val="left"/>
              <w:rPr>
                <w:rFonts w:ascii="宋体" w:hAnsi="宋体" w:cs="宋体"/>
                <w:color w:val="auto"/>
                <w:szCs w:val="21"/>
                <w:highlight w:val="none"/>
              </w:rPr>
            </w:pPr>
            <w:r>
              <w:rPr>
                <w:rFonts w:hint="eastAsia" w:ascii="宋体" w:hAnsi="宋体" w:cs="宋体"/>
                <w:color w:val="auto"/>
                <w:szCs w:val="21"/>
                <w:highlight w:val="none"/>
              </w:rPr>
              <w:t>9.包含尺寸≥21.45英寸显示器及适配支架</w:t>
            </w:r>
          </w:p>
        </w:tc>
      </w:tr>
      <w:tr w14:paraId="5CA174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jc w:val="center"/>
        </w:trPr>
        <w:tc>
          <w:tcPr>
            <w:tcW w:w="659" w:type="dxa"/>
            <w:shd w:val="clear" w:color="auto" w:fill="auto"/>
            <w:vAlign w:val="center"/>
          </w:tcPr>
          <w:p w14:paraId="757632AF">
            <w:pPr>
              <w:jc w:val="center"/>
              <w:rPr>
                <w:rFonts w:ascii="宋体" w:hAnsi="宋体" w:cs="宋体"/>
                <w:color w:val="auto"/>
                <w:szCs w:val="21"/>
                <w:highlight w:val="none"/>
              </w:rPr>
            </w:pPr>
            <w:r>
              <w:rPr>
                <w:rFonts w:hint="eastAsia" w:ascii="宋体" w:hAnsi="宋体" w:cs="宋体"/>
                <w:color w:val="auto"/>
                <w:szCs w:val="21"/>
                <w:highlight w:val="none"/>
              </w:rPr>
              <w:t>2.4</w:t>
            </w:r>
          </w:p>
        </w:tc>
        <w:tc>
          <w:tcPr>
            <w:tcW w:w="1148" w:type="dxa"/>
            <w:shd w:val="clear" w:color="auto" w:fill="auto"/>
            <w:vAlign w:val="center"/>
          </w:tcPr>
          <w:p w14:paraId="0C05DDAE">
            <w:pPr>
              <w:jc w:val="center"/>
              <w:rPr>
                <w:rFonts w:ascii="宋体" w:hAnsi="宋体" w:cs="宋体"/>
                <w:color w:val="auto"/>
                <w:szCs w:val="21"/>
                <w:highlight w:val="none"/>
              </w:rPr>
            </w:pPr>
            <w:r>
              <w:rPr>
                <w:rFonts w:hint="eastAsia" w:ascii="宋体" w:hAnsi="宋体" w:cs="宋体"/>
                <w:color w:val="auto"/>
                <w:szCs w:val="21"/>
                <w:highlight w:val="none"/>
              </w:rPr>
              <w:t>分布式综合管理系统控制软件</w:t>
            </w:r>
          </w:p>
        </w:tc>
        <w:tc>
          <w:tcPr>
            <w:tcW w:w="961" w:type="dxa"/>
            <w:shd w:val="clear" w:color="auto" w:fill="auto"/>
            <w:vAlign w:val="center"/>
          </w:tcPr>
          <w:p w14:paraId="643DDC88">
            <w:pPr>
              <w:jc w:val="center"/>
              <w:rPr>
                <w:rFonts w:ascii="宋体" w:hAnsi="宋体" w:cs="宋体"/>
                <w:color w:val="auto"/>
                <w:szCs w:val="21"/>
                <w:highlight w:val="none"/>
              </w:rPr>
            </w:pPr>
            <w:r>
              <w:rPr>
                <w:rFonts w:hint="eastAsia" w:ascii="宋体" w:hAnsi="宋体" w:cs="宋体"/>
                <w:color w:val="auto"/>
                <w:szCs w:val="21"/>
                <w:highlight w:val="none"/>
              </w:rPr>
              <w:t>1套</w:t>
            </w:r>
          </w:p>
        </w:tc>
        <w:tc>
          <w:tcPr>
            <w:tcW w:w="701" w:type="dxa"/>
            <w:tcBorders>
              <w:right w:val="single" w:color="auto" w:sz="4" w:space="0"/>
            </w:tcBorders>
            <w:shd w:val="clear" w:color="auto" w:fill="auto"/>
            <w:vAlign w:val="center"/>
          </w:tcPr>
          <w:p w14:paraId="084F98F2">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w:t>
            </w:r>
          </w:p>
        </w:tc>
        <w:tc>
          <w:tcPr>
            <w:tcW w:w="6527" w:type="dxa"/>
            <w:tcBorders>
              <w:left w:val="single" w:color="auto" w:sz="4" w:space="0"/>
              <w:right w:val="single" w:color="auto" w:sz="4" w:space="0"/>
            </w:tcBorders>
            <w:shd w:val="clear" w:color="auto" w:fill="auto"/>
          </w:tcPr>
          <w:p w14:paraId="51B8DE6B">
            <w:pPr>
              <w:jc w:val="left"/>
              <w:rPr>
                <w:rFonts w:ascii="宋体" w:hAnsi="宋体" w:cs="宋体"/>
                <w:color w:val="auto"/>
                <w:szCs w:val="21"/>
                <w:highlight w:val="none"/>
              </w:rPr>
            </w:pPr>
            <w:r>
              <w:rPr>
                <w:rFonts w:hint="eastAsia" w:ascii="宋体" w:hAnsi="宋体" w:cs="宋体"/>
                <w:color w:val="auto"/>
                <w:szCs w:val="21"/>
                <w:highlight w:val="none"/>
              </w:rPr>
              <w:t>1.支持自由操控，支持拖曳视频源到显示控制区域，可实现所有视频信号源的视窗管理、拼接、任意缩放、画中画、画面漫游等功能，可实现对视窗参数的调整（叠加关系、位置、大小、比例等），可打开或关闭拼墙回显视频画面，支持调整拼墙声音输出的音量大小；</w:t>
            </w:r>
          </w:p>
          <w:p w14:paraId="7A798EBA">
            <w:pPr>
              <w:jc w:val="left"/>
              <w:rPr>
                <w:rFonts w:ascii="宋体" w:hAnsi="宋体" w:cs="宋体"/>
                <w:color w:val="auto"/>
                <w:szCs w:val="21"/>
                <w:highlight w:val="none"/>
              </w:rPr>
            </w:pPr>
            <w:r>
              <w:rPr>
                <w:rFonts w:hint="eastAsia" w:ascii="宋体" w:hAnsi="宋体" w:cs="宋体"/>
                <w:color w:val="auto"/>
                <w:szCs w:val="21"/>
                <w:highlight w:val="none"/>
              </w:rPr>
              <w:t>2.支持中控功能，切换拼墙后自动显示改拼墙的中控界面，可实现高清矩阵信号切换、电源设备开关、摄像头的转动方向放大缩小及预置位调用、音频音量、灯光/空调开关等中控功能；</w:t>
            </w:r>
          </w:p>
          <w:p w14:paraId="5B9E8EB6">
            <w:pPr>
              <w:jc w:val="left"/>
              <w:rPr>
                <w:rFonts w:ascii="宋体" w:hAnsi="宋体" w:cs="宋体"/>
                <w:color w:val="auto"/>
                <w:szCs w:val="21"/>
                <w:highlight w:val="none"/>
              </w:rPr>
            </w:pPr>
            <w:r>
              <w:rPr>
                <w:rFonts w:hint="eastAsia" w:ascii="宋体" w:hAnsi="宋体" w:cs="宋体"/>
                <w:color w:val="auto"/>
                <w:szCs w:val="21"/>
                <w:highlight w:val="none"/>
              </w:rPr>
              <w:t>3.支持虚拟KVM功能，可全屏显示信号源的画面，对信号源进行点击、滑动等操作，实现对PPT、视频播放等的控制；</w:t>
            </w:r>
          </w:p>
          <w:p w14:paraId="303E616B">
            <w:pPr>
              <w:jc w:val="left"/>
              <w:rPr>
                <w:rFonts w:ascii="宋体" w:hAnsi="宋体" w:cs="宋体"/>
                <w:color w:val="auto"/>
                <w:szCs w:val="21"/>
                <w:highlight w:val="none"/>
              </w:rPr>
            </w:pPr>
            <w:r>
              <w:rPr>
                <w:rFonts w:hint="eastAsia" w:ascii="宋体" w:hAnsi="宋体" w:cs="宋体"/>
                <w:color w:val="auto"/>
                <w:szCs w:val="21"/>
                <w:highlight w:val="none"/>
              </w:rPr>
              <w:t>4.支持信号源可视化预览，实时显示输入盒信号源图像，支持搜索信号源；支持布局切换功能，可选择4种不同样式布局模板；</w:t>
            </w:r>
          </w:p>
          <w:p w14:paraId="243FFC46">
            <w:pPr>
              <w:jc w:val="left"/>
              <w:rPr>
                <w:rFonts w:ascii="宋体" w:hAnsi="宋体" w:cs="宋体"/>
                <w:color w:val="auto"/>
                <w:szCs w:val="21"/>
                <w:highlight w:val="none"/>
              </w:rPr>
            </w:pPr>
            <w:r>
              <w:rPr>
                <w:rFonts w:hint="eastAsia" w:ascii="宋体" w:hAnsi="宋体" w:cs="宋体"/>
                <w:color w:val="auto"/>
                <w:szCs w:val="21"/>
                <w:highlight w:val="none"/>
              </w:rPr>
              <w:t>5.支持分组显示拼墙列表，选中拼墙时，自动回显该拼墙的画面内容，可拼墙进行调整画面布局、开窗、关窗、切换场景、锁定或解锁布局等操作，开窗模式支持自由模式、固化模式、两点模式；</w:t>
            </w:r>
          </w:p>
          <w:p w14:paraId="106EF25A">
            <w:pPr>
              <w:jc w:val="left"/>
              <w:rPr>
                <w:rFonts w:ascii="宋体" w:hAnsi="宋体" w:cs="宋体"/>
                <w:color w:val="auto"/>
                <w:szCs w:val="21"/>
                <w:highlight w:val="none"/>
              </w:rPr>
            </w:pPr>
            <w:r>
              <w:rPr>
                <w:rFonts w:hint="eastAsia" w:ascii="宋体" w:hAnsi="宋体" w:cs="宋体"/>
                <w:color w:val="auto"/>
                <w:szCs w:val="21"/>
                <w:highlight w:val="none"/>
              </w:rPr>
              <w:t>▲6.支持对输入信号进行标注，支持自由画线、直线、箭头、方形、圆形、三角形等标注形态，可设置标注线条粗细、线条颜色，可撤销或还原批注操作，可通过橡皮擦框选删除标注或全部删除。（投标时须提供经国家认可的第三方认证（检测）机构出具的带有CMA或CNAS标志的检测报告复印件。）</w:t>
            </w:r>
          </w:p>
        </w:tc>
      </w:tr>
      <w:tr w14:paraId="1ADB5B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jc w:val="center"/>
        </w:trPr>
        <w:tc>
          <w:tcPr>
            <w:tcW w:w="9996" w:type="dxa"/>
            <w:gridSpan w:val="5"/>
            <w:tcBorders>
              <w:right w:val="single" w:color="auto" w:sz="4" w:space="0"/>
            </w:tcBorders>
            <w:shd w:val="clear" w:color="auto" w:fill="auto"/>
            <w:vAlign w:val="center"/>
          </w:tcPr>
          <w:p w14:paraId="116FCA39">
            <w:pPr>
              <w:jc w:val="left"/>
              <w:rPr>
                <w:rFonts w:ascii="宋体" w:hAnsi="宋体" w:cs="宋体"/>
                <w:color w:val="auto"/>
                <w:szCs w:val="21"/>
                <w:highlight w:val="none"/>
              </w:rPr>
            </w:pPr>
            <w:r>
              <w:rPr>
                <w:rFonts w:hint="eastAsia" w:ascii="宋体" w:hAnsi="宋体" w:cs="宋体"/>
                <w:color w:val="auto"/>
                <w:szCs w:val="21"/>
                <w:highlight w:val="none"/>
              </w:rPr>
              <w:t>3.分布式音视频切换（视频画面上大屏信号切换、与其他会议室音视频互联互通等）</w:t>
            </w:r>
          </w:p>
        </w:tc>
      </w:tr>
      <w:tr w14:paraId="0D7F9E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jc w:val="center"/>
        </w:trPr>
        <w:tc>
          <w:tcPr>
            <w:tcW w:w="659" w:type="dxa"/>
            <w:shd w:val="clear" w:color="auto" w:fill="auto"/>
            <w:vAlign w:val="center"/>
          </w:tcPr>
          <w:p w14:paraId="2CF183BC">
            <w:pPr>
              <w:jc w:val="center"/>
              <w:rPr>
                <w:rFonts w:ascii="宋体" w:hAnsi="宋体" w:cs="宋体"/>
                <w:color w:val="auto"/>
                <w:szCs w:val="21"/>
                <w:highlight w:val="none"/>
              </w:rPr>
            </w:pPr>
            <w:r>
              <w:rPr>
                <w:rFonts w:hint="eastAsia" w:ascii="宋体" w:hAnsi="宋体" w:cs="宋体"/>
                <w:color w:val="auto"/>
                <w:szCs w:val="21"/>
                <w:highlight w:val="none"/>
              </w:rPr>
              <w:t>3.1</w:t>
            </w:r>
          </w:p>
        </w:tc>
        <w:tc>
          <w:tcPr>
            <w:tcW w:w="1148" w:type="dxa"/>
            <w:shd w:val="clear" w:color="auto" w:fill="auto"/>
            <w:vAlign w:val="center"/>
          </w:tcPr>
          <w:p w14:paraId="1A52D9C1">
            <w:pPr>
              <w:jc w:val="center"/>
              <w:rPr>
                <w:rFonts w:ascii="宋体" w:hAnsi="宋体" w:cs="宋体"/>
                <w:color w:val="auto"/>
                <w:szCs w:val="21"/>
                <w:highlight w:val="none"/>
              </w:rPr>
            </w:pPr>
            <w:r>
              <w:rPr>
                <w:rFonts w:hint="eastAsia" w:ascii="宋体" w:hAnsi="宋体" w:cs="宋体"/>
                <w:color w:val="auto"/>
                <w:szCs w:val="21"/>
                <w:highlight w:val="none"/>
              </w:rPr>
              <w:t>AI智慧一体式高清终端</w:t>
            </w:r>
          </w:p>
        </w:tc>
        <w:tc>
          <w:tcPr>
            <w:tcW w:w="961" w:type="dxa"/>
            <w:shd w:val="clear" w:color="auto" w:fill="auto"/>
            <w:vAlign w:val="center"/>
          </w:tcPr>
          <w:p w14:paraId="510390E5">
            <w:pPr>
              <w:jc w:val="center"/>
              <w:rPr>
                <w:rFonts w:ascii="宋体" w:hAnsi="宋体" w:cs="宋体"/>
                <w:color w:val="auto"/>
                <w:szCs w:val="21"/>
                <w:highlight w:val="none"/>
              </w:rPr>
            </w:pPr>
            <w:r>
              <w:rPr>
                <w:rFonts w:hint="eastAsia" w:ascii="宋体" w:hAnsi="宋体" w:cs="宋体"/>
                <w:color w:val="auto"/>
                <w:szCs w:val="21"/>
                <w:highlight w:val="none"/>
              </w:rPr>
              <w:t>3台</w:t>
            </w:r>
          </w:p>
        </w:tc>
        <w:tc>
          <w:tcPr>
            <w:tcW w:w="701" w:type="dxa"/>
            <w:tcBorders>
              <w:right w:val="single" w:color="auto" w:sz="4" w:space="0"/>
            </w:tcBorders>
            <w:shd w:val="clear" w:color="auto" w:fill="auto"/>
            <w:vAlign w:val="center"/>
          </w:tcPr>
          <w:p w14:paraId="23415C19">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工业</w:t>
            </w:r>
          </w:p>
        </w:tc>
        <w:tc>
          <w:tcPr>
            <w:tcW w:w="6527" w:type="dxa"/>
            <w:tcBorders>
              <w:left w:val="single" w:color="auto" w:sz="4" w:space="0"/>
              <w:right w:val="single" w:color="auto" w:sz="4" w:space="0"/>
            </w:tcBorders>
            <w:shd w:val="clear" w:color="auto" w:fill="auto"/>
          </w:tcPr>
          <w:p w14:paraId="4D571897">
            <w:pPr>
              <w:jc w:val="left"/>
              <w:rPr>
                <w:rFonts w:ascii="宋体" w:hAnsi="宋体" w:cs="宋体"/>
                <w:color w:val="auto"/>
                <w:szCs w:val="21"/>
                <w:highlight w:val="none"/>
              </w:rPr>
            </w:pPr>
            <w:r>
              <w:rPr>
                <w:rFonts w:hint="eastAsia" w:ascii="宋体" w:hAnsi="宋体" w:cs="宋体"/>
                <w:color w:val="auto"/>
                <w:szCs w:val="21"/>
                <w:highlight w:val="none"/>
              </w:rPr>
              <w:t>1.终端采用国产芯片、国产自主可控嵌入式linux系统，并且采用输入输出一体化设计，根据需求可任意配置为输入终端、输出终端、KVM输入终端或KVM输出终端。</w:t>
            </w:r>
          </w:p>
          <w:p w14:paraId="02474BAC">
            <w:pPr>
              <w:jc w:val="left"/>
              <w:rPr>
                <w:rFonts w:ascii="宋体" w:hAnsi="宋体" w:cs="宋体"/>
                <w:color w:val="auto"/>
                <w:szCs w:val="21"/>
                <w:highlight w:val="none"/>
              </w:rPr>
            </w:pPr>
            <w:r>
              <w:rPr>
                <w:rFonts w:hint="eastAsia" w:ascii="宋体" w:hAnsi="宋体" w:cs="宋体"/>
                <w:color w:val="auto"/>
                <w:szCs w:val="21"/>
                <w:highlight w:val="none"/>
              </w:rPr>
              <w:t>2.支持国密算法SM2、SM3、SM4对信令和媒体流进行加密传输，确保数据安全可控。</w:t>
            </w:r>
          </w:p>
          <w:p w14:paraId="11977EAE">
            <w:pPr>
              <w:jc w:val="left"/>
              <w:rPr>
                <w:rFonts w:ascii="宋体" w:hAnsi="宋体" w:cs="宋体"/>
                <w:color w:val="auto"/>
                <w:szCs w:val="21"/>
                <w:highlight w:val="none"/>
              </w:rPr>
            </w:pPr>
            <w:r>
              <w:rPr>
                <w:rFonts w:hint="eastAsia" w:ascii="宋体" w:hAnsi="宋体" w:cs="宋体"/>
                <w:color w:val="auto"/>
                <w:szCs w:val="21"/>
                <w:highlight w:val="none"/>
              </w:rPr>
              <w:t>3.作为输入节点时，支持≥4K@60fps高清视频信号输入并向下兼容，4K输入可同时兼容4K及2K输出终端；作为输出节点时，支持≥2路4K@60或≥8路1080P@60fps的H.264/H.265解码显示，具备画面平铺、缩放、叠加、分割功能。</w:t>
            </w:r>
          </w:p>
          <w:p w14:paraId="270044E5">
            <w:pPr>
              <w:jc w:val="left"/>
              <w:rPr>
                <w:rFonts w:ascii="宋体" w:hAnsi="宋体" w:cs="宋体"/>
                <w:color w:val="auto"/>
                <w:szCs w:val="21"/>
                <w:highlight w:val="none"/>
              </w:rPr>
            </w:pPr>
            <w:r>
              <w:rPr>
                <w:rFonts w:hint="eastAsia" w:ascii="宋体" w:hAnsi="宋体" w:cs="宋体"/>
                <w:color w:val="auto"/>
                <w:szCs w:val="21"/>
                <w:highlight w:val="none"/>
              </w:rPr>
              <w:t>4.具有≥1路HDMI视频输入接口、≥1路HDMI视频输出接口、≥1路DP视频输出接口，≥1路3.5mm音频输入接口、≥1路3.5mm音频输出接口、≥1路3.5mm MIC输入接口，≥2路USB2.0、≥2路USB3.0、≥1路Type-C，以及≥2路网口、≥1路光纤接口。</w:t>
            </w:r>
          </w:p>
          <w:p w14:paraId="201F6D48">
            <w:pPr>
              <w:jc w:val="left"/>
              <w:rPr>
                <w:rFonts w:ascii="宋体" w:hAnsi="宋体" w:cs="宋体"/>
                <w:color w:val="auto"/>
                <w:szCs w:val="21"/>
                <w:highlight w:val="none"/>
              </w:rPr>
            </w:pPr>
            <w:r>
              <w:rPr>
                <w:rFonts w:hint="eastAsia" w:ascii="宋体" w:hAnsi="宋体" w:cs="宋体"/>
                <w:color w:val="auto"/>
                <w:szCs w:val="21"/>
                <w:highlight w:val="none"/>
              </w:rPr>
              <w:t>5.支持通过KVM安全接口限制USB设备的接入，只允许鼠标键盘HID设备接入。</w:t>
            </w:r>
          </w:p>
          <w:p w14:paraId="2C0D918C">
            <w:pPr>
              <w:jc w:val="left"/>
              <w:rPr>
                <w:rFonts w:ascii="宋体" w:hAnsi="宋体" w:cs="宋体"/>
                <w:color w:val="auto"/>
                <w:szCs w:val="21"/>
                <w:highlight w:val="none"/>
              </w:rPr>
            </w:pPr>
            <w:r>
              <w:rPr>
                <w:rFonts w:hint="eastAsia" w:ascii="宋体" w:hAnsi="宋体" w:cs="宋体"/>
                <w:color w:val="auto"/>
                <w:szCs w:val="21"/>
                <w:highlight w:val="none"/>
              </w:rPr>
              <w:t>6.支持USB透传功能，无需额外增加设备，无需额外使用单独的网络，仅需接一根网线或双向光纤线即可实现媒体、信令、USB透传数据的共同传输，可透传U盘、USB摄像机、U Key、USB HID等USB设备。</w:t>
            </w:r>
          </w:p>
          <w:p w14:paraId="791BE3B5">
            <w:pPr>
              <w:jc w:val="left"/>
              <w:rPr>
                <w:rFonts w:ascii="宋体" w:hAnsi="宋体" w:cs="宋体"/>
                <w:color w:val="auto"/>
                <w:szCs w:val="21"/>
                <w:highlight w:val="none"/>
              </w:rPr>
            </w:pPr>
            <w:r>
              <w:rPr>
                <w:rFonts w:hint="eastAsia" w:ascii="宋体" w:hAnsi="宋体" w:cs="宋体"/>
                <w:color w:val="auto"/>
                <w:szCs w:val="21"/>
                <w:highlight w:val="none"/>
              </w:rPr>
              <w:t>7.节点HDMI视频接口具备1至7级可调节保护卡扣装置。</w:t>
            </w:r>
          </w:p>
          <w:p w14:paraId="5B59C045">
            <w:pPr>
              <w:jc w:val="left"/>
              <w:rPr>
                <w:rFonts w:ascii="宋体" w:hAnsi="宋体" w:cs="宋体"/>
                <w:color w:val="auto"/>
                <w:szCs w:val="21"/>
                <w:highlight w:val="none"/>
              </w:rPr>
            </w:pPr>
            <w:r>
              <w:rPr>
                <w:rFonts w:hint="eastAsia" w:ascii="宋体" w:hAnsi="宋体" w:cs="宋体"/>
                <w:color w:val="auto"/>
                <w:szCs w:val="21"/>
                <w:highlight w:val="none"/>
              </w:rPr>
              <w:t>▲8.支持KVM功能，在局域网内，视频信号经过采集、编码、传输、解码、显示后，与原始视频对比延迟在≤30ms。（投标时须提供经国家认可的第三方认证（检测）机构出具的带有CMA或CNAS标志的检测报告复印件。）</w:t>
            </w:r>
          </w:p>
          <w:p w14:paraId="778C778A">
            <w:pPr>
              <w:jc w:val="left"/>
              <w:rPr>
                <w:rFonts w:ascii="宋体" w:hAnsi="宋体" w:cs="宋体"/>
                <w:color w:val="auto"/>
                <w:szCs w:val="21"/>
                <w:highlight w:val="none"/>
              </w:rPr>
            </w:pPr>
            <w:r>
              <w:rPr>
                <w:rFonts w:hint="eastAsia" w:ascii="宋体" w:hAnsi="宋体" w:cs="宋体"/>
                <w:color w:val="auto"/>
                <w:szCs w:val="21"/>
                <w:highlight w:val="none"/>
              </w:rPr>
              <w:t>9.具备中控功能，具备至少独立1路RS-485口、2路RS-232口、2路弱继电器口、3路IO口及4路红外输出接口，支持自定义编程。</w:t>
            </w:r>
          </w:p>
          <w:p w14:paraId="47DB1AE0">
            <w:pPr>
              <w:jc w:val="left"/>
              <w:rPr>
                <w:rFonts w:ascii="宋体" w:hAnsi="宋体" w:cs="宋体"/>
                <w:color w:val="auto"/>
                <w:szCs w:val="21"/>
                <w:highlight w:val="none"/>
              </w:rPr>
            </w:pPr>
            <w:r>
              <w:rPr>
                <w:rFonts w:hint="eastAsia" w:ascii="宋体" w:hAnsi="宋体" w:cs="宋体"/>
                <w:color w:val="auto"/>
                <w:szCs w:val="21"/>
                <w:highlight w:val="none"/>
              </w:rPr>
              <w:t>10.作为输出节点时，支持设置音频均衡器，可启用或关闭均衡器，启用或关闭动态压缩，内置≥18种常用的均衡器场景，可以一键切换，也可全自定义设置，针对60Hz、170Hz、310Hz、600Hz、1KHz、3KHz、6KHz、12KHz、14KHz、16KHz等不同频段的音频可以单独控制增益，范围是-20dB至20dB。</w:t>
            </w:r>
          </w:p>
          <w:p w14:paraId="432547E4">
            <w:pPr>
              <w:jc w:val="left"/>
              <w:rPr>
                <w:rFonts w:ascii="宋体" w:hAnsi="宋体" w:cs="宋体"/>
                <w:color w:val="auto"/>
                <w:szCs w:val="21"/>
                <w:highlight w:val="none"/>
              </w:rPr>
            </w:pPr>
            <w:r>
              <w:rPr>
                <w:rFonts w:hint="eastAsia" w:ascii="宋体" w:hAnsi="宋体" w:cs="宋体"/>
                <w:color w:val="auto"/>
                <w:szCs w:val="21"/>
                <w:highlight w:val="none"/>
              </w:rPr>
              <w:t>11.在不增加外部设备的情况下，具有在输入源上增加图片或者添加文字作为输入源台标的功能；具有字幕显示功能，可设置字体类型、排列方式、字体大小、字体颜色、背景颜色、透明度、滚动速度、字体间距、是否居中、显示位置等，其中字幕的排列方式具有横向、竖向可选；以及具有底图功能，可在软件上启用或禁用底图功能。</w:t>
            </w:r>
          </w:p>
          <w:p w14:paraId="0F913083">
            <w:pPr>
              <w:jc w:val="left"/>
              <w:rPr>
                <w:rFonts w:ascii="宋体" w:hAnsi="宋体" w:cs="宋体"/>
                <w:color w:val="auto"/>
                <w:szCs w:val="21"/>
                <w:highlight w:val="none"/>
              </w:rPr>
            </w:pPr>
            <w:r>
              <w:rPr>
                <w:rFonts w:hint="eastAsia" w:ascii="宋体" w:hAnsi="宋体" w:cs="宋体"/>
                <w:color w:val="auto"/>
                <w:szCs w:val="21"/>
                <w:highlight w:val="none"/>
              </w:rPr>
              <w:t>▲12.支持网络丢包时修复机制，20%网络丢包时，音视频清晰流畅，无卡顿、无马赛克。（投标时须提供经国家认可的第三方认证（检测）机构出具的带有CMA或CNAS标志的检测报告复印件。）</w:t>
            </w:r>
          </w:p>
          <w:p w14:paraId="25B158B9">
            <w:pPr>
              <w:jc w:val="left"/>
              <w:rPr>
                <w:rFonts w:ascii="宋体" w:hAnsi="宋体" w:cs="宋体"/>
                <w:color w:val="auto"/>
                <w:szCs w:val="21"/>
                <w:highlight w:val="none"/>
              </w:rPr>
            </w:pPr>
            <w:r>
              <w:rPr>
                <w:rFonts w:hint="eastAsia" w:ascii="宋体" w:hAnsi="宋体" w:cs="宋体"/>
                <w:color w:val="auto"/>
                <w:szCs w:val="21"/>
                <w:highlight w:val="none"/>
              </w:rPr>
              <w:t>13.内置交换机功能，节点与节点之间可用网线串联，实现设备间通信。</w:t>
            </w:r>
          </w:p>
          <w:p w14:paraId="7D503B0A">
            <w:pPr>
              <w:jc w:val="left"/>
              <w:rPr>
                <w:rFonts w:ascii="宋体" w:hAnsi="宋体" w:cs="宋体"/>
                <w:color w:val="auto"/>
                <w:szCs w:val="21"/>
                <w:highlight w:val="none"/>
              </w:rPr>
            </w:pPr>
            <w:r>
              <w:rPr>
                <w:rFonts w:hint="eastAsia" w:ascii="宋体" w:hAnsi="宋体" w:cs="宋体"/>
                <w:color w:val="auto"/>
                <w:szCs w:val="21"/>
                <w:highlight w:val="none"/>
              </w:rPr>
              <w:t>14.支持信号双网口备份功能，可通过2路网口实现当主链路传输异常时，自动切换至备链路传输，显示图像不受影响；当主链路恢复时，自动切换回主链路传输，切换过程用户无操作、无黑场。</w:t>
            </w:r>
          </w:p>
          <w:p w14:paraId="101465BF">
            <w:pPr>
              <w:jc w:val="left"/>
              <w:rPr>
                <w:rFonts w:ascii="宋体" w:hAnsi="宋体" w:cs="宋体"/>
                <w:color w:val="auto"/>
                <w:szCs w:val="21"/>
                <w:highlight w:val="none"/>
              </w:rPr>
            </w:pPr>
            <w:r>
              <w:rPr>
                <w:rFonts w:hint="eastAsia" w:ascii="宋体" w:hAnsi="宋体" w:cs="宋体"/>
                <w:color w:val="auto"/>
                <w:szCs w:val="21"/>
                <w:highlight w:val="none"/>
              </w:rPr>
              <w:t>15.支持信号光网备份功能，可通过1路光口和1路网口实现当网络链路传输异常时，自动切换至光链路传输，显示图像不受影响；当网络链路恢复时，自动切换回网络链路传输，切换过程用户无操作、无黑场。</w:t>
            </w:r>
          </w:p>
          <w:p w14:paraId="7684BEC5">
            <w:pPr>
              <w:jc w:val="left"/>
              <w:rPr>
                <w:rFonts w:ascii="宋体" w:hAnsi="宋体" w:cs="宋体"/>
                <w:color w:val="auto"/>
                <w:szCs w:val="21"/>
                <w:highlight w:val="none"/>
              </w:rPr>
            </w:pPr>
            <w:r>
              <w:rPr>
                <w:rFonts w:hint="eastAsia" w:ascii="宋体" w:hAnsi="宋体" w:cs="宋体"/>
                <w:color w:val="auto"/>
                <w:szCs w:val="21"/>
                <w:highlight w:val="none"/>
              </w:rPr>
              <w:t>▲16.支持OCR文字识别功能，可截取输入盒采集的一台电脑画面为图片进行分析，提取图片中的文字并通过KVM输出盒传输到另一台电脑，且提取的文字可粘贴到文件。（投标时须提供经国家认可的第三方认证（检测）机构出具的带有CMA或CNAS标志的检测报告复印件。）</w:t>
            </w:r>
          </w:p>
        </w:tc>
      </w:tr>
      <w:tr w14:paraId="40A2C5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jc w:val="center"/>
        </w:trPr>
        <w:tc>
          <w:tcPr>
            <w:tcW w:w="659" w:type="dxa"/>
            <w:shd w:val="clear" w:color="auto" w:fill="auto"/>
            <w:vAlign w:val="center"/>
          </w:tcPr>
          <w:p w14:paraId="2492FBA0">
            <w:pPr>
              <w:jc w:val="center"/>
              <w:rPr>
                <w:rFonts w:ascii="宋体" w:hAnsi="宋体" w:cs="宋体"/>
                <w:color w:val="auto"/>
                <w:szCs w:val="21"/>
                <w:highlight w:val="none"/>
              </w:rPr>
            </w:pPr>
            <w:r>
              <w:rPr>
                <w:rFonts w:hint="eastAsia" w:ascii="宋体" w:hAnsi="宋体" w:cs="宋体"/>
                <w:color w:val="auto"/>
                <w:szCs w:val="21"/>
                <w:highlight w:val="none"/>
              </w:rPr>
              <w:t>3.2</w:t>
            </w:r>
          </w:p>
        </w:tc>
        <w:tc>
          <w:tcPr>
            <w:tcW w:w="1148" w:type="dxa"/>
            <w:shd w:val="clear" w:color="auto" w:fill="auto"/>
            <w:vAlign w:val="center"/>
          </w:tcPr>
          <w:p w14:paraId="403C15FC">
            <w:pPr>
              <w:jc w:val="center"/>
              <w:rPr>
                <w:rFonts w:ascii="宋体" w:hAnsi="宋体" w:cs="宋体"/>
                <w:color w:val="auto"/>
                <w:szCs w:val="21"/>
                <w:highlight w:val="none"/>
              </w:rPr>
            </w:pPr>
            <w:r>
              <w:rPr>
                <w:rFonts w:hint="eastAsia" w:ascii="宋体" w:hAnsi="宋体" w:cs="宋体"/>
                <w:color w:val="auto"/>
                <w:szCs w:val="21"/>
                <w:highlight w:val="none"/>
              </w:rPr>
              <w:t>VMS可视化管理系统终端嵌入式软件</w:t>
            </w:r>
          </w:p>
        </w:tc>
        <w:tc>
          <w:tcPr>
            <w:tcW w:w="961" w:type="dxa"/>
            <w:shd w:val="clear" w:color="auto" w:fill="auto"/>
            <w:vAlign w:val="center"/>
          </w:tcPr>
          <w:p w14:paraId="4DB96343">
            <w:pPr>
              <w:jc w:val="center"/>
              <w:rPr>
                <w:rFonts w:ascii="宋体" w:hAnsi="宋体" w:cs="宋体"/>
                <w:color w:val="auto"/>
                <w:szCs w:val="21"/>
                <w:highlight w:val="none"/>
              </w:rPr>
            </w:pPr>
            <w:r>
              <w:rPr>
                <w:rFonts w:hint="eastAsia" w:ascii="宋体" w:hAnsi="宋体" w:cs="宋体"/>
                <w:color w:val="auto"/>
                <w:szCs w:val="21"/>
                <w:highlight w:val="none"/>
              </w:rPr>
              <w:t>3套</w:t>
            </w:r>
          </w:p>
        </w:tc>
        <w:tc>
          <w:tcPr>
            <w:tcW w:w="701" w:type="dxa"/>
            <w:tcBorders>
              <w:right w:val="single" w:color="auto" w:sz="4" w:space="0"/>
            </w:tcBorders>
            <w:shd w:val="clear" w:color="auto" w:fill="auto"/>
            <w:vAlign w:val="center"/>
          </w:tcPr>
          <w:p w14:paraId="3ADA09BA">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w:t>
            </w:r>
          </w:p>
        </w:tc>
        <w:tc>
          <w:tcPr>
            <w:tcW w:w="6527" w:type="dxa"/>
            <w:tcBorders>
              <w:left w:val="single" w:color="auto" w:sz="4" w:space="0"/>
              <w:right w:val="single" w:color="auto" w:sz="4" w:space="0"/>
            </w:tcBorders>
            <w:shd w:val="clear" w:color="auto" w:fill="auto"/>
          </w:tcPr>
          <w:p w14:paraId="5BB1D041">
            <w:pPr>
              <w:jc w:val="left"/>
              <w:rPr>
                <w:rFonts w:ascii="宋体" w:hAnsi="宋体" w:cs="宋体"/>
                <w:color w:val="auto"/>
                <w:szCs w:val="21"/>
                <w:highlight w:val="none"/>
              </w:rPr>
            </w:pPr>
            <w:r>
              <w:rPr>
                <w:rFonts w:hint="eastAsia" w:ascii="宋体" w:hAnsi="宋体" w:cs="宋体"/>
                <w:color w:val="auto"/>
                <w:szCs w:val="21"/>
                <w:highlight w:val="none"/>
              </w:rPr>
              <w:t>1.软件内嵌于分布式综合管理系统终端设备，用于对音视频、控制信号的编解码。</w:t>
            </w:r>
          </w:p>
          <w:p w14:paraId="5E4524BD">
            <w:pPr>
              <w:jc w:val="left"/>
              <w:rPr>
                <w:rFonts w:ascii="宋体" w:hAnsi="宋体" w:cs="宋体"/>
                <w:color w:val="auto"/>
                <w:szCs w:val="21"/>
                <w:highlight w:val="none"/>
              </w:rPr>
            </w:pPr>
            <w:r>
              <w:rPr>
                <w:rFonts w:hint="eastAsia" w:ascii="宋体" w:hAnsi="宋体" w:cs="宋体"/>
                <w:color w:val="auto"/>
                <w:szCs w:val="21"/>
                <w:highlight w:val="none"/>
              </w:rPr>
              <w:t>2.支持高性能的H.265视频编解码技术，兼容H.264视频编解码技术。</w:t>
            </w:r>
          </w:p>
          <w:p w14:paraId="04FFF690">
            <w:pPr>
              <w:jc w:val="left"/>
              <w:rPr>
                <w:rFonts w:ascii="宋体" w:hAnsi="宋体" w:cs="宋体"/>
                <w:color w:val="auto"/>
                <w:szCs w:val="21"/>
                <w:highlight w:val="none"/>
              </w:rPr>
            </w:pPr>
            <w:r>
              <w:rPr>
                <w:rFonts w:hint="eastAsia" w:ascii="宋体" w:hAnsi="宋体" w:cs="宋体"/>
                <w:color w:val="auto"/>
                <w:szCs w:val="21"/>
                <w:highlight w:val="none"/>
              </w:rPr>
              <w:t>3.支持对3840*2160P60帧视频分辨率的处理，可实现对高清视频信号的采集编码、传输。</w:t>
            </w:r>
          </w:p>
          <w:p w14:paraId="391BD24D">
            <w:pPr>
              <w:jc w:val="left"/>
              <w:rPr>
                <w:rFonts w:ascii="宋体" w:hAnsi="宋体" w:cs="宋体"/>
                <w:color w:val="auto"/>
                <w:szCs w:val="21"/>
                <w:highlight w:val="none"/>
              </w:rPr>
            </w:pPr>
            <w:r>
              <w:rPr>
                <w:rFonts w:hint="eastAsia" w:ascii="宋体" w:hAnsi="宋体" w:cs="宋体"/>
                <w:color w:val="auto"/>
                <w:szCs w:val="21"/>
                <w:highlight w:val="none"/>
              </w:rPr>
              <w:t>4.支持PCM音频无损传输。</w:t>
            </w:r>
          </w:p>
          <w:p w14:paraId="502DF07A">
            <w:pPr>
              <w:jc w:val="left"/>
              <w:rPr>
                <w:rFonts w:ascii="宋体" w:hAnsi="宋体" w:cs="宋体"/>
                <w:color w:val="auto"/>
                <w:szCs w:val="21"/>
                <w:highlight w:val="none"/>
              </w:rPr>
            </w:pPr>
            <w:r>
              <w:rPr>
                <w:rFonts w:hint="eastAsia" w:ascii="宋体" w:hAnsi="宋体" w:cs="宋体"/>
                <w:color w:val="auto"/>
                <w:szCs w:val="21"/>
                <w:highlight w:val="none"/>
              </w:rPr>
              <w:t>5.支持通过网络方式远程对终端进行管理，可修改IP地址信息、查看状态。</w:t>
            </w:r>
          </w:p>
        </w:tc>
      </w:tr>
      <w:tr w14:paraId="68D14A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jc w:val="center"/>
        </w:trPr>
        <w:tc>
          <w:tcPr>
            <w:tcW w:w="659" w:type="dxa"/>
            <w:shd w:val="clear" w:color="auto" w:fill="auto"/>
            <w:vAlign w:val="center"/>
          </w:tcPr>
          <w:p w14:paraId="6238B448">
            <w:pPr>
              <w:jc w:val="center"/>
              <w:rPr>
                <w:rFonts w:ascii="宋体" w:hAnsi="宋体" w:cs="宋体"/>
                <w:color w:val="auto"/>
                <w:szCs w:val="21"/>
                <w:highlight w:val="none"/>
              </w:rPr>
            </w:pPr>
            <w:r>
              <w:rPr>
                <w:rFonts w:hint="eastAsia" w:ascii="宋体" w:hAnsi="宋体" w:cs="宋体"/>
                <w:color w:val="auto"/>
                <w:szCs w:val="21"/>
                <w:highlight w:val="none"/>
              </w:rPr>
              <w:t>3.3</w:t>
            </w:r>
          </w:p>
        </w:tc>
        <w:tc>
          <w:tcPr>
            <w:tcW w:w="1148" w:type="dxa"/>
            <w:shd w:val="clear" w:color="auto" w:fill="auto"/>
            <w:vAlign w:val="center"/>
          </w:tcPr>
          <w:p w14:paraId="312F1220">
            <w:pPr>
              <w:jc w:val="center"/>
              <w:rPr>
                <w:rFonts w:ascii="宋体" w:hAnsi="宋体" w:cs="宋体"/>
                <w:color w:val="auto"/>
                <w:szCs w:val="21"/>
                <w:highlight w:val="none"/>
              </w:rPr>
            </w:pPr>
            <w:r>
              <w:rPr>
                <w:rFonts w:hint="eastAsia" w:ascii="宋体" w:hAnsi="宋体" w:cs="宋体"/>
                <w:color w:val="auto"/>
                <w:szCs w:val="21"/>
                <w:highlight w:val="none"/>
              </w:rPr>
              <w:t>AI智慧一体式高清终端</w:t>
            </w:r>
          </w:p>
        </w:tc>
        <w:tc>
          <w:tcPr>
            <w:tcW w:w="961" w:type="dxa"/>
            <w:shd w:val="clear" w:color="auto" w:fill="auto"/>
            <w:vAlign w:val="center"/>
          </w:tcPr>
          <w:p w14:paraId="2D1AA969">
            <w:pPr>
              <w:jc w:val="center"/>
              <w:rPr>
                <w:rFonts w:ascii="宋体" w:hAnsi="宋体" w:cs="宋体"/>
                <w:color w:val="auto"/>
                <w:szCs w:val="21"/>
                <w:highlight w:val="none"/>
              </w:rPr>
            </w:pPr>
            <w:r>
              <w:rPr>
                <w:rFonts w:hint="eastAsia" w:ascii="宋体" w:hAnsi="宋体" w:cs="宋体"/>
                <w:color w:val="auto"/>
                <w:szCs w:val="21"/>
                <w:highlight w:val="none"/>
              </w:rPr>
              <w:t>7台</w:t>
            </w:r>
          </w:p>
        </w:tc>
        <w:tc>
          <w:tcPr>
            <w:tcW w:w="701" w:type="dxa"/>
            <w:tcBorders>
              <w:right w:val="single" w:color="auto" w:sz="4" w:space="0"/>
            </w:tcBorders>
            <w:shd w:val="clear" w:color="auto" w:fill="auto"/>
            <w:vAlign w:val="center"/>
          </w:tcPr>
          <w:p w14:paraId="610A9AF8">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工业</w:t>
            </w:r>
          </w:p>
        </w:tc>
        <w:tc>
          <w:tcPr>
            <w:tcW w:w="6527" w:type="dxa"/>
            <w:tcBorders>
              <w:left w:val="single" w:color="auto" w:sz="4" w:space="0"/>
              <w:right w:val="single" w:color="auto" w:sz="4" w:space="0"/>
            </w:tcBorders>
            <w:shd w:val="clear" w:color="auto" w:fill="auto"/>
          </w:tcPr>
          <w:p w14:paraId="56BC7855">
            <w:pPr>
              <w:jc w:val="left"/>
              <w:rPr>
                <w:rFonts w:ascii="宋体" w:hAnsi="宋体" w:cs="宋体"/>
                <w:color w:val="auto"/>
                <w:szCs w:val="21"/>
                <w:highlight w:val="none"/>
              </w:rPr>
            </w:pPr>
            <w:r>
              <w:rPr>
                <w:rFonts w:hint="eastAsia" w:ascii="宋体" w:hAnsi="宋体" w:cs="宋体"/>
                <w:color w:val="auto"/>
                <w:szCs w:val="21"/>
                <w:highlight w:val="none"/>
              </w:rPr>
              <w:t>1.终端采用国产芯片、国产自主可控嵌入式linux系统，并且采用输入输出一体化设计，根据需求可任意配置为输入终端、输出终端、KVM输入终端或KVM输出终端。</w:t>
            </w:r>
          </w:p>
          <w:p w14:paraId="51249C1C">
            <w:pPr>
              <w:jc w:val="left"/>
              <w:rPr>
                <w:rFonts w:ascii="宋体" w:hAnsi="宋体" w:cs="宋体"/>
                <w:color w:val="auto"/>
                <w:szCs w:val="21"/>
                <w:highlight w:val="none"/>
              </w:rPr>
            </w:pPr>
            <w:r>
              <w:rPr>
                <w:rFonts w:hint="eastAsia" w:ascii="宋体" w:hAnsi="宋体" w:cs="宋体"/>
                <w:color w:val="auto"/>
                <w:szCs w:val="21"/>
                <w:highlight w:val="none"/>
              </w:rPr>
              <w:t>2.支持国密算法SM2、SM3、SM4对信令和媒体流进行加密传输，确保数据安全可控。</w:t>
            </w:r>
          </w:p>
          <w:p w14:paraId="1A257484">
            <w:pPr>
              <w:jc w:val="left"/>
              <w:rPr>
                <w:rFonts w:ascii="宋体" w:hAnsi="宋体" w:cs="宋体"/>
                <w:color w:val="auto"/>
                <w:szCs w:val="21"/>
                <w:highlight w:val="none"/>
              </w:rPr>
            </w:pPr>
            <w:r>
              <w:rPr>
                <w:rFonts w:hint="eastAsia" w:ascii="宋体" w:hAnsi="宋体" w:cs="宋体"/>
                <w:color w:val="auto"/>
                <w:szCs w:val="21"/>
                <w:highlight w:val="none"/>
              </w:rPr>
              <w:t>3.作为输入节点时，支持≥4K@60fps高清视频信号输入并向下兼容，4K输入可同时兼容4K及2K输出终端；作为输出节点时，支持≥2路4K@60或≥8路1080P@60fps的H.264/H.265解码显示，具备画面平铺、缩放、叠加、分割功能。</w:t>
            </w:r>
          </w:p>
          <w:p w14:paraId="03FB5EAC">
            <w:pPr>
              <w:jc w:val="left"/>
              <w:rPr>
                <w:rFonts w:ascii="宋体" w:hAnsi="宋体" w:cs="宋体"/>
                <w:color w:val="auto"/>
                <w:szCs w:val="21"/>
                <w:highlight w:val="none"/>
              </w:rPr>
            </w:pPr>
            <w:r>
              <w:rPr>
                <w:rFonts w:hint="eastAsia" w:ascii="宋体" w:hAnsi="宋体" w:cs="宋体"/>
                <w:color w:val="auto"/>
                <w:szCs w:val="21"/>
                <w:highlight w:val="none"/>
              </w:rPr>
              <w:t>4.具有≥1路HDMI视频输入接口、≥1路HDMI视频输出接口、≥1路DP视频输出接口，≥1路3.5mm音频输入接口、≥1路3.5mm音频输出接口、≥1路3.5mm MIC输入接口，≥2路USB2.0、≥2路USB3.0、≥1路Type-C，以及≥2路网口、≥1路光纤接口。</w:t>
            </w:r>
          </w:p>
          <w:p w14:paraId="1C96DFD5">
            <w:pPr>
              <w:jc w:val="left"/>
              <w:rPr>
                <w:rFonts w:ascii="宋体" w:hAnsi="宋体" w:cs="宋体"/>
                <w:color w:val="auto"/>
                <w:szCs w:val="21"/>
                <w:highlight w:val="none"/>
              </w:rPr>
            </w:pPr>
            <w:r>
              <w:rPr>
                <w:rFonts w:hint="eastAsia" w:ascii="宋体" w:hAnsi="宋体" w:cs="宋体"/>
                <w:color w:val="auto"/>
                <w:szCs w:val="21"/>
                <w:highlight w:val="none"/>
              </w:rPr>
              <w:t>5.支持通过KVM安全接口限制USB设备的接入，只允许鼠标键盘HID设备接入。</w:t>
            </w:r>
          </w:p>
          <w:p w14:paraId="4C3F89E4">
            <w:pPr>
              <w:jc w:val="left"/>
              <w:rPr>
                <w:rFonts w:ascii="宋体" w:hAnsi="宋体" w:cs="宋体"/>
                <w:color w:val="auto"/>
                <w:szCs w:val="21"/>
                <w:highlight w:val="none"/>
              </w:rPr>
            </w:pPr>
            <w:r>
              <w:rPr>
                <w:rFonts w:hint="eastAsia" w:ascii="宋体" w:hAnsi="宋体" w:cs="宋体"/>
                <w:color w:val="auto"/>
                <w:szCs w:val="21"/>
                <w:highlight w:val="none"/>
              </w:rPr>
              <w:t>6.支持USB透传功能，无需额外增加设备，无需额外使用单独的网络，仅需接一根网线或双向光纤线即可实现媒体、信令、USB透传数据的共同传输，可透传U盘、USB摄像机、U Key、USB HID等USB设备。</w:t>
            </w:r>
          </w:p>
          <w:p w14:paraId="0A4EC6B2">
            <w:pPr>
              <w:jc w:val="left"/>
              <w:rPr>
                <w:rFonts w:ascii="宋体" w:hAnsi="宋体" w:cs="宋体"/>
                <w:color w:val="auto"/>
                <w:szCs w:val="21"/>
                <w:highlight w:val="none"/>
              </w:rPr>
            </w:pPr>
            <w:r>
              <w:rPr>
                <w:rFonts w:hint="eastAsia" w:ascii="宋体" w:hAnsi="宋体" w:cs="宋体"/>
                <w:color w:val="auto"/>
                <w:szCs w:val="21"/>
                <w:highlight w:val="none"/>
              </w:rPr>
              <w:t>7.节点HDMI视频接口具备1至7级可调节保护卡扣装置。</w:t>
            </w:r>
          </w:p>
          <w:p w14:paraId="59E3E8D7">
            <w:pPr>
              <w:jc w:val="left"/>
              <w:rPr>
                <w:rFonts w:ascii="宋体" w:hAnsi="宋体" w:cs="宋体"/>
                <w:color w:val="auto"/>
                <w:szCs w:val="21"/>
                <w:highlight w:val="none"/>
              </w:rPr>
            </w:pPr>
            <w:r>
              <w:rPr>
                <w:rFonts w:hint="eastAsia" w:ascii="宋体" w:hAnsi="宋体" w:cs="宋体"/>
                <w:color w:val="auto"/>
                <w:szCs w:val="21"/>
                <w:highlight w:val="none"/>
              </w:rPr>
              <w:t>▲8.支持KVM功能，在局域网内，视频信号经过采集、编码、传输、解码、显示后，与原始视频对比延迟在≤30ms。（投标时须提供经国家认可的第三方认证（检测）机构出具的带有CMA或CNAS标志的检测报告复印件。）</w:t>
            </w:r>
          </w:p>
          <w:p w14:paraId="2ED67793">
            <w:pPr>
              <w:jc w:val="left"/>
              <w:rPr>
                <w:rFonts w:ascii="宋体" w:hAnsi="宋体" w:cs="宋体"/>
                <w:color w:val="auto"/>
                <w:szCs w:val="21"/>
                <w:highlight w:val="none"/>
              </w:rPr>
            </w:pPr>
            <w:r>
              <w:rPr>
                <w:rFonts w:hint="eastAsia" w:ascii="宋体" w:hAnsi="宋体" w:cs="宋体"/>
                <w:color w:val="auto"/>
                <w:szCs w:val="21"/>
                <w:highlight w:val="none"/>
              </w:rPr>
              <w:t>9.具备中控功能，具备至少独立1路RS-485口、2路RS-232口、2路弱继电器口、3路IO口及4路红外输出接口，支持自定义编程。</w:t>
            </w:r>
          </w:p>
          <w:p w14:paraId="521FA428">
            <w:pPr>
              <w:jc w:val="left"/>
              <w:rPr>
                <w:rFonts w:ascii="宋体" w:hAnsi="宋体" w:cs="宋体"/>
                <w:color w:val="auto"/>
                <w:szCs w:val="21"/>
                <w:highlight w:val="none"/>
              </w:rPr>
            </w:pPr>
            <w:r>
              <w:rPr>
                <w:rFonts w:hint="eastAsia" w:ascii="宋体" w:hAnsi="宋体" w:cs="宋体"/>
                <w:color w:val="auto"/>
                <w:szCs w:val="21"/>
                <w:highlight w:val="none"/>
              </w:rPr>
              <w:t>10.作为输出节点时，支持设置音频均衡器，可启用或关闭均衡器，启用或关闭动态压缩，内置≥18种常用的均衡器场景，可以一键切换，也可全自定义设置，针对60Hz、170Hz、310Hz、600Hz、1KHz、3KHz、6KHz、12KHz、14KHz、16KHz等不同频段的音频可以单独控制增益，范围是-20dB至20dB。</w:t>
            </w:r>
          </w:p>
          <w:p w14:paraId="754293EC">
            <w:pPr>
              <w:jc w:val="left"/>
              <w:rPr>
                <w:rFonts w:ascii="宋体" w:hAnsi="宋体" w:cs="宋体"/>
                <w:color w:val="auto"/>
                <w:szCs w:val="21"/>
                <w:highlight w:val="none"/>
              </w:rPr>
            </w:pPr>
            <w:r>
              <w:rPr>
                <w:rFonts w:hint="eastAsia" w:ascii="宋体" w:hAnsi="宋体" w:cs="宋体"/>
                <w:color w:val="auto"/>
                <w:szCs w:val="21"/>
                <w:highlight w:val="none"/>
              </w:rPr>
              <w:t>11.在不增加外部设备的情况下，具有在输入源上增加图片或者添加文字作为输入源台标的功能；具有字幕显示功能，可设置字体类型、排列方式、字体大小、字体颜色、背景颜色、透明度、滚动速度、字体间距、是否居中、显示位置等，其中字幕的排列方式具有横向、竖向可选；以及具有底图功能，可在软件上启用或禁用底图功能。</w:t>
            </w:r>
          </w:p>
          <w:p w14:paraId="2A2D7C4C">
            <w:pPr>
              <w:jc w:val="left"/>
              <w:rPr>
                <w:rFonts w:ascii="宋体" w:hAnsi="宋体" w:cs="宋体"/>
                <w:color w:val="auto"/>
                <w:szCs w:val="21"/>
                <w:highlight w:val="none"/>
              </w:rPr>
            </w:pPr>
            <w:r>
              <w:rPr>
                <w:rFonts w:hint="eastAsia" w:ascii="宋体" w:hAnsi="宋体" w:cs="宋体"/>
                <w:color w:val="auto"/>
                <w:szCs w:val="21"/>
                <w:highlight w:val="none"/>
              </w:rPr>
              <w:t>▲12.支持网络丢包时修复机制，20%网络丢包时，音视频清晰流畅，无卡顿、无马赛克。（投标时须提供经国家认可的第三方认证（检测）机构出具的带有CMA或CNAS标志的检测报告复印件。）</w:t>
            </w:r>
          </w:p>
          <w:p w14:paraId="61F94365">
            <w:pPr>
              <w:jc w:val="left"/>
              <w:rPr>
                <w:rFonts w:ascii="宋体" w:hAnsi="宋体" w:cs="宋体"/>
                <w:color w:val="auto"/>
                <w:szCs w:val="21"/>
                <w:highlight w:val="none"/>
              </w:rPr>
            </w:pPr>
            <w:r>
              <w:rPr>
                <w:rFonts w:hint="eastAsia" w:ascii="宋体" w:hAnsi="宋体" w:cs="宋体"/>
                <w:color w:val="auto"/>
                <w:szCs w:val="21"/>
                <w:highlight w:val="none"/>
              </w:rPr>
              <w:t>13.内置交换机功能，节点与节点之间可用网线串联，实现设备间通信。</w:t>
            </w:r>
          </w:p>
          <w:p w14:paraId="6BA69652">
            <w:pPr>
              <w:jc w:val="left"/>
              <w:rPr>
                <w:rFonts w:ascii="宋体" w:hAnsi="宋体" w:cs="宋体"/>
                <w:color w:val="auto"/>
                <w:szCs w:val="21"/>
                <w:highlight w:val="none"/>
              </w:rPr>
            </w:pPr>
            <w:r>
              <w:rPr>
                <w:rFonts w:hint="eastAsia" w:ascii="宋体" w:hAnsi="宋体" w:cs="宋体"/>
                <w:color w:val="auto"/>
                <w:szCs w:val="21"/>
                <w:highlight w:val="none"/>
              </w:rPr>
              <w:t>14.支持信号双网口备份功能，可通过2路网口实现当主链路传输异常时，自动切换至备链路传输，显示图像不受影响；当主链路恢复时，自动切换回主链路传输，切换过程用户无操作、无黑场。</w:t>
            </w:r>
          </w:p>
          <w:p w14:paraId="05277BA1">
            <w:pPr>
              <w:jc w:val="left"/>
              <w:rPr>
                <w:rFonts w:ascii="宋体" w:hAnsi="宋体" w:cs="宋体"/>
                <w:color w:val="auto"/>
                <w:szCs w:val="21"/>
                <w:highlight w:val="none"/>
              </w:rPr>
            </w:pPr>
            <w:r>
              <w:rPr>
                <w:rFonts w:hint="eastAsia" w:ascii="宋体" w:hAnsi="宋体" w:cs="宋体"/>
                <w:color w:val="auto"/>
                <w:szCs w:val="21"/>
                <w:highlight w:val="none"/>
              </w:rPr>
              <w:t>15.支持信号光网备份功能，可通过1路光口和1路网口实现当网络链路传输异常时，自动切换至光链路传输，显示图像不受影响；当网络链路恢复时，自动切换回网络链路传输，切换过程用户无操作、无黑场。</w:t>
            </w:r>
          </w:p>
          <w:p w14:paraId="36229868">
            <w:pPr>
              <w:jc w:val="left"/>
              <w:rPr>
                <w:rFonts w:ascii="宋体" w:hAnsi="宋体" w:cs="宋体"/>
                <w:color w:val="auto"/>
                <w:szCs w:val="21"/>
                <w:highlight w:val="none"/>
              </w:rPr>
            </w:pPr>
            <w:r>
              <w:rPr>
                <w:rFonts w:hint="eastAsia" w:ascii="宋体" w:hAnsi="宋体" w:cs="宋体"/>
                <w:color w:val="auto"/>
                <w:szCs w:val="21"/>
                <w:highlight w:val="none"/>
              </w:rPr>
              <w:t>▲16.支持OCR文字识别功能，可截取输入盒采集的一台电脑画面为图片进行分析，提取图片中的文字并通过KVM输出盒传输到另一台电脑，且提取的文字可粘贴到文件。（投标时须提供经国家认可的第三方认证（检测）机构出具的带有CMA或CNAS标志的检测报告复印件。）</w:t>
            </w:r>
          </w:p>
        </w:tc>
      </w:tr>
      <w:tr w14:paraId="4B8174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jc w:val="center"/>
        </w:trPr>
        <w:tc>
          <w:tcPr>
            <w:tcW w:w="659" w:type="dxa"/>
            <w:shd w:val="clear" w:color="auto" w:fill="auto"/>
            <w:vAlign w:val="center"/>
          </w:tcPr>
          <w:p w14:paraId="0121FF7B">
            <w:pPr>
              <w:jc w:val="center"/>
              <w:rPr>
                <w:rFonts w:ascii="宋体" w:hAnsi="宋体" w:cs="宋体"/>
                <w:color w:val="auto"/>
                <w:szCs w:val="21"/>
                <w:highlight w:val="none"/>
              </w:rPr>
            </w:pPr>
            <w:r>
              <w:rPr>
                <w:rFonts w:hint="eastAsia" w:ascii="宋体" w:hAnsi="宋体" w:cs="宋体"/>
                <w:color w:val="auto"/>
                <w:szCs w:val="21"/>
                <w:highlight w:val="none"/>
              </w:rPr>
              <w:t>3.4</w:t>
            </w:r>
          </w:p>
        </w:tc>
        <w:tc>
          <w:tcPr>
            <w:tcW w:w="1148" w:type="dxa"/>
            <w:shd w:val="clear" w:color="auto" w:fill="auto"/>
            <w:vAlign w:val="center"/>
          </w:tcPr>
          <w:p w14:paraId="27BA6661">
            <w:pPr>
              <w:jc w:val="center"/>
              <w:rPr>
                <w:rFonts w:ascii="宋体" w:hAnsi="宋体" w:cs="宋体"/>
                <w:color w:val="auto"/>
                <w:szCs w:val="21"/>
                <w:highlight w:val="none"/>
              </w:rPr>
            </w:pPr>
            <w:r>
              <w:rPr>
                <w:rFonts w:hint="eastAsia" w:ascii="宋体" w:hAnsi="宋体" w:cs="宋体"/>
                <w:color w:val="auto"/>
                <w:szCs w:val="21"/>
                <w:highlight w:val="none"/>
              </w:rPr>
              <w:t>VMS可视化管理系统终端嵌入式软件</w:t>
            </w:r>
          </w:p>
        </w:tc>
        <w:tc>
          <w:tcPr>
            <w:tcW w:w="961" w:type="dxa"/>
            <w:shd w:val="clear" w:color="auto" w:fill="auto"/>
            <w:vAlign w:val="center"/>
          </w:tcPr>
          <w:p w14:paraId="0FD467F2">
            <w:pPr>
              <w:jc w:val="center"/>
              <w:rPr>
                <w:rFonts w:ascii="宋体" w:hAnsi="宋体" w:cs="宋体"/>
                <w:color w:val="auto"/>
                <w:szCs w:val="21"/>
                <w:highlight w:val="none"/>
              </w:rPr>
            </w:pPr>
            <w:r>
              <w:rPr>
                <w:rFonts w:hint="eastAsia" w:ascii="宋体" w:hAnsi="宋体" w:cs="宋体"/>
                <w:color w:val="auto"/>
                <w:szCs w:val="21"/>
                <w:highlight w:val="none"/>
              </w:rPr>
              <w:t>7套</w:t>
            </w:r>
          </w:p>
        </w:tc>
        <w:tc>
          <w:tcPr>
            <w:tcW w:w="701" w:type="dxa"/>
            <w:tcBorders>
              <w:right w:val="single" w:color="auto" w:sz="4" w:space="0"/>
            </w:tcBorders>
            <w:shd w:val="clear" w:color="auto" w:fill="auto"/>
            <w:vAlign w:val="center"/>
          </w:tcPr>
          <w:p w14:paraId="5CD4C8BA">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w:t>
            </w:r>
          </w:p>
        </w:tc>
        <w:tc>
          <w:tcPr>
            <w:tcW w:w="6527" w:type="dxa"/>
            <w:tcBorders>
              <w:left w:val="single" w:color="auto" w:sz="4" w:space="0"/>
              <w:right w:val="single" w:color="auto" w:sz="4" w:space="0"/>
            </w:tcBorders>
            <w:shd w:val="clear" w:color="auto" w:fill="auto"/>
          </w:tcPr>
          <w:p w14:paraId="4546449F">
            <w:pPr>
              <w:jc w:val="left"/>
              <w:rPr>
                <w:rFonts w:ascii="宋体" w:hAnsi="宋体" w:cs="宋体"/>
                <w:color w:val="auto"/>
                <w:szCs w:val="21"/>
                <w:highlight w:val="none"/>
              </w:rPr>
            </w:pPr>
            <w:r>
              <w:rPr>
                <w:rFonts w:hint="eastAsia" w:ascii="宋体" w:hAnsi="宋体" w:cs="宋体"/>
                <w:color w:val="auto"/>
                <w:szCs w:val="21"/>
                <w:highlight w:val="none"/>
              </w:rPr>
              <w:t>1.软件内嵌于分布式综合管理系统终端设备，用于对音视频、控制信号的编解码。</w:t>
            </w:r>
          </w:p>
          <w:p w14:paraId="1239DCFA">
            <w:pPr>
              <w:jc w:val="left"/>
              <w:rPr>
                <w:rFonts w:ascii="宋体" w:hAnsi="宋体" w:cs="宋体"/>
                <w:color w:val="auto"/>
                <w:szCs w:val="21"/>
                <w:highlight w:val="none"/>
              </w:rPr>
            </w:pPr>
            <w:r>
              <w:rPr>
                <w:rFonts w:hint="eastAsia" w:ascii="宋体" w:hAnsi="宋体" w:cs="宋体"/>
                <w:color w:val="auto"/>
                <w:szCs w:val="21"/>
                <w:highlight w:val="none"/>
              </w:rPr>
              <w:t>2.支持高性能的H.265视频编解码技术，兼容H.264视频编解码技术。</w:t>
            </w:r>
          </w:p>
          <w:p w14:paraId="4CD8A350">
            <w:pPr>
              <w:jc w:val="left"/>
              <w:rPr>
                <w:rFonts w:ascii="宋体" w:hAnsi="宋体" w:cs="宋体"/>
                <w:color w:val="auto"/>
                <w:szCs w:val="21"/>
                <w:highlight w:val="none"/>
              </w:rPr>
            </w:pPr>
            <w:r>
              <w:rPr>
                <w:rFonts w:hint="eastAsia" w:ascii="宋体" w:hAnsi="宋体" w:cs="宋体"/>
                <w:color w:val="auto"/>
                <w:szCs w:val="21"/>
                <w:highlight w:val="none"/>
              </w:rPr>
              <w:t>3.支持对3840*2160P60帧视频分辨率的处理，可实现对高清视频信号的采集编码、传输。</w:t>
            </w:r>
          </w:p>
          <w:p w14:paraId="349E9797">
            <w:pPr>
              <w:jc w:val="left"/>
              <w:rPr>
                <w:rFonts w:ascii="宋体" w:hAnsi="宋体" w:cs="宋体"/>
                <w:color w:val="auto"/>
                <w:szCs w:val="21"/>
                <w:highlight w:val="none"/>
              </w:rPr>
            </w:pPr>
            <w:r>
              <w:rPr>
                <w:rFonts w:hint="eastAsia" w:ascii="宋体" w:hAnsi="宋体" w:cs="宋体"/>
                <w:color w:val="auto"/>
                <w:szCs w:val="21"/>
                <w:highlight w:val="none"/>
              </w:rPr>
              <w:t>4.支持PCM音频无损传输。</w:t>
            </w:r>
          </w:p>
          <w:p w14:paraId="5EEDD077">
            <w:pPr>
              <w:jc w:val="left"/>
              <w:rPr>
                <w:rFonts w:ascii="宋体" w:hAnsi="宋体" w:cs="宋体"/>
                <w:color w:val="auto"/>
                <w:szCs w:val="21"/>
                <w:highlight w:val="none"/>
              </w:rPr>
            </w:pPr>
            <w:r>
              <w:rPr>
                <w:rFonts w:hint="eastAsia" w:ascii="宋体" w:hAnsi="宋体" w:cs="宋体"/>
                <w:color w:val="auto"/>
                <w:szCs w:val="21"/>
                <w:highlight w:val="none"/>
              </w:rPr>
              <w:t>5.支持通过网络方式远程对终端进行管理，可修改IP地址信息、查看状态。</w:t>
            </w:r>
          </w:p>
        </w:tc>
      </w:tr>
      <w:tr w14:paraId="5490E9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jc w:val="center"/>
        </w:trPr>
        <w:tc>
          <w:tcPr>
            <w:tcW w:w="659" w:type="dxa"/>
            <w:shd w:val="clear" w:color="auto" w:fill="auto"/>
            <w:vAlign w:val="center"/>
          </w:tcPr>
          <w:p w14:paraId="730C9BC0">
            <w:pPr>
              <w:jc w:val="center"/>
              <w:rPr>
                <w:rFonts w:ascii="宋体" w:hAnsi="宋体" w:cs="宋体"/>
                <w:color w:val="auto"/>
                <w:szCs w:val="21"/>
                <w:highlight w:val="none"/>
              </w:rPr>
            </w:pPr>
            <w:r>
              <w:rPr>
                <w:rFonts w:hint="eastAsia" w:ascii="宋体" w:hAnsi="宋体" w:cs="宋体"/>
                <w:color w:val="auto"/>
                <w:szCs w:val="21"/>
                <w:highlight w:val="none"/>
              </w:rPr>
              <w:t>3.5</w:t>
            </w:r>
          </w:p>
        </w:tc>
        <w:tc>
          <w:tcPr>
            <w:tcW w:w="1148" w:type="dxa"/>
            <w:shd w:val="clear" w:color="auto" w:fill="auto"/>
            <w:vAlign w:val="center"/>
          </w:tcPr>
          <w:p w14:paraId="52859FD6">
            <w:pPr>
              <w:jc w:val="center"/>
              <w:rPr>
                <w:rFonts w:ascii="宋体" w:hAnsi="宋体" w:cs="宋体"/>
                <w:color w:val="auto"/>
                <w:szCs w:val="21"/>
                <w:highlight w:val="none"/>
              </w:rPr>
            </w:pPr>
            <w:r>
              <w:rPr>
                <w:rFonts w:hint="eastAsia" w:ascii="宋体" w:hAnsi="宋体" w:cs="宋体"/>
                <w:color w:val="auto"/>
                <w:szCs w:val="21"/>
                <w:highlight w:val="none"/>
              </w:rPr>
              <w:t>AI智慧一体式高清终端</w:t>
            </w:r>
          </w:p>
        </w:tc>
        <w:tc>
          <w:tcPr>
            <w:tcW w:w="961" w:type="dxa"/>
            <w:shd w:val="clear" w:color="auto" w:fill="auto"/>
            <w:vAlign w:val="center"/>
          </w:tcPr>
          <w:p w14:paraId="02226635">
            <w:pPr>
              <w:jc w:val="center"/>
              <w:rPr>
                <w:rFonts w:ascii="宋体" w:hAnsi="宋体" w:cs="宋体"/>
                <w:color w:val="auto"/>
                <w:szCs w:val="21"/>
                <w:highlight w:val="none"/>
              </w:rPr>
            </w:pPr>
            <w:r>
              <w:rPr>
                <w:rFonts w:hint="eastAsia" w:ascii="宋体" w:hAnsi="宋体" w:cs="宋体"/>
                <w:color w:val="auto"/>
                <w:szCs w:val="21"/>
                <w:highlight w:val="none"/>
              </w:rPr>
              <w:t>4台</w:t>
            </w:r>
          </w:p>
        </w:tc>
        <w:tc>
          <w:tcPr>
            <w:tcW w:w="701" w:type="dxa"/>
            <w:tcBorders>
              <w:right w:val="single" w:color="auto" w:sz="4" w:space="0"/>
            </w:tcBorders>
            <w:shd w:val="clear" w:color="auto" w:fill="auto"/>
            <w:vAlign w:val="center"/>
          </w:tcPr>
          <w:p w14:paraId="688A65FA">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工业</w:t>
            </w:r>
          </w:p>
        </w:tc>
        <w:tc>
          <w:tcPr>
            <w:tcW w:w="6527" w:type="dxa"/>
            <w:tcBorders>
              <w:left w:val="single" w:color="auto" w:sz="4" w:space="0"/>
              <w:right w:val="single" w:color="auto" w:sz="4" w:space="0"/>
            </w:tcBorders>
            <w:shd w:val="clear" w:color="auto" w:fill="auto"/>
          </w:tcPr>
          <w:p w14:paraId="274687E8">
            <w:pPr>
              <w:jc w:val="left"/>
              <w:rPr>
                <w:rFonts w:ascii="宋体" w:hAnsi="宋体" w:cs="宋体"/>
                <w:color w:val="auto"/>
                <w:szCs w:val="21"/>
                <w:highlight w:val="none"/>
              </w:rPr>
            </w:pPr>
            <w:r>
              <w:rPr>
                <w:rFonts w:hint="eastAsia" w:ascii="宋体" w:hAnsi="宋体" w:cs="宋体"/>
                <w:color w:val="auto"/>
                <w:szCs w:val="21"/>
                <w:highlight w:val="none"/>
              </w:rPr>
              <w:t>1.终端采用国产芯片、国产自主可控嵌入式linux系统，并且采用输入输出一体化设计，根据需求可任意配置为输入终端、输出终端、KVM输入终端或KVM输出终端。</w:t>
            </w:r>
          </w:p>
          <w:p w14:paraId="57F8894A">
            <w:pPr>
              <w:jc w:val="left"/>
              <w:rPr>
                <w:rFonts w:ascii="宋体" w:hAnsi="宋体" w:cs="宋体"/>
                <w:color w:val="auto"/>
                <w:szCs w:val="21"/>
                <w:highlight w:val="none"/>
              </w:rPr>
            </w:pPr>
            <w:r>
              <w:rPr>
                <w:rFonts w:hint="eastAsia" w:ascii="宋体" w:hAnsi="宋体" w:cs="宋体"/>
                <w:color w:val="auto"/>
                <w:szCs w:val="21"/>
                <w:highlight w:val="none"/>
              </w:rPr>
              <w:t>2.支持国密算法SM2、SM3、SM4对信令和媒体流进行加密传输，确保数据安全可控。</w:t>
            </w:r>
          </w:p>
          <w:p w14:paraId="2E8D98E3">
            <w:pPr>
              <w:jc w:val="left"/>
              <w:rPr>
                <w:rFonts w:ascii="宋体" w:hAnsi="宋体" w:cs="宋体"/>
                <w:color w:val="auto"/>
                <w:szCs w:val="21"/>
                <w:highlight w:val="none"/>
              </w:rPr>
            </w:pPr>
            <w:r>
              <w:rPr>
                <w:rFonts w:hint="eastAsia" w:ascii="宋体" w:hAnsi="宋体" w:cs="宋体"/>
                <w:color w:val="auto"/>
                <w:szCs w:val="21"/>
                <w:highlight w:val="none"/>
              </w:rPr>
              <w:t>3.作为输入节点时，支持≥4K@60fps高清视频信号输入并向下兼容，4K输入可同时兼容4K及2K输出终端；作为输出节点时，支持≥2路4K@60或≥8路1080P@60fps的H.264/H.265解码显示，具备画面平铺、缩放、叠加、分割功能。</w:t>
            </w:r>
          </w:p>
          <w:p w14:paraId="16599416">
            <w:pPr>
              <w:jc w:val="left"/>
              <w:rPr>
                <w:rFonts w:ascii="宋体" w:hAnsi="宋体" w:cs="宋体"/>
                <w:color w:val="auto"/>
                <w:szCs w:val="21"/>
                <w:highlight w:val="none"/>
              </w:rPr>
            </w:pPr>
            <w:r>
              <w:rPr>
                <w:rFonts w:hint="eastAsia" w:ascii="宋体" w:hAnsi="宋体" w:cs="宋体"/>
                <w:color w:val="auto"/>
                <w:szCs w:val="21"/>
                <w:highlight w:val="none"/>
              </w:rPr>
              <w:t>4.具有≥1路HDMI视频输入接口、≥1路HDMI视频输出接口、≥1路DP视频输出接口，≥1路3.5mm音频输入接口、≥1路3.5mm音频输出接口、≥1路3.5mm MIC输入接口，≥2路USB2.0、≥2路USB3.0、≥1路Type-C，以及≥2路网口、≥1路光纤接口。</w:t>
            </w:r>
          </w:p>
          <w:p w14:paraId="6A77EAA6">
            <w:pPr>
              <w:jc w:val="left"/>
              <w:rPr>
                <w:rFonts w:ascii="宋体" w:hAnsi="宋体" w:cs="宋体"/>
                <w:color w:val="auto"/>
                <w:szCs w:val="21"/>
                <w:highlight w:val="none"/>
              </w:rPr>
            </w:pPr>
            <w:r>
              <w:rPr>
                <w:rFonts w:hint="eastAsia" w:ascii="宋体" w:hAnsi="宋体" w:cs="宋体"/>
                <w:color w:val="auto"/>
                <w:szCs w:val="21"/>
                <w:highlight w:val="none"/>
              </w:rPr>
              <w:t>5.支持通过KVM安全接口限制USB设备的接入，只允许鼠标键盘HID设备接入。</w:t>
            </w:r>
          </w:p>
          <w:p w14:paraId="2FCBE797">
            <w:pPr>
              <w:jc w:val="left"/>
              <w:rPr>
                <w:rFonts w:ascii="宋体" w:hAnsi="宋体" w:cs="宋体"/>
                <w:color w:val="auto"/>
                <w:szCs w:val="21"/>
                <w:highlight w:val="none"/>
              </w:rPr>
            </w:pPr>
            <w:r>
              <w:rPr>
                <w:rFonts w:hint="eastAsia" w:ascii="宋体" w:hAnsi="宋体" w:cs="宋体"/>
                <w:color w:val="auto"/>
                <w:szCs w:val="21"/>
                <w:highlight w:val="none"/>
              </w:rPr>
              <w:t>6.支持USB透传功能，无需额外增加设备，无需额外使用单独的网络，仅需接一根网线或双向光纤线即可实现媒体、信令、USB透传数据的共同传输，可透传U盘、USB摄像机、U Key、USB HID等USB设备。</w:t>
            </w:r>
          </w:p>
          <w:p w14:paraId="1E6AC754">
            <w:pPr>
              <w:jc w:val="left"/>
              <w:rPr>
                <w:rFonts w:ascii="宋体" w:hAnsi="宋体" w:cs="宋体"/>
                <w:color w:val="auto"/>
                <w:szCs w:val="21"/>
                <w:highlight w:val="none"/>
              </w:rPr>
            </w:pPr>
            <w:r>
              <w:rPr>
                <w:rFonts w:hint="eastAsia" w:ascii="宋体" w:hAnsi="宋体" w:cs="宋体"/>
                <w:color w:val="auto"/>
                <w:szCs w:val="21"/>
                <w:highlight w:val="none"/>
              </w:rPr>
              <w:t>7.节点HDMI视频接口具备1至7级可调节保护卡扣装置。</w:t>
            </w:r>
          </w:p>
          <w:p w14:paraId="553B4FE0">
            <w:pPr>
              <w:jc w:val="left"/>
              <w:rPr>
                <w:rFonts w:ascii="宋体" w:hAnsi="宋体" w:cs="宋体"/>
                <w:color w:val="auto"/>
                <w:szCs w:val="21"/>
                <w:highlight w:val="none"/>
              </w:rPr>
            </w:pPr>
            <w:r>
              <w:rPr>
                <w:rFonts w:hint="eastAsia" w:ascii="宋体" w:hAnsi="宋体" w:cs="宋体"/>
                <w:color w:val="auto"/>
                <w:szCs w:val="21"/>
                <w:highlight w:val="none"/>
              </w:rPr>
              <w:t>▲8.支持KVM功能，在局域网内，视频信号经过采集、编码、传输、解码、显示后，与原始视频对比延迟在≤30ms。（投标时须提供经国家认可的第三方认证（检测）机构出具的带有CMA或CNAS标志的检测报告复印件。）</w:t>
            </w:r>
          </w:p>
          <w:p w14:paraId="3D7C13C5">
            <w:pPr>
              <w:jc w:val="left"/>
              <w:rPr>
                <w:rFonts w:ascii="宋体" w:hAnsi="宋体" w:cs="宋体"/>
                <w:color w:val="auto"/>
                <w:szCs w:val="21"/>
                <w:highlight w:val="none"/>
              </w:rPr>
            </w:pPr>
            <w:r>
              <w:rPr>
                <w:rFonts w:hint="eastAsia" w:ascii="宋体" w:hAnsi="宋体" w:cs="宋体"/>
                <w:color w:val="auto"/>
                <w:szCs w:val="21"/>
                <w:highlight w:val="none"/>
              </w:rPr>
              <w:t>9.具备中控功能，具备至少独立1路RS-485口、2路RS-232口、2路弱继电器口、3路IO口及4路红外输出接口，支持自定义编程。</w:t>
            </w:r>
          </w:p>
          <w:p w14:paraId="66B22704">
            <w:pPr>
              <w:jc w:val="left"/>
              <w:rPr>
                <w:rFonts w:ascii="宋体" w:hAnsi="宋体" w:cs="宋体"/>
                <w:color w:val="auto"/>
                <w:szCs w:val="21"/>
                <w:highlight w:val="none"/>
              </w:rPr>
            </w:pPr>
            <w:r>
              <w:rPr>
                <w:rFonts w:hint="eastAsia" w:ascii="宋体" w:hAnsi="宋体" w:cs="宋体"/>
                <w:color w:val="auto"/>
                <w:szCs w:val="21"/>
                <w:highlight w:val="none"/>
              </w:rPr>
              <w:t>10.作为输出节点时，支持设置音频均衡器，可启用或关闭均衡器，启用或关闭动态压缩，内置≥18种常用的均衡器场景，可以一键切换，也可全自定义设置，针对60Hz、170Hz、310Hz、600Hz、1KHz、3KHz、6KHz、12KHz、14KHz、16KHz等不同频段的音频可以单独控制增益，范围是-20dB至20dB。</w:t>
            </w:r>
          </w:p>
          <w:p w14:paraId="4B669C75">
            <w:pPr>
              <w:jc w:val="left"/>
              <w:rPr>
                <w:rFonts w:ascii="宋体" w:hAnsi="宋体" w:cs="宋体"/>
                <w:color w:val="auto"/>
                <w:szCs w:val="21"/>
                <w:highlight w:val="none"/>
              </w:rPr>
            </w:pPr>
            <w:r>
              <w:rPr>
                <w:rFonts w:hint="eastAsia" w:ascii="宋体" w:hAnsi="宋体" w:cs="宋体"/>
                <w:color w:val="auto"/>
                <w:szCs w:val="21"/>
                <w:highlight w:val="none"/>
              </w:rPr>
              <w:t>11.在不增加外部设备的情况下，具有在输入源上增加图片或者添加文字作为输入源台标的功能；具有字幕显示功能，可设置字体类型、排列方式、字体大小、字体颜色、背景颜色、透明度、滚动速度、字体间距、是否居中、显示位置等，其中字幕的排列方式具有横向、竖向可选；以及具有底图功能，可在软件上启用或禁用底图功能。</w:t>
            </w:r>
          </w:p>
          <w:p w14:paraId="71507950">
            <w:pPr>
              <w:jc w:val="left"/>
              <w:rPr>
                <w:rFonts w:ascii="宋体" w:hAnsi="宋体" w:cs="宋体"/>
                <w:color w:val="auto"/>
                <w:szCs w:val="21"/>
                <w:highlight w:val="none"/>
              </w:rPr>
            </w:pPr>
            <w:r>
              <w:rPr>
                <w:rFonts w:hint="eastAsia" w:ascii="宋体" w:hAnsi="宋体" w:cs="宋体"/>
                <w:color w:val="auto"/>
                <w:szCs w:val="21"/>
                <w:highlight w:val="none"/>
              </w:rPr>
              <w:t>▲12.支持网络丢包时修复机制，20%网络丢包时，音视频清晰流畅，无卡顿、无马赛克。（投标时须提供经国家认可的第三方认证（检测）机构出具的带有CMA或CNAS标志的检测报告复印件。）</w:t>
            </w:r>
          </w:p>
          <w:p w14:paraId="40A5ABA0">
            <w:pPr>
              <w:jc w:val="left"/>
              <w:rPr>
                <w:rFonts w:ascii="宋体" w:hAnsi="宋体" w:cs="宋体"/>
                <w:color w:val="auto"/>
                <w:szCs w:val="21"/>
                <w:highlight w:val="none"/>
              </w:rPr>
            </w:pPr>
            <w:r>
              <w:rPr>
                <w:rFonts w:hint="eastAsia" w:ascii="宋体" w:hAnsi="宋体" w:cs="宋体"/>
                <w:color w:val="auto"/>
                <w:szCs w:val="21"/>
                <w:highlight w:val="none"/>
              </w:rPr>
              <w:t>13.内置交换机功能，节点与节点之间可用网线串联，实现设备间通信。</w:t>
            </w:r>
          </w:p>
          <w:p w14:paraId="296EAA75">
            <w:pPr>
              <w:jc w:val="left"/>
              <w:rPr>
                <w:rFonts w:ascii="宋体" w:hAnsi="宋体" w:cs="宋体"/>
                <w:color w:val="auto"/>
                <w:szCs w:val="21"/>
                <w:highlight w:val="none"/>
              </w:rPr>
            </w:pPr>
            <w:r>
              <w:rPr>
                <w:rFonts w:hint="eastAsia" w:ascii="宋体" w:hAnsi="宋体" w:cs="宋体"/>
                <w:color w:val="auto"/>
                <w:szCs w:val="21"/>
                <w:highlight w:val="none"/>
              </w:rPr>
              <w:t>14.支持信号双网口备份功能，可通过2路网口实现当主链路传输异常时，自动切换至备链路传输，显示图像不受影响；当主链路恢复时，自动切换回主链路传输，切换过程用户无操作、无黑场。</w:t>
            </w:r>
          </w:p>
          <w:p w14:paraId="41886DEF">
            <w:pPr>
              <w:jc w:val="left"/>
              <w:rPr>
                <w:rFonts w:ascii="宋体" w:hAnsi="宋体" w:cs="宋体"/>
                <w:color w:val="auto"/>
                <w:szCs w:val="21"/>
                <w:highlight w:val="none"/>
              </w:rPr>
            </w:pPr>
            <w:r>
              <w:rPr>
                <w:rFonts w:hint="eastAsia" w:ascii="宋体" w:hAnsi="宋体" w:cs="宋体"/>
                <w:color w:val="auto"/>
                <w:szCs w:val="21"/>
                <w:highlight w:val="none"/>
              </w:rPr>
              <w:t>15.支持信号光网备份功能，可通过1路光口和1路网口实现当网络链路传输异常时，自动切换至光链路传输，显示图像不受影响；当网络链路恢复时，自动切换回网络链路传输，切换过程用户无操作、无黑场。</w:t>
            </w:r>
          </w:p>
          <w:p w14:paraId="2583E034">
            <w:pPr>
              <w:jc w:val="left"/>
              <w:rPr>
                <w:rFonts w:ascii="宋体" w:hAnsi="宋体" w:cs="宋体"/>
                <w:color w:val="auto"/>
                <w:szCs w:val="21"/>
                <w:highlight w:val="none"/>
              </w:rPr>
            </w:pPr>
            <w:r>
              <w:rPr>
                <w:rFonts w:hint="eastAsia" w:ascii="宋体" w:hAnsi="宋体" w:cs="宋体"/>
                <w:color w:val="auto"/>
                <w:szCs w:val="21"/>
                <w:highlight w:val="none"/>
              </w:rPr>
              <w:t>▲16.支持OCR文字识别功能，可截取输入盒采集的一台电脑画面为图片进行分析，提取图片中的文字并通过KVM输出盒传输到另一台电脑，且提取的文字可粘贴到文件。（投标时须提供经国家认可的第三方认证（检测）机构出具的带有CMA或CNAS标志的检测报告复印件。）</w:t>
            </w:r>
          </w:p>
        </w:tc>
      </w:tr>
      <w:tr w14:paraId="65E98A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jc w:val="center"/>
        </w:trPr>
        <w:tc>
          <w:tcPr>
            <w:tcW w:w="659" w:type="dxa"/>
            <w:shd w:val="clear" w:color="auto" w:fill="auto"/>
            <w:vAlign w:val="center"/>
          </w:tcPr>
          <w:p w14:paraId="333FDF11">
            <w:pPr>
              <w:jc w:val="center"/>
              <w:rPr>
                <w:rFonts w:ascii="宋体" w:hAnsi="宋体" w:cs="宋体"/>
                <w:color w:val="auto"/>
                <w:szCs w:val="21"/>
                <w:highlight w:val="none"/>
              </w:rPr>
            </w:pPr>
            <w:r>
              <w:rPr>
                <w:rFonts w:hint="eastAsia" w:ascii="宋体" w:hAnsi="宋体" w:cs="宋体"/>
                <w:color w:val="auto"/>
                <w:szCs w:val="21"/>
                <w:highlight w:val="none"/>
              </w:rPr>
              <w:t>3.6</w:t>
            </w:r>
          </w:p>
        </w:tc>
        <w:tc>
          <w:tcPr>
            <w:tcW w:w="1148" w:type="dxa"/>
            <w:shd w:val="clear" w:color="auto" w:fill="auto"/>
            <w:vAlign w:val="center"/>
          </w:tcPr>
          <w:p w14:paraId="285704E8">
            <w:pPr>
              <w:jc w:val="center"/>
              <w:rPr>
                <w:rFonts w:ascii="宋体" w:hAnsi="宋体" w:cs="宋体"/>
                <w:color w:val="auto"/>
                <w:szCs w:val="21"/>
                <w:highlight w:val="none"/>
              </w:rPr>
            </w:pPr>
            <w:r>
              <w:rPr>
                <w:rFonts w:hint="eastAsia" w:ascii="宋体" w:hAnsi="宋体" w:cs="宋体"/>
                <w:color w:val="auto"/>
                <w:szCs w:val="21"/>
                <w:highlight w:val="none"/>
              </w:rPr>
              <w:t>VMS可视化管理系统终端嵌入式软件</w:t>
            </w:r>
          </w:p>
        </w:tc>
        <w:tc>
          <w:tcPr>
            <w:tcW w:w="961" w:type="dxa"/>
            <w:shd w:val="clear" w:color="auto" w:fill="auto"/>
            <w:vAlign w:val="center"/>
          </w:tcPr>
          <w:p w14:paraId="1429C388">
            <w:pPr>
              <w:jc w:val="center"/>
              <w:rPr>
                <w:rFonts w:ascii="宋体" w:hAnsi="宋体" w:cs="宋体"/>
                <w:color w:val="auto"/>
                <w:szCs w:val="21"/>
                <w:highlight w:val="none"/>
              </w:rPr>
            </w:pPr>
            <w:r>
              <w:rPr>
                <w:rFonts w:hint="eastAsia" w:ascii="宋体" w:hAnsi="宋体" w:cs="宋体"/>
                <w:color w:val="auto"/>
                <w:szCs w:val="21"/>
                <w:highlight w:val="none"/>
              </w:rPr>
              <w:t>4套</w:t>
            </w:r>
          </w:p>
        </w:tc>
        <w:tc>
          <w:tcPr>
            <w:tcW w:w="701" w:type="dxa"/>
            <w:tcBorders>
              <w:right w:val="single" w:color="auto" w:sz="4" w:space="0"/>
            </w:tcBorders>
            <w:shd w:val="clear" w:color="auto" w:fill="auto"/>
            <w:vAlign w:val="center"/>
          </w:tcPr>
          <w:p w14:paraId="45F9DD07">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w:t>
            </w:r>
          </w:p>
        </w:tc>
        <w:tc>
          <w:tcPr>
            <w:tcW w:w="6527" w:type="dxa"/>
            <w:tcBorders>
              <w:left w:val="single" w:color="auto" w:sz="4" w:space="0"/>
              <w:right w:val="single" w:color="auto" w:sz="4" w:space="0"/>
            </w:tcBorders>
            <w:shd w:val="clear" w:color="auto" w:fill="auto"/>
          </w:tcPr>
          <w:p w14:paraId="541A5D18">
            <w:pPr>
              <w:jc w:val="left"/>
              <w:rPr>
                <w:rFonts w:ascii="宋体" w:hAnsi="宋体" w:cs="宋体"/>
                <w:color w:val="auto"/>
                <w:szCs w:val="21"/>
                <w:highlight w:val="none"/>
              </w:rPr>
            </w:pPr>
            <w:r>
              <w:rPr>
                <w:rFonts w:hint="eastAsia" w:ascii="宋体" w:hAnsi="宋体" w:cs="宋体"/>
                <w:color w:val="auto"/>
                <w:szCs w:val="21"/>
                <w:highlight w:val="none"/>
              </w:rPr>
              <w:t>1.软件内嵌于分布式综合管理系统终端设备，用于对音视频、控制信号的编解码。</w:t>
            </w:r>
          </w:p>
          <w:p w14:paraId="1CFA478F">
            <w:pPr>
              <w:jc w:val="left"/>
              <w:rPr>
                <w:rFonts w:ascii="宋体" w:hAnsi="宋体" w:cs="宋体"/>
                <w:color w:val="auto"/>
                <w:szCs w:val="21"/>
                <w:highlight w:val="none"/>
              </w:rPr>
            </w:pPr>
            <w:r>
              <w:rPr>
                <w:rFonts w:hint="eastAsia" w:ascii="宋体" w:hAnsi="宋体" w:cs="宋体"/>
                <w:color w:val="auto"/>
                <w:szCs w:val="21"/>
                <w:highlight w:val="none"/>
              </w:rPr>
              <w:t>2.支持高性能的H.265视频编解码技术，兼容H.264视频编解码技术。</w:t>
            </w:r>
          </w:p>
          <w:p w14:paraId="47E60BFE">
            <w:pPr>
              <w:jc w:val="left"/>
              <w:rPr>
                <w:rFonts w:ascii="宋体" w:hAnsi="宋体" w:cs="宋体"/>
                <w:color w:val="auto"/>
                <w:szCs w:val="21"/>
                <w:highlight w:val="none"/>
              </w:rPr>
            </w:pPr>
            <w:r>
              <w:rPr>
                <w:rFonts w:hint="eastAsia" w:ascii="宋体" w:hAnsi="宋体" w:cs="宋体"/>
                <w:color w:val="auto"/>
                <w:szCs w:val="21"/>
                <w:highlight w:val="none"/>
              </w:rPr>
              <w:t>3.支持对3840*2160P60帧视频分辨率的处理，可实现对高清视频信号的采集编码、传输。</w:t>
            </w:r>
          </w:p>
          <w:p w14:paraId="6089259C">
            <w:pPr>
              <w:jc w:val="left"/>
              <w:rPr>
                <w:rFonts w:ascii="宋体" w:hAnsi="宋体" w:cs="宋体"/>
                <w:color w:val="auto"/>
                <w:szCs w:val="21"/>
                <w:highlight w:val="none"/>
              </w:rPr>
            </w:pPr>
            <w:r>
              <w:rPr>
                <w:rFonts w:hint="eastAsia" w:ascii="宋体" w:hAnsi="宋体" w:cs="宋体"/>
                <w:color w:val="auto"/>
                <w:szCs w:val="21"/>
                <w:highlight w:val="none"/>
              </w:rPr>
              <w:t>4.支持PCM音频无损传输。</w:t>
            </w:r>
          </w:p>
          <w:p w14:paraId="39AFCDB2">
            <w:pPr>
              <w:jc w:val="left"/>
              <w:rPr>
                <w:rFonts w:ascii="宋体" w:hAnsi="宋体" w:cs="宋体"/>
                <w:color w:val="auto"/>
                <w:szCs w:val="21"/>
                <w:highlight w:val="none"/>
              </w:rPr>
            </w:pPr>
            <w:r>
              <w:rPr>
                <w:rFonts w:hint="eastAsia" w:ascii="宋体" w:hAnsi="宋体" w:cs="宋体"/>
                <w:color w:val="auto"/>
                <w:szCs w:val="21"/>
                <w:highlight w:val="none"/>
              </w:rPr>
              <w:t>5.支持通过网络方式远程对终端进行管理，可修改IP地址信息、查看状态。</w:t>
            </w:r>
          </w:p>
        </w:tc>
      </w:tr>
      <w:tr w14:paraId="77D44E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jc w:val="center"/>
        </w:trPr>
        <w:tc>
          <w:tcPr>
            <w:tcW w:w="9996" w:type="dxa"/>
            <w:gridSpan w:val="5"/>
            <w:tcBorders>
              <w:right w:val="single" w:color="auto" w:sz="4" w:space="0"/>
            </w:tcBorders>
            <w:shd w:val="clear" w:color="auto" w:fill="auto"/>
            <w:vAlign w:val="center"/>
          </w:tcPr>
          <w:p w14:paraId="1FCC1FEA">
            <w:pPr>
              <w:jc w:val="left"/>
              <w:rPr>
                <w:rFonts w:ascii="宋体" w:hAnsi="宋体" w:cs="宋体"/>
                <w:color w:val="auto"/>
                <w:szCs w:val="21"/>
                <w:highlight w:val="none"/>
              </w:rPr>
            </w:pPr>
            <w:r>
              <w:rPr>
                <w:rFonts w:hint="eastAsia" w:ascii="宋体" w:hAnsi="宋体" w:cs="宋体"/>
                <w:b/>
                <w:bCs/>
                <w:color w:val="auto"/>
                <w:szCs w:val="21"/>
                <w:highlight w:val="none"/>
              </w:rPr>
              <w:t>4.分布式KVM坐席协作管理系统</w:t>
            </w:r>
          </w:p>
        </w:tc>
      </w:tr>
      <w:tr w14:paraId="5E7C8C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jc w:val="center"/>
        </w:trPr>
        <w:tc>
          <w:tcPr>
            <w:tcW w:w="659" w:type="dxa"/>
            <w:shd w:val="clear" w:color="auto" w:fill="auto"/>
            <w:vAlign w:val="center"/>
          </w:tcPr>
          <w:p w14:paraId="10A4A94C">
            <w:pPr>
              <w:jc w:val="center"/>
              <w:rPr>
                <w:rFonts w:ascii="宋体" w:hAnsi="宋体" w:cs="宋体"/>
                <w:color w:val="auto"/>
                <w:szCs w:val="21"/>
                <w:highlight w:val="none"/>
              </w:rPr>
            </w:pPr>
            <w:r>
              <w:rPr>
                <w:rFonts w:hint="eastAsia" w:ascii="宋体" w:hAnsi="宋体" w:cs="宋体"/>
                <w:color w:val="auto"/>
                <w:szCs w:val="21"/>
                <w:highlight w:val="none"/>
              </w:rPr>
              <w:t>4.1</w:t>
            </w:r>
          </w:p>
        </w:tc>
        <w:tc>
          <w:tcPr>
            <w:tcW w:w="1148" w:type="dxa"/>
            <w:shd w:val="clear" w:color="auto" w:fill="auto"/>
            <w:vAlign w:val="center"/>
          </w:tcPr>
          <w:p w14:paraId="793A31F2">
            <w:pPr>
              <w:jc w:val="center"/>
              <w:rPr>
                <w:rFonts w:ascii="宋体" w:hAnsi="宋体" w:cs="宋体"/>
                <w:color w:val="auto"/>
                <w:szCs w:val="21"/>
                <w:highlight w:val="none"/>
              </w:rPr>
            </w:pPr>
            <w:r>
              <w:rPr>
                <w:rFonts w:hint="eastAsia" w:ascii="宋体" w:hAnsi="宋体" w:cs="宋体"/>
                <w:color w:val="auto"/>
                <w:szCs w:val="21"/>
                <w:highlight w:val="none"/>
              </w:rPr>
              <w:t>AI智慧一体式高清终端</w:t>
            </w:r>
          </w:p>
        </w:tc>
        <w:tc>
          <w:tcPr>
            <w:tcW w:w="961" w:type="dxa"/>
            <w:shd w:val="clear" w:color="auto" w:fill="auto"/>
            <w:vAlign w:val="center"/>
          </w:tcPr>
          <w:p w14:paraId="20DB804F">
            <w:pPr>
              <w:jc w:val="center"/>
              <w:rPr>
                <w:rFonts w:ascii="宋体" w:hAnsi="宋体" w:cs="宋体"/>
                <w:color w:val="auto"/>
                <w:szCs w:val="21"/>
                <w:highlight w:val="none"/>
              </w:rPr>
            </w:pPr>
            <w:r>
              <w:rPr>
                <w:rFonts w:hint="eastAsia" w:ascii="宋体" w:hAnsi="宋体" w:cs="宋体"/>
                <w:color w:val="auto"/>
                <w:szCs w:val="21"/>
                <w:highlight w:val="none"/>
              </w:rPr>
              <w:t>24台</w:t>
            </w:r>
          </w:p>
        </w:tc>
        <w:tc>
          <w:tcPr>
            <w:tcW w:w="701" w:type="dxa"/>
            <w:tcBorders>
              <w:right w:val="single" w:color="auto" w:sz="4" w:space="0"/>
            </w:tcBorders>
            <w:shd w:val="clear" w:color="auto" w:fill="auto"/>
            <w:vAlign w:val="center"/>
          </w:tcPr>
          <w:p w14:paraId="7CB0DAE9">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工业</w:t>
            </w:r>
          </w:p>
        </w:tc>
        <w:tc>
          <w:tcPr>
            <w:tcW w:w="6527" w:type="dxa"/>
            <w:tcBorders>
              <w:left w:val="single" w:color="auto" w:sz="4" w:space="0"/>
              <w:right w:val="single" w:color="auto" w:sz="4" w:space="0"/>
            </w:tcBorders>
            <w:shd w:val="clear" w:color="auto" w:fill="auto"/>
          </w:tcPr>
          <w:p w14:paraId="70D1DE72">
            <w:pPr>
              <w:jc w:val="left"/>
              <w:rPr>
                <w:rFonts w:ascii="宋体" w:hAnsi="宋体" w:cs="宋体"/>
                <w:color w:val="auto"/>
                <w:szCs w:val="21"/>
                <w:highlight w:val="none"/>
              </w:rPr>
            </w:pPr>
            <w:r>
              <w:rPr>
                <w:rFonts w:hint="eastAsia" w:ascii="宋体" w:hAnsi="宋体" w:cs="宋体"/>
                <w:color w:val="auto"/>
                <w:szCs w:val="21"/>
                <w:highlight w:val="none"/>
              </w:rPr>
              <w:t>1.终端采用国产芯片、国产自主可控嵌入式linux系统，并且采用输入输出一体化设计，根据需求可任意配置为输入终端、输出终端、KVM输入终端或KVM输出终端。</w:t>
            </w:r>
          </w:p>
          <w:p w14:paraId="4C7AA77B">
            <w:pPr>
              <w:jc w:val="left"/>
              <w:rPr>
                <w:rFonts w:ascii="宋体" w:hAnsi="宋体" w:cs="宋体"/>
                <w:color w:val="auto"/>
                <w:szCs w:val="21"/>
                <w:highlight w:val="none"/>
              </w:rPr>
            </w:pPr>
            <w:r>
              <w:rPr>
                <w:rFonts w:hint="eastAsia" w:ascii="宋体" w:hAnsi="宋体" w:cs="宋体"/>
                <w:color w:val="auto"/>
                <w:szCs w:val="21"/>
                <w:highlight w:val="none"/>
              </w:rPr>
              <w:t>2.支持国密算法SM2、SM3、SM4对信令和媒体流进行加密传输，确保数据安全可控。</w:t>
            </w:r>
          </w:p>
          <w:p w14:paraId="523BDDF2">
            <w:pPr>
              <w:jc w:val="left"/>
              <w:rPr>
                <w:rFonts w:ascii="宋体" w:hAnsi="宋体" w:cs="宋体"/>
                <w:color w:val="auto"/>
                <w:szCs w:val="21"/>
                <w:highlight w:val="none"/>
              </w:rPr>
            </w:pPr>
            <w:r>
              <w:rPr>
                <w:rFonts w:hint="eastAsia" w:ascii="宋体" w:hAnsi="宋体" w:cs="宋体"/>
                <w:color w:val="auto"/>
                <w:szCs w:val="21"/>
                <w:highlight w:val="none"/>
              </w:rPr>
              <w:t>3.作为输入节点时，支持≥4K@60fps高清视频信号输入并向下兼容，4K输入可同时兼容4K及2K输出终端；作为输出节点时，支持≥2路4K@60或≥8路1080P@60fps的H.264/H.265解码显示，具备画面平铺、缩放、叠加、分割功能。</w:t>
            </w:r>
          </w:p>
          <w:p w14:paraId="32F6E2CA">
            <w:pPr>
              <w:jc w:val="left"/>
              <w:rPr>
                <w:rFonts w:ascii="宋体" w:hAnsi="宋体" w:cs="宋体"/>
                <w:color w:val="auto"/>
                <w:szCs w:val="21"/>
                <w:highlight w:val="none"/>
              </w:rPr>
            </w:pPr>
            <w:r>
              <w:rPr>
                <w:rFonts w:hint="eastAsia" w:ascii="宋体" w:hAnsi="宋体" w:cs="宋体"/>
                <w:color w:val="auto"/>
                <w:szCs w:val="21"/>
                <w:highlight w:val="none"/>
              </w:rPr>
              <w:t>4.具有≥1路HDMI视频输入接口、≥1路HDMI视频输出接口、≥1路DP视频输出接口，≥1路3.5mm音频输入接口、≥1路3.5mm音频输出接口、≥1路3.5mm MIC输入接口，≥2路USB2.0、≥2路USB3.0、≥1路Type-C，以及≥2路网口、≥1路光纤接口。</w:t>
            </w:r>
          </w:p>
          <w:p w14:paraId="1451026E">
            <w:pPr>
              <w:jc w:val="left"/>
              <w:rPr>
                <w:rFonts w:ascii="宋体" w:hAnsi="宋体" w:cs="宋体"/>
                <w:color w:val="auto"/>
                <w:szCs w:val="21"/>
                <w:highlight w:val="none"/>
              </w:rPr>
            </w:pPr>
            <w:r>
              <w:rPr>
                <w:rFonts w:hint="eastAsia" w:ascii="宋体" w:hAnsi="宋体" w:cs="宋体"/>
                <w:color w:val="auto"/>
                <w:szCs w:val="21"/>
                <w:highlight w:val="none"/>
              </w:rPr>
              <w:t>5.支持通过KVM安全接口限制USB设备的接入，只允许鼠标键盘HID设备接入。</w:t>
            </w:r>
          </w:p>
          <w:p w14:paraId="6444F96F">
            <w:pPr>
              <w:jc w:val="left"/>
              <w:rPr>
                <w:rFonts w:ascii="宋体" w:hAnsi="宋体" w:cs="宋体"/>
                <w:color w:val="auto"/>
                <w:szCs w:val="21"/>
                <w:highlight w:val="none"/>
              </w:rPr>
            </w:pPr>
            <w:r>
              <w:rPr>
                <w:rFonts w:hint="eastAsia" w:ascii="宋体" w:hAnsi="宋体" w:cs="宋体"/>
                <w:color w:val="auto"/>
                <w:szCs w:val="21"/>
                <w:highlight w:val="none"/>
              </w:rPr>
              <w:t>6.支持USB透传功能，无需额外增加设备，无需额外使用单独的网络，仅需接一根网线或双向光纤线即可实现媒体、信令、USB透传数据的共同传输，可透传U盘、USB摄像机、U Key、USB HID等USB设备。</w:t>
            </w:r>
          </w:p>
          <w:p w14:paraId="20CF56A6">
            <w:pPr>
              <w:jc w:val="left"/>
              <w:rPr>
                <w:rFonts w:ascii="宋体" w:hAnsi="宋体" w:cs="宋体"/>
                <w:color w:val="auto"/>
                <w:szCs w:val="21"/>
                <w:highlight w:val="none"/>
              </w:rPr>
            </w:pPr>
            <w:r>
              <w:rPr>
                <w:rFonts w:hint="eastAsia" w:ascii="宋体" w:hAnsi="宋体" w:cs="宋体"/>
                <w:color w:val="auto"/>
                <w:szCs w:val="21"/>
                <w:highlight w:val="none"/>
              </w:rPr>
              <w:t>7.节点HDMI视频接口具备1至7级可调节保护卡扣装置。</w:t>
            </w:r>
          </w:p>
          <w:p w14:paraId="6F45C102">
            <w:pPr>
              <w:jc w:val="left"/>
              <w:rPr>
                <w:rFonts w:ascii="宋体" w:hAnsi="宋体" w:cs="宋体"/>
                <w:color w:val="auto"/>
                <w:szCs w:val="21"/>
                <w:highlight w:val="none"/>
              </w:rPr>
            </w:pPr>
            <w:r>
              <w:rPr>
                <w:rFonts w:hint="eastAsia" w:ascii="宋体" w:hAnsi="宋体" w:cs="宋体"/>
                <w:color w:val="auto"/>
                <w:szCs w:val="21"/>
                <w:highlight w:val="none"/>
              </w:rPr>
              <w:t>▲8.支持KVM功能，在局域网内，视频信号经过采集、编码、传输、解码、显示后，与原始视频对比延迟在≤30ms。（投标时须提供经国家认可的第三方认证（检测）机构出具的带有CMA或CNAS标志的检测报告复印件。）</w:t>
            </w:r>
          </w:p>
          <w:p w14:paraId="4D1E8BF3">
            <w:pPr>
              <w:jc w:val="left"/>
              <w:rPr>
                <w:rFonts w:ascii="宋体" w:hAnsi="宋体" w:cs="宋体"/>
                <w:color w:val="auto"/>
                <w:szCs w:val="21"/>
                <w:highlight w:val="none"/>
              </w:rPr>
            </w:pPr>
            <w:r>
              <w:rPr>
                <w:rFonts w:hint="eastAsia" w:ascii="宋体" w:hAnsi="宋体" w:cs="宋体"/>
                <w:color w:val="auto"/>
                <w:szCs w:val="21"/>
                <w:highlight w:val="none"/>
              </w:rPr>
              <w:t>9.具备中控功能，具备至少独立1路RS-485口、2路RS-232口、2路弱继电器口、3路IO口及4路红外输出接口，支持自定义编程。</w:t>
            </w:r>
          </w:p>
          <w:p w14:paraId="0180C01A">
            <w:pPr>
              <w:jc w:val="left"/>
              <w:rPr>
                <w:rFonts w:ascii="宋体" w:hAnsi="宋体" w:cs="宋体"/>
                <w:color w:val="auto"/>
                <w:szCs w:val="21"/>
                <w:highlight w:val="none"/>
              </w:rPr>
            </w:pPr>
            <w:r>
              <w:rPr>
                <w:rFonts w:hint="eastAsia" w:ascii="宋体" w:hAnsi="宋体" w:cs="宋体"/>
                <w:color w:val="auto"/>
                <w:szCs w:val="21"/>
                <w:highlight w:val="none"/>
              </w:rPr>
              <w:t>10.作为输出节点时，支持设置音频均衡器，可启用或关闭均衡器，启用或关闭动态压缩，内置≥18种常用的均衡器场景，可以一键切换，也可全自定义设置，针对60Hz、170Hz、310Hz、600Hz、1KHz、3KHz、6KHz、12KHz、14KHz、16KHz等不同频段的音频可以单独控制增益，范围是-20dB至20dB。</w:t>
            </w:r>
          </w:p>
          <w:p w14:paraId="5ABAB77A">
            <w:pPr>
              <w:jc w:val="left"/>
              <w:rPr>
                <w:rFonts w:ascii="宋体" w:hAnsi="宋体" w:cs="宋体"/>
                <w:color w:val="auto"/>
                <w:szCs w:val="21"/>
                <w:highlight w:val="none"/>
              </w:rPr>
            </w:pPr>
            <w:r>
              <w:rPr>
                <w:rFonts w:hint="eastAsia" w:ascii="宋体" w:hAnsi="宋体" w:cs="宋体"/>
                <w:color w:val="auto"/>
                <w:szCs w:val="21"/>
                <w:highlight w:val="none"/>
              </w:rPr>
              <w:t>11.在不增加外部设备的情况下，具有在输入源上增加图片或者添加文字作为输入源台标的功能；具有字幕显示功能，可设置字体类型、排列方式、字体大小、字体颜色、背景颜色、透明度、滚动速度、字体间距、是否居中、显示位置等，其中字幕的排列方式具有横向、竖向可选；以及具有底图功能，可在软件上启用或禁用底图功能。</w:t>
            </w:r>
          </w:p>
          <w:p w14:paraId="235787AF">
            <w:pPr>
              <w:jc w:val="left"/>
              <w:rPr>
                <w:rFonts w:ascii="宋体" w:hAnsi="宋体" w:cs="宋体"/>
                <w:color w:val="auto"/>
                <w:szCs w:val="21"/>
                <w:highlight w:val="none"/>
              </w:rPr>
            </w:pPr>
            <w:r>
              <w:rPr>
                <w:rFonts w:hint="eastAsia" w:ascii="宋体" w:hAnsi="宋体" w:cs="宋体"/>
                <w:color w:val="auto"/>
                <w:szCs w:val="21"/>
                <w:highlight w:val="none"/>
              </w:rPr>
              <w:t>▲12.支持网络丢包时修复机制，20%网络丢包时，音视频清晰流畅，无卡顿、无马赛克。（投标时须提供经国家认可的第三方认证（检测）机构出具的带有CMA或CNAS标志的检测报告复印件。）</w:t>
            </w:r>
          </w:p>
          <w:p w14:paraId="5C46B954">
            <w:pPr>
              <w:jc w:val="left"/>
              <w:rPr>
                <w:rFonts w:ascii="宋体" w:hAnsi="宋体" w:cs="宋体"/>
                <w:color w:val="auto"/>
                <w:szCs w:val="21"/>
                <w:highlight w:val="none"/>
              </w:rPr>
            </w:pPr>
            <w:r>
              <w:rPr>
                <w:rFonts w:hint="eastAsia" w:ascii="宋体" w:hAnsi="宋体" w:cs="宋体"/>
                <w:color w:val="auto"/>
                <w:szCs w:val="21"/>
                <w:highlight w:val="none"/>
              </w:rPr>
              <w:t>13.内置交换机功能，节点与节点之间可用网线串联，实现设备间通信。</w:t>
            </w:r>
          </w:p>
          <w:p w14:paraId="4DAA40DB">
            <w:pPr>
              <w:jc w:val="left"/>
              <w:rPr>
                <w:rFonts w:ascii="宋体" w:hAnsi="宋体" w:cs="宋体"/>
                <w:color w:val="auto"/>
                <w:szCs w:val="21"/>
                <w:highlight w:val="none"/>
              </w:rPr>
            </w:pPr>
            <w:r>
              <w:rPr>
                <w:rFonts w:hint="eastAsia" w:ascii="宋体" w:hAnsi="宋体" w:cs="宋体"/>
                <w:color w:val="auto"/>
                <w:szCs w:val="21"/>
                <w:highlight w:val="none"/>
              </w:rPr>
              <w:t>14.支持信号双网口备份功能，可通过2路网口实现当主链路传输异常时，自动切换至备链路传输，显示图像不受影响；当主链路恢复时，自动切换回主链路传输，切换过程用户无操作、无黑场。</w:t>
            </w:r>
          </w:p>
          <w:p w14:paraId="5A5664B7">
            <w:pPr>
              <w:jc w:val="left"/>
              <w:rPr>
                <w:rFonts w:ascii="宋体" w:hAnsi="宋体" w:cs="宋体"/>
                <w:color w:val="auto"/>
                <w:szCs w:val="21"/>
                <w:highlight w:val="none"/>
              </w:rPr>
            </w:pPr>
            <w:r>
              <w:rPr>
                <w:rFonts w:hint="eastAsia" w:ascii="宋体" w:hAnsi="宋体" w:cs="宋体"/>
                <w:color w:val="auto"/>
                <w:szCs w:val="21"/>
                <w:highlight w:val="none"/>
              </w:rPr>
              <w:t>15.支持信号光网备份功能，可通过1路光口和1路网口实现当网络链路传输异常时，自动切换至光链路传输，显示图像不受影响；当网络链路恢复时，自动切换回网络链路传输，切换过程用户无操作、无黑场。</w:t>
            </w:r>
          </w:p>
          <w:p w14:paraId="5B176ED8">
            <w:pPr>
              <w:jc w:val="left"/>
              <w:rPr>
                <w:rFonts w:ascii="宋体" w:hAnsi="宋体" w:cs="宋体"/>
                <w:color w:val="auto"/>
                <w:szCs w:val="21"/>
                <w:highlight w:val="none"/>
              </w:rPr>
            </w:pPr>
            <w:r>
              <w:rPr>
                <w:rFonts w:hint="eastAsia" w:ascii="宋体" w:hAnsi="宋体" w:cs="宋体"/>
                <w:color w:val="auto"/>
                <w:szCs w:val="21"/>
                <w:highlight w:val="none"/>
              </w:rPr>
              <w:t>▲16.支持OCR文字识别功能，可截取输入盒采集的一台电脑画面为图片进行分析，提取图片中的文字并通过KVM输出盒传输到另一台电脑，且提取的文字可粘贴到文件。（投标时须提供经国家认可的第三方认证（检测）机构出具的带有CMA或CNAS标志的检测报告复印件。）</w:t>
            </w:r>
          </w:p>
        </w:tc>
      </w:tr>
      <w:tr w14:paraId="239F99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jc w:val="center"/>
        </w:trPr>
        <w:tc>
          <w:tcPr>
            <w:tcW w:w="659" w:type="dxa"/>
            <w:shd w:val="clear" w:color="auto" w:fill="auto"/>
            <w:vAlign w:val="center"/>
          </w:tcPr>
          <w:p w14:paraId="09E5CDCB">
            <w:pPr>
              <w:jc w:val="center"/>
              <w:rPr>
                <w:rFonts w:ascii="宋体" w:hAnsi="宋体" w:cs="宋体"/>
                <w:color w:val="auto"/>
                <w:szCs w:val="21"/>
                <w:highlight w:val="none"/>
              </w:rPr>
            </w:pPr>
            <w:r>
              <w:rPr>
                <w:rFonts w:hint="eastAsia" w:ascii="宋体" w:hAnsi="宋体" w:cs="宋体"/>
                <w:color w:val="auto"/>
                <w:szCs w:val="21"/>
                <w:highlight w:val="none"/>
              </w:rPr>
              <w:t>4.2</w:t>
            </w:r>
          </w:p>
        </w:tc>
        <w:tc>
          <w:tcPr>
            <w:tcW w:w="1148" w:type="dxa"/>
            <w:shd w:val="clear" w:color="auto" w:fill="auto"/>
            <w:vAlign w:val="center"/>
          </w:tcPr>
          <w:p w14:paraId="02F7B9F0">
            <w:pPr>
              <w:jc w:val="center"/>
              <w:rPr>
                <w:rFonts w:ascii="宋体" w:hAnsi="宋体" w:cs="宋体"/>
                <w:color w:val="auto"/>
                <w:szCs w:val="21"/>
                <w:highlight w:val="none"/>
              </w:rPr>
            </w:pPr>
            <w:r>
              <w:rPr>
                <w:rFonts w:hint="eastAsia" w:ascii="宋体" w:hAnsi="宋体" w:cs="宋体"/>
                <w:color w:val="auto"/>
                <w:szCs w:val="21"/>
                <w:highlight w:val="none"/>
              </w:rPr>
              <w:t>VMS可视化管理系统终端嵌入式软件</w:t>
            </w:r>
          </w:p>
        </w:tc>
        <w:tc>
          <w:tcPr>
            <w:tcW w:w="961" w:type="dxa"/>
            <w:shd w:val="clear" w:color="auto" w:fill="auto"/>
            <w:vAlign w:val="center"/>
          </w:tcPr>
          <w:p w14:paraId="64E4B76D">
            <w:pPr>
              <w:jc w:val="center"/>
              <w:rPr>
                <w:rFonts w:ascii="宋体" w:hAnsi="宋体" w:cs="宋体"/>
                <w:color w:val="auto"/>
                <w:szCs w:val="21"/>
                <w:highlight w:val="none"/>
              </w:rPr>
            </w:pPr>
            <w:r>
              <w:rPr>
                <w:rFonts w:hint="eastAsia" w:ascii="宋体" w:hAnsi="宋体" w:cs="宋体"/>
                <w:color w:val="auto"/>
                <w:szCs w:val="21"/>
                <w:highlight w:val="none"/>
              </w:rPr>
              <w:t>24套</w:t>
            </w:r>
          </w:p>
        </w:tc>
        <w:tc>
          <w:tcPr>
            <w:tcW w:w="701" w:type="dxa"/>
            <w:tcBorders>
              <w:right w:val="single" w:color="auto" w:sz="4" w:space="0"/>
            </w:tcBorders>
            <w:shd w:val="clear" w:color="auto" w:fill="auto"/>
            <w:vAlign w:val="center"/>
          </w:tcPr>
          <w:p w14:paraId="54FC9DC0">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w:t>
            </w:r>
          </w:p>
        </w:tc>
        <w:tc>
          <w:tcPr>
            <w:tcW w:w="6527" w:type="dxa"/>
            <w:tcBorders>
              <w:left w:val="single" w:color="auto" w:sz="4" w:space="0"/>
              <w:right w:val="single" w:color="auto" w:sz="4" w:space="0"/>
            </w:tcBorders>
            <w:shd w:val="clear" w:color="auto" w:fill="auto"/>
          </w:tcPr>
          <w:p w14:paraId="05D8BE46">
            <w:pPr>
              <w:jc w:val="left"/>
              <w:rPr>
                <w:rFonts w:ascii="宋体" w:hAnsi="宋体" w:cs="宋体"/>
                <w:color w:val="auto"/>
                <w:szCs w:val="21"/>
                <w:highlight w:val="none"/>
              </w:rPr>
            </w:pPr>
            <w:r>
              <w:rPr>
                <w:rFonts w:hint="eastAsia" w:ascii="宋体" w:hAnsi="宋体" w:cs="宋体"/>
                <w:color w:val="auto"/>
                <w:szCs w:val="21"/>
                <w:highlight w:val="none"/>
              </w:rPr>
              <w:t>1.软件内嵌于分布式综合管理系统终端设备，用于对音视频、控制信号的编解码。</w:t>
            </w:r>
          </w:p>
          <w:p w14:paraId="76029663">
            <w:pPr>
              <w:jc w:val="left"/>
              <w:rPr>
                <w:rFonts w:ascii="宋体" w:hAnsi="宋体" w:cs="宋体"/>
                <w:color w:val="auto"/>
                <w:szCs w:val="21"/>
                <w:highlight w:val="none"/>
              </w:rPr>
            </w:pPr>
            <w:r>
              <w:rPr>
                <w:rFonts w:hint="eastAsia" w:ascii="宋体" w:hAnsi="宋体" w:cs="宋体"/>
                <w:color w:val="auto"/>
                <w:szCs w:val="21"/>
                <w:highlight w:val="none"/>
              </w:rPr>
              <w:t>2.支持高性能的H.265视频编解码技术，兼容H.264视频编解码技术。</w:t>
            </w:r>
          </w:p>
          <w:p w14:paraId="6D63DF0A">
            <w:pPr>
              <w:jc w:val="left"/>
              <w:rPr>
                <w:rFonts w:ascii="宋体" w:hAnsi="宋体" w:cs="宋体"/>
                <w:color w:val="auto"/>
                <w:szCs w:val="21"/>
                <w:highlight w:val="none"/>
              </w:rPr>
            </w:pPr>
            <w:r>
              <w:rPr>
                <w:rFonts w:hint="eastAsia" w:ascii="宋体" w:hAnsi="宋体" w:cs="宋体"/>
                <w:color w:val="auto"/>
                <w:szCs w:val="21"/>
                <w:highlight w:val="none"/>
              </w:rPr>
              <w:t>3.支持对3840*2160P60帧视频分辨率的处理，可实现对高清视频信号的采集编码、传输。</w:t>
            </w:r>
          </w:p>
          <w:p w14:paraId="6D534ED0">
            <w:pPr>
              <w:jc w:val="left"/>
              <w:rPr>
                <w:rFonts w:ascii="宋体" w:hAnsi="宋体" w:cs="宋体"/>
                <w:color w:val="auto"/>
                <w:szCs w:val="21"/>
                <w:highlight w:val="none"/>
              </w:rPr>
            </w:pPr>
            <w:r>
              <w:rPr>
                <w:rFonts w:hint="eastAsia" w:ascii="宋体" w:hAnsi="宋体" w:cs="宋体"/>
                <w:color w:val="auto"/>
                <w:szCs w:val="21"/>
                <w:highlight w:val="none"/>
              </w:rPr>
              <w:t>4.支持PCM音频无损传输。</w:t>
            </w:r>
          </w:p>
          <w:p w14:paraId="09996D62">
            <w:pPr>
              <w:jc w:val="left"/>
              <w:rPr>
                <w:rFonts w:ascii="宋体" w:hAnsi="宋体" w:cs="宋体"/>
                <w:color w:val="auto"/>
                <w:szCs w:val="21"/>
                <w:highlight w:val="none"/>
              </w:rPr>
            </w:pPr>
            <w:r>
              <w:rPr>
                <w:rFonts w:hint="eastAsia" w:ascii="宋体" w:hAnsi="宋体" w:cs="宋体"/>
                <w:color w:val="auto"/>
                <w:szCs w:val="21"/>
                <w:highlight w:val="none"/>
              </w:rPr>
              <w:t>5.支持通过网络方式远程对终端进行管理，可修改IP地址信息、查看状态。</w:t>
            </w:r>
          </w:p>
        </w:tc>
      </w:tr>
      <w:tr w14:paraId="5A022B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jc w:val="center"/>
        </w:trPr>
        <w:tc>
          <w:tcPr>
            <w:tcW w:w="659" w:type="dxa"/>
            <w:shd w:val="clear" w:color="auto" w:fill="auto"/>
            <w:vAlign w:val="center"/>
          </w:tcPr>
          <w:p w14:paraId="3A4C9AAD">
            <w:pPr>
              <w:jc w:val="center"/>
              <w:rPr>
                <w:rFonts w:ascii="宋体" w:hAnsi="宋体" w:cs="宋体"/>
                <w:color w:val="auto"/>
                <w:szCs w:val="21"/>
                <w:highlight w:val="none"/>
              </w:rPr>
            </w:pPr>
            <w:r>
              <w:rPr>
                <w:rFonts w:hint="eastAsia" w:ascii="宋体" w:hAnsi="宋体" w:cs="宋体"/>
                <w:color w:val="auto"/>
                <w:szCs w:val="21"/>
                <w:highlight w:val="none"/>
              </w:rPr>
              <w:t>4.3</w:t>
            </w:r>
          </w:p>
        </w:tc>
        <w:tc>
          <w:tcPr>
            <w:tcW w:w="1148" w:type="dxa"/>
            <w:shd w:val="clear" w:color="auto" w:fill="auto"/>
            <w:vAlign w:val="center"/>
          </w:tcPr>
          <w:p w14:paraId="4E7ADD1C">
            <w:pPr>
              <w:jc w:val="center"/>
              <w:rPr>
                <w:rFonts w:ascii="宋体" w:hAnsi="宋体" w:cs="宋体"/>
                <w:color w:val="auto"/>
                <w:szCs w:val="21"/>
                <w:highlight w:val="none"/>
              </w:rPr>
            </w:pPr>
            <w:r>
              <w:rPr>
                <w:rFonts w:hint="eastAsia" w:ascii="宋体" w:hAnsi="宋体" w:cs="宋体"/>
                <w:color w:val="auto"/>
                <w:szCs w:val="21"/>
                <w:highlight w:val="none"/>
              </w:rPr>
              <w:t>AI智慧一体式高清终端</w:t>
            </w:r>
          </w:p>
        </w:tc>
        <w:tc>
          <w:tcPr>
            <w:tcW w:w="961" w:type="dxa"/>
            <w:shd w:val="clear" w:color="auto" w:fill="auto"/>
            <w:vAlign w:val="center"/>
          </w:tcPr>
          <w:p w14:paraId="18933FD4">
            <w:pPr>
              <w:jc w:val="center"/>
              <w:rPr>
                <w:rFonts w:ascii="宋体" w:hAnsi="宋体" w:cs="宋体"/>
                <w:color w:val="auto"/>
                <w:szCs w:val="21"/>
                <w:highlight w:val="none"/>
              </w:rPr>
            </w:pPr>
            <w:r>
              <w:rPr>
                <w:rFonts w:hint="eastAsia" w:ascii="宋体" w:hAnsi="宋体" w:cs="宋体"/>
                <w:color w:val="auto"/>
                <w:szCs w:val="21"/>
                <w:highlight w:val="none"/>
              </w:rPr>
              <w:t>24台</w:t>
            </w:r>
          </w:p>
        </w:tc>
        <w:tc>
          <w:tcPr>
            <w:tcW w:w="701" w:type="dxa"/>
            <w:tcBorders>
              <w:right w:val="single" w:color="auto" w:sz="4" w:space="0"/>
            </w:tcBorders>
            <w:shd w:val="clear" w:color="auto" w:fill="auto"/>
            <w:vAlign w:val="center"/>
          </w:tcPr>
          <w:p w14:paraId="605C1175">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工业</w:t>
            </w:r>
          </w:p>
        </w:tc>
        <w:tc>
          <w:tcPr>
            <w:tcW w:w="6527" w:type="dxa"/>
            <w:tcBorders>
              <w:left w:val="single" w:color="auto" w:sz="4" w:space="0"/>
              <w:right w:val="single" w:color="auto" w:sz="4" w:space="0"/>
            </w:tcBorders>
            <w:shd w:val="clear" w:color="auto" w:fill="auto"/>
          </w:tcPr>
          <w:p w14:paraId="455342DE">
            <w:pPr>
              <w:jc w:val="left"/>
              <w:rPr>
                <w:rFonts w:ascii="宋体" w:hAnsi="宋体" w:cs="宋体"/>
                <w:color w:val="auto"/>
                <w:szCs w:val="21"/>
                <w:highlight w:val="none"/>
              </w:rPr>
            </w:pPr>
            <w:r>
              <w:rPr>
                <w:rFonts w:hint="eastAsia" w:ascii="宋体" w:hAnsi="宋体" w:cs="宋体"/>
                <w:color w:val="auto"/>
                <w:szCs w:val="21"/>
                <w:highlight w:val="none"/>
              </w:rPr>
              <w:t>1.终端采用国产芯片、国产自主可控嵌入式linux系统，并且采用输入输出一体化设计，根据需求可任意配置为输入终端、输出终端、KVM输入终端或KVM输出终端。</w:t>
            </w:r>
          </w:p>
          <w:p w14:paraId="6BE69691">
            <w:pPr>
              <w:jc w:val="left"/>
              <w:rPr>
                <w:rFonts w:ascii="宋体" w:hAnsi="宋体" w:cs="宋体"/>
                <w:color w:val="auto"/>
                <w:szCs w:val="21"/>
                <w:highlight w:val="none"/>
              </w:rPr>
            </w:pPr>
            <w:r>
              <w:rPr>
                <w:rFonts w:hint="eastAsia" w:ascii="宋体" w:hAnsi="宋体" w:cs="宋体"/>
                <w:color w:val="auto"/>
                <w:szCs w:val="21"/>
                <w:highlight w:val="none"/>
              </w:rPr>
              <w:t>2.支持国密算法SM2、SM3、SM4对信令和媒体流进行加密传输，确保数据安全可控。</w:t>
            </w:r>
          </w:p>
          <w:p w14:paraId="224CFE10">
            <w:pPr>
              <w:jc w:val="left"/>
              <w:rPr>
                <w:rFonts w:ascii="宋体" w:hAnsi="宋体" w:cs="宋体"/>
                <w:color w:val="auto"/>
                <w:szCs w:val="21"/>
                <w:highlight w:val="none"/>
              </w:rPr>
            </w:pPr>
            <w:r>
              <w:rPr>
                <w:rFonts w:hint="eastAsia" w:ascii="宋体" w:hAnsi="宋体" w:cs="宋体"/>
                <w:color w:val="auto"/>
                <w:szCs w:val="21"/>
                <w:highlight w:val="none"/>
              </w:rPr>
              <w:t>3.作为输入节点时，支持≥4K@60fps高清视频信号输入并向下兼容，4K输入可同时兼容4K及2K输出终端；作为输出节点时，支持≥2路4K@60或≥8路1080P@60fps的H.264/H.265解码显示，具备画面平铺、缩放、叠加、分割功能。</w:t>
            </w:r>
          </w:p>
          <w:p w14:paraId="7902764A">
            <w:pPr>
              <w:jc w:val="left"/>
              <w:rPr>
                <w:rFonts w:ascii="宋体" w:hAnsi="宋体" w:cs="宋体"/>
                <w:color w:val="auto"/>
                <w:szCs w:val="21"/>
                <w:highlight w:val="none"/>
              </w:rPr>
            </w:pPr>
            <w:r>
              <w:rPr>
                <w:rFonts w:hint="eastAsia" w:ascii="宋体" w:hAnsi="宋体" w:cs="宋体"/>
                <w:color w:val="auto"/>
                <w:szCs w:val="21"/>
                <w:highlight w:val="none"/>
              </w:rPr>
              <w:t>4.具有≥1路HDMI视频输入接口、≥1路HDMI视频输出接口、≥1路DP视频输出接口，≥1路3.5mm音频输入接口、≥1路3.5mm音频输出接口、≥1路3.5mm MIC输入接口，≥2路USB2.0、≥2路USB3.0、≥1路Type-C，以及≥2路网口、≥1路光纤接口。</w:t>
            </w:r>
          </w:p>
          <w:p w14:paraId="2763DDAC">
            <w:pPr>
              <w:jc w:val="left"/>
              <w:rPr>
                <w:rFonts w:ascii="宋体" w:hAnsi="宋体" w:cs="宋体"/>
                <w:color w:val="auto"/>
                <w:szCs w:val="21"/>
                <w:highlight w:val="none"/>
              </w:rPr>
            </w:pPr>
            <w:r>
              <w:rPr>
                <w:rFonts w:hint="eastAsia" w:ascii="宋体" w:hAnsi="宋体" w:cs="宋体"/>
                <w:color w:val="auto"/>
                <w:szCs w:val="21"/>
                <w:highlight w:val="none"/>
              </w:rPr>
              <w:t>5.支持通过KVM安全接口限制USB设备的接入，只允许鼠标键盘HID设备接入。</w:t>
            </w:r>
          </w:p>
          <w:p w14:paraId="325640AD">
            <w:pPr>
              <w:jc w:val="left"/>
              <w:rPr>
                <w:rFonts w:ascii="宋体" w:hAnsi="宋体" w:cs="宋体"/>
                <w:color w:val="auto"/>
                <w:szCs w:val="21"/>
                <w:highlight w:val="none"/>
              </w:rPr>
            </w:pPr>
            <w:r>
              <w:rPr>
                <w:rFonts w:hint="eastAsia" w:ascii="宋体" w:hAnsi="宋体" w:cs="宋体"/>
                <w:color w:val="auto"/>
                <w:szCs w:val="21"/>
                <w:highlight w:val="none"/>
              </w:rPr>
              <w:t>6.支持USB透传功能，无需额外增加设备，无需额外使用单独的网络，仅需接一根网线或双向光纤线即可实现媒体、信令、USB透传数据的共同传输，可透传U盘、USB摄像机、U Key、USB HID等USB设备。</w:t>
            </w:r>
          </w:p>
          <w:p w14:paraId="01CCE771">
            <w:pPr>
              <w:jc w:val="left"/>
              <w:rPr>
                <w:rFonts w:ascii="宋体" w:hAnsi="宋体" w:cs="宋体"/>
                <w:color w:val="auto"/>
                <w:szCs w:val="21"/>
                <w:highlight w:val="none"/>
              </w:rPr>
            </w:pPr>
            <w:r>
              <w:rPr>
                <w:rFonts w:hint="eastAsia" w:ascii="宋体" w:hAnsi="宋体" w:cs="宋体"/>
                <w:color w:val="auto"/>
                <w:szCs w:val="21"/>
                <w:highlight w:val="none"/>
              </w:rPr>
              <w:t>7.节点HDMI视频接口具备1至7级可调节保护卡扣装置。</w:t>
            </w:r>
          </w:p>
          <w:p w14:paraId="53EAF6FE">
            <w:pPr>
              <w:jc w:val="left"/>
              <w:rPr>
                <w:rFonts w:ascii="宋体" w:hAnsi="宋体" w:cs="宋体"/>
                <w:color w:val="auto"/>
                <w:szCs w:val="21"/>
                <w:highlight w:val="none"/>
              </w:rPr>
            </w:pPr>
            <w:r>
              <w:rPr>
                <w:rFonts w:hint="eastAsia" w:ascii="宋体" w:hAnsi="宋体" w:cs="宋体"/>
                <w:color w:val="auto"/>
                <w:szCs w:val="21"/>
                <w:highlight w:val="none"/>
              </w:rPr>
              <w:t>▲8.支持KVM功能，在局域网内，视频信号经过采集、编码、传输、解码、显示后，与原始视频对比延迟在≤30ms。（投标时须提供经国家认可的第三方认证（检测）机构出具的带有CMA或CNAS标志的检测报告复印件。）</w:t>
            </w:r>
          </w:p>
          <w:p w14:paraId="0F4FD003">
            <w:pPr>
              <w:jc w:val="left"/>
              <w:rPr>
                <w:rFonts w:ascii="宋体" w:hAnsi="宋体" w:cs="宋体"/>
                <w:color w:val="auto"/>
                <w:szCs w:val="21"/>
                <w:highlight w:val="none"/>
              </w:rPr>
            </w:pPr>
            <w:r>
              <w:rPr>
                <w:rFonts w:hint="eastAsia" w:ascii="宋体" w:hAnsi="宋体" w:cs="宋体"/>
                <w:color w:val="auto"/>
                <w:szCs w:val="21"/>
                <w:highlight w:val="none"/>
              </w:rPr>
              <w:t>9.具备中控功能，具备至少独立1路RS-485口、2路RS-232口、2路弱继电器口、3路IO口及4路红外输出接口，支持自定义编程。</w:t>
            </w:r>
          </w:p>
          <w:p w14:paraId="3F783FC9">
            <w:pPr>
              <w:jc w:val="left"/>
              <w:rPr>
                <w:rFonts w:ascii="宋体" w:hAnsi="宋体" w:cs="宋体"/>
                <w:color w:val="auto"/>
                <w:szCs w:val="21"/>
                <w:highlight w:val="none"/>
              </w:rPr>
            </w:pPr>
            <w:r>
              <w:rPr>
                <w:rFonts w:hint="eastAsia" w:ascii="宋体" w:hAnsi="宋体" w:cs="宋体"/>
                <w:color w:val="auto"/>
                <w:szCs w:val="21"/>
                <w:highlight w:val="none"/>
              </w:rPr>
              <w:t>10.作为输出节点时，支持设置音频均衡器，可启用或关闭均衡器，启用或关闭动态压缩，内置≥18种常用的均衡器场景，可以一键切换，也可全自定义设置，针对60Hz、170Hz、310Hz、600Hz、1KHz、3KHz、6KHz、12KHz、14KHz、16KHz等不同频段的音频可以单独控制增益，范围是-20dB至20dB。</w:t>
            </w:r>
          </w:p>
          <w:p w14:paraId="34168D62">
            <w:pPr>
              <w:jc w:val="left"/>
              <w:rPr>
                <w:rFonts w:ascii="宋体" w:hAnsi="宋体" w:cs="宋体"/>
                <w:color w:val="auto"/>
                <w:szCs w:val="21"/>
                <w:highlight w:val="none"/>
              </w:rPr>
            </w:pPr>
            <w:r>
              <w:rPr>
                <w:rFonts w:hint="eastAsia" w:ascii="宋体" w:hAnsi="宋体" w:cs="宋体"/>
                <w:color w:val="auto"/>
                <w:szCs w:val="21"/>
                <w:highlight w:val="none"/>
              </w:rPr>
              <w:t>11.在不增加外部设备的情况下，具有在输入源上增加图片或者添加文字作为输入源台标的功能；具有字幕显示功能，可设置字体类型、排列方式、字体大小、字体颜色、背景颜色、透明度、滚动速度、字体间距、是否居中、显示位置等，其中字幕的排列方式具有横向、竖向可选；以及具有底图功能，可在软件上启用或禁用底图功能。</w:t>
            </w:r>
          </w:p>
          <w:p w14:paraId="12BFB4F8">
            <w:pPr>
              <w:jc w:val="left"/>
              <w:rPr>
                <w:rFonts w:ascii="宋体" w:hAnsi="宋体" w:cs="宋体"/>
                <w:color w:val="auto"/>
                <w:szCs w:val="21"/>
                <w:highlight w:val="none"/>
              </w:rPr>
            </w:pPr>
            <w:r>
              <w:rPr>
                <w:rFonts w:hint="eastAsia" w:ascii="宋体" w:hAnsi="宋体" w:cs="宋体"/>
                <w:color w:val="auto"/>
                <w:szCs w:val="21"/>
                <w:highlight w:val="none"/>
              </w:rPr>
              <w:t>▲12.支持网络丢包时修复机制，20%网络丢包时，音视频清晰流畅，无卡顿、无马赛克。（投标时须提供经国家认可的第三方认证（检测）机构出具的带有CMA或CNAS标志的检测报告复印件。）</w:t>
            </w:r>
          </w:p>
          <w:p w14:paraId="27E67932">
            <w:pPr>
              <w:jc w:val="left"/>
              <w:rPr>
                <w:rFonts w:ascii="宋体" w:hAnsi="宋体" w:cs="宋体"/>
                <w:color w:val="auto"/>
                <w:szCs w:val="21"/>
                <w:highlight w:val="none"/>
              </w:rPr>
            </w:pPr>
            <w:r>
              <w:rPr>
                <w:rFonts w:hint="eastAsia" w:ascii="宋体" w:hAnsi="宋体" w:cs="宋体"/>
                <w:color w:val="auto"/>
                <w:szCs w:val="21"/>
                <w:highlight w:val="none"/>
              </w:rPr>
              <w:t>13.内置交换机功能，节点与节点之间可用网线串联，实现设备间通信。</w:t>
            </w:r>
          </w:p>
          <w:p w14:paraId="73A62B06">
            <w:pPr>
              <w:jc w:val="left"/>
              <w:rPr>
                <w:rFonts w:ascii="宋体" w:hAnsi="宋体" w:cs="宋体"/>
                <w:color w:val="auto"/>
                <w:szCs w:val="21"/>
                <w:highlight w:val="none"/>
              </w:rPr>
            </w:pPr>
            <w:r>
              <w:rPr>
                <w:rFonts w:hint="eastAsia" w:ascii="宋体" w:hAnsi="宋体" w:cs="宋体"/>
                <w:color w:val="auto"/>
                <w:szCs w:val="21"/>
                <w:highlight w:val="none"/>
              </w:rPr>
              <w:t>14.支持信号双网口备份功能，可通过2路网口实现当主链路传输异常时，自动切换至备链路传输，显示图像不受影响；当主链路恢复时，自动切换回主链路传输，切换过程用户无操作、无黑场。</w:t>
            </w:r>
          </w:p>
          <w:p w14:paraId="46617D53">
            <w:pPr>
              <w:jc w:val="left"/>
              <w:rPr>
                <w:rFonts w:ascii="宋体" w:hAnsi="宋体" w:cs="宋体"/>
                <w:color w:val="auto"/>
                <w:szCs w:val="21"/>
                <w:highlight w:val="none"/>
              </w:rPr>
            </w:pPr>
            <w:r>
              <w:rPr>
                <w:rFonts w:hint="eastAsia" w:ascii="宋体" w:hAnsi="宋体" w:cs="宋体"/>
                <w:color w:val="auto"/>
                <w:szCs w:val="21"/>
                <w:highlight w:val="none"/>
              </w:rPr>
              <w:t>15.支持信号光网备份功能，可通过1路光口和1路网口实现当网络链路传输异常时，自动切换至光链路传输，显示图像不受影响；当网络链路恢复时，自动切换回网络链路传输，切换过程用户无操作、无黑场。</w:t>
            </w:r>
          </w:p>
          <w:p w14:paraId="7C237018">
            <w:pPr>
              <w:jc w:val="left"/>
              <w:rPr>
                <w:rFonts w:ascii="宋体" w:hAnsi="宋体" w:cs="宋体"/>
                <w:color w:val="auto"/>
                <w:szCs w:val="21"/>
                <w:highlight w:val="none"/>
              </w:rPr>
            </w:pPr>
            <w:r>
              <w:rPr>
                <w:rFonts w:hint="eastAsia" w:ascii="宋体" w:hAnsi="宋体" w:cs="宋体"/>
                <w:color w:val="auto"/>
                <w:szCs w:val="21"/>
                <w:highlight w:val="none"/>
              </w:rPr>
              <w:t>▲16.支持OCR文字识别功能，可截取输入盒采集的一台电脑画面为图片进行分析，提取图片中的文字并通过KVM输出盒传输到另一台电脑，且提取的文字可粘贴到文件。（投标时须提供经国家认可的第三方认证（检测）机构出具的带有CMA或CNAS标志的检测报告复印件。）</w:t>
            </w:r>
          </w:p>
        </w:tc>
      </w:tr>
      <w:tr w14:paraId="6F9644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jc w:val="center"/>
        </w:trPr>
        <w:tc>
          <w:tcPr>
            <w:tcW w:w="659" w:type="dxa"/>
            <w:shd w:val="clear" w:color="auto" w:fill="auto"/>
            <w:vAlign w:val="center"/>
          </w:tcPr>
          <w:p w14:paraId="25CA0D84">
            <w:pPr>
              <w:jc w:val="center"/>
              <w:rPr>
                <w:rFonts w:ascii="宋体" w:hAnsi="宋体" w:cs="宋体"/>
                <w:color w:val="auto"/>
                <w:szCs w:val="21"/>
                <w:highlight w:val="none"/>
              </w:rPr>
            </w:pPr>
            <w:r>
              <w:rPr>
                <w:rFonts w:hint="eastAsia" w:ascii="宋体" w:hAnsi="宋体" w:cs="宋体"/>
                <w:color w:val="auto"/>
                <w:szCs w:val="21"/>
                <w:highlight w:val="none"/>
              </w:rPr>
              <w:t>4.4</w:t>
            </w:r>
          </w:p>
        </w:tc>
        <w:tc>
          <w:tcPr>
            <w:tcW w:w="1148" w:type="dxa"/>
            <w:shd w:val="clear" w:color="auto" w:fill="auto"/>
            <w:vAlign w:val="center"/>
          </w:tcPr>
          <w:p w14:paraId="55086106">
            <w:pPr>
              <w:jc w:val="center"/>
              <w:rPr>
                <w:rFonts w:ascii="宋体" w:hAnsi="宋体" w:cs="宋体"/>
                <w:color w:val="auto"/>
                <w:szCs w:val="21"/>
                <w:highlight w:val="none"/>
              </w:rPr>
            </w:pPr>
            <w:r>
              <w:rPr>
                <w:rFonts w:hint="eastAsia" w:ascii="宋体" w:hAnsi="宋体" w:cs="宋体"/>
                <w:color w:val="auto"/>
                <w:szCs w:val="21"/>
                <w:highlight w:val="none"/>
              </w:rPr>
              <w:t>VMS可视化管理系统终端嵌入式软件</w:t>
            </w:r>
          </w:p>
        </w:tc>
        <w:tc>
          <w:tcPr>
            <w:tcW w:w="961" w:type="dxa"/>
            <w:shd w:val="clear" w:color="auto" w:fill="auto"/>
            <w:vAlign w:val="center"/>
          </w:tcPr>
          <w:p w14:paraId="1F272C2D">
            <w:pPr>
              <w:jc w:val="center"/>
              <w:rPr>
                <w:rFonts w:ascii="宋体" w:hAnsi="宋体" w:cs="宋体"/>
                <w:color w:val="auto"/>
                <w:szCs w:val="21"/>
                <w:highlight w:val="none"/>
              </w:rPr>
            </w:pPr>
            <w:r>
              <w:rPr>
                <w:rFonts w:hint="eastAsia" w:ascii="宋体" w:hAnsi="宋体" w:cs="宋体"/>
                <w:color w:val="auto"/>
                <w:szCs w:val="21"/>
                <w:highlight w:val="none"/>
              </w:rPr>
              <w:t>24套</w:t>
            </w:r>
          </w:p>
        </w:tc>
        <w:tc>
          <w:tcPr>
            <w:tcW w:w="701" w:type="dxa"/>
            <w:tcBorders>
              <w:right w:val="single" w:color="auto" w:sz="4" w:space="0"/>
            </w:tcBorders>
            <w:shd w:val="clear" w:color="auto" w:fill="auto"/>
            <w:vAlign w:val="center"/>
          </w:tcPr>
          <w:p w14:paraId="0814CB7C">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w:t>
            </w:r>
          </w:p>
        </w:tc>
        <w:tc>
          <w:tcPr>
            <w:tcW w:w="6527" w:type="dxa"/>
            <w:tcBorders>
              <w:left w:val="single" w:color="auto" w:sz="4" w:space="0"/>
              <w:right w:val="single" w:color="auto" w:sz="4" w:space="0"/>
            </w:tcBorders>
            <w:shd w:val="clear" w:color="auto" w:fill="auto"/>
          </w:tcPr>
          <w:p w14:paraId="58F263ED">
            <w:pPr>
              <w:jc w:val="left"/>
              <w:rPr>
                <w:rFonts w:ascii="宋体" w:hAnsi="宋体" w:cs="宋体"/>
                <w:color w:val="auto"/>
                <w:szCs w:val="21"/>
                <w:highlight w:val="none"/>
              </w:rPr>
            </w:pPr>
            <w:r>
              <w:rPr>
                <w:rFonts w:hint="eastAsia" w:ascii="宋体" w:hAnsi="宋体" w:cs="宋体"/>
                <w:color w:val="auto"/>
                <w:szCs w:val="21"/>
                <w:highlight w:val="none"/>
              </w:rPr>
              <w:t>1.软件内嵌于分布式综合管理系统终端设备，用于对音视频、控制信号的编解码。</w:t>
            </w:r>
          </w:p>
          <w:p w14:paraId="5D0BD34D">
            <w:pPr>
              <w:jc w:val="left"/>
              <w:rPr>
                <w:rFonts w:ascii="宋体" w:hAnsi="宋体" w:cs="宋体"/>
                <w:color w:val="auto"/>
                <w:szCs w:val="21"/>
                <w:highlight w:val="none"/>
              </w:rPr>
            </w:pPr>
            <w:r>
              <w:rPr>
                <w:rFonts w:hint="eastAsia" w:ascii="宋体" w:hAnsi="宋体" w:cs="宋体"/>
                <w:color w:val="auto"/>
                <w:szCs w:val="21"/>
                <w:highlight w:val="none"/>
              </w:rPr>
              <w:t>2.支持高性能的H.265视频编解码技术，兼容H.264视频编解码技术。</w:t>
            </w:r>
          </w:p>
          <w:p w14:paraId="2E69BF85">
            <w:pPr>
              <w:jc w:val="left"/>
              <w:rPr>
                <w:rFonts w:ascii="宋体" w:hAnsi="宋体" w:cs="宋体"/>
                <w:color w:val="auto"/>
                <w:szCs w:val="21"/>
                <w:highlight w:val="none"/>
              </w:rPr>
            </w:pPr>
            <w:r>
              <w:rPr>
                <w:rFonts w:hint="eastAsia" w:ascii="宋体" w:hAnsi="宋体" w:cs="宋体"/>
                <w:color w:val="auto"/>
                <w:szCs w:val="21"/>
                <w:highlight w:val="none"/>
              </w:rPr>
              <w:t>3.支持对3840*2160P60帧视频分辨率的处理，可实现对高清视频信号的采集编码、传输。</w:t>
            </w:r>
          </w:p>
          <w:p w14:paraId="70894CC9">
            <w:pPr>
              <w:jc w:val="left"/>
              <w:rPr>
                <w:rFonts w:ascii="宋体" w:hAnsi="宋体" w:cs="宋体"/>
                <w:color w:val="auto"/>
                <w:szCs w:val="21"/>
                <w:highlight w:val="none"/>
              </w:rPr>
            </w:pPr>
            <w:r>
              <w:rPr>
                <w:rFonts w:hint="eastAsia" w:ascii="宋体" w:hAnsi="宋体" w:cs="宋体"/>
                <w:color w:val="auto"/>
                <w:szCs w:val="21"/>
                <w:highlight w:val="none"/>
              </w:rPr>
              <w:t>4.支持PCM音频无损传输。</w:t>
            </w:r>
          </w:p>
          <w:p w14:paraId="3A553B22">
            <w:pPr>
              <w:jc w:val="left"/>
              <w:rPr>
                <w:rFonts w:ascii="宋体" w:hAnsi="宋体" w:cs="宋体"/>
                <w:color w:val="auto"/>
                <w:szCs w:val="21"/>
                <w:highlight w:val="none"/>
              </w:rPr>
            </w:pPr>
            <w:r>
              <w:rPr>
                <w:rFonts w:hint="eastAsia" w:ascii="宋体" w:hAnsi="宋体" w:cs="宋体"/>
                <w:color w:val="auto"/>
                <w:szCs w:val="21"/>
                <w:highlight w:val="none"/>
              </w:rPr>
              <w:t>5.支持通过网络方式远程对终端进行管理，可修改IP地址信息、查看状态。</w:t>
            </w:r>
          </w:p>
        </w:tc>
      </w:tr>
      <w:tr w14:paraId="3E8E73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jc w:val="center"/>
        </w:trPr>
        <w:tc>
          <w:tcPr>
            <w:tcW w:w="659" w:type="dxa"/>
            <w:shd w:val="clear" w:color="auto" w:fill="auto"/>
            <w:vAlign w:val="center"/>
          </w:tcPr>
          <w:p w14:paraId="0BF31D5C">
            <w:pPr>
              <w:jc w:val="center"/>
              <w:rPr>
                <w:rFonts w:ascii="宋体" w:hAnsi="宋体" w:cs="宋体"/>
                <w:color w:val="auto"/>
                <w:szCs w:val="21"/>
                <w:highlight w:val="none"/>
              </w:rPr>
            </w:pPr>
            <w:r>
              <w:rPr>
                <w:rFonts w:hint="eastAsia" w:ascii="宋体" w:hAnsi="宋体" w:cs="宋体"/>
                <w:color w:val="auto"/>
                <w:szCs w:val="21"/>
                <w:highlight w:val="none"/>
              </w:rPr>
              <w:t>4.5</w:t>
            </w:r>
          </w:p>
        </w:tc>
        <w:tc>
          <w:tcPr>
            <w:tcW w:w="1148" w:type="dxa"/>
            <w:shd w:val="clear" w:color="auto" w:fill="auto"/>
            <w:vAlign w:val="center"/>
          </w:tcPr>
          <w:p w14:paraId="3227A7F7">
            <w:pPr>
              <w:jc w:val="center"/>
              <w:rPr>
                <w:rFonts w:ascii="宋体" w:hAnsi="宋体" w:cs="宋体"/>
                <w:color w:val="auto"/>
                <w:szCs w:val="21"/>
                <w:highlight w:val="none"/>
              </w:rPr>
            </w:pPr>
            <w:r>
              <w:rPr>
                <w:rFonts w:hint="eastAsia" w:ascii="宋体" w:hAnsi="宋体" w:cs="宋体"/>
                <w:color w:val="auto"/>
                <w:szCs w:val="21"/>
                <w:highlight w:val="none"/>
              </w:rPr>
              <w:t>散热机架</w:t>
            </w:r>
          </w:p>
        </w:tc>
        <w:tc>
          <w:tcPr>
            <w:tcW w:w="961" w:type="dxa"/>
            <w:shd w:val="clear" w:color="auto" w:fill="auto"/>
            <w:vAlign w:val="center"/>
          </w:tcPr>
          <w:p w14:paraId="3F8B9F6D">
            <w:pPr>
              <w:jc w:val="center"/>
              <w:rPr>
                <w:rFonts w:ascii="宋体" w:hAnsi="宋体" w:cs="宋体"/>
                <w:color w:val="auto"/>
                <w:szCs w:val="21"/>
                <w:highlight w:val="none"/>
              </w:rPr>
            </w:pPr>
            <w:r>
              <w:rPr>
                <w:rFonts w:hint="eastAsia" w:ascii="宋体" w:hAnsi="宋体" w:cs="宋体"/>
                <w:color w:val="auto"/>
                <w:szCs w:val="21"/>
                <w:highlight w:val="none"/>
              </w:rPr>
              <w:t>3套</w:t>
            </w:r>
          </w:p>
        </w:tc>
        <w:tc>
          <w:tcPr>
            <w:tcW w:w="701" w:type="dxa"/>
            <w:tcBorders>
              <w:right w:val="single" w:color="auto" w:sz="4" w:space="0"/>
            </w:tcBorders>
            <w:shd w:val="clear" w:color="auto" w:fill="auto"/>
            <w:vAlign w:val="center"/>
          </w:tcPr>
          <w:p w14:paraId="1180FB5B">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工业</w:t>
            </w:r>
          </w:p>
        </w:tc>
        <w:tc>
          <w:tcPr>
            <w:tcW w:w="6527" w:type="dxa"/>
            <w:tcBorders>
              <w:left w:val="single" w:color="auto" w:sz="4" w:space="0"/>
              <w:right w:val="single" w:color="auto" w:sz="4" w:space="0"/>
            </w:tcBorders>
            <w:shd w:val="clear" w:color="auto" w:fill="auto"/>
          </w:tcPr>
          <w:p w14:paraId="3C2D3A31">
            <w:pPr>
              <w:jc w:val="left"/>
              <w:rPr>
                <w:rFonts w:ascii="宋体" w:hAnsi="宋体" w:cs="宋体"/>
                <w:color w:val="auto"/>
                <w:szCs w:val="21"/>
                <w:highlight w:val="none"/>
              </w:rPr>
            </w:pPr>
            <w:r>
              <w:rPr>
                <w:rFonts w:hint="eastAsia" w:ascii="宋体" w:hAnsi="宋体" w:cs="宋体"/>
                <w:color w:val="auto"/>
                <w:szCs w:val="21"/>
                <w:highlight w:val="none"/>
              </w:rPr>
              <w:t>1.供电输入：110-240V 50-60Hz，具备8路DC12V@1.5A电源输出接口。</w:t>
            </w:r>
          </w:p>
          <w:p w14:paraId="3C32E585">
            <w:pPr>
              <w:jc w:val="left"/>
              <w:rPr>
                <w:rFonts w:ascii="宋体" w:hAnsi="宋体" w:cs="宋体"/>
                <w:color w:val="auto"/>
                <w:szCs w:val="21"/>
                <w:highlight w:val="none"/>
              </w:rPr>
            </w:pPr>
            <w:r>
              <w:rPr>
                <w:rFonts w:hint="eastAsia" w:ascii="宋体" w:hAnsi="宋体" w:cs="宋体"/>
                <w:color w:val="auto"/>
                <w:szCs w:val="21"/>
                <w:highlight w:val="none"/>
              </w:rPr>
              <w:t>2.具备8个终端安装卡位。</w:t>
            </w:r>
          </w:p>
          <w:p w14:paraId="43D6FAF5">
            <w:pPr>
              <w:jc w:val="left"/>
              <w:rPr>
                <w:rFonts w:ascii="宋体" w:hAnsi="宋体" w:cs="宋体"/>
                <w:color w:val="auto"/>
                <w:szCs w:val="21"/>
                <w:highlight w:val="none"/>
              </w:rPr>
            </w:pPr>
            <w:r>
              <w:rPr>
                <w:rFonts w:hint="eastAsia" w:ascii="宋体" w:hAnsi="宋体" w:cs="宋体"/>
                <w:color w:val="auto"/>
                <w:szCs w:val="21"/>
                <w:highlight w:val="none"/>
              </w:rPr>
              <w:t>3.多风扇设计，良好散热，终端锁扣式固定方式。</w:t>
            </w:r>
          </w:p>
          <w:p w14:paraId="2C447A97">
            <w:pPr>
              <w:jc w:val="left"/>
              <w:rPr>
                <w:rFonts w:ascii="宋体" w:hAnsi="宋体" w:cs="宋体"/>
                <w:color w:val="auto"/>
                <w:szCs w:val="21"/>
                <w:highlight w:val="none"/>
              </w:rPr>
            </w:pPr>
            <w:r>
              <w:rPr>
                <w:rFonts w:hint="eastAsia" w:ascii="宋体" w:hAnsi="宋体" w:cs="宋体"/>
                <w:color w:val="auto"/>
                <w:szCs w:val="21"/>
                <w:highlight w:val="none"/>
              </w:rPr>
              <w:t>4.最大功率：120W</w:t>
            </w:r>
          </w:p>
        </w:tc>
      </w:tr>
      <w:tr w14:paraId="6EA4B4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jc w:val="center"/>
        </w:trPr>
        <w:tc>
          <w:tcPr>
            <w:tcW w:w="659" w:type="dxa"/>
            <w:shd w:val="clear" w:color="auto" w:fill="auto"/>
            <w:vAlign w:val="center"/>
          </w:tcPr>
          <w:p w14:paraId="79D97DED">
            <w:pPr>
              <w:jc w:val="center"/>
              <w:rPr>
                <w:rFonts w:ascii="宋体" w:hAnsi="宋体" w:cs="宋体"/>
                <w:color w:val="auto"/>
                <w:szCs w:val="21"/>
                <w:highlight w:val="none"/>
              </w:rPr>
            </w:pPr>
            <w:r>
              <w:rPr>
                <w:rFonts w:hint="eastAsia" w:ascii="宋体" w:hAnsi="宋体" w:cs="宋体"/>
                <w:color w:val="auto"/>
                <w:szCs w:val="21"/>
                <w:highlight w:val="none"/>
              </w:rPr>
              <w:t>4.6</w:t>
            </w:r>
          </w:p>
        </w:tc>
        <w:tc>
          <w:tcPr>
            <w:tcW w:w="1148" w:type="dxa"/>
            <w:shd w:val="clear" w:color="auto" w:fill="auto"/>
            <w:vAlign w:val="center"/>
          </w:tcPr>
          <w:p w14:paraId="26B03ABC">
            <w:pPr>
              <w:jc w:val="center"/>
              <w:rPr>
                <w:rFonts w:ascii="宋体" w:hAnsi="宋体" w:cs="宋体"/>
                <w:color w:val="auto"/>
                <w:szCs w:val="21"/>
                <w:highlight w:val="none"/>
              </w:rPr>
            </w:pPr>
            <w:r>
              <w:rPr>
                <w:rFonts w:hint="eastAsia" w:ascii="宋体" w:hAnsi="宋体" w:cs="宋体"/>
                <w:color w:val="auto"/>
                <w:szCs w:val="21"/>
                <w:highlight w:val="none"/>
              </w:rPr>
              <w:t>分布式坐席操作设备</w:t>
            </w:r>
          </w:p>
        </w:tc>
        <w:tc>
          <w:tcPr>
            <w:tcW w:w="961" w:type="dxa"/>
            <w:shd w:val="clear" w:color="auto" w:fill="auto"/>
            <w:vAlign w:val="center"/>
          </w:tcPr>
          <w:p w14:paraId="2C864D03">
            <w:pPr>
              <w:jc w:val="center"/>
              <w:rPr>
                <w:rFonts w:ascii="宋体" w:hAnsi="宋体" w:cs="宋体"/>
                <w:color w:val="auto"/>
                <w:szCs w:val="21"/>
                <w:highlight w:val="none"/>
              </w:rPr>
            </w:pPr>
            <w:r>
              <w:rPr>
                <w:rFonts w:hint="eastAsia" w:ascii="宋体" w:hAnsi="宋体" w:cs="宋体"/>
                <w:color w:val="auto"/>
                <w:szCs w:val="21"/>
                <w:highlight w:val="none"/>
              </w:rPr>
              <w:t>24台</w:t>
            </w:r>
          </w:p>
        </w:tc>
        <w:tc>
          <w:tcPr>
            <w:tcW w:w="701" w:type="dxa"/>
            <w:tcBorders>
              <w:right w:val="single" w:color="auto" w:sz="4" w:space="0"/>
            </w:tcBorders>
            <w:shd w:val="clear" w:color="auto" w:fill="auto"/>
            <w:vAlign w:val="center"/>
          </w:tcPr>
          <w:p w14:paraId="6733AB12">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工业</w:t>
            </w:r>
          </w:p>
        </w:tc>
        <w:tc>
          <w:tcPr>
            <w:tcW w:w="6527" w:type="dxa"/>
            <w:tcBorders>
              <w:left w:val="single" w:color="auto" w:sz="4" w:space="0"/>
              <w:right w:val="single" w:color="auto" w:sz="4" w:space="0"/>
            </w:tcBorders>
            <w:shd w:val="clear" w:color="auto" w:fill="auto"/>
          </w:tcPr>
          <w:p w14:paraId="50C4D4C1">
            <w:pPr>
              <w:jc w:val="left"/>
              <w:rPr>
                <w:rFonts w:ascii="宋体" w:hAnsi="宋体" w:cs="宋体"/>
                <w:color w:val="auto"/>
                <w:szCs w:val="21"/>
                <w:highlight w:val="none"/>
              </w:rPr>
            </w:pPr>
            <w:r>
              <w:rPr>
                <w:rFonts w:hint="eastAsia" w:ascii="宋体" w:hAnsi="宋体" w:cs="宋体"/>
                <w:color w:val="auto"/>
                <w:szCs w:val="21"/>
                <w:highlight w:val="none"/>
              </w:rPr>
              <w:t>1.处理器：.核心线程:6核12线程及以上</w:t>
            </w:r>
          </w:p>
          <w:p w14:paraId="73BC249F">
            <w:pPr>
              <w:jc w:val="left"/>
              <w:rPr>
                <w:rFonts w:ascii="宋体" w:hAnsi="宋体" w:cs="宋体"/>
                <w:color w:val="auto"/>
                <w:szCs w:val="21"/>
                <w:highlight w:val="none"/>
              </w:rPr>
            </w:pPr>
            <w:r>
              <w:rPr>
                <w:rFonts w:hint="eastAsia" w:ascii="宋体" w:hAnsi="宋体" w:cs="宋体"/>
                <w:color w:val="auto"/>
                <w:szCs w:val="21"/>
                <w:highlight w:val="none"/>
              </w:rPr>
              <w:t>2.基础主频:2.5GHz及以上</w:t>
            </w:r>
          </w:p>
          <w:p w14:paraId="041D862A">
            <w:pPr>
              <w:jc w:val="left"/>
              <w:rPr>
                <w:rFonts w:ascii="宋体" w:hAnsi="宋体" w:cs="宋体"/>
                <w:color w:val="auto"/>
                <w:szCs w:val="21"/>
                <w:highlight w:val="none"/>
              </w:rPr>
            </w:pPr>
            <w:r>
              <w:rPr>
                <w:rFonts w:hint="eastAsia" w:ascii="宋体" w:hAnsi="宋体" w:cs="宋体"/>
                <w:color w:val="auto"/>
                <w:szCs w:val="21"/>
                <w:highlight w:val="none"/>
              </w:rPr>
              <w:t>3.加速主频:4.0GHz及以上</w:t>
            </w:r>
          </w:p>
          <w:p w14:paraId="0724D742">
            <w:pPr>
              <w:jc w:val="left"/>
              <w:rPr>
                <w:rFonts w:ascii="宋体" w:hAnsi="宋体" w:cs="宋体"/>
                <w:color w:val="auto"/>
                <w:szCs w:val="21"/>
                <w:highlight w:val="none"/>
              </w:rPr>
            </w:pPr>
            <w:r>
              <w:rPr>
                <w:rFonts w:hint="eastAsia" w:ascii="宋体" w:hAnsi="宋体" w:cs="宋体"/>
                <w:color w:val="auto"/>
                <w:szCs w:val="21"/>
                <w:highlight w:val="none"/>
              </w:rPr>
              <w:t>4.三级缓存:12MB及以上</w:t>
            </w:r>
          </w:p>
          <w:p w14:paraId="3944D8D7">
            <w:pPr>
              <w:jc w:val="left"/>
              <w:rPr>
                <w:rFonts w:ascii="宋体" w:hAnsi="宋体" w:cs="宋体"/>
                <w:color w:val="auto"/>
                <w:szCs w:val="21"/>
                <w:highlight w:val="none"/>
              </w:rPr>
            </w:pPr>
            <w:r>
              <w:rPr>
                <w:rFonts w:hint="eastAsia" w:ascii="宋体" w:hAnsi="宋体" w:cs="宋体"/>
                <w:color w:val="auto"/>
                <w:szCs w:val="21"/>
                <w:highlight w:val="none"/>
              </w:rPr>
              <w:t>5.制程工艺:7nm/10nm 及以上先进工艺</w:t>
            </w:r>
          </w:p>
          <w:p w14:paraId="0D58CD5E">
            <w:pPr>
              <w:jc w:val="left"/>
              <w:rPr>
                <w:rFonts w:ascii="宋体" w:hAnsi="宋体" w:cs="宋体"/>
                <w:color w:val="auto"/>
                <w:szCs w:val="21"/>
                <w:highlight w:val="none"/>
              </w:rPr>
            </w:pPr>
            <w:r>
              <w:rPr>
                <w:rFonts w:hint="eastAsia" w:ascii="宋体" w:hAnsi="宋体" w:cs="宋体"/>
                <w:color w:val="auto"/>
                <w:szCs w:val="21"/>
                <w:highlight w:val="none"/>
              </w:rPr>
              <w:t>6.内存：≥16G</w:t>
            </w:r>
          </w:p>
          <w:p w14:paraId="19301E7B">
            <w:pPr>
              <w:jc w:val="left"/>
              <w:rPr>
                <w:rFonts w:ascii="宋体" w:hAnsi="宋体" w:cs="宋体"/>
                <w:color w:val="auto"/>
                <w:szCs w:val="21"/>
                <w:highlight w:val="none"/>
              </w:rPr>
            </w:pPr>
            <w:r>
              <w:rPr>
                <w:rFonts w:hint="eastAsia" w:ascii="宋体" w:hAnsi="宋体" w:cs="宋体"/>
                <w:color w:val="auto"/>
                <w:szCs w:val="21"/>
                <w:highlight w:val="none"/>
              </w:rPr>
              <w:t>7.硬盘：≥1TB SSD</w:t>
            </w:r>
          </w:p>
          <w:p w14:paraId="201F5091">
            <w:pPr>
              <w:jc w:val="left"/>
              <w:rPr>
                <w:rFonts w:ascii="宋体" w:hAnsi="宋体" w:cs="宋体"/>
                <w:color w:val="auto"/>
                <w:szCs w:val="21"/>
                <w:highlight w:val="none"/>
              </w:rPr>
            </w:pPr>
            <w:r>
              <w:rPr>
                <w:rFonts w:hint="eastAsia" w:ascii="宋体" w:hAnsi="宋体" w:cs="宋体"/>
                <w:color w:val="auto"/>
                <w:szCs w:val="21"/>
                <w:highlight w:val="none"/>
              </w:rPr>
              <w:t>8.系统：纯国产操作系统，需适配市面主流软件</w:t>
            </w:r>
          </w:p>
          <w:p w14:paraId="24C3B4D7">
            <w:pPr>
              <w:jc w:val="left"/>
              <w:rPr>
                <w:rFonts w:ascii="宋体" w:hAnsi="宋体" w:cs="宋体"/>
                <w:color w:val="auto"/>
                <w:szCs w:val="21"/>
                <w:highlight w:val="none"/>
              </w:rPr>
            </w:pPr>
            <w:r>
              <w:rPr>
                <w:rFonts w:hint="eastAsia" w:ascii="宋体" w:hAnsi="宋体" w:cs="宋体"/>
                <w:color w:val="auto"/>
                <w:szCs w:val="21"/>
                <w:highlight w:val="none"/>
              </w:rPr>
              <w:t>9.包含尺寸≥21.45英寸显示器及适配支架</w:t>
            </w:r>
          </w:p>
        </w:tc>
      </w:tr>
      <w:tr w14:paraId="0E3FA1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jc w:val="center"/>
        </w:trPr>
        <w:tc>
          <w:tcPr>
            <w:tcW w:w="659" w:type="dxa"/>
            <w:shd w:val="clear" w:color="auto" w:fill="auto"/>
            <w:vAlign w:val="center"/>
          </w:tcPr>
          <w:p w14:paraId="135BF139">
            <w:pPr>
              <w:jc w:val="center"/>
              <w:rPr>
                <w:rFonts w:ascii="宋体" w:hAnsi="宋体" w:cs="宋体"/>
                <w:color w:val="auto"/>
                <w:szCs w:val="21"/>
                <w:highlight w:val="none"/>
              </w:rPr>
            </w:pPr>
            <w:r>
              <w:rPr>
                <w:rFonts w:hint="eastAsia" w:ascii="宋体" w:hAnsi="宋体" w:cs="宋体"/>
                <w:color w:val="auto"/>
                <w:szCs w:val="21"/>
                <w:highlight w:val="none"/>
              </w:rPr>
              <w:t>4.7</w:t>
            </w:r>
          </w:p>
        </w:tc>
        <w:tc>
          <w:tcPr>
            <w:tcW w:w="1148" w:type="dxa"/>
            <w:shd w:val="clear" w:color="auto" w:fill="auto"/>
            <w:vAlign w:val="center"/>
          </w:tcPr>
          <w:p w14:paraId="08F7709B">
            <w:pPr>
              <w:jc w:val="center"/>
              <w:rPr>
                <w:rFonts w:ascii="宋体" w:hAnsi="宋体" w:cs="宋体"/>
                <w:color w:val="auto"/>
                <w:szCs w:val="21"/>
                <w:highlight w:val="none"/>
              </w:rPr>
            </w:pPr>
            <w:r>
              <w:rPr>
                <w:rFonts w:hint="eastAsia" w:ascii="宋体" w:hAnsi="宋体" w:cs="宋体"/>
                <w:color w:val="auto"/>
                <w:szCs w:val="21"/>
                <w:highlight w:val="none"/>
              </w:rPr>
              <w:t>桌席指挥台</w:t>
            </w:r>
          </w:p>
        </w:tc>
        <w:tc>
          <w:tcPr>
            <w:tcW w:w="961" w:type="dxa"/>
            <w:shd w:val="clear" w:color="auto" w:fill="auto"/>
            <w:vAlign w:val="center"/>
          </w:tcPr>
          <w:p w14:paraId="3022203F">
            <w:pPr>
              <w:jc w:val="center"/>
              <w:rPr>
                <w:rFonts w:ascii="宋体" w:hAnsi="宋体" w:cs="宋体"/>
                <w:color w:val="auto"/>
                <w:szCs w:val="21"/>
                <w:highlight w:val="none"/>
              </w:rPr>
            </w:pPr>
            <w:r>
              <w:rPr>
                <w:rFonts w:hint="eastAsia" w:ascii="宋体" w:hAnsi="宋体" w:cs="宋体"/>
                <w:color w:val="auto"/>
                <w:szCs w:val="21"/>
                <w:highlight w:val="none"/>
              </w:rPr>
              <w:t>24套</w:t>
            </w:r>
          </w:p>
        </w:tc>
        <w:tc>
          <w:tcPr>
            <w:tcW w:w="701" w:type="dxa"/>
            <w:tcBorders>
              <w:right w:val="single" w:color="auto" w:sz="4" w:space="0"/>
            </w:tcBorders>
            <w:shd w:val="clear" w:color="auto" w:fill="auto"/>
            <w:vAlign w:val="center"/>
          </w:tcPr>
          <w:p w14:paraId="594C8815">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工业</w:t>
            </w:r>
          </w:p>
        </w:tc>
        <w:tc>
          <w:tcPr>
            <w:tcW w:w="6527" w:type="dxa"/>
            <w:tcBorders>
              <w:left w:val="single" w:color="auto" w:sz="4" w:space="0"/>
              <w:right w:val="single" w:color="auto" w:sz="4" w:space="0"/>
            </w:tcBorders>
            <w:shd w:val="clear" w:color="auto" w:fill="auto"/>
          </w:tcPr>
          <w:p w14:paraId="5813C5B5">
            <w:pPr>
              <w:jc w:val="left"/>
              <w:rPr>
                <w:rFonts w:ascii="宋体" w:hAnsi="宋体" w:cs="宋体"/>
                <w:color w:val="auto"/>
                <w:szCs w:val="21"/>
                <w:highlight w:val="none"/>
              </w:rPr>
            </w:pPr>
            <w:r>
              <w:rPr>
                <w:rFonts w:hint="eastAsia" w:ascii="宋体" w:hAnsi="宋体" w:cs="宋体"/>
                <w:color w:val="auto"/>
                <w:szCs w:val="21"/>
                <w:highlight w:val="none"/>
              </w:rPr>
              <w:t>1.尺寸不低于</w:t>
            </w:r>
            <w:r>
              <w:rPr>
                <w:rFonts w:hint="eastAsia" w:ascii="宋体" w:hAnsi="宋体" w:cs="宋体"/>
                <w:color w:val="auto"/>
                <w:szCs w:val="21"/>
                <w:highlight w:val="none"/>
                <w:lang w:val="en-US" w:eastAsia="zh-CN"/>
              </w:rPr>
              <w:t>12</w:t>
            </w:r>
            <w:r>
              <w:rPr>
                <w:rFonts w:hint="eastAsia" w:ascii="宋体" w:hAnsi="宋体" w:cs="宋体"/>
                <w:color w:val="auto"/>
                <w:szCs w:val="21"/>
                <w:highlight w:val="none"/>
              </w:rPr>
              <w:t>00mm*750mm*800mm</w:t>
            </w:r>
          </w:p>
          <w:p w14:paraId="4485B11E">
            <w:pPr>
              <w:jc w:val="left"/>
              <w:rPr>
                <w:rFonts w:ascii="宋体" w:hAnsi="宋体" w:cs="宋体"/>
                <w:color w:val="auto"/>
                <w:szCs w:val="21"/>
                <w:highlight w:val="none"/>
              </w:rPr>
            </w:pPr>
            <w:r>
              <w:rPr>
                <w:rFonts w:hint="eastAsia" w:ascii="宋体" w:hAnsi="宋体" w:cs="宋体"/>
                <w:color w:val="auto"/>
                <w:szCs w:val="21"/>
                <w:highlight w:val="none"/>
              </w:rPr>
              <w:t>2.主体框架应采用冷轧钢。要求落地底柜每单元可承重至少50kg，前台板每单元可承重至少50kg，控制台表面应经过耐磨电喷处理，采用的材料应满足工程的受力强度要求。</w:t>
            </w:r>
          </w:p>
          <w:p w14:paraId="31568E5B">
            <w:pPr>
              <w:jc w:val="left"/>
              <w:rPr>
                <w:rFonts w:ascii="宋体" w:hAnsi="宋体" w:cs="宋体"/>
                <w:color w:val="auto"/>
                <w:szCs w:val="21"/>
                <w:highlight w:val="none"/>
              </w:rPr>
            </w:pPr>
            <w:r>
              <w:rPr>
                <w:rFonts w:hint="eastAsia" w:ascii="宋体" w:hAnsi="宋体" w:cs="宋体"/>
                <w:color w:val="auto"/>
                <w:szCs w:val="21"/>
                <w:highlight w:val="none"/>
              </w:rPr>
              <w:t>3.LCD悬挂系统应可伸缩，横向可任意调整位置，LCD悬挂系统的摆放角度可以自由调整，不外露线缆，每个悬挂支架至少可承重15kg。</w:t>
            </w:r>
          </w:p>
          <w:p w14:paraId="0C8CFD47">
            <w:pPr>
              <w:jc w:val="left"/>
              <w:rPr>
                <w:rFonts w:ascii="宋体" w:hAnsi="宋体" w:cs="宋体"/>
                <w:color w:val="auto"/>
                <w:szCs w:val="21"/>
                <w:highlight w:val="none"/>
              </w:rPr>
            </w:pPr>
            <w:r>
              <w:rPr>
                <w:rFonts w:hint="eastAsia" w:ascii="宋体" w:hAnsi="宋体" w:cs="宋体"/>
                <w:color w:val="auto"/>
                <w:szCs w:val="21"/>
                <w:highlight w:val="none"/>
              </w:rPr>
              <w:t>4.键盘盆应根据台面深度制作，并采用质量可靠的滚珠导轨，力度可靠。</w:t>
            </w:r>
          </w:p>
          <w:p w14:paraId="23DA46ED">
            <w:pPr>
              <w:jc w:val="left"/>
              <w:rPr>
                <w:rFonts w:ascii="宋体" w:hAnsi="宋体" w:cs="宋体"/>
                <w:color w:val="auto"/>
                <w:szCs w:val="21"/>
                <w:highlight w:val="none"/>
              </w:rPr>
            </w:pPr>
            <w:r>
              <w:rPr>
                <w:rFonts w:hint="eastAsia" w:ascii="宋体" w:hAnsi="宋体" w:cs="宋体"/>
                <w:color w:val="auto"/>
                <w:szCs w:val="21"/>
                <w:highlight w:val="none"/>
              </w:rPr>
              <w:t>5.操作台台面应保持平滑及水平，并要考虑到人体工学的标准，包括视线，延伸距离，键盘高度及膝部的空间等。</w:t>
            </w:r>
          </w:p>
          <w:p w14:paraId="28E78782">
            <w:pPr>
              <w:jc w:val="left"/>
              <w:rPr>
                <w:rFonts w:ascii="宋体" w:hAnsi="宋体" w:cs="宋体"/>
                <w:color w:val="auto"/>
                <w:szCs w:val="21"/>
                <w:highlight w:val="none"/>
              </w:rPr>
            </w:pPr>
            <w:r>
              <w:rPr>
                <w:rFonts w:hint="eastAsia" w:ascii="宋体" w:hAnsi="宋体" w:cs="宋体"/>
                <w:color w:val="auto"/>
                <w:szCs w:val="21"/>
                <w:highlight w:val="none"/>
              </w:rPr>
              <w:t>6.台板应采用具有抗压、抗刮、抗冲击、大承载力、防火、防潮、防水、耐腐蚀的高强度高压耐磨板，厚度不少于25mm。</w:t>
            </w:r>
          </w:p>
          <w:p w14:paraId="621E7B5F">
            <w:pPr>
              <w:jc w:val="left"/>
              <w:rPr>
                <w:rFonts w:ascii="宋体" w:hAnsi="宋体" w:cs="宋体"/>
                <w:color w:val="auto"/>
                <w:szCs w:val="21"/>
                <w:highlight w:val="none"/>
              </w:rPr>
            </w:pPr>
            <w:r>
              <w:rPr>
                <w:rFonts w:hint="eastAsia" w:ascii="宋体" w:hAnsi="宋体" w:cs="宋体"/>
                <w:color w:val="auto"/>
                <w:szCs w:val="21"/>
                <w:highlight w:val="none"/>
              </w:rPr>
              <w:t>操作台应采用一体化延伸的台板边缘，经电脑数控加工成适合人手放置的流线型表面，操作舒适，台板边不应产生缝隙。</w:t>
            </w:r>
          </w:p>
          <w:p w14:paraId="1F87BC52">
            <w:pPr>
              <w:jc w:val="left"/>
              <w:rPr>
                <w:rFonts w:ascii="宋体" w:hAnsi="宋体" w:cs="宋体"/>
                <w:color w:val="auto"/>
                <w:szCs w:val="21"/>
                <w:highlight w:val="none"/>
              </w:rPr>
            </w:pPr>
            <w:r>
              <w:rPr>
                <w:rFonts w:hint="eastAsia" w:ascii="宋体" w:hAnsi="宋体" w:cs="宋体"/>
                <w:color w:val="auto"/>
                <w:szCs w:val="21"/>
                <w:highlight w:val="none"/>
              </w:rPr>
              <w:t>7.相邻台板拼缝应无间隙，高低平齐，手摸无明显拼缝感觉；</w:t>
            </w:r>
          </w:p>
          <w:p w14:paraId="5541B163">
            <w:pPr>
              <w:jc w:val="left"/>
              <w:rPr>
                <w:rFonts w:ascii="宋体" w:hAnsi="宋体" w:cs="宋体"/>
                <w:color w:val="auto"/>
                <w:szCs w:val="21"/>
                <w:highlight w:val="none"/>
              </w:rPr>
            </w:pPr>
            <w:r>
              <w:rPr>
                <w:rFonts w:hint="eastAsia" w:ascii="宋体" w:hAnsi="宋体" w:cs="宋体"/>
                <w:color w:val="auto"/>
                <w:szCs w:val="21"/>
                <w:highlight w:val="none"/>
              </w:rPr>
              <w:t>长度方向与台面设备的连线可以实现任意位置垂直入线，保证线不外露</w:t>
            </w:r>
          </w:p>
          <w:p w14:paraId="08947DFE">
            <w:pPr>
              <w:jc w:val="left"/>
              <w:rPr>
                <w:rFonts w:ascii="宋体" w:hAnsi="宋体" w:cs="宋体"/>
                <w:color w:val="auto"/>
                <w:szCs w:val="21"/>
                <w:highlight w:val="none"/>
              </w:rPr>
            </w:pPr>
            <w:r>
              <w:rPr>
                <w:rFonts w:hint="eastAsia" w:ascii="宋体" w:hAnsi="宋体" w:cs="宋体"/>
                <w:color w:val="auto"/>
                <w:szCs w:val="21"/>
                <w:highlight w:val="none"/>
              </w:rPr>
              <w:t>8.包含固话托架、键盘托、文件柜、人体工程学椅等必要配件</w:t>
            </w:r>
          </w:p>
        </w:tc>
      </w:tr>
      <w:tr w14:paraId="393C2E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jc w:val="center"/>
        </w:trPr>
        <w:tc>
          <w:tcPr>
            <w:tcW w:w="659" w:type="dxa"/>
            <w:shd w:val="clear" w:color="auto" w:fill="auto"/>
            <w:vAlign w:val="center"/>
          </w:tcPr>
          <w:p w14:paraId="07F071A3">
            <w:pPr>
              <w:jc w:val="center"/>
              <w:rPr>
                <w:rFonts w:ascii="宋体" w:hAnsi="宋体" w:cs="宋体"/>
                <w:color w:val="auto"/>
                <w:szCs w:val="21"/>
                <w:highlight w:val="none"/>
              </w:rPr>
            </w:pPr>
            <w:r>
              <w:rPr>
                <w:rFonts w:hint="eastAsia" w:ascii="宋体" w:hAnsi="宋体" w:cs="宋体"/>
                <w:color w:val="auto"/>
                <w:szCs w:val="21"/>
                <w:highlight w:val="none"/>
              </w:rPr>
              <w:t>4.8</w:t>
            </w:r>
          </w:p>
        </w:tc>
        <w:tc>
          <w:tcPr>
            <w:tcW w:w="1148" w:type="dxa"/>
            <w:shd w:val="clear" w:color="auto" w:fill="auto"/>
            <w:vAlign w:val="center"/>
          </w:tcPr>
          <w:p w14:paraId="4643B5F6">
            <w:pPr>
              <w:jc w:val="center"/>
              <w:rPr>
                <w:rFonts w:ascii="宋体" w:hAnsi="宋体" w:cs="宋体"/>
                <w:color w:val="auto"/>
                <w:szCs w:val="21"/>
                <w:highlight w:val="none"/>
              </w:rPr>
            </w:pPr>
            <w:r>
              <w:rPr>
                <w:rFonts w:hint="eastAsia" w:ascii="宋体" w:hAnsi="宋体" w:cs="宋体"/>
                <w:color w:val="auto"/>
                <w:szCs w:val="21"/>
                <w:highlight w:val="none"/>
              </w:rPr>
              <w:t>键鼠套装</w:t>
            </w:r>
          </w:p>
        </w:tc>
        <w:tc>
          <w:tcPr>
            <w:tcW w:w="961" w:type="dxa"/>
            <w:shd w:val="clear" w:color="auto" w:fill="auto"/>
            <w:vAlign w:val="center"/>
          </w:tcPr>
          <w:p w14:paraId="37CC73D3">
            <w:pPr>
              <w:jc w:val="center"/>
              <w:rPr>
                <w:rFonts w:ascii="宋体" w:hAnsi="宋体" w:cs="宋体"/>
                <w:color w:val="auto"/>
                <w:szCs w:val="21"/>
                <w:highlight w:val="none"/>
              </w:rPr>
            </w:pPr>
            <w:r>
              <w:rPr>
                <w:rFonts w:hint="eastAsia" w:ascii="宋体" w:hAnsi="宋体" w:cs="宋体"/>
                <w:color w:val="auto"/>
                <w:szCs w:val="21"/>
                <w:highlight w:val="none"/>
              </w:rPr>
              <w:t>24套</w:t>
            </w:r>
          </w:p>
        </w:tc>
        <w:tc>
          <w:tcPr>
            <w:tcW w:w="701" w:type="dxa"/>
            <w:tcBorders>
              <w:right w:val="single" w:color="auto" w:sz="4" w:space="0"/>
            </w:tcBorders>
            <w:shd w:val="clear" w:color="auto" w:fill="auto"/>
            <w:vAlign w:val="center"/>
          </w:tcPr>
          <w:p w14:paraId="5E18C508">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工业</w:t>
            </w:r>
          </w:p>
        </w:tc>
        <w:tc>
          <w:tcPr>
            <w:tcW w:w="6527" w:type="dxa"/>
            <w:tcBorders>
              <w:left w:val="single" w:color="auto" w:sz="4" w:space="0"/>
              <w:right w:val="single" w:color="auto" w:sz="4" w:space="0"/>
            </w:tcBorders>
            <w:shd w:val="clear" w:color="auto" w:fill="auto"/>
          </w:tcPr>
          <w:p w14:paraId="4D9523C6">
            <w:pPr>
              <w:jc w:val="left"/>
              <w:rPr>
                <w:rFonts w:ascii="宋体" w:hAnsi="宋体" w:cs="宋体"/>
                <w:color w:val="auto"/>
                <w:szCs w:val="21"/>
                <w:highlight w:val="none"/>
              </w:rPr>
            </w:pPr>
            <w:r>
              <w:rPr>
                <w:rFonts w:hint="eastAsia" w:ascii="宋体" w:hAnsi="宋体" w:cs="宋体"/>
                <w:color w:val="auto"/>
                <w:szCs w:val="21"/>
                <w:highlight w:val="none"/>
              </w:rPr>
              <w:t>1.连接方式：USB</w:t>
            </w:r>
          </w:p>
          <w:p w14:paraId="3191FCDD">
            <w:pPr>
              <w:jc w:val="left"/>
              <w:rPr>
                <w:rFonts w:ascii="宋体" w:hAnsi="宋体" w:cs="宋体"/>
                <w:color w:val="auto"/>
                <w:szCs w:val="21"/>
                <w:highlight w:val="none"/>
              </w:rPr>
            </w:pPr>
            <w:r>
              <w:rPr>
                <w:rFonts w:hint="eastAsia" w:ascii="宋体" w:hAnsi="宋体" w:cs="宋体"/>
                <w:color w:val="auto"/>
                <w:szCs w:val="21"/>
                <w:highlight w:val="none"/>
              </w:rPr>
              <w:t>2.供电方式：USB供电</w:t>
            </w:r>
          </w:p>
          <w:p w14:paraId="6C2B83AE">
            <w:pPr>
              <w:jc w:val="left"/>
              <w:rPr>
                <w:rFonts w:ascii="宋体" w:hAnsi="宋体" w:cs="宋体"/>
                <w:color w:val="auto"/>
                <w:szCs w:val="21"/>
                <w:highlight w:val="none"/>
              </w:rPr>
            </w:pPr>
            <w:r>
              <w:rPr>
                <w:rFonts w:hint="eastAsia" w:ascii="宋体" w:hAnsi="宋体" w:cs="宋体"/>
                <w:color w:val="auto"/>
                <w:szCs w:val="21"/>
                <w:highlight w:val="none"/>
              </w:rPr>
              <w:t>3.键位数：≥98键</w:t>
            </w:r>
          </w:p>
        </w:tc>
      </w:tr>
      <w:tr w14:paraId="6FB57C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jc w:val="center"/>
        </w:trPr>
        <w:tc>
          <w:tcPr>
            <w:tcW w:w="659" w:type="dxa"/>
            <w:shd w:val="clear" w:color="auto" w:fill="auto"/>
            <w:vAlign w:val="center"/>
          </w:tcPr>
          <w:p w14:paraId="370FB332">
            <w:pPr>
              <w:jc w:val="center"/>
              <w:rPr>
                <w:rFonts w:ascii="宋体" w:hAnsi="宋体" w:cs="宋体"/>
                <w:color w:val="auto"/>
                <w:szCs w:val="21"/>
                <w:highlight w:val="none"/>
              </w:rPr>
            </w:pPr>
            <w:r>
              <w:rPr>
                <w:rFonts w:hint="eastAsia" w:ascii="宋体" w:hAnsi="宋体" w:cs="宋体"/>
                <w:color w:val="auto"/>
                <w:szCs w:val="21"/>
                <w:highlight w:val="none"/>
              </w:rPr>
              <w:t>4.9</w:t>
            </w:r>
          </w:p>
        </w:tc>
        <w:tc>
          <w:tcPr>
            <w:tcW w:w="1148" w:type="dxa"/>
            <w:shd w:val="clear" w:color="auto" w:fill="auto"/>
            <w:vAlign w:val="center"/>
          </w:tcPr>
          <w:p w14:paraId="6C4E3E59">
            <w:pPr>
              <w:jc w:val="center"/>
              <w:rPr>
                <w:rFonts w:ascii="宋体" w:hAnsi="宋体" w:cs="宋体"/>
                <w:color w:val="auto"/>
                <w:szCs w:val="21"/>
                <w:highlight w:val="none"/>
              </w:rPr>
            </w:pPr>
            <w:r>
              <w:rPr>
                <w:rFonts w:hint="eastAsia" w:ascii="宋体" w:hAnsi="宋体" w:cs="宋体"/>
                <w:color w:val="auto"/>
                <w:szCs w:val="21"/>
                <w:highlight w:val="none"/>
              </w:rPr>
              <w:t>显示屏</w:t>
            </w:r>
          </w:p>
        </w:tc>
        <w:tc>
          <w:tcPr>
            <w:tcW w:w="961" w:type="dxa"/>
            <w:shd w:val="clear" w:color="auto" w:fill="auto"/>
            <w:vAlign w:val="center"/>
          </w:tcPr>
          <w:p w14:paraId="36CA211C">
            <w:pPr>
              <w:jc w:val="center"/>
              <w:rPr>
                <w:rFonts w:ascii="宋体" w:hAnsi="宋体" w:cs="宋体"/>
                <w:color w:val="auto"/>
                <w:szCs w:val="21"/>
                <w:highlight w:val="none"/>
              </w:rPr>
            </w:pPr>
            <w:r>
              <w:rPr>
                <w:rFonts w:hint="eastAsia" w:ascii="宋体" w:hAnsi="宋体" w:cs="宋体"/>
                <w:color w:val="auto"/>
                <w:szCs w:val="21"/>
                <w:highlight w:val="none"/>
              </w:rPr>
              <w:t>24台</w:t>
            </w:r>
          </w:p>
        </w:tc>
        <w:tc>
          <w:tcPr>
            <w:tcW w:w="701" w:type="dxa"/>
            <w:tcBorders>
              <w:right w:val="single" w:color="auto" w:sz="4" w:space="0"/>
            </w:tcBorders>
            <w:shd w:val="clear" w:color="auto" w:fill="auto"/>
            <w:vAlign w:val="center"/>
          </w:tcPr>
          <w:p w14:paraId="2B70F75C">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工业</w:t>
            </w:r>
          </w:p>
        </w:tc>
        <w:tc>
          <w:tcPr>
            <w:tcW w:w="6527" w:type="dxa"/>
            <w:tcBorders>
              <w:left w:val="single" w:color="auto" w:sz="4" w:space="0"/>
              <w:right w:val="single" w:color="auto" w:sz="4" w:space="0"/>
            </w:tcBorders>
            <w:shd w:val="clear" w:color="auto" w:fill="auto"/>
          </w:tcPr>
          <w:p w14:paraId="5D036927">
            <w:pPr>
              <w:jc w:val="left"/>
              <w:rPr>
                <w:rFonts w:ascii="宋体" w:hAnsi="宋体" w:cs="宋体"/>
                <w:color w:val="auto"/>
                <w:szCs w:val="21"/>
                <w:highlight w:val="none"/>
              </w:rPr>
            </w:pPr>
            <w:r>
              <w:rPr>
                <w:rFonts w:hint="eastAsia" w:ascii="宋体" w:hAnsi="宋体" w:cs="宋体"/>
                <w:color w:val="auto"/>
                <w:szCs w:val="21"/>
                <w:highlight w:val="none"/>
              </w:rPr>
              <w:t>1.≥21.45英寸显示器</w:t>
            </w:r>
          </w:p>
          <w:p w14:paraId="7C118B34">
            <w:pPr>
              <w:jc w:val="left"/>
              <w:rPr>
                <w:rFonts w:ascii="宋体" w:hAnsi="宋体" w:cs="宋体"/>
                <w:color w:val="auto"/>
                <w:szCs w:val="21"/>
                <w:highlight w:val="none"/>
              </w:rPr>
            </w:pPr>
            <w:r>
              <w:rPr>
                <w:rFonts w:hint="eastAsia" w:ascii="宋体" w:hAnsi="宋体" w:cs="宋体"/>
                <w:color w:val="auto"/>
                <w:szCs w:val="21"/>
                <w:highlight w:val="none"/>
              </w:rPr>
              <w:t>2.屏幕刷新率：75hz</w:t>
            </w:r>
          </w:p>
          <w:p w14:paraId="2F07027C">
            <w:pPr>
              <w:jc w:val="left"/>
              <w:rPr>
                <w:rFonts w:ascii="宋体" w:hAnsi="宋体" w:cs="宋体"/>
                <w:color w:val="auto"/>
                <w:szCs w:val="21"/>
                <w:highlight w:val="none"/>
              </w:rPr>
            </w:pPr>
            <w:r>
              <w:rPr>
                <w:rFonts w:hint="eastAsia" w:ascii="宋体" w:hAnsi="宋体" w:cs="宋体"/>
                <w:color w:val="auto"/>
                <w:szCs w:val="21"/>
                <w:highlight w:val="none"/>
              </w:rPr>
              <w:t>3.接口:HDMI、VGA、音频/耳机输出</w:t>
            </w:r>
          </w:p>
        </w:tc>
      </w:tr>
      <w:tr w14:paraId="297C11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jc w:val="center"/>
        </w:trPr>
        <w:tc>
          <w:tcPr>
            <w:tcW w:w="659" w:type="dxa"/>
            <w:shd w:val="clear" w:color="auto" w:fill="auto"/>
            <w:vAlign w:val="center"/>
          </w:tcPr>
          <w:p w14:paraId="4749F59D">
            <w:pPr>
              <w:jc w:val="center"/>
              <w:rPr>
                <w:rFonts w:ascii="宋体" w:hAnsi="宋体" w:cs="宋体"/>
                <w:color w:val="auto"/>
                <w:szCs w:val="21"/>
                <w:highlight w:val="none"/>
              </w:rPr>
            </w:pPr>
            <w:r>
              <w:rPr>
                <w:rFonts w:hint="eastAsia" w:ascii="宋体" w:hAnsi="宋体" w:cs="宋体"/>
                <w:color w:val="auto"/>
                <w:szCs w:val="21"/>
                <w:highlight w:val="none"/>
              </w:rPr>
              <w:t>4.10</w:t>
            </w:r>
          </w:p>
        </w:tc>
        <w:tc>
          <w:tcPr>
            <w:tcW w:w="1148" w:type="dxa"/>
            <w:shd w:val="clear" w:color="auto" w:fill="auto"/>
            <w:vAlign w:val="center"/>
          </w:tcPr>
          <w:p w14:paraId="40ED2467">
            <w:pPr>
              <w:jc w:val="center"/>
              <w:rPr>
                <w:rFonts w:ascii="宋体" w:hAnsi="宋体" w:cs="宋体"/>
                <w:color w:val="auto"/>
                <w:szCs w:val="21"/>
                <w:highlight w:val="none"/>
              </w:rPr>
            </w:pPr>
            <w:r>
              <w:rPr>
                <w:rFonts w:hint="eastAsia" w:ascii="宋体" w:hAnsi="宋体" w:cs="宋体"/>
                <w:color w:val="auto"/>
                <w:szCs w:val="21"/>
                <w:highlight w:val="none"/>
              </w:rPr>
              <w:t>显示屏支架</w:t>
            </w:r>
          </w:p>
        </w:tc>
        <w:tc>
          <w:tcPr>
            <w:tcW w:w="961" w:type="dxa"/>
            <w:shd w:val="clear" w:color="auto" w:fill="auto"/>
            <w:vAlign w:val="center"/>
          </w:tcPr>
          <w:p w14:paraId="699B9CD8">
            <w:pPr>
              <w:jc w:val="center"/>
              <w:rPr>
                <w:rFonts w:ascii="宋体" w:hAnsi="宋体" w:cs="宋体"/>
                <w:color w:val="auto"/>
                <w:szCs w:val="21"/>
                <w:highlight w:val="none"/>
              </w:rPr>
            </w:pPr>
            <w:r>
              <w:rPr>
                <w:rFonts w:hint="eastAsia" w:ascii="宋体" w:hAnsi="宋体" w:cs="宋体"/>
                <w:color w:val="auto"/>
                <w:szCs w:val="21"/>
                <w:highlight w:val="none"/>
              </w:rPr>
              <w:t>24套</w:t>
            </w:r>
          </w:p>
        </w:tc>
        <w:tc>
          <w:tcPr>
            <w:tcW w:w="701" w:type="dxa"/>
            <w:tcBorders>
              <w:right w:val="single" w:color="auto" w:sz="4" w:space="0"/>
            </w:tcBorders>
            <w:shd w:val="clear" w:color="auto" w:fill="auto"/>
            <w:vAlign w:val="center"/>
          </w:tcPr>
          <w:p w14:paraId="450EE309">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工业</w:t>
            </w:r>
          </w:p>
        </w:tc>
        <w:tc>
          <w:tcPr>
            <w:tcW w:w="6527" w:type="dxa"/>
            <w:tcBorders>
              <w:left w:val="single" w:color="auto" w:sz="4" w:space="0"/>
              <w:right w:val="single" w:color="auto" w:sz="4" w:space="0"/>
            </w:tcBorders>
            <w:shd w:val="clear" w:color="auto" w:fill="auto"/>
          </w:tcPr>
          <w:p w14:paraId="7AA773B1">
            <w:pPr>
              <w:jc w:val="left"/>
              <w:rPr>
                <w:rFonts w:ascii="宋体" w:hAnsi="宋体" w:cs="宋体"/>
                <w:color w:val="auto"/>
                <w:szCs w:val="21"/>
                <w:highlight w:val="none"/>
              </w:rPr>
            </w:pPr>
            <w:r>
              <w:rPr>
                <w:rFonts w:hint="eastAsia" w:ascii="宋体" w:hAnsi="宋体" w:cs="宋体"/>
                <w:color w:val="auto"/>
                <w:szCs w:val="21"/>
                <w:highlight w:val="none"/>
              </w:rPr>
              <w:t>1.双力臂支架</w:t>
            </w:r>
          </w:p>
          <w:p w14:paraId="69AA1F2E">
            <w:pPr>
              <w:jc w:val="left"/>
              <w:rPr>
                <w:rFonts w:ascii="宋体" w:hAnsi="宋体" w:cs="宋体"/>
                <w:color w:val="auto"/>
                <w:szCs w:val="21"/>
                <w:highlight w:val="none"/>
              </w:rPr>
            </w:pPr>
            <w:r>
              <w:rPr>
                <w:rFonts w:hint="eastAsia" w:ascii="宋体" w:hAnsi="宋体" w:cs="宋体"/>
                <w:color w:val="auto"/>
                <w:szCs w:val="21"/>
                <w:highlight w:val="none"/>
              </w:rPr>
              <w:t>2.立柱高度≥450mm</w:t>
            </w:r>
          </w:p>
          <w:p w14:paraId="2AD77E47">
            <w:pPr>
              <w:jc w:val="left"/>
              <w:rPr>
                <w:rFonts w:ascii="宋体" w:hAnsi="宋体" w:cs="宋体"/>
                <w:color w:val="auto"/>
                <w:szCs w:val="21"/>
                <w:highlight w:val="none"/>
              </w:rPr>
            </w:pPr>
            <w:r>
              <w:rPr>
                <w:rFonts w:hint="eastAsia" w:ascii="宋体" w:hAnsi="宋体" w:cs="宋体"/>
                <w:color w:val="auto"/>
                <w:szCs w:val="21"/>
                <w:highlight w:val="none"/>
              </w:rPr>
              <w:t>3.升降范围≥400mm</w:t>
            </w:r>
          </w:p>
          <w:p w14:paraId="29E488E7">
            <w:pPr>
              <w:jc w:val="left"/>
              <w:rPr>
                <w:rFonts w:ascii="宋体" w:hAnsi="宋体" w:cs="宋体"/>
                <w:color w:val="auto"/>
                <w:szCs w:val="21"/>
                <w:highlight w:val="none"/>
              </w:rPr>
            </w:pPr>
            <w:r>
              <w:rPr>
                <w:rFonts w:hint="eastAsia" w:ascii="宋体" w:hAnsi="宋体" w:cs="宋体"/>
                <w:color w:val="auto"/>
                <w:szCs w:val="21"/>
                <w:highlight w:val="none"/>
              </w:rPr>
              <w:t>4.承重范围1-10kg</w:t>
            </w:r>
          </w:p>
          <w:p w14:paraId="15307318">
            <w:pPr>
              <w:jc w:val="left"/>
              <w:rPr>
                <w:rFonts w:ascii="宋体" w:hAnsi="宋体" w:cs="宋体"/>
                <w:color w:val="auto"/>
                <w:szCs w:val="21"/>
                <w:highlight w:val="none"/>
              </w:rPr>
            </w:pPr>
            <w:r>
              <w:rPr>
                <w:rFonts w:hint="eastAsia" w:ascii="宋体" w:hAnsi="宋体" w:cs="宋体"/>
                <w:color w:val="auto"/>
                <w:szCs w:val="21"/>
                <w:highlight w:val="none"/>
              </w:rPr>
              <w:t>5.左右摆动可达到180°</w:t>
            </w:r>
          </w:p>
          <w:p w14:paraId="69B0A18E">
            <w:pPr>
              <w:jc w:val="left"/>
              <w:rPr>
                <w:rFonts w:ascii="宋体" w:hAnsi="宋体" w:cs="宋体"/>
                <w:color w:val="auto"/>
                <w:szCs w:val="21"/>
                <w:highlight w:val="none"/>
              </w:rPr>
            </w:pPr>
            <w:r>
              <w:rPr>
                <w:rFonts w:hint="eastAsia" w:ascii="宋体" w:hAnsi="宋体" w:cs="宋体"/>
                <w:color w:val="auto"/>
                <w:szCs w:val="21"/>
                <w:highlight w:val="none"/>
              </w:rPr>
              <w:t>6.俯仰角+90至-45</w:t>
            </w:r>
          </w:p>
          <w:p w14:paraId="433CA196">
            <w:pPr>
              <w:jc w:val="left"/>
              <w:rPr>
                <w:rFonts w:ascii="宋体" w:hAnsi="宋体" w:cs="宋体"/>
                <w:color w:val="auto"/>
                <w:szCs w:val="21"/>
                <w:highlight w:val="none"/>
              </w:rPr>
            </w:pPr>
            <w:r>
              <w:rPr>
                <w:rFonts w:hint="eastAsia" w:ascii="宋体" w:hAnsi="宋体" w:cs="宋体"/>
                <w:color w:val="auto"/>
                <w:szCs w:val="21"/>
                <w:highlight w:val="none"/>
              </w:rPr>
              <w:t>7.旋转可达到360°</w:t>
            </w:r>
          </w:p>
          <w:p w14:paraId="1B52693E">
            <w:pPr>
              <w:jc w:val="left"/>
              <w:rPr>
                <w:rFonts w:ascii="宋体" w:hAnsi="宋体" w:cs="宋体"/>
                <w:color w:val="auto"/>
                <w:szCs w:val="21"/>
                <w:highlight w:val="none"/>
              </w:rPr>
            </w:pPr>
            <w:r>
              <w:rPr>
                <w:rFonts w:hint="eastAsia" w:ascii="宋体" w:hAnsi="宋体" w:cs="宋体"/>
                <w:color w:val="auto"/>
                <w:szCs w:val="21"/>
                <w:highlight w:val="none"/>
              </w:rPr>
              <w:t>8.匹配显示器的安装</w:t>
            </w:r>
          </w:p>
        </w:tc>
      </w:tr>
      <w:tr w14:paraId="6E1A57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jc w:val="center"/>
        </w:trPr>
        <w:tc>
          <w:tcPr>
            <w:tcW w:w="9996" w:type="dxa"/>
            <w:gridSpan w:val="5"/>
            <w:tcBorders>
              <w:right w:val="single" w:color="auto" w:sz="4" w:space="0"/>
            </w:tcBorders>
            <w:shd w:val="clear" w:color="auto" w:fill="auto"/>
            <w:vAlign w:val="center"/>
          </w:tcPr>
          <w:p w14:paraId="580BF278">
            <w:pPr>
              <w:jc w:val="left"/>
              <w:rPr>
                <w:rFonts w:ascii="宋体" w:hAnsi="宋体" w:cs="宋体"/>
                <w:color w:val="auto"/>
                <w:szCs w:val="21"/>
                <w:highlight w:val="none"/>
              </w:rPr>
            </w:pPr>
            <w:r>
              <w:rPr>
                <w:rFonts w:hint="eastAsia" w:ascii="宋体" w:hAnsi="宋体" w:cs="宋体"/>
                <w:b/>
                <w:bCs/>
                <w:color w:val="auto"/>
                <w:szCs w:val="21"/>
                <w:highlight w:val="none"/>
              </w:rPr>
              <w:t>（三）专业扩声系统</w:t>
            </w:r>
          </w:p>
        </w:tc>
      </w:tr>
      <w:tr w14:paraId="37ACCA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jc w:val="center"/>
        </w:trPr>
        <w:tc>
          <w:tcPr>
            <w:tcW w:w="659" w:type="dxa"/>
            <w:shd w:val="clear" w:color="auto" w:fill="auto"/>
            <w:vAlign w:val="center"/>
          </w:tcPr>
          <w:p w14:paraId="4F02E234">
            <w:pPr>
              <w:jc w:val="center"/>
              <w:rPr>
                <w:rFonts w:ascii="宋体" w:hAnsi="宋体" w:cs="宋体"/>
                <w:color w:val="auto"/>
                <w:szCs w:val="21"/>
                <w:highlight w:val="none"/>
              </w:rPr>
            </w:pPr>
            <w:r>
              <w:rPr>
                <w:rFonts w:hint="eastAsia" w:ascii="宋体" w:hAnsi="宋体" w:cs="宋体"/>
                <w:color w:val="auto"/>
                <w:szCs w:val="21"/>
                <w:highlight w:val="none"/>
              </w:rPr>
              <w:t>1</w:t>
            </w:r>
          </w:p>
        </w:tc>
        <w:tc>
          <w:tcPr>
            <w:tcW w:w="1148" w:type="dxa"/>
            <w:shd w:val="clear" w:color="auto" w:fill="auto"/>
            <w:vAlign w:val="center"/>
          </w:tcPr>
          <w:p w14:paraId="4320CFAB">
            <w:pPr>
              <w:jc w:val="center"/>
              <w:rPr>
                <w:rFonts w:ascii="宋体" w:hAnsi="宋体" w:cs="宋体"/>
                <w:color w:val="auto"/>
                <w:szCs w:val="21"/>
                <w:highlight w:val="none"/>
              </w:rPr>
            </w:pPr>
            <w:r>
              <w:rPr>
                <w:rFonts w:hint="eastAsia" w:ascii="宋体" w:hAnsi="宋体" w:cs="宋体"/>
                <w:color w:val="auto"/>
                <w:szCs w:val="21"/>
                <w:highlight w:val="none"/>
              </w:rPr>
              <w:t>音箱</w:t>
            </w:r>
          </w:p>
        </w:tc>
        <w:tc>
          <w:tcPr>
            <w:tcW w:w="961" w:type="dxa"/>
            <w:shd w:val="clear" w:color="auto" w:fill="auto"/>
            <w:vAlign w:val="center"/>
          </w:tcPr>
          <w:p w14:paraId="532E5919">
            <w:pPr>
              <w:jc w:val="center"/>
              <w:rPr>
                <w:rFonts w:ascii="宋体" w:hAnsi="宋体" w:cs="宋体"/>
                <w:color w:val="auto"/>
                <w:szCs w:val="21"/>
                <w:highlight w:val="none"/>
              </w:rPr>
            </w:pPr>
            <w:r>
              <w:rPr>
                <w:rFonts w:hint="eastAsia" w:ascii="宋体" w:hAnsi="宋体" w:cs="宋体"/>
                <w:color w:val="auto"/>
                <w:szCs w:val="21"/>
                <w:highlight w:val="none"/>
              </w:rPr>
              <w:t>2只</w:t>
            </w:r>
          </w:p>
        </w:tc>
        <w:tc>
          <w:tcPr>
            <w:tcW w:w="701" w:type="dxa"/>
            <w:tcBorders>
              <w:right w:val="single" w:color="auto" w:sz="4" w:space="0"/>
            </w:tcBorders>
            <w:shd w:val="clear" w:color="auto" w:fill="auto"/>
            <w:vAlign w:val="center"/>
          </w:tcPr>
          <w:p w14:paraId="614D7C00">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工业</w:t>
            </w:r>
          </w:p>
        </w:tc>
        <w:tc>
          <w:tcPr>
            <w:tcW w:w="6527" w:type="dxa"/>
            <w:tcBorders>
              <w:left w:val="single" w:color="auto" w:sz="4" w:space="0"/>
              <w:right w:val="single" w:color="auto" w:sz="4" w:space="0"/>
            </w:tcBorders>
            <w:shd w:val="clear" w:color="auto" w:fill="auto"/>
          </w:tcPr>
          <w:p w14:paraId="7EC2A718">
            <w:pPr>
              <w:jc w:val="left"/>
              <w:rPr>
                <w:rFonts w:ascii="宋体" w:hAnsi="宋体" w:cs="宋体"/>
                <w:color w:val="auto"/>
                <w:szCs w:val="21"/>
                <w:highlight w:val="none"/>
              </w:rPr>
            </w:pPr>
            <w:r>
              <w:rPr>
                <w:rFonts w:hint="eastAsia" w:ascii="宋体" w:hAnsi="宋体" w:cs="宋体"/>
                <w:color w:val="auto"/>
                <w:szCs w:val="21"/>
                <w:highlight w:val="none"/>
              </w:rPr>
              <w:t>▲1.采用≥8只3寸全频喇叭单元。（投标时须提供佐证材料证明满足该功能，佐证材料包含但不限于经国家认可的第三方认证（检测）机构出具的带有CMA或CNAS标志的检测报告复印件或官网截图或彩页或功能截图，除检测报告外，其他佐证材料均需加盖原厂公章。）</w:t>
            </w:r>
          </w:p>
          <w:p w14:paraId="06DF6428">
            <w:pPr>
              <w:jc w:val="left"/>
              <w:rPr>
                <w:rFonts w:ascii="宋体" w:hAnsi="宋体" w:cs="宋体"/>
                <w:color w:val="auto"/>
                <w:szCs w:val="21"/>
                <w:highlight w:val="none"/>
              </w:rPr>
            </w:pPr>
            <w:r>
              <w:rPr>
                <w:rFonts w:hint="eastAsia" w:ascii="宋体" w:hAnsi="宋体" w:cs="宋体"/>
                <w:color w:val="auto"/>
                <w:szCs w:val="21"/>
                <w:highlight w:val="none"/>
              </w:rPr>
              <w:t>2.箱体采用≥12mm高密度板，CNC加工，耐磨喷漆处理。</w:t>
            </w:r>
          </w:p>
          <w:p w14:paraId="581F60F2">
            <w:pPr>
              <w:jc w:val="left"/>
              <w:rPr>
                <w:rFonts w:ascii="宋体" w:hAnsi="宋体" w:cs="宋体"/>
                <w:color w:val="auto"/>
                <w:szCs w:val="21"/>
                <w:highlight w:val="none"/>
              </w:rPr>
            </w:pPr>
            <w:r>
              <w:rPr>
                <w:rFonts w:hint="eastAsia" w:ascii="宋体" w:hAnsi="宋体" w:cs="宋体"/>
                <w:color w:val="auto"/>
                <w:szCs w:val="21"/>
                <w:highlight w:val="none"/>
              </w:rPr>
              <w:t>3.拼接排列扬声器设计。</w:t>
            </w:r>
          </w:p>
          <w:p w14:paraId="6C457E07">
            <w:pPr>
              <w:jc w:val="left"/>
              <w:rPr>
                <w:rFonts w:ascii="宋体" w:hAnsi="宋体" w:cs="宋体"/>
                <w:color w:val="auto"/>
                <w:szCs w:val="21"/>
                <w:highlight w:val="none"/>
              </w:rPr>
            </w:pPr>
            <w:r>
              <w:rPr>
                <w:rFonts w:hint="eastAsia" w:ascii="宋体" w:hAnsi="宋体" w:cs="宋体"/>
                <w:color w:val="auto"/>
                <w:szCs w:val="21"/>
                <w:highlight w:val="none"/>
              </w:rPr>
              <w:t>▲4.额定功率≥300W；峰值功率≥1200W（投标时须提供佐证材料证明满足该功能，佐证材料包含但不限于经国家认可的第三方认证（检测）机构出具的带有CMA或CNAS标志的检测报告复印件或官网截图或彩页或功能截图，除检测报告外，其他佐证材料均需加盖原厂公章。）</w:t>
            </w:r>
          </w:p>
          <w:p w14:paraId="0FC06FB3">
            <w:pPr>
              <w:jc w:val="left"/>
              <w:rPr>
                <w:rFonts w:ascii="宋体" w:hAnsi="宋体" w:cs="宋体"/>
                <w:color w:val="auto"/>
                <w:szCs w:val="21"/>
                <w:highlight w:val="none"/>
              </w:rPr>
            </w:pPr>
            <w:r>
              <w:rPr>
                <w:rFonts w:hint="eastAsia" w:ascii="宋体" w:hAnsi="宋体" w:cs="宋体"/>
                <w:color w:val="auto"/>
                <w:szCs w:val="21"/>
                <w:highlight w:val="none"/>
              </w:rPr>
              <w:t>5.最大声压级（额定/峰值）：120dB/126dB</w:t>
            </w:r>
          </w:p>
          <w:p w14:paraId="1FDB46C4">
            <w:pPr>
              <w:jc w:val="left"/>
              <w:rPr>
                <w:rFonts w:ascii="宋体" w:hAnsi="宋体" w:cs="宋体"/>
                <w:color w:val="auto"/>
                <w:szCs w:val="21"/>
                <w:highlight w:val="none"/>
              </w:rPr>
            </w:pPr>
            <w:r>
              <w:rPr>
                <w:rFonts w:hint="eastAsia" w:ascii="宋体" w:hAnsi="宋体" w:cs="宋体"/>
                <w:color w:val="auto"/>
                <w:szCs w:val="21"/>
                <w:highlight w:val="none"/>
              </w:rPr>
              <w:t>6.标称阻抗≤4Ω</w:t>
            </w:r>
          </w:p>
          <w:p w14:paraId="18C53876">
            <w:pPr>
              <w:jc w:val="left"/>
              <w:rPr>
                <w:rFonts w:ascii="宋体" w:hAnsi="宋体" w:cs="宋体"/>
                <w:color w:val="auto"/>
                <w:szCs w:val="21"/>
                <w:highlight w:val="none"/>
              </w:rPr>
            </w:pPr>
            <w:r>
              <w:rPr>
                <w:rFonts w:hint="eastAsia" w:ascii="宋体" w:hAnsi="宋体" w:cs="宋体"/>
                <w:color w:val="auto"/>
                <w:szCs w:val="21"/>
                <w:highlight w:val="none"/>
              </w:rPr>
              <w:t>7.频率范围等同或优于70Hz-20kHz</w:t>
            </w:r>
          </w:p>
        </w:tc>
      </w:tr>
      <w:tr w14:paraId="0F6D41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jc w:val="center"/>
        </w:trPr>
        <w:tc>
          <w:tcPr>
            <w:tcW w:w="659" w:type="dxa"/>
            <w:shd w:val="clear" w:color="auto" w:fill="auto"/>
            <w:vAlign w:val="center"/>
          </w:tcPr>
          <w:p w14:paraId="3704C733">
            <w:pPr>
              <w:jc w:val="center"/>
              <w:rPr>
                <w:rFonts w:ascii="宋体" w:hAnsi="宋体" w:cs="宋体"/>
                <w:color w:val="auto"/>
                <w:szCs w:val="21"/>
                <w:highlight w:val="none"/>
              </w:rPr>
            </w:pPr>
            <w:r>
              <w:rPr>
                <w:rFonts w:hint="eastAsia" w:ascii="宋体" w:hAnsi="宋体" w:cs="宋体"/>
                <w:color w:val="auto"/>
                <w:szCs w:val="21"/>
                <w:highlight w:val="none"/>
              </w:rPr>
              <w:t>2</w:t>
            </w:r>
          </w:p>
        </w:tc>
        <w:tc>
          <w:tcPr>
            <w:tcW w:w="1148" w:type="dxa"/>
            <w:shd w:val="clear" w:color="auto" w:fill="auto"/>
            <w:vAlign w:val="center"/>
          </w:tcPr>
          <w:p w14:paraId="2DCA8C89">
            <w:pPr>
              <w:jc w:val="center"/>
              <w:rPr>
                <w:rFonts w:ascii="宋体" w:hAnsi="宋体" w:cs="宋体"/>
                <w:color w:val="auto"/>
                <w:szCs w:val="21"/>
                <w:highlight w:val="none"/>
              </w:rPr>
            </w:pPr>
            <w:r>
              <w:rPr>
                <w:rFonts w:hint="eastAsia" w:ascii="宋体" w:hAnsi="宋体" w:cs="宋体"/>
                <w:color w:val="auto"/>
                <w:szCs w:val="21"/>
                <w:highlight w:val="none"/>
              </w:rPr>
              <w:t>支架</w:t>
            </w:r>
          </w:p>
        </w:tc>
        <w:tc>
          <w:tcPr>
            <w:tcW w:w="961" w:type="dxa"/>
            <w:shd w:val="clear" w:color="auto" w:fill="auto"/>
            <w:vAlign w:val="center"/>
          </w:tcPr>
          <w:p w14:paraId="09B2ED73">
            <w:pPr>
              <w:jc w:val="center"/>
              <w:rPr>
                <w:rFonts w:ascii="宋体" w:hAnsi="宋体" w:cs="宋体"/>
                <w:color w:val="auto"/>
                <w:szCs w:val="21"/>
                <w:highlight w:val="none"/>
              </w:rPr>
            </w:pPr>
            <w:r>
              <w:rPr>
                <w:rFonts w:hint="eastAsia" w:ascii="宋体" w:hAnsi="宋体" w:cs="宋体"/>
                <w:color w:val="auto"/>
                <w:szCs w:val="21"/>
                <w:highlight w:val="none"/>
              </w:rPr>
              <w:t>2只</w:t>
            </w:r>
          </w:p>
        </w:tc>
        <w:tc>
          <w:tcPr>
            <w:tcW w:w="701" w:type="dxa"/>
            <w:tcBorders>
              <w:right w:val="single" w:color="auto" w:sz="4" w:space="0"/>
            </w:tcBorders>
            <w:shd w:val="clear" w:color="auto" w:fill="auto"/>
            <w:vAlign w:val="center"/>
          </w:tcPr>
          <w:p w14:paraId="75B3BE35">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工业</w:t>
            </w:r>
          </w:p>
        </w:tc>
        <w:tc>
          <w:tcPr>
            <w:tcW w:w="6527" w:type="dxa"/>
            <w:tcBorders>
              <w:left w:val="single" w:color="auto" w:sz="4" w:space="0"/>
              <w:right w:val="single" w:color="auto" w:sz="4" w:space="0"/>
            </w:tcBorders>
            <w:shd w:val="clear" w:color="auto" w:fill="auto"/>
          </w:tcPr>
          <w:p w14:paraId="44940381">
            <w:pPr>
              <w:jc w:val="left"/>
              <w:rPr>
                <w:rFonts w:ascii="宋体" w:hAnsi="宋体" w:cs="宋体"/>
                <w:color w:val="auto"/>
                <w:szCs w:val="21"/>
                <w:highlight w:val="none"/>
              </w:rPr>
            </w:pPr>
            <w:r>
              <w:rPr>
                <w:rFonts w:hint="eastAsia" w:ascii="宋体" w:hAnsi="宋体" w:cs="宋体"/>
                <w:color w:val="auto"/>
                <w:szCs w:val="21"/>
                <w:highlight w:val="none"/>
              </w:rPr>
              <w:t>音箱支架</w:t>
            </w:r>
          </w:p>
        </w:tc>
      </w:tr>
      <w:tr w14:paraId="4BB3F8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jc w:val="center"/>
        </w:trPr>
        <w:tc>
          <w:tcPr>
            <w:tcW w:w="659" w:type="dxa"/>
            <w:shd w:val="clear" w:color="auto" w:fill="auto"/>
            <w:vAlign w:val="center"/>
          </w:tcPr>
          <w:p w14:paraId="3D45C622">
            <w:pPr>
              <w:jc w:val="center"/>
              <w:rPr>
                <w:rFonts w:ascii="宋体" w:hAnsi="宋体" w:cs="宋体"/>
                <w:color w:val="auto"/>
                <w:szCs w:val="21"/>
                <w:highlight w:val="none"/>
              </w:rPr>
            </w:pPr>
            <w:r>
              <w:rPr>
                <w:rFonts w:hint="eastAsia" w:ascii="宋体" w:hAnsi="宋体" w:cs="宋体"/>
                <w:color w:val="auto"/>
                <w:szCs w:val="21"/>
                <w:highlight w:val="none"/>
              </w:rPr>
              <w:t>3</w:t>
            </w:r>
          </w:p>
        </w:tc>
        <w:tc>
          <w:tcPr>
            <w:tcW w:w="1148" w:type="dxa"/>
            <w:shd w:val="clear" w:color="auto" w:fill="auto"/>
            <w:vAlign w:val="center"/>
          </w:tcPr>
          <w:p w14:paraId="54599867">
            <w:pPr>
              <w:jc w:val="center"/>
              <w:rPr>
                <w:rFonts w:ascii="宋体" w:hAnsi="宋体" w:cs="宋体"/>
                <w:color w:val="auto"/>
                <w:szCs w:val="21"/>
                <w:highlight w:val="none"/>
              </w:rPr>
            </w:pPr>
            <w:r>
              <w:rPr>
                <w:rFonts w:hint="eastAsia" w:ascii="宋体" w:hAnsi="宋体" w:cs="宋体"/>
                <w:color w:val="auto"/>
                <w:szCs w:val="21"/>
                <w:highlight w:val="none"/>
              </w:rPr>
              <w:t>专业功放</w:t>
            </w:r>
          </w:p>
        </w:tc>
        <w:tc>
          <w:tcPr>
            <w:tcW w:w="961" w:type="dxa"/>
            <w:shd w:val="clear" w:color="auto" w:fill="auto"/>
            <w:vAlign w:val="center"/>
          </w:tcPr>
          <w:p w14:paraId="33D03CBE">
            <w:pPr>
              <w:jc w:val="center"/>
              <w:rPr>
                <w:rFonts w:ascii="宋体" w:hAnsi="宋体" w:cs="宋体"/>
                <w:color w:val="auto"/>
                <w:szCs w:val="21"/>
                <w:highlight w:val="none"/>
              </w:rPr>
            </w:pPr>
            <w:r>
              <w:rPr>
                <w:rFonts w:hint="eastAsia" w:ascii="宋体" w:hAnsi="宋体" w:cs="宋体"/>
                <w:color w:val="auto"/>
                <w:szCs w:val="21"/>
                <w:highlight w:val="none"/>
              </w:rPr>
              <w:t>1台</w:t>
            </w:r>
          </w:p>
        </w:tc>
        <w:tc>
          <w:tcPr>
            <w:tcW w:w="701" w:type="dxa"/>
            <w:tcBorders>
              <w:right w:val="single" w:color="auto" w:sz="4" w:space="0"/>
            </w:tcBorders>
            <w:shd w:val="clear" w:color="auto" w:fill="auto"/>
            <w:vAlign w:val="center"/>
          </w:tcPr>
          <w:p w14:paraId="2D81E1EA">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工业</w:t>
            </w:r>
          </w:p>
        </w:tc>
        <w:tc>
          <w:tcPr>
            <w:tcW w:w="6527" w:type="dxa"/>
            <w:tcBorders>
              <w:left w:val="single" w:color="auto" w:sz="4" w:space="0"/>
              <w:right w:val="single" w:color="auto" w:sz="4" w:space="0"/>
            </w:tcBorders>
            <w:shd w:val="clear" w:color="auto" w:fill="auto"/>
          </w:tcPr>
          <w:p w14:paraId="1CEB81DD">
            <w:pPr>
              <w:jc w:val="left"/>
              <w:rPr>
                <w:rFonts w:ascii="宋体" w:hAnsi="宋体" w:cs="宋体"/>
                <w:color w:val="auto"/>
                <w:szCs w:val="21"/>
                <w:highlight w:val="none"/>
              </w:rPr>
            </w:pPr>
            <w:r>
              <w:rPr>
                <w:rFonts w:hint="eastAsia" w:ascii="宋体" w:hAnsi="宋体" w:cs="宋体"/>
                <w:color w:val="auto"/>
                <w:szCs w:val="21"/>
                <w:highlight w:val="none"/>
              </w:rPr>
              <w:t>1.标准≤1U机箱设计，采用D类数字功放设计方案。</w:t>
            </w:r>
          </w:p>
          <w:p w14:paraId="27B731E9">
            <w:pPr>
              <w:jc w:val="left"/>
              <w:rPr>
                <w:rFonts w:ascii="宋体" w:hAnsi="宋体" w:cs="宋体"/>
                <w:color w:val="auto"/>
                <w:szCs w:val="21"/>
                <w:highlight w:val="none"/>
              </w:rPr>
            </w:pPr>
            <w:r>
              <w:rPr>
                <w:rFonts w:hint="eastAsia" w:ascii="宋体" w:hAnsi="宋体" w:cs="宋体"/>
                <w:color w:val="auto"/>
                <w:szCs w:val="21"/>
                <w:highlight w:val="none"/>
              </w:rPr>
              <w:t>2.标准XLR输入接口，和LINK输出口。</w:t>
            </w:r>
          </w:p>
          <w:p w14:paraId="5BA26B00">
            <w:pPr>
              <w:jc w:val="left"/>
              <w:rPr>
                <w:rFonts w:ascii="宋体" w:hAnsi="宋体" w:cs="宋体"/>
                <w:color w:val="auto"/>
                <w:szCs w:val="21"/>
                <w:highlight w:val="none"/>
              </w:rPr>
            </w:pPr>
            <w:r>
              <w:rPr>
                <w:rFonts w:hint="eastAsia" w:ascii="宋体" w:hAnsi="宋体" w:cs="宋体"/>
                <w:color w:val="auto"/>
                <w:szCs w:val="21"/>
                <w:highlight w:val="none"/>
              </w:rPr>
              <w:t>3.电源采用开关电源技术，效率高，有效的抑制电源谐波。</w:t>
            </w:r>
          </w:p>
          <w:p w14:paraId="71687B32">
            <w:pPr>
              <w:jc w:val="left"/>
              <w:rPr>
                <w:rFonts w:ascii="宋体" w:hAnsi="宋体" w:cs="宋体"/>
                <w:color w:val="auto"/>
                <w:szCs w:val="21"/>
                <w:highlight w:val="none"/>
              </w:rPr>
            </w:pPr>
            <w:r>
              <w:rPr>
                <w:rFonts w:hint="eastAsia" w:ascii="宋体" w:hAnsi="宋体" w:cs="宋体"/>
                <w:color w:val="auto"/>
                <w:szCs w:val="21"/>
                <w:highlight w:val="none"/>
              </w:rPr>
              <w:t xml:space="preserve">4.内置智能削峰限幅器，支持开机软启动，防止开机时向电网吸收大电流，干扰其它用电设备。 </w:t>
            </w:r>
          </w:p>
          <w:p w14:paraId="29FA1F72">
            <w:pPr>
              <w:jc w:val="left"/>
              <w:rPr>
                <w:rFonts w:ascii="宋体" w:hAnsi="宋体" w:cs="宋体"/>
                <w:color w:val="auto"/>
                <w:szCs w:val="21"/>
                <w:highlight w:val="none"/>
              </w:rPr>
            </w:pPr>
            <w:r>
              <w:rPr>
                <w:rFonts w:hint="eastAsia" w:ascii="宋体" w:hAnsi="宋体" w:cs="宋体"/>
                <w:color w:val="auto"/>
                <w:szCs w:val="21"/>
                <w:highlight w:val="none"/>
              </w:rPr>
              <w:t>5.具有：过压保护，欠压保护，过流保护，直流保护，输出短路保护，温控风扇功能。</w:t>
            </w:r>
          </w:p>
          <w:p w14:paraId="5976ADD9">
            <w:pPr>
              <w:jc w:val="left"/>
              <w:rPr>
                <w:rFonts w:ascii="宋体" w:hAnsi="宋体" w:cs="宋体"/>
                <w:color w:val="auto"/>
                <w:szCs w:val="21"/>
                <w:highlight w:val="none"/>
              </w:rPr>
            </w:pPr>
            <w:r>
              <w:rPr>
                <w:rFonts w:hint="eastAsia" w:ascii="宋体" w:hAnsi="宋体" w:cs="宋体"/>
                <w:color w:val="auto"/>
                <w:szCs w:val="21"/>
                <w:highlight w:val="none"/>
              </w:rPr>
              <w:t>▲6.输出功率：立体声8Ω ：≥350W×2；立体声4Ω：≥600W×2；桥接16Ω：≥700W ；桥接8Ω：≥1200W。（投标时须提供佐证材料证明满足该功能，佐证材料包含但不限于经国家认可的第三方认证（检测）机构出具的带有CMA或CNAS标志的检测报告复印件或官网截图或彩页或功能截图，除检测报告外，其他佐证材料均需加盖原厂公章。）</w:t>
            </w:r>
          </w:p>
        </w:tc>
      </w:tr>
      <w:tr w14:paraId="730335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jc w:val="center"/>
        </w:trPr>
        <w:tc>
          <w:tcPr>
            <w:tcW w:w="659" w:type="dxa"/>
            <w:shd w:val="clear" w:color="auto" w:fill="auto"/>
            <w:vAlign w:val="center"/>
          </w:tcPr>
          <w:p w14:paraId="61C2C655">
            <w:pPr>
              <w:jc w:val="center"/>
              <w:rPr>
                <w:rFonts w:ascii="宋体" w:hAnsi="宋体" w:cs="宋体"/>
                <w:color w:val="auto"/>
                <w:szCs w:val="21"/>
                <w:highlight w:val="none"/>
              </w:rPr>
            </w:pPr>
            <w:r>
              <w:rPr>
                <w:rFonts w:hint="eastAsia" w:ascii="宋体" w:hAnsi="宋体" w:cs="宋体"/>
                <w:color w:val="auto"/>
                <w:szCs w:val="21"/>
                <w:highlight w:val="none"/>
              </w:rPr>
              <w:t>4</w:t>
            </w:r>
          </w:p>
        </w:tc>
        <w:tc>
          <w:tcPr>
            <w:tcW w:w="1148" w:type="dxa"/>
            <w:shd w:val="clear" w:color="auto" w:fill="auto"/>
            <w:vAlign w:val="center"/>
          </w:tcPr>
          <w:p w14:paraId="42CC08C8">
            <w:pPr>
              <w:jc w:val="center"/>
              <w:rPr>
                <w:rFonts w:ascii="宋体" w:hAnsi="宋体" w:cs="宋体"/>
                <w:color w:val="auto"/>
                <w:szCs w:val="21"/>
                <w:highlight w:val="none"/>
              </w:rPr>
            </w:pPr>
            <w:r>
              <w:rPr>
                <w:rFonts w:hint="eastAsia" w:ascii="宋体" w:hAnsi="宋体" w:cs="宋体"/>
                <w:color w:val="auto"/>
                <w:szCs w:val="21"/>
                <w:highlight w:val="none"/>
              </w:rPr>
              <w:t>天花喇叭</w:t>
            </w:r>
          </w:p>
        </w:tc>
        <w:tc>
          <w:tcPr>
            <w:tcW w:w="961" w:type="dxa"/>
            <w:shd w:val="clear" w:color="auto" w:fill="auto"/>
            <w:vAlign w:val="center"/>
          </w:tcPr>
          <w:p w14:paraId="735C221B">
            <w:pPr>
              <w:jc w:val="center"/>
              <w:rPr>
                <w:rFonts w:ascii="宋体" w:hAnsi="宋体" w:cs="宋体"/>
                <w:color w:val="auto"/>
                <w:szCs w:val="21"/>
                <w:highlight w:val="none"/>
              </w:rPr>
            </w:pPr>
            <w:r>
              <w:rPr>
                <w:rFonts w:hint="eastAsia" w:ascii="宋体" w:hAnsi="宋体" w:cs="宋体"/>
                <w:color w:val="auto"/>
                <w:szCs w:val="21"/>
                <w:highlight w:val="none"/>
              </w:rPr>
              <w:t>2只</w:t>
            </w:r>
          </w:p>
        </w:tc>
        <w:tc>
          <w:tcPr>
            <w:tcW w:w="701" w:type="dxa"/>
            <w:tcBorders>
              <w:right w:val="single" w:color="auto" w:sz="4" w:space="0"/>
            </w:tcBorders>
            <w:shd w:val="clear" w:color="auto" w:fill="auto"/>
            <w:vAlign w:val="center"/>
          </w:tcPr>
          <w:p w14:paraId="70DD3C9F">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工业</w:t>
            </w:r>
          </w:p>
        </w:tc>
        <w:tc>
          <w:tcPr>
            <w:tcW w:w="6527" w:type="dxa"/>
            <w:tcBorders>
              <w:left w:val="single" w:color="auto" w:sz="4" w:space="0"/>
              <w:right w:val="single" w:color="auto" w:sz="4" w:space="0"/>
            </w:tcBorders>
            <w:shd w:val="clear" w:color="auto" w:fill="auto"/>
          </w:tcPr>
          <w:p w14:paraId="2209476A">
            <w:pPr>
              <w:jc w:val="left"/>
              <w:rPr>
                <w:rFonts w:ascii="宋体" w:hAnsi="宋体" w:cs="宋体"/>
                <w:color w:val="auto"/>
                <w:szCs w:val="21"/>
                <w:highlight w:val="none"/>
              </w:rPr>
            </w:pPr>
            <w:r>
              <w:rPr>
                <w:rFonts w:hint="eastAsia" w:ascii="宋体" w:hAnsi="宋体" w:cs="宋体"/>
                <w:color w:val="auto"/>
                <w:szCs w:val="21"/>
                <w:highlight w:val="none"/>
              </w:rPr>
              <w:t>1.额定功率≥200W</w:t>
            </w:r>
          </w:p>
          <w:p w14:paraId="40F29FCA">
            <w:pPr>
              <w:jc w:val="left"/>
              <w:rPr>
                <w:rFonts w:ascii="宋体" w:hAnsi="宋体" w:cs="宋体"/>
                <w:color w:val="auto"/>
                <w:szCs w:val="21"/>
                <w:highlight w:val="none"/>
              </w:rPr>
            </w:pPr>
            <w:r>
              <w:rPr>
                <w:rFonts w:hint="eastAsia" w:ascii="宋体" w:hAnsi="宋体" w:cs="宋体"/>
                <w:color w:val="auto"/>
                <w:szCs w:val="21"/>
                <w:highlight w:val="none"/>
              </w:rPr>
              <w:t>2.最大功率≥400W</w:t>
            </w:r>
          </w:p>
          <w:p w14:paraId="36FEF1B7">
            <w:pPr>
              <w:jc w:val="left"/>
              <w:rPr>
                <w:rFonts w:ascii="宋体" w:hAnsi="宋体" w:cs="宋体"/>
                <w:color w:val="auto"/>
                <w:szCs w:val="21"/>
                <w:highlight w:val="none"/>
              </w:rPr>
            </w:pPr>
            <w:r>
              <w:rPr>
                <w:rFonts w:hint="eastAsia" w:ascii="宋体" w:hAnsi="宋体" w:cs="宋体"/>
                <w:color w:val="auto"/>
                <w:szCs w:val="21"/>
                <w:highlight w:val="none"/>
              </w:rPr>
              <w:t>3.阻抗：≤8Ω</w:t>
            </w:r>
          </w:p>
          <w:p w14:paraId="2FB87E96">
            <w:pPr>
              <w:jc w:val="left"/>
              <w:rPr>
                <w:rFonts w:ascii="宋体" w:hAnsi="宋体" w:cs="宋体"/>
                <w:color w:val="auto"/>
                <w:szCs w:val="21"/>
                <w:highlight w:val="none"/>
              </w:rPr>
            </w:pPr>
            <w:r>
              <w:rPr>
                <w:rFonts w:hint="eastAsia" w:ascii="宋体" w:hAnsi="宋体" w:cs="宋体"/>
                <w:color w:val="auto"/>
                <w:szCs w:val="21"/>
                <w:highlight w:val="none"/>
              </w:rPr>
              <w:t>4.频率响应（-10dB）：等同或优于50Hz-20KHz</w:t>
            </w:r>
          </w:p>
          <w:p w14:paraId="49083C7D">
            <w:pPr>
              <w:jc w:val="left"/>
              <w:rPr>
                <w:rFonts w:ascii="宋体" w:hAnsi="宋体" w:cs="宋体"/>
                <w:color w:val="auto"/>
                <w:szCs w:val="21"/>
                <w:highlight w:val="none"/>
              </w:rPr>
            </w:pPr>
            <w:r>
              <w:rPr>
                <w:rFonts w:hint="eastAsia" w:ascii="宋体" w:hAnsi="宋体" w:cs="宋体"/>
                <w:color w:val="auto"/>
                <w:szCs w:val="21"/>
                <w:highlight w:val="none"/>
              </w:rPr>
              <w:t>5.喇叭单元：≤8"×1、1.5"×1</w:t>
            </w:r>
          </w:p>
        </w:tc>
      </w:tr>
      <w:tr w14:paraId="77A115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jc w:val="center"/>
        </w:trPr>
        <w:tc>
          <w:tcPr>
            <w:tcW w:w="659" w:type="dxa"/>
            <w:shd w:val="clear" w:color="auto" w:fill="auto"/>
            <w:vAlign w:val="center"/>
          </w:tcPr>
          <w:p w14:paraId="17AC86B1">
            <w:pPr>
              <w:jc w:val="center"/>
              <w:rPr>
                <w:rFonts w:ascii="宋体" w:hAnsi="宋体" w:cs="宋体"/>
                <w:color w:val="auto"/>
                <w:szCs w:val="21"/>
                <w:highlight w:val="none"/>
              </w:rPr>
            </w:pPr>
            <w:r>
              <w:rPr>
                <w:rFonts w:hint="eastAsia" w:ascii="宋体" w:hAnsi="宋体" w:cs="宋体"/>
                <w:color w:val="auto"/>
                <w:szCs w:val="21"/>
                <w:highlight w:val="none"/>
              </w:rPr>
              <w:t>5</w:t>
            </w:r>
          </w:p>
        </w:tc>
        <w:tc>
          <w:tcPr>
            <w:tcW w:w="1148" w:type="dxa"/>
            <w:shd w:val="clear" w:color="auto" w:fill="auto"/>
            <w:vAlign w:val="center"/>
          </w:tcPr>
          <w:p w14:paraId="708383F2">
            <w:pPr>
              <w:jc w:val="center"/>
              <w:rPr>
                <w:rFonts w:ascii="宋体" w:hAnsi="宋体" w:cs="宋体"/>
                <w:color w:val="auto"/>
                <w:szCs w:val="21"/>
                <w:highlight w:val="none"/>
              </w:rPr>
            </w:pPr>
            <w:r>
              <w:rPr>
                <w:rFonts w:hint="eastAsia" w:ascii="宋体" w:hAnsi="宋体" w:cs="宋体"/>
                <w:color w:val="auto"/>
                <w:szCs w:val="21"/>
                <w:highlight w:val="none"/>
              </w:rPr>
              <w:t>专业功放</w:t>
            </w:r>
          </w:p>
        </w:tc>
        <w:tc>
          <w:tcPr>
            <w:tcW w:w="961" w:type="dxa"/>
            <w:shd w:val="clear" w:color="auto" w:fill="auto"/>
            <w:vAlign w:val="center"/>
          </w:tcPr>
          <w:p w14:paraId="017E95D8">
            <w:pPr>
              <w:jc w:val="center"/>
              <w:rPr>
                <w:rFonts w:ascii="宋体" w:hAnsi="宋体" w:cs="宋体"/>
                <w:color w:val="auto"/>
                <w:szCs w:val="21"/>
                <w:highlight w:val="none"/>
              </w:rPr>
            </w:pPr>
            <w:r>
              <w:rPr>
                <w:rFonts w:hint="eastAsia" w:ascii="宋体" w:hAnsi="宋体" w:cs="宋体"/>
                <w:color w:val="auto"/>
                <w:szCs w:val="21"/>
                <w:highlight w:val="none"/>
              </w:rPr>
              <w:t>1台</w:t>
            </w:r>
          </w:p>
        </w:tc>
        <w:tc>
          <w:tcPr>
            <w:tcW w:w="701" w:type="dxa"/>
            <w:tcBorders>
              <w:right w:val="single" w:color="auto" w:sz="4" w:space="0"/>
            </w:tcBorders>
            <w:shd w:val="clear" w:color="auto" w:fill="auto"/>
            <w:vAlign w:val="center"/>
          </w:tcPr>
          <w:p w14:paraId="3C059049">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工业</w:t>
            </w:r>
          </w:p>
        </w:tc>
        <w:tc>
          <w:tcPr>
            <w:tcW w:w="6527" w:type="dxa"/>
            <w:tcBorders>
              <w:left w:val="single" w:color="auto" w:sz="4" w:space="0"/>
              <w:right w:val="single" w:color="auto" w:sz="4" w:space="0"/>
            </w:tcBorders>
            <w:shd w:val="clear" w:color="auto" w:fill="auto"/>
          </w:tcPr>
          <w:p w14:paraId="50DE4893">
            <w:pPr>
              <w:jc w:val="left"/>
              <w:rPr>
                <w:rFonts w:ascii="宋体" w:hAnsi="宋体" w:cs="宋体"/>
                <w:color w:val="auto"/>
                <w:szCs w:val="21"/>
                <w:highlight w:val="none"/>
              </w:rPr>
            </w:pPr>
            <w:r>
              <w:rPr>
                <w:rFonts w:hint="eastAsia" w:ascii="宋体" w:hAnsi="宋体" w:cs="宋体"/>
                <w:color w:val="auto"/>
                <w:szCs w:val="21"/>
                <w:highlight w:val="none"/>
              </w:rPr>
              <w:t>1.标准≤1U机箱设计，采用D类数字功放设计方案。</w:t>
            </w:r>
          </w:p>
          <w:p w14:paraId="36CB2052">
            <w:pPr>
              <w:jc w:val="left"/>
              <w:rPr>
                <w:rFonts w:ascii="宋体" w:hAnsi="宋体" w:cs="宋体"/>
                <w:color w:val="auto"/>
                <w:szCs w:val="21"/>
                <w:highlight w:val="none"/>
              </w:rPr>
            </w:pPr>
            <w:r>
              <w:rPr>
                <w:rFonts w:hint="eastAsia" w:ascii="宋体" w:hAnsi="宋体" w:cs="宋体"/>
                <w:color w:val="auto"/>
                <w:szCs w:val="21"/>
                <w:highlight w:val="none"/>
              </w:rPr>
              <w:t>2.标准XLR输入接口，和LINK输出口。</w:t>
            </w:r>
          </w:p>
          <w:p w14:paraId="2301B524">
            <w:pPr>
              <w:jc w:val="left"/>
              <w:rPr>
                <w:rFonts w:ascii="宋体" w:hAnsi="宋体" w:cs="宋体"/>
                <w:color w:val="auto"/>
                <w:szCs w:val="21"/>
                <w:highlight w:val="none"/>
              </w:rPr>
            </w:pPr>
            <w:r>
              <w:rPr>
                <w:rFonts w:hint="eastAsia" w:ascii="宋体" w:hAnsi="宋体" w:cs="宋体"/>
                <w:color w:val="auto"/>
                <w:szCs w:val="21"/>
                <w:highlight w:val="none"/>
              </w:rPr>
              <w:t>3.电源采用开关电源技术，效率高，有效的抑制电源谐波。</w:t>
            </w:r>
          </w:p>
          <w:p w14:paraId="375AC83C">
            <w:pPr>
              <w:jc w:val="left"/>
              <w:rPr>
                <w:rFonts w:ascii="宋体" w:hAnsi="宋体" w:cs="宋体"/>
                <w:color w:val="auto"/>
                <w:szCs w:val="21"/>
                <w:highlight w:val="none"/>
              </w:rPr>
            </w:pPr>
            <w:r>
              <w:rPr>
                <w:rFonts w:hint="eastAsia" w:ascii="宋体" w:hAnsi="宋体" w:cs="宋体"/>
                <w:color w:val="auto"/>
                <w:szCs w:val="21"/>
                <w:highlight w:val="none"/>
              </w:rPr>
              <w:t xml:space="preserve">4.内置智能削峰限幅器，支持开机软启动，防止开机时向电网吸收大电流，干扰其它用电设备。 </w:t>
            </w:r>
          </w:p>
          <w:p w14:paraId="39CB5807">
            <w:pPr>
              <w:jc w:val="left"/>
              <w:rPr>
                <w:rFonts w:ascii="宋体" w:hAnsi="宋体" w:cs="宋体"/>
                <w:color w:val="auto"/>
                <w:szCs w:val="21"/>
                <w:highlight w:val="none"/>
              </w:rPr>
            </w:pPr>
            <w:r>
              <w:rPr>
                <w:rFonts w:hint="eastAsia" w:ascii="宋体" w:hAnsi="宋体" w:cs="宋体"/>
                <w:color w:val="auto"/>
                <w:szCs w:val="21"/>
                <w:highlight w:val="none"/>
              </w:rPr>
              <w:t>5.具有：过压保护，欠压保护，过流保护，直流保护，输出短路保护，温控风扇功能。</w:t>
            </w:r>
          </w:p>
          <w:p w14:paraId="78CA1552">
            <w:pPr>
              <w:jc w:val="left"/>
              <w:rPr>
                <w:rFonts w:ascii="宋体" w:hAnsi="宋体" w:cs="宋体"/>
                <w:color w:val="auto"/>
                <w:szCs w:val="21"/>
                <w:highlight w:val="none"/>
              </w:rPr>
            </w:pPr>
            <w:r>
              <w:rPr>
                <w:rFonts w:hint="eastAsia" w:ascii="宋体" w:hAnsi="宋体" w:cs="宋体"/>
                <w:color w:val="auto"/>
                <w:szCs w:val="21"/>
                <w:highlight w:val="none"/>
              </w:rPr>
              <w:t>▲6.输出功率：立体声8Ω ：≥350W×2；立体声4Ω：≥600W×2；桥接16Ω：≥700W ；桥接8Ω：≥1200W。（投标时须提供佐证材料证明满足该功能，佐证材料包含但不限于经国家认可的第三方认证（检测）机构出具的带有CMA或CNAS标志的检测报告复印件或官网截图或彩页或功能截图，除检测报告外，其他佐证材料均需加盖原厂公章。）</w:t>
            </w:r>
          </w:p>
        </w:tc>
      </w:tr>
      <w:tr w14:paraId="6B28D8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jc w:val="center"/>
        </w:trPr>
        <w:tc>
          <w:tcPr>
            <w:tcW w:w="659" w:type="dxa"/>
            <w:shd w:val="clear" w:color="auto" w:fill="auto"/>
            <w:vAlign w:val="center"/>
          </w:tcPr>
          <w:p w14:paraId="439E31C3">
            <w:pPr>
              <w:jc w:val="center"/>
              <w:rPr>
                <w:rFonts w:ascii="宋体" w:hAnsi="宋体" w:cs="宋体"/>
                <w:color w:val="auto"/>
                <w:szCs w:val="21"/>
                <w:highlight w:val="none"/>
              </w:rPr>
            </w:pPr>
            <w:r>
              <w:rPr>
                <w:rFonts w:hint="eastAsia" w:ascii="宋体" w:hAnsi="宋体" w:cs="宋体"/>
                <w:color w:val="auto"/>
                <w:szCs w:val="21"/>
                <w:highlight w:val="none"/>
              </w:rPr>
              <w:t>6</w:t>
            </w:r>
          </w:p>
        </w:tc>
        <w:tc>
          <w:tcPr>
            <w:tcW w:w="1148" w:type="dxa"/>
            <w:shd w:val="clear" w:color="auto" w:fill="auto"/>
            <w:vAlign w:val="center"/>
          </w:tcPr>
          <w:p w14:paraId="00A9BEE1">
            <w:pPr>
              <w:jc w:val="center"/>
              <w:rPr>
                <w:rFonts w:ascii="宋体" w:hAnsi="宋体" w:cs="宋体"/>
                <w:color w:val="auto"/>
                <w:szCs w:val="21"/>
                <w:highlight w:val="none"/>
              </w:rPr>
            </w:pPr>
            <w:r>
              <w:rPr>
                <w:rFonts w:hint="eastAsia" w:ascii="宋体" w:hAnsi="宋体" w:cs="宋体"/>
                <w:color w:val="auto"/>
                <w:szCs w:val="21"/>
                <w:highlight w:val="none"/>
              </w:rPr>
              <w:t>无线话筒</w:t>
            </w:r>
          </w:p>
        </w:tc>
        <w:tc>
          <w:tcPr>
            <w:tcW w:w="961" w:type="dxa"/>
            <w:shd w:val="clear" w:color="auto" w:fill="auto"/>
            <w:vAlign w:val="center"/>
          </w:tcPr>
          <w:p w14:paraId="005C2B93">
            <w:pPr>
              <w:jc w:val="center"/>
              <w:rPr>
                <w:rFonts w:ascii="宋体" w:hAnsi="宋体" w:cs="宋体"/>
                <w:color w:val="auto"/>
                <w:szCs w:val="21"/>
                <w:highlight w:val="none"/>
              </w:rPr>
            </w:pPr>
            <w:r>
              <w:rPr>
                <w:rFonts w:hint="eastAsia" w:ascii="宋体" w:hAnsi="宋体" w:cs="宋体"/>
                <w:color w:val="auto"/>
                <w:szCs w:val="21"/>
                <w:highlight w:val="none"/>
              </w:rPr>
              <w:t>2套</w:t>
            </w:r>
          </w:p>
        </w:tc>
        <w:tc>
          <w:tcPr>
            <w:tcW w:w="701" w:type="dxa"/>
            <w:tcBorders>
              <w:right w:val="single" w:color="auto" w:sz="4" w:space="0"/>
            </w:tcBorders>
            <w:shd w:val="clear" w:color="auto" w:fill="auto"/>
            <w:vAlign w:val="center"/>
          </w:tcPr>
          <w:p w14:paraId="66802E0B">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工业</w:t>
            </w:r>
          </w:p>
        </w:tc>
        <w:tc>
          <w:tcPr>
            <w:tcW w:w="6527" w:type="dxa"/>
            <w:tcBorders>
              <w:left w:val="single" w:color="auto" w:sz="4" w:space="0"/>
              <w:right w:val="single" w:color="auto" w:sz="4" w:space="0"/>
            </w:tcBorders>
            <w:shd w:val="clear" w:color="auto" w:fill="auto"/>
          </w:tcPr>
          <w:p w14:paraId="64DBD7EF">
            <w:pPr>
              <w:jc w:val="left"/>
              <w:rPr>
                <w:rFonts w:ascii="宋体" w:hAnsi="宋体" w:cs="宋体"/>
                <w:color w:val="auto"/>
                <w:szCs w:val="21"/>
                <w:highlight w:val="none"/>
              </w:rPr>
            </w:pPr>
            <w:r>
              <w:rPr>
                <w:rFonts w:hint="eastAsia" w:ascii="宋体" w:hAnsi="宋体" w:cs="宋体"/>
                <w:color w:val="auto"/>
                <w:szCs w:val="21"/>
                <w:highlight w:val="none"/>
              </w:rPr>
              <w:t>1.基于数字U段的传输技术，pi/4-DQPSK调制方式，采用国产主控芯片，传输距离≥80米，接收机具有≥2路平衡输出、≥1路非平衡混音输出；具有混响、均衡、智能静音、音频加密、功率调节功能。</w:t>
            </w:r>
          </w:p>
          <w:p w14:paraId="1A2096B9">
            <w:pPr>
              <w:jc w:val="left"/>
              <w:rPr>
                <w:rFonts w:ascii="宋体" w:hAnsi="宋体" w:cs="宋体"/>
                <w:color w:val="auto"/>
                <w:szCs w:val="21"/>
                <w:highlight w:val="none"/>
              </w:rPr>
            </w:pPr>
            <w:r>
              <w:rPr>
                <w:rFonts w:hint="eastAsia" w:ascii="宋体" w:hAnsi="宋体" w:cs="宋体"/>
                <w:color w:val="auto"/>
                <w:szCs w:val="21"/>
                <w:highlight w:val="none"/>
              </w:rPr>
              <w:t>2.具有≥1台接收主机、≥2只手持发射机；频率范围等同或优于470MHz-510MHz、540MHz-590MHz、640MHz-690MHz、807MHz-830MHz四个频段使用。</w:t>
            </w:r>
          </w:p>
          <w:p w14:paraId="7330F39C">
            <w:pPr>
              <w:jc w:val="left"/>
              <w:rPr>
                <w:rFonts w:ascii="宋体" w:hAnsi="宋体" w:cs="宋体"/>
                <w:color w:val="auto"/>
                <w:szCs w:val="21"/>
                <w:highlight w:val="none"/>
              </w:rPr>
            </w:pPr>
            <w:r>
              <w:rPr>
                <w:rFonts w:hint="eastAsia" w:ascii="宋体" w:hAnsi="宋体" w:cs="宋体"/>
                <w:color w:val="auto"/>
                <w:szCs w:val="21"/>
                <w:highlight w:val="none"/>
              </w:rPr>
              <w:t>▲3.接收机前面板具有≥2个显示屏、≥2个编码旋钮、≥2个频率扫描实体按键、≥2个红外对频实体按键、≥1个电源开关按键、≥1个二合一指示灯（红外发射管+对频指示灯）；后面板具有≥1个LINE-OUT接口、≥2个XLR-OUT接口、≥2个BNC接口、≥1个DC接口。发射机具有≥1个OLED 显示屏、≥1个开关机/静音按键、≥2个工作状态指示灯。（投标时须提供佐证材料证明满足该功能，佐证材料包含但不限于经国家认可的第三方认证（检测）机构出具的带有CMA或CNAS标志的检测报告复印件或官网截图或彩页或功能截图，除检测报告外，其他佐证材料均需加盖原厂公章。）</w:t>
            </w:r>
          </w:p>
          <w:p w14:paraId="2D2D7918">
            <w:pPr>
              <w:jc w:val="left"/>
              <w:rPr>
                <w:rFonts w:ascii="宋体" w:hAnsi="宋体" w:cs="宋体"/>
                <w:color w:val="auto"/>
                <w:szCs w:val="21"/>
                <w:highlight w:val="none"/>
              </w:rPr>
            </w:pPr>
            <w:r>
              <w:rPr>
                <w:rFonts w:hint="eastAsia" w:ascii="宋体" w:hAnsi="宋体" w:cs="宋体"/>
                <w:color w:val="auto"/>
                <w:szCs w:val="21"/>
                <w:highlight w:val="none"/>
              </w:rPr>
              <w:t>▲4.具有自动静音功能，麦克风跌落、抛掷时，毫秒级自动静音，避免冲击声；实时监测设备姿态，静置≥5秒静音，≥8分钟关机，无需手动干预。（投标时须提供佐证材料证明满足该功能，佐证材料包含但不限于经国家认可的第三方认证（检测）机构出具的带有CMA或CNAS标志的检测报告复印件或官网截图或彩页或功能截图，除检测报告外，其他佐证材料均需加盖原厂公章。）</w:t>
            </w:r>
          </w:p>
          <w:p w14:paraId="1F6B243C">
            <w:pPr>
              <w:jc w:val="left"/>
              <w:rPr>
                <w:rFonts w:ascii="宋体" w:hAnsi="宋体" w:cs="宋体"/>
                <w:color w:val="auto"/>
                <w:szCs w:val="21"/>
                <w:highlight w:val="none"/>
              </w:rPr>
            </w:pPr>
            <w:r>
              <w:rPr>
                <w:rFonts w:hint="eastAsia" w:ascii="宋体" w:hAnsi="宋体" w:cs="宋体"/>
                <w:color w:val="auto"/>
                <w:szCs w:val="21"/>
                <w:highlight w:val="none"/>
              </w:rPr>
              <w:t>▲5.具有多档位混响调节功能，混响效果≥15625个，效果占比、回响延时、混响幅度调节，三种音效各具有≥25档调节方式。（投标时须提供佐证材料证明满足该功能，佐证材料包含但不限于经国家认可的第三方认证（检测）机构出具的带有CMA或CNAS标志的检测报告复印件或官网截图或彩页或功能截图，除检测报告外，其他佐证材料均需加盖原厂公章。）</w:t>
            </w:r>
          </w:p>
          <w:p w14:paraId="2C4922B2">
            <w:pPr>
              <w:jc w:val="left"/>
              <w:rPr>
                <w:rFonts w:ascii="宋体" w:hAnsi="宋体" w:cs="宋体"/>
                <w:color w:val="auto"/>
                <w:szCs w:val="21"/>
                <w:highlight w:val="none"/>
              </w:rPr>
            </w:pPr>
            <w:r>
              <w:rPr>
                <w:rFonts w:hint="eastAsia" w:ascii="宋体" w:hAnsi="宋体" w:cs="宋体"/>
                <w:color w:val="auto"/>
                <w:szCs w:val="21"/>
                <w:highlight w:val="none"/>
              </w:rPr>
              <w:t>6.具有多频段均衡调节功能，均衡调节≥2197种，麦克风均衡器调节功能，具有高、中、低音三种调节档位，每种效果支持≥13档调节。</w:t>
            </w:r>
          </w:p>
          <w:p w14:paraId="08EC7A3C">
            <w:pPr>
              <w:jc w:val="left"/>
              <w:rPr>
                <w:rFonts w:ascii="宋体" w:hAnsi="宋体" w:cs="宋体"/>
                <w:color w:val="auto"/>
                <w:szCs w:val="21"/>
                <w:highlight w:val="none"/>
              </w:rPr>
            </w:pPr>
            <w:r>
              <w:rPr>
                <w:rFonts w:hint="eastAsia" w:ascii="宋体" w:hAnsi="宋体" w:cs="宋体"/>
                <w:color w:val="auto"/>
                <w:szCs w:val="21"/>
                <w:highlight w:val="none"/>
              </w:rPr>
              <w:t>7.具有长时间续航，发射机使用时长≥10小时。</w:t>
            </w:r>
          </w:p>
          <w:p w14:paraId="3A1706F3">
            <w:pPr>
              <w:jc w:val="left"/>
              <w:rPr>
                <w:rFonts w:ascii="宋体" w:hAnsi="宋体" w:cs="宋体"/>
                <w:color w:val="auto"/>
                <w:szCs w:val="21"/>
                <w:highlight w:val="none"/>
              </w:rPr>
            </w:pPr>
            <w:r>
              <w:rPr>
                <w:rFonts w:hint="eastAsia" w:ascii="宋体" w:hAnsi="宋体" w:cs="宋体"/>
                <w:color w:val="auto"/>
                <w:szCs w:val="21"/>
                <w:highlight w:val="none"/>
              </w:rPr>
              <w:t>8.具有ID码防串扰功能，采用32位唯一ID码，用于接收和发射配对，收发ID码必须相同才能对码，能够有效防止相同频率的信号相互串台。</w:t>
            </w:r>
          </w:p>
          <w:p w14:paraId="01AE3264">
            <w:pPr>
              <w:jc w:val="left"/>
              <w:rPr>
                <w:rFonts w:ascii="宋体" w:hAnsi="宋体" w:cs="宋体"/>
                <w:color w:val="auto"/>
                <w:szCs w:val="21"/>
                <w:highlight w:val="none"/>
              </w:rPr>
            </w:pPr>
            <w:r>
              <w:rPr>
                <w:rFonts w:hint="eastAsia" w:ascii="宋体" w:hAnsi="宋体" w:cs="宋体"/>
                <w:color w:val="auto"/>
                <w:szCs w:val="21"/>
                <w:highlight w:val="none"/>
              </w:rPr>
              <w:t>9.接收机具有≥2个2.2英寸的TFT-LCD显示屏；发射机具有≥0.96英寸OLED显示屏，能够显示频率信息、音频加密状态、功率挡位、静音状态、电量格数信息。</w:t>
            </w:r>
          </w:p>
        </w:tc>
      </w:tr>
      <w:tr w14:paraId="1A71A1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jc w:val="center"/>
        </w:trPr>
        <w:tc>
          <w:tcPr>
            <w:tcW w:w="659" w:type="dxa"/>
            <w:shd w:val="clear" w:color="auto" w:fill="auto"/>
            <w:vAlign w:val="center"/>
          </w:tcPr>
          <w:p w14:paraId="64C9C62A">
            <w:pPr>
              <w:jc w:val="center"/>
              <w:rPr>
                <w:rFonts w:ascii="宋体" w:hAnsi="宋体" w:cs="宋体"/>
                <w:color w:val="auto"/>
                <w:szCs w:val="21"/>
                <w:highlight w:val="none"/>
              </w:rPr>
            </w:pPr>
            <w:r>
              <w:rPr>
                <w:rFonts w:hint="eastAsia" w:ascii="宋体" w:hAnsi="宋体" w:cs="宋体"/>
                <w:color w:val="auto"/>
                <w:szCs w:val="21"/>
                <w:highlight w:val="none"/>
              </w:rPr>
              <w:t>7</w:t>
            </w:r>
          </w:p>
        </w:tc>
        <w:tc>
          <w:tcPr>
            <w:tcW w:w="1148" w:type="dxa"/>
            <w:shd w:val="clear" w:color="auto" w:fill="auto"/>
            <w:vAlign w:val="center"/>
          </w:tcPr>
          <w:p w14:paraId="129C3655">
            <w:pPr>
              <w:jc w:val="center"/>
              <w:rPr>
                <w:rFonts w:ascii="宋体" w:hAnsi="宋体" w:cs="宋体"/>
                <w:color w:val="auto"/>
                <w:szCs w:val="21"/>
                <w:highlight w:val="none"/>
              </w:rPr>
            </w:pPr>
            <w:r>
              <w:rPr>
                <w:rFonts w:hint="eastAsia" w:ascii="宋体" w:hAnsi="宋体" w:cs="宋体"/>
                <w:color w:val="auto"/>
                <w:szCs w:val="21"/>
                <w:highlight w:val="none"/>
              </w:rPr>
              <w:t>话筒呼叫控制嵌入软件</w:t>
            </w:r>
          </w:p>
        </w:tc>
        <w:tc>
          <w:tcPr>
            <w:tcW w:w="961" w:type="dxa"/>
            <w:shd w:val="clear" w:color="auto" w:fill="auto"/>
            <w:vAlign w:val="center"/>
          </w:tcPr>
          <w:p w14:paraId="04517B3A">
            <w:pPr>
              <w:jc w:val="center"/>
              <w:rPr>
                <w:rFonts w:ascii="宋体" w:hAnsi="宋体" w:cs="宋体"/>
                <w:color w:val="auto"/>
                <w:szCs w:val="21"/>
                <w:highlight w:val="none"/>
              </w:rPr>
            </w:pPr>
            <w:r>
              <w:rPr>
                <w:rFonts w:hint="eastAsia" w:ascii="宋体" w:hAnsi="宋体" w:cs="宋体"/>
                <w:color w:val="auto"/>
                <w:szCs w:val="21"/>
                <w:highlight w:val="none"/>
              </w:rPr>
              <w:t>2套</w:t>
            </w:r>
          </w:p>
        </w:tc>
        <w:tc>
          <w:tcPr>
            <w:tcW w:w="701" w:type="dxa"/>
            <w:tcBorders>
              <w:right w:val="single" w:color="auto" w:sz="4" w:space="0"/>
            </w:tcBorders>
            <w:shd w:val="clear" w:color="auto" w:fill="auto"/>
            <w:vAlign w:val="center"/>
          </w:tcPr>
          <w:p w14:paraId="5D254031">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w:t>
            </w:r>
          </w:p>
        </w:tc>
        <w:tc>
          <w:tcPr>
            <w:tcW w:w="6527" w:type="dxa"/>
            <w:tcBorders>
              <w:left w:val="single" w:color="auto" w:sz="4" w:space="0"/>
              <w:right w:val="single" w:color="auto" w:sz="4" w:space="0"/>
            </w:tcBorders>
            <w:shd w:val="clear" w:color="auto" w:fill="auto"/>
          </w:tcPr>
          <w:p w14:paraId="1D661632">
            <w:pPr>
              <w:jc w:val="left"/>
              <w:rPr>
                <w:rFonts w:ascii="宋体" w:hAnsi="宋体" w:cs="宋体"/>
                <w:color w:val="auto"/>
                <w:szCs w:val="21"/>
                <w:highlight w:val="none"/>
              </w:rPr>
            </w:pPr>
            <w:r>
              <w:rPr>
                <w:rFonts w:hint="eastAsia" w:ascii="宋体" w:hAnsi="宋体" w:cs="宋体"/>
                <w:color w:val="auto"/>
                <w:szCs w:val="21"/>
                <w:highlight w:val="none"/>
              </w:rPr>
              <w:t>1.软件内嵌于无线话筒系统设备，话筒呼叫控制功能。</w:t>
            </w:r>
          </w:p>
          <w:p w14:paraId="22120978">
            <w:pPr>
              <w:jc w:val="left"/>
              <w:rPr>
                <w:rFonts w:ascii="宋体" w:hAnsi="宋体" w:cs="宋体"/>
                <w:color w:val="auto"/>
                <w:szCs w:val="21"/>
                <w:highlight w:val="none"/>
              </w:rPr>
            </w:pPr>
            <w:r>
              <w:rPr>
                <w:rFonts w:hint="eastAsia" w:ascii="宋体" w:hAnsi="宋体" w:cs="宋体"/>
                <w:color w:val="auto"/>
                <w:szCs w:val="21"/>
                <w:highlight w:val="none"/>
              </w:rPr>
              <w:t>2.采用UHF超高频段双真分集接收，并采用PLL锁相环多信道频率合成技术。</w:t>
            </w:r>
          </w:p>
          <w:p w14:paraId="50117D76">
            <w:pPr>
              <w:jc w:val="left"/>
              <w:rPr>
                <w:rFonts w:ascii="宋体" w:hAnsi="宋体" w:cs="宋体"/>
                <w:color w:val="auto"/>
                <w:szCs w:val="21"/>
                <w:highlight w:val="none"/>
              </w:rPr>
            </w:pPr>
            <w:r>
              <w:rPr>
                <w:rFonts w:hint="eastAsia" w:ascii="宋体" w:hAnsi="宋体" w:cs="宋体"/>
                <w:color w:val="auto"/>
                <w:szCs w:val="21"/>
                <w:highlight w:val="none"/>
              </w:rPr>
              <w:t>3.支持自动选讯接收方式。</w:t>
            </w:r>
          </w:p>
          <w:p w14:paraId="34E80D18">
            <w:pPr>
              <w:jc w:val="left"/>
              <w:rPr>
                <w:rFonts w:ascii="宋体" w:hAnsi="宋体" w:cs="宋体"/>
                <w:color w:val="auto"/>
                <w:szCs w:val="21"/>
                <w:highlight w:val="none"/>
              </w:rPr>
            </w:pPr>
            <w:r>
              <w:rPr>
                <w:rFonts w:hint="eastAsia" w:ascii="宋体" w:hAnsi="宋体" w:cs="宋体"/>
                <w:color w:val="auto"/>
                <w:szCs w:val="21"/>
                <w:highlight w:val="none"/>
              </w:rPr>
              <w:t>4.支持信道选择、频率可调、可设置主机与话筒配对。</w:t>
            </w:r>
          </w:p>
        </w:tc>
      </w:tr>
      <w:tr w14:paraId="3D7CD6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jc w:val="center"/>
        </w:trPr>
        <w:tc>
          <w:tcPr>
            <w:tcW w:w="659" w:type="dxa"/>
            <w:shd w:val="clear" w:color="auto" w:fill="auto"/>
            <w:vAlign w:val="center"/>
          </w:tcPr>
          <w:p w14:paraId="41698809">
            <w:pPr>
              <w:jc w:val="center"/>
              <w:rPr>
                <w:rFonts w:ascii="宋体" w:hAnsi="宋体" w:cs="宋体"/>
                <w:color w:val="auto"/>
                <w:szCs w:val="21"/>
                <w:highlight w:val="none"/>
              </w:rPr>
            </w:pPr>
            <w:r>
              <w:rPr>
                <w:rFonts w:hint="eastAsia" w:ascii="宋体" w:hAnsi="宋体" w:cs="宋体"/>
                <w:color w:val="auto"/>
                <w:szCs w:val="21"/>
                <w:highlight w:val="none"/>
              </w:rPr>
              <w:t>8</w:t>
            </w:r>
          </w:p>
        </w:tc>
        <w:tc>
          <w:tcPr>
            <w:tcW w:w="1148" w:type="dxa"/>
            <w:shd w:val="clear" w:color="auto" w:fill="auto"/>
            <w:vAlign w:val="center"/>
          </w:tcPr>
          <w:p w14:paraId="7B783545">
            <w:pPr>
              <w:jc w:val="center"/>
              <w:rPr>
                <w:rFonts w:ascii="宋体" w:hAnsi="宋体" w:cs="宋体"/>
                <w:color w:val="auto"/>
                <w:szCs w:val="21"/>
                <w:highlight w:val="none"/>
              </w:rPr>
            </w:pPr>
            <w:r>
              <w:rPr>
                <w:rFonts w:hint="eastAsia" w:ascii="宋体" w:hAnsi="宋体" w:cs="宋体"/>
                <w:color w:val="auto"/>
                <w:szCs w:val="21"/>
                <w:highlight w:val="none"/>
              </w:rPr>
              <w:t>天线分配器</w:t>
            </w:r>
          </w:p>
        </w:tc>
        <w:tc>
          <w:tcPr>
            <w:tcW w:w="961" w:type="dxa"/>
            <w:shd w:val="clear" w:color="auto" w:fill="auto"/>
            <w:vAlign w:val="center"/>
          </w:tcPr>
          <w:p w14:paraId="5A90BC91">
            <w:pPr>
              <w:jc w:val="center"/>
              <w:rPr>
                <w:rFonts w:ascii="宋体" w:hAnsi="宋体" w:cs="宋体"/>
                <w:color w:val="auto"/>
                <w:szCs w:val="21"/>
                <w:highlight w:val="none"/>
              </w:rPr>
            </w:pPr>
            <w:r>
              <w:rPr>
                <w:rFonts w:hint="eastAsia" w:ascii="宋体" w:hAnsi="宋体" w:cs="宋体"/>
                <w:color w:val="auto"/>
                <w:szCs w:val="21"/>
                <w:highlight w:val="none"/>
              </w:rPr>
              <w:t>1套</w:t>
            </w:r>
          </w:p>
        </w:tc>
        <w:tc>
          <w:tcPr>
            <w:tcW w:w="701" w:type="dxa"/>
            <w:tcBorders>
              <w:right w:val="single" w:color="auto" w:sz="4" w:space="0"/>
            </w:tcBorders>
            <w:shd w:val="clear" w:color="auto" w:fill="auto"/>
            <w:vAlign w:val="center"/>
          </w:tcPr>
          <w:p w14:paraId="6934208D">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工业</w:t>
            </w:r>
          </w:p>
        </w:tc>
        <w:tc>
          <w:tcPr>
            <w:tcW w:w="6527" w:type="dxa"/>
            <w:tcBorders>
              <w:left w:val="single" w:color="auto" w:sz="4" w:space="0"/>
              <w:right w:val="single" w:color="auto" w:sz="4" w:space="0"/>
            </w:tcBorders>
            <w:shd w:val="clear" w:color="auto" w:fill="auto"/>
          </w:tcPr>
          <w:p w14:paraId="507CC767">
            <w:pPr>
              <w:jc w:val="left"/>
              <w:rPr>
                <w:rFonts w:ascii="宋体" w:hAnsi="宋体" w:cs="宋体"/>
                <w:color w:val="auto"/>
                <w:szCs w:val="21"/>
                <w:highlight w:val="none"/>
              </w:rPr>
            </w:pPr>
            <w:r>
              <w:rPr>
                <w:rFonts w:hint="eastAsia" w:ascii="宋体" w:hAnsi="宋体" w:cs="宋体"/>
                <w:color w:val="auto"/>
                <w:szCs w:val="21"/>
                <w:highlight w:val="none"/>
              </w:rPr>
              <w:t>1.具备≥2个天线输入接口，支持接收天线信号，实现分配多路射频信号的效果。</w:t>
            </w:r>
          </w:p>
          <w:p w14:paraId="7BE0E6AC">
            <w:pPr>
              <w:jc w:val="left"/>
              <w:rPr>
                <w:rFonts w:ascii="宋体" w:hAnsi="宋体" w:cs="宋体"/>
                <w:color w:val="auto"/>
                <w:szCs w:val="21"/>
                <w:highlight w:val="none"/>
              </w:rPr>
            </w:pPr>
            <w:r>
              <w:rPr>
                <w:rFonts w:hint="eastAsia" w:ascii="宋体" w:hAnsi="宋体" w:cs="宋体"/>
                <w:color w:val="auto"/>
                <w:szCs w:val="21"/>
                <w:highlight w:val="none"/>
              </w:rPr>
              <w:t>2.具备放大射频信号，补偿因信号功率被分配至多个输出而造成的插入损耗。</w:t>
            </w:r>
          </w:p>
          <w:p w14:paraId="7BE53D8D">
            <w:pPr>
              <w:jc w:val="left"/>
              <w:rPr>
                <w:rFonts w:ascii="宋体" w:hAnsi="宋体" w:cs="宋体"/>
                <w:color w:val="auto"/>
                <w:szCs w:val="21"/>
                <w:highlight w:val="none"/>
              </w:rPr>
            </w:pPr>
            <w:r>
              <w:rPr>
                <w:rFonts w:hint="eastAsia" w:ascii="宋体" w:hAnsi="宋体" w:cs="宋体"/>
                <w:color w:val="auto"/>
                <w:szCs w:val="21"/>
                <w:highlight w:val="none"/>
              </w:rPr>
              <w:t>3.具备≥2个天线级联接口，支持无限制级联分配器，可实现扩展无线话筒的目的。</w:t>
            </w:r>
          </w:p>
          <w:p w14:paraId="42A4768E">
            <w:pPr>
              <w:jc w:val="left"/>
              <w:rPr>
                <w:rFonts w:ascii="宋体" w:hAnsi="宋体" w:cs="宋体"/>
                <w:color w:val="auto"/>
                <w:szCs w:val="21"/>
                <w:highlight w:val="none"/>
              </w:rPr>
            </w:pPr>
            <w:r>
              <w:rPr>
                <w:rFonts w:hint="eastAsia" w:ascii="宋体" w:hAnsi="宋体" w:cs="宋体"/>
                <w:color w:val="auto"/>
                <w:szCs w:val="21"/>
                <w:highlight w:val="none"/>
              </w:rPr>
              <w:t>4.具备≥4个直流电源输出接口，支持给≥4台接收机供电，减少适配器数量和免去繁琐布线。</w:t>
            </w:r>
          </w:p>
        </w:tc>
      </w:tr>
      <w:tr w14:paraId="0D5B3A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jc w:val="center"/>
        </w:trPr>
        <w:tc>
          <w:tcPr>
            <w:tcW w:w="659" w:type="dxa"/>
            <w:shd w:val="clear" w:color="auto" w:fill="auto"/>
            <w:vAlign w:val="center"/>
          </w:tcPr>
          <w:p w14:paraId="5E001B0F">
            <w:pPr>
              <w:jc w:val="center"/>
              <w:rPr>
                <w:rFonts w:ascii="宋体" w:hAnsi="宋体" w:cs="宋体"/>
                <w:color w:val="auto"/>
                <w:szCs w:val="21"/>
                <w:highlight w:val="none"/>
              </w:rPr>
            </w:pPr>
            <w:r>
              <w:rPr>
                <w:rFonts w:hint="eastAsia" w:ascii="宋体" w:hAnsi="宋体" w:cs="宋体"/>
                <w:color w:val="auto"/>
                <w:szCs w:val="21"/>
                <w:highlight w:val="none"/>
              </w:rPr>
              <w:t>9</w:t>
            </w:r>
          </w:p>
        </w:tc>
        <w:tc>
          <w:tcPr>
            <w:tcW w:w="1148" w:type="dxa"/>
            <w:shd w:val="clear" w:color="auto" w:fill="auto"/>
            <w:vAlign w:val="center"/>
          </w:tcPr>
          <w:p w14:paraId="25CAFFEB">
            <w:pPr>
              <w:jc w:val="center"/>
              <w:rPr>
                <w:rFonts w:ascii="宋体" w:hAnsi="宋体" w:cs="宋体"/>
                <w:color w:val="auto"/>
                <w:szCs w:val="21"/>
                <w:highlight w:val="none"/>
              </w:rPr>
            </w:pPr>
            <w:r>
              <w:rPr>
                <w:rFonts w:hint="eastAsia" w:ascii="宋体" w:hAnsi="宋体" w:cs="宋体"/>
                <w:color w:val="auto"/>
                <w:szCs w:val="21"/>
                <w:highlight w:val="none"/>
              </w:rPr>
              <w:t>话筒天线</w:t>
            </w:r>
          </w:p>
        </w:tc>
        <w:tc>
          <w:tcPr>
            <w:tcW w:w="961" w:type="dxa"/>
            <w:shd w:val="clear" w:color="auto" w:fill="auto"/>
            <w:vAlign w:val="center"/>
          </w:tcPr>
          <w:p w14:paraId="3F0967BD">
            <w:pPr>
              <w:jc w:val="center"/>
              <w:rPr>
                <w:rFonts w:ascii="宋体" w:hAnsi="宋体" w:cs="宋体"/>
                <w:color w:val="auto"/>
                <w:szCs w:val="21"/>
                <w:highlight w:val="none"/>
              </w:rPr>
            </w:pPr>
            <w:r>
              <w:rPr>
                <w:rFonts w:hint="eastAsia" w:ascii="宋体" w:hAnsi="宋体" w:cs="宋体"/>
                <w:color w:val="auto"/>
                <w:szCs w:val="21"/>
                <w:highlight w:val="none"/>
              </w:rPr>
              <w:t>1套</w:t>
            </w:r>
          </w:p>
        </w:tc>
        <w:tc>
          <w:tcPr>
            <w:tcW w:w="701" w:type="dxa"/>
            <w:tcBorders>
              <w:right w:val="single" w:color="auto" w:sz="4" w:space="0"/>
            </w:tcBorders>
            <w:shd w:val="clear" w:color="auto" w:fill="auto"/>
            <w:vAlign w:val="center"/>
          </w:tcPr>
          <w:p w14:paraId="3EDEC59F">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工业</w:t>
            </w:r>
          </w:p>
        </w:tc>
        <w:tc>
          <w:tcPr>
            <w:tcW w:w="6527" w:type="dxa"/>
            <w:tcBorders>
              <w:left w:val="single" w:color="auto" w:sz="4" w:space="0"/>
              <w:right w:val="single" w:color="auto" w:sz="4" w:space="0"/>
            </w:tcBorders>
            <w:shd w:val="clear" w:color="auto" w:fill="auto"/>
          </w:tcPr>
          <w:p w14:paraId="67680E0E">
            <w:pPr>
              <w:jc w:val="left"/>
              <w:rPr>
                <w:rFonts w:ascii="宋体" w:hAnsi="宋体" w:cs="宋体"/>
                <w:color w:val="auto"/>
                <w:szCs w:val="21"/>
                <w:highlight w:val="none"/>
              </w:rPr>
            </w:pPr>
            <w:r>
              <w:rPr>
                <w:rFonts w:hint="eastAsia" w:ascii="宋体" w:hAnsi="宋体" w:cs="宋体"/>
                <w:color w:val="auto"/>
                <w:szCs w:val="21"/>
                <w:highlight w:val="none"/>
              </w:rPr>
              <w:t>1.射频频率范围等同或优于470～950MHz</w:t>
            </w:r>
          </w:p>
          <w:p w14:paraId="27A07A67">
            <w:pPr>
              <w:jc w:val="left"/>
              <w:rPr>
                <w:rFonts w:ascii="宋体" w:hAnsi="宋体" w:cs="宋体"/>
                <w:color w:val="auto"/>
                <w:szCs w:val="21"/>
                <w:highlight w:val="none"/>
              </w:rPr>
            </w:pPr>
            <w:r>
              <w:rPr>
                <w:rFonts w:hint="eastAsia" w:ascii="宋体" w:hAnsi="宋体" w:cs="宋体"/>
                <w:color w:val="auto"/>
                <w:szCs w:val="21"/>
                <w:highlight w:val="none"/>
              </w:rPr>
              <w:t>2.驻波比：≤2.0</w:t>
            </w:r>
          </w:p>
          <w:p w14:paraId="61E38053">
            <w:pPr>
              <w:jc w:val="left"/>
              <w:rPr>
                <w:rFonts w:ascii="宋体" w:hAnsi="宋体" w:cs="宋体"/>
                <w:color w:val="auto"/>
                <w:szCs w:val="21"/>
                <w:highlight w:val="none"/>
              </w:rPr>
            </w:pPr>
            <w:r>
              <w:rPr>
                <w:rFonts w:hint="eastAsia" w:ascii="宋体" w:hAnsi="宋体" w:cs="宋体"/>
                <w:color w:val="auto"/>
                <w:szCs w:val="21"/>
                <w:highlight w:val="none"/>
              </w:rPr>
              <w:t>3.输入阻抗：≤50Ω</w:t>
            </w:r>
          </w:p>
          <w:p w14:paraId="0B4BC5BD">
            <w:pPr>
              <w:jc w:val="left"/>
              <w:rPr>
                <w:rFonts w:ascii="宋体" w:hAnsi="宋体" w:cs="宋体"/>
                <w:color w:val="auto"/>
                <w:szCs w:val="21"/>
                <w:highlight w:val="none"/>
              </w:rPr>
            </w:pPr>
            <w:r>
              <w:rPr>
                <w:rFonts w:hint="eastAsia" w:ascii="宋体" w:hAnsi="宋体" w:cs="宋体"/>
                <w:color w:val="auto"/>
                <w:szCs w:val="21"/>
                <w:highlight w:val="none"/>
              </w:rPr>
              <w:t>4.指向性：≥180度指向</w:t>
            </w:r>
          </w:p>
          <w:p w14:paraId="7CCA41FE">
            <w:pPr>
              <w:jc w:val="left"/>
              <w:rPr>
                <w:rFonts w:ascii="宋体" w:hAnsi="宋体" w:cs="宋体"/>
                <w:color w:val="auto"/>
                <w:szCs w:val="21"/>
                <w:highlight w:val="none"/>
              </w:rPr>
            </w:pPr>
            <w:r>
              <w:rPr>
                <w:rFonts w:hint="eastAsia" w:ascii="宋体" w:hAnsi="宋体" w:cs="宋体"/>
                <w:color w:val="auto"/>
                <w:szCs w:val="21"/>
                <w:highlight w:val="none"/>
              </w:rPr>
              <w:t>5.放大器增益：五档可调：无源(0dB)、有源(+3dB/+6dB/+10dB/+16dB)</w:t>
            </w:r>
          </w:p>
        </w:tc>
      </w:tr>
      <w:tr w14:paraId="7E915C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jc w:val="center"/>
        </w:trPr>
        <w:tc>
          <w:tcPr>
            <w:tcW w:w="659" w:type="dxa"/>
            <w:shd w:val="clear" w:color="auto" w:fill="auto"/>
            <w:vAlign w:val="center"/>
          </w:tcPr>
          <w:p w14:paraId="2380048B">
            <w:pPr>
              <w:jc w:val="center"/>
              <w:rPr>
                <w:rFonts w:ascii="宋体" w:hAnsi="宋体" w:cs="宋体"/>
                <w:color w:val="auto"/>
                <w:szCs w:val="21"/>
                <w:highlight w:val="none"/>
              </w:rPr>
            </w:pPr>
            <w:r>
              <w:rPr>
                <w:rFonts w:hint="eastAsia" w:ascii="宋体" w:hAnsi="宋体" w:cs="宋体"/>
                <w:color w:val="auto"/>
                <w:szCs w:val="21"/>
                <w:highlight w:val="none"/>
              </w:rPr>
              <w:t>10</w:t>
            </w:r>
          </w:p>
        </w:tc>
        <w:tc>
          <w:tcPr>
            <w:tcW w:w="1148" w:type="dxa"/>
            <w:shd w:val="clear" w:color="auto" w:fill="auto"/>
            <w:vAlign w:val="center"/>
          </w:tcPr>
          <w:p w14:paraId="37E94814">
            <w:pPr>
              <w:jc w:val="center"/>
              <w:rPr>
                <w:rFonts w:ascii="宋体" w:hAnsi="宋体" w:cs="宋体"/>
                <w:color w:val="auto"/>
                <w:szCs w:val="21"/>
                <w:highlight w:val="none"/>
              </w:rPr>
            </w:pPr>
            <w:r>
              <w:rPr>
                <w:rFonts w:hint="eastAsia" w:ascii="宋体" w:hAnsi="宋体" w:cs="宋体"/>
                <w:color w:val="auto"/>
                <w:szCs w:val="21"/>
                <w:highlight w:val="none"/>
              </w:rPr>
              <w:t>数字调音台</w:t>
            </w:r>
          </w:p>
        </w:tc>
        <w:tc>
          <w:tcPr>
            <w:tcW w:w="961" w:type="dxa"/>
            <w:shd w:val="clear" w:color="auto" w:fill="auto"/>
            <w:vAlign w:val="center"/>
          </w:tcPr>
          <w:p w14:paraId="391067E1">
            <w:pPr>
              <w:jc w:val="center"/>
              <w:rPr>
                <w:rFonts w:ascii="宋体" w:hAnsi="宋体" w:cs="宋体"/>
                <w:color w:val="auto"/>
                <w:szCs w:val="21"/>
                <w:highlight w:val="none"/>
              </w:rPr>
            </w:pPr>
            <w:r>
              <w:rPr>
                <w:rFonts w:hint="eastAsia" w:ascii="宋体" w:hAnsi="宋体" w:cs="宋体"/>
                <w:color w:val="auto"/>
                <w:szCs w:val="21"/>
                <w:highlight w:val="none"/>
              </w:rPr>
              <w:t>1台</w:t>
            </w:r>
          </w:p>
        </w:tc>
        <w:tc>
          <w:tcPr>
            <w:tcW w:w="701" w:type="dxa"/>
            <w:tcBorders>
              <w:right w:val="single" w:color="auto" w:sz="4" w:space="0"/>
            </w:tcBorders>
            <w:shd w:val="clear" w:color="auto" w:fill="auto"/>
            <w:vAlign w:val="center"/>
          </w:tcPr>
          <w:p w14:paraId="2F059C28">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工业</w:t>
            </w:r>
          </w:p>
        </w:tc>
        <w:tc>
          <w:tcPr>
            <w:tcW w:w="6527" w:type="dxa"/>
            <w:tcBorders>
              <w:left w:val="single" w:color="auto" w:sz="4" w:space="0"/>
              <w:right w:val="single" w:color="auto" w:sz="4" w:space="0"/>
            </w:tcBorders>
            <w:shd w:val="clear" w:color="auto" w:fill="auto"/>
          </w:tcPr>
          <w:p w14:paraId="7B700CBF">
            <w:pPr>
              <w:jc w:val="left"/>
              <w:rPr>
                <w:rFonts w:ascii="宋体" w:hAnsi="宋体" w:cs="宋体"/>
                <w:color w:val="auto"/>
                <w:szCs w:val="21"/>
                <w:highlight w:val="none"/>
              </w:rPr>
            </w:pPr>
            <w:r>
              <w:rPr>
                <w:rFonts w:hint="eastAsia" w:ascii="宋体" w:hAnsi="宋体" w:cs="宋体"/>
                <w:color w:val="auto"/>
                <w:szCs w:val="21"/>
                <w:highlight w:val="none"/>
              </w:rPr>
              <w:t>1.具有≥10.1英寸1280x800电容触摸屏、数字编码器以及按键构成的操作面板。</w:t>
            </w:r>
          </w:p>
          <w:p w14:paraId="1323BB4F">
            <w:pPr>
              <w:jc w:val="left"/>
              <w:rPr>
                <w:rFonts w:ascii="宋体" w:hAnsi="宋体" w:cs="宋体"/>
                <w:color w:val="auto"/>
                <w:szCs w:val="21"/>
                <w:highlight w:val="none"/>
              </w:rPr>
            </w:pPr>
            <w:r>
              <w:rPr>
                <w:rFonts w:hint="eastAsia" w:ascii="宋体" w:hAnsi="宋体" w:cs="宋体"/>
                <w:color w:val="auto"/>
                <w:szCs w:val="21"/>
                <w:highlight w:val="none"/>
              </w:rPr>
              <w:t>2.具有≥17个电动推子，电动推子可操控：≥1个LR主声道推子、≥16个通道推子。</w:t>
            </w:r>
          </w:p>
          <w:p w14:paraId="5FC8A524">
            <w:pPr>
              <w:jc w:val="left"/>
              <w:rPr>
                <w:rFonts w:ascii="宋体" w:hAnsi="宋体" w:cs="宋体"/>
                <w:color w:val="auto"/>
                <w:szCs w:val="21"/>
                <w:highlight w:val="none"/>
              </w:rPr>
            </w:pPr>
            <w:r>
              <w:rPr>
                <w:rFonts w:hint="eastAsia" w:ascii="宋体" w:hAnsi="宋体" w:cs="宋体"/>
                <w:color w:val="auto"/>
                <w:szCs w:val="21"/>
                <w:highlight w:val="none"/>
              </w:rPr>
              <w:t>3.支持中英文界面切换，且无需重启。</w:t>
            </w:r>
          </w:p>
          <w:p w14:paraId="7BD3DB01">
            <w:pPr>
              <w:jc w:val="left"/>
              <w:rPr>
                <w:rFonts w:ascii="宋体" w:hAnsi="宋体" w:cs="宋体"/>
                <w:color w:val="auto"/>
                <w:szCs w:val="21"/>
                <w:highlight w:val="none"/>
              </w:rPr>
            </w:pPr>
            <w:r>
              <w:rPr>
                <w:rFonts w:hint="eastAsia" w:ascii="宋体" w:hAnsi="宋体" w:cs="宋体"/>
                <w:color w:val="auto"/>
                <w:szCs w:val="21"/>
                <w:highlight w:val="none"/>
              </w:rPr>
              <w:t>4.内置USB录音、放音功能。能够识别USB电子盘内的中英文歌曲名，具备快进、下一曲、快速暂停等功能；且支持播放APE、FLAC、MP3、WAV音频格式。</w:t>
            </w:r>
          </w:p>
          <w:p w14:paraId="6F823CD3">
            <w:pPr>
              <w:jc w:val="left"/>
              <w:rPr>
                <w:rFonts w:ascii="宋体" w:hAnsi="宋体" w:cs="宋体"/>
                <w:color w:val="auto"/>
                <w:szCs w:val="21"/>
                <w:highlight w:val="none"/>
              </w:rPr>
            </w:pPr>
            <w:r>
              <w:rPr>
                <w:rFonts w:hint="eastAsia" w:ascii="宋体" w:hAnsi="宋体" w:cs="宋体"/>
                <w:color w:val="auto"/>
                <w:szCs w:val="21"/>
                <w:highlight w:val="none"/>
              </w:rPr>
              <w:t>▲5.内置≥16个通道独立的反馈抑制器，内置≥16路自动混音（增益共享型）。（投标时须提供佐证材料证明满足该功能，佐证材料包含但不限于经国家认可的第三方认证（检测）机构出具的带有CMA或CNAS标志的检测报告复印件或官网截图或彩页或功能截图，除检测报告外，其他佐证材料均需加盖原厂公章。）</w:t>
            </w:r>
          </w:p>
          <w:p w14:paraId="22927301">
            <w:pPr>
              <w:jc w:val="left"/>
              <w:rPr>
                <w:rFonts w:ascii="宋体" w:hAnsi="宋体" w:cs="宋体"/>
                <w:color w:val="auto"/>
                <w:szCs w:val="21"/>
                <w:highlight w:val="none"/>
              </w:rPr>
            </w:pPr>
            <w:r>
              <w:rPr>
                <w:rFonts w:hint="eastAsia" w:ascii="宋体" w:hAnsi="宋体" w:cs="宋体"/>
                <w:color w:val="auto"/>
                <w:szCs w:val="21"/>
                <w:highlight w:val="none"/>
              </w:rPr>
              <w:t>6.具有≥2个内置效果器，自带有经典混响、大房间混响等效果模块；FX音效可使用专用的返回通道返回到混音且不占用单声道和立体声输入通道。</w:t>
            </w:r>
          </w:p>
          <w:p w14:paraId="6EFB6C4E">
            <w:pPr>
              <w:jc w:val="left"/>
              <w:rPr>
                <w:rFonts w:ascii="宋体" w:hAnsi="宋体" w:cs="宋体"/>
                <w:color w:val="auto"/>
                <w:szCs w:val="21"/>
                <w:highlight w:val="none"/>
              </w:rPr>
            </w:pPr>
            <w:r>
              <w:rPr>
                <w:rFonts w:hint="eastAsia" w:ascii="宋体" w:hAnsi="宋体" w:cs="宋体"/>
                <w:color w:val="auto"/>
                <w:szCs w:val="21"/>
                <w:highlight w:val="none"/>
              </w:rPr>
              <w:t>7.支持iPad触摸屏全功能控制，实时数据同步；支持≥8个终端同时控制。</w:t>
            </w:r>
          </w:p>
          <w:p w14:paraId="1C20DAAD">
            <w:pPr>
              <w:jc w:val="left"/>
              <w:rPr>
                <w:rFonts w:ascii="宋体" w:hAnsi="宋体" w:cs="宋体"/>
                <w:color w:val="auto"/>
                <w:szCs w:val="21"/>
                <w:highlight w:val="none"/>
              </w:rPr>
            </w:pPr>
            <w:r>
              <w:rPr>
                <w:rFonts w:hint="eastAsia" w:ascii="宋体" w:hAnsi="宋体" w:cs="宋体"/>
                <w:color w:val="auto"/>
                <w:szCs w:val="21"/>
                <w:highlight w:val="none"/>
              </w:rPr>
              <w:t>8.可通过网络或者USB升级ARM固件、DSP固件。</w:t>
            </w:r>
          </w:p>
          <w:p w14:paraId="62E526CA">
            <w:pPr>
              <w:jc w:val="left"/>
              <w:rPr>
                <w:rFonts w:ascii="宋体" w:hAnsi="宋体" w:cs="宋体"/>
                <w:color w:val="auto"/>
                <w:szCs w:val="21"/>
                <w:highlight w:val="none"/>
              </w:rPr>
            </w:pPr>
            <w:r>
              <w:rPr>
                <w:rFonts w:hint="eastAsia" w:ascii="宋体" w:hAnsi="宋体" w:cs="宋体"/>
                <w:color w:val="auto"/>
                <w:szCs w:val="21"/>
                <w:highlight w:val="none"/>
              </w:rPr>
              <w:t>▲9.每个输入通道具有≥4段参数均衡、噪声门、高低通、压缩、反相。（投标时须提供佐证材料证明满足该功能，佐证材料包含但不限于经国家认可的第三方认证（检测）机构出具的带有CMA或CNAS标志的检测报告复印件或官网截图或彩页或功能截图，除检测报告外，其他佐证材料均需加盖原厂公章。）</w:t>
            </w:r>
          </w:p>
          <w:p w14:paraId="3448BA9B">
            <w:pPr>
              <w:jc w:val="left"/>
              <w:rPr>
                <w:rFonts w:ascii="宋体" w:hAnsi="宋体" w:cs="宋体"/>
                <w:color w:val="auto"/>
                <w:szCs w:val="21"/>
                <w:highlight w:val="none"/>
              </w:rPr>
            </w:pPr>
            <w:r>
              <w:rPr>
                <w:rFonts w:hint="eastAsia" w:ascii="宋体" w:hAnsi="宋体" w:cs="宋体"/>
                <w:color w:val="auto"/>
                <w:szCs w:val="21"/>
                <w:highlight w:val="none"/>
              </w:rPr>
              <w:t>▲10.每个输出通道具有≥8段参数均衡、高低通、压缩、反相、延时器。（投标时须提供佐证材料证明满足该功能，佐证材料包含但不限于经国家认可的第三方认证（检测）机构出具的带有CMA或CNAS标志的检测报告复印件或官网截图或彩页或功能截图，除检测报告外，其他佐证材料均需加盖原厂公章。）</w:t>
            </w:r>
          </w:p>
          <w:p w14:paraId="35408F47">
            <w:pPr>
              <w:jc w:val="left"/>
              <w:rPr>
                <w:rFonts w:ascii="宋体" w:hAnsi="宋体" w:cs="宋体"/>
                <w:color w:val="auto"/>
                <w:szCs w:val="21"/>
                <w:highlight w:val="none"/>
              </w:rPr>
            </w:pPr>
            <w:r>
              <w:rPr>
                <w:rFonts w:hint="eastAsia" w:ascii="宋体" w:hAnsi="宋体" w:cs="宋体"/>
                <w:color w:val="auto"/>
                <w:szCs w:val="21"/>
                <w:highlight w:val="none"/>
              </w:rPr>
              <w:t>11.模拟输入≥24CH ( MIC/Line)；输出通道支持L/R、10BUS、HeadPhone(L/R)，10BUS混音总线可选择推子前、推子后（PRE/POST）。</w:t>
            </w:r>
          </w:p>
          <w:p w14:paraId="32160CD4">
            <w:pPr>
              <w:jc w:val="left"/>
              <w:rPr>
                <w:rFonts w:ascii="宋体" w:hAnsi="宋体" w:cs="宋体"/>
                <w:color w:val="auto"/>
                <w:szCs w:val="21"/>
                <w:highlight w:val="none"/>
              </w:rPr>
            </w:pPr>
            <w:r>
              <w:rPr>
                <w:rFonts w:hint="eastAsia" w:ascii="宋体" w:hAnsi="宋体" w:cs="宋体"/>
                <w:color w:val="auto"/>
                <w:szCs w:val="21"/>
                <w:highlight w:val="none"/>
              </w:rPr>
              <w:t>12.支持≥100组场景预设功能，可导出、导入USB存储器，便于数据备份；支持32个PEQ模式存储。</w:t>
            </w:r>
          </w:p>
          <w:p w14:paraId="0D68A7D2">
            <w:pPr>
              <w:jc w:val="left"/>
              <w:rPr>
                <w:rFonts w:ascii="宋体" w:hAnsi="宋体" w:cs="宋体"/>
                <w:color w:val="auto"/>
                <w:szCs w:val="21"/>
                <w:highlight w:val="none"/>
              </w:rPr>
            </w:pPr>
            <w:r>
              <w:rPr>
                <w:rFonts w:hint="eastAsia" w:ascii="宋体" w:hAnsi="宋体" w:cs="宋体"/>
                <w:color w:val="auto"/>
                <w:szCs w:val="21"/>
                <w:highlight w:val="none"/>
              </w:rPr>
              <w:t>13.内置信号发生器：正弦波、粉红噪声、白噪声。</w:t>
            </w:r>
          </w:p>
          <w:p w14:paraId="64A66E0C">
            <w:pPr>
              <w:jc w:val="left"/>
              <w:rPr>
                <w:rFonts w:ascii="宋体" w:hAnsi="宋体" w:cs="宋体"/>
                <w:color w:val="auto"/>
                <w:szCs w:val="21"/>
                <w:highlight w:val="none"/>
              </w:rPr>
            </w:pPr>
            <w:r>
              <w:rPr>
                <w:rFonts w:hint="eastAsia" w:ascii="宋体" w:hAnsi="宋体" w:cs="宋体"/>
                <w:color w:val="auto"/>
                <w:szCs w:val="21"/>
                <w:highlight w:val="none"/>
              </w:rPr>
              <w:t>14.支持通道参数拷贝功能，相同的通道快速复制数据，通道名称可自定义。</w:t>
            </w:r>
          </w:p>
          <w:p w14:paraId="67FFD7E5">
            <w:pPr>
              <w:jc w:val="left"/>
              <w:rPr>
                <w:rFonts w:ascii="宋体" w:hAnsi="宋体" w:cs="宋体"/>
                <w:color w:val="auto"/>
                <w:szCs w:val="21"/>
                <w:highlight w:val="none"/>
              </w:rPr>
            </w:pPr>
            <w:r>
              <w:rPr>
                <w:rFonts w:hint="eastAsia" w:ascii="宋体" w:hAnsi="宋体" w:cs="宋体"/>
                <w:color w:val="auto"/>
                <w:szCs w:val="21"/>
                <w:highlight w:val="none"/>
              </w:rPr>
              <w:t>15.接线方式：平衡式输入、输出卡侬。</w:t>
            </w:r>
          </w:p>
          <w:p w14:paraId="618FCCEC">
            <w:pPr>
              <w:jc w:val="left"/>
              <w:rPr>
                <w:rFonts w:ascii="宋体" w:hAnsi="宋体" w:cs="宋体"/>
                <w:color w:val="auto"/>
                <w:szCs w:val="21"/>
                <w:highlight w:val="none"/>
              </w:rPr>
            </w:pPr>
            <w:r>
              <w:rPr>
                <w:rFonts w:hint="eastAsia" w:ascii="宋体" w:hAnsi="宋体" w:cs="宋体"/>
                <w:color w:val="auto"/>
                <w:szCs w:val="21"/>
                <w:highlight w:val="none"/>
              </w:rPr>
              <w:t>16.支持≥8个推子编组、≥8个用户自定义按键、≥4个快速静音组按键。</w:t>
            </w:r>
          </w:p>
          <w:p w14:paraId="24792628">
            <w:pPr>
              <w:jc w:val="left"/>
              <w:rPr>
                <w:rFonts w:ascii="宋体" w:hAnsi="宋体" w:cs="宋体"/>
                <w:color w:val="auto"/>
                <w:szCs w:val="21"/>
                <w:highlight w:val="none"/>
              </w:rPr>
            </w:pPr>
            <w:r>
              <w:rPr>
                <w:rFonts w:hint="eastAsia" w:ascii="宋体" w:hAnsi="宋体" w:cs="宋体"/>
                <w:color w:val="auto"/>
                <w:szCs w:val="21"/>
                <w:highlight w:val="none"/>
              </w:rPr>
              <w:t>17.具有面板锁定按键，防止误操作。</w:t>
            </w:r>
          </w:p>
        </w:tc>
      </w:tr>
      <w:tr w14:paraId="404B07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jc w:val="center"/>
        </w:trPr>
        <w:tc>
          <w:tcPr>
            <w:tcW w:w="659" w:type="dxa"/>
            <w:shd w:val="clear" w:color="auto" w:fill="auto"/>
            <w:vAlign w:val="center"/>
          </w:tcPr>
          <w:p w14:paraId="266C0B7D">
            <w:pPr>
              <w:jc w:val="center"/>
              <w:rPr>
                <w:rFonts w:ascii="宋体" w:hAnsi="宋体" w:cs="宋体"/>
                <w:color w:val="auto"/>
                <w:szCs w:val="21"/>
                <w:highlight w:val="none"/>
              </w:rPr>
            </w:pPr>
            <w:r>
              <w:rPr>
                <w:rFonts w:hint="eastAsia" w:ascii="宋体" w:hAnsi="宋体" w:cs="宋体"/>
                <w:color w:val="auto"/>
                <w:szCs w:val="21"/>
                <w:highlight w:val="none"/>
              </w:rPr>
              <w:t>11</w:t>
            </w:r>
          </w:p>
        </w:tc>
        <w:tc>
          <w:tcPr>
            <w:tcW w:w="1148" w:type="dxa"/>
            <w:shd w:val="clear" w:color="auto" w:fill="auto"/>
            <w:vAlign w:val="center"/>
          </w:tcPr>
          <w:p w14:paraId="79EBADCD">
            <w:pPr>
              <w:jc w:val="center"/>
              <w:rPr>
                <w:rFonts w:ascii="宋体" w:hAnsi="宋体" w:cs="宋体"/>
                <w:color w:val="auto"/>
                <w:szCs w:val="21"/>
                <w:highlight w:val="none"/>
              </w:rPr>
            </w:pPr>
            <w:r>
              <w:rPr>
                <w:rFonts w:hint="eastAsia" w:ascii="宋体" w:hAnsi="宋体" w:cs="宋体"/>
                <w:color w:val="auto"/>
                <w:szCs w:val="21"/>
                <w:highlight w:val="none"/>
              </w:rPr>
              <w:t>AI音频处理器</w:t>
            </w:r>
          </w:p>
        </w:tc>
        <w:tc>
          <w:tcPr>
            <w:tcW w:w="961" w:type="dxa"/>
            <w:shd w:val="clear" w:color="auto" w:fill="auto"/>
            <w:vAlign w:val="center"/>
          </w:tcPr>
          <w:p w14:paraId="1017F8BE">
            <w:pPr>
              <w:jc w:val="center"/>
              <w:rPr>
                <w:rFonts w:ascii="宋体" w:hAnsi="宋体" w:cs="宋体"/>
                <w:color w:val="auto"/>
                <w:szCs w:val="21"/>
                <w:highlight w:val="none"/>
              </w:rPr>
            </w:pPr>
            <w:r>
              <w:rPr>
                <w:rFonts w:hint="eastAsia" w:ascii="宋体" w:hAnsi="宋体" w:cs="宋体"/>
                <w:color w:val="auto"/>
                <w:szCs w:val="21"/>
                <w:highlight w:val="none"/>
              </w:rPr>
              <w:t>1台</w:t>
            </w:r>
          </w:p>
        </w:tc>
        <w:tc>
          <w:tcPr>
            <w:tcW w:w="701" w:type="dxa"/>
            <w:tcBorders>
              <w:right w:val="single" w:color="auto" w:sz="4" w:space="0"/>
            </w:tcBorders>
            <w:shd w:val="clear" w:color="auto" w:fill="auto"/>
            <w:vAlign w:val="center"/>
          </w:tcPr>
          <w:p w14:paraId="2776EA72">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工业</w:t>
            </w:r>
          </w:p>
        </w:tc>
        <w:tc>
          <w:tcPr>
            <w:tcW w:w="6527" w:type="dxa"/>
            <w:tcBorders>
              <w:left w:val="single" w:color="auto" w:sz="4" w:space="0"/>
              <w:right w:val="single" w:color="auto" w:sz="4" w:space="0"/>
            </w:tcBorders>
            <w:shd w:val="clear" w:color="auto" w:fill="auto"/>
          </w:tcPr>
          <w:p w14:paraId="757DC3F6">
            <w:pPr>
              <w:jc w:val="left"/>
              <w:rPr>
                <w:rFonts w:ascii="宋体" w:hAnsi="宋体" w:cs="宋体"/>
                <w:color w:val="auto"/>
                <w:szCs w:val="21"/>
                <w:highlight w:val="none"/>
              </w:rPr>
            </w:pPr>
            <w:r>
              <w:rPr>
                <w:rFonts w:hint="eastAsia" w:ascii="宋体" w:hAnsi="宋体" w:cs="宋体"/>
                <w:color w:val="auto"/>
                <w:szCs w:val="21"/>
                <w:highlight w:val="none"/>
              </w:rPr>
              <w:t>1.处理器≥4核，主频≥2.0GHz。</w:t>
            </w:r>
          </w:p>
          <w:p w14:paraId="23DB0925">
            <w:pPr>
              <w:jc w:val="left"/>
              <w:rPr>
                <w:rFonts w:ascii="宋体" w:hAnsi="宋体" w:cs="宋体"/>
                <w:color w:val="auto"/>
                <w:szCs w:val="21"/>
                <w:highlight w:val="none"/>
              </w:rPr>
            </w:pPr>
            <w:r>
              <w:rPr>
                <w:rFonts w:hint="eastAsia" w:ascii="宋体" w:hAnsi="宋体" w:cs="宋体"/>
                <w:color w:val="auto"/>
                <w:szCs w:val="21"/>
                <w:highlight w:val="none"/>
              </w:rPr>
              <w:t>2.后面板具有≥8路线路音频凤凰端子平衡输入接口（具有48V幻象供电）、≥8路线路音频凤凰端子平衡输出接口、≥1个拨码开关、≥1个RJ45接口、≥1个RS232接口、≥1个RS485接口、≥8个可编程GPIO控制接口、≥1个接地柱；前面板具有≥2.0英寸 IPS 真彩显示屏、≥1个编码旋钮、≥1个USB存储设备接口。</w:t>
            </w:r>
          </w:p>
          <w:p w14:paraId="0E5107A7">
            <w:pPr>
              <w:jc w:val="left"/>
              <w:rPr>
                <w:rFonts w:ascii="宋体" w:hAnsi="宋体" w:cs="宋体"/>
                <w:color w:val="auto"/>
                <w:szCs w:val="21"/>
                <w:highlight w:val="none"/>
              </w:rPr>
            </w:pPr>
            <w:r>
              <w:rPr>
                <w:rFonts w:hint="eastAsia" w:ascii="宋体" w:hAnsi="宋体" w:cs="宋体"/>
                <w:color w:val="auto"/>
                <w:szCs w:val="21"/>
                <w:highlight w:val="none"/>
              </w:rPr>
              <w:t>▲3.输入通道支持前级放大、信号发生器、扩展器、压缩器、均衡器（≥12段参量均衡、可选10/15/31段图示均衡器可调，图示均衡器可用于单独调节带宽）、闪避器、AGC自动增益、AM自动混音功能（门限式、增益共享式）、AFC自适应反馈消除、AEC回声消除、ANC噪声消除、音频矩阵；输出通道支持均衡器（≥16段参量均衡、可选10/15/31段图示均衡器可调，图示均衡器可用于单独调节带宽）、延时器、分频器、高低通滤波器、限幅器；基于啸叫检测门限更新法，具有移频+陷波组合反馈抑制，可以使用≥24个可编程陷波点，可自由分配动态/静态点，自动/手动切换。（投标时须提供佐证材料证明满足该功能，佐证材料包含但不限于经国家认可的第三方认证（检测）机构出具的带有CMA或CNAS标志的检测报告复印件或官网截图或彩页或功能截图，除检测报告外，其他佐证材料均需加盖原厂公章。）</w:t>
            </w:r>
          </w:p>
          <w:p w14:paraId="3D9969AE">
            <w:pPr>
              <w:jc w:val="left"/>
              <w:rPr>
                <w:rFonts w:ascii="宋体" w:hAnsi="宋体" w:cs="宋体"/>
                <w:color w:val="auto"/>
                <w:szCs w:val="21"/>
                <w:highlight w:val="none"/>
              </w:rPr>
            </w:pPr>
            <w:r>
              <w:rPr>
                <w:rFonts w:hint="eastAsia" w:ascii="宋体" w:hAnsi="宋体" w:cs="宋体"/>
                <w:color w:val="auto"/>
                <w:szCs w:val="21"/>
                <w:highlight w:val="none"/>
              </w:rPr>
              <w:t>4.具有矩阵增益调节功能，每个输入通道参与混音的增益可调，增益调节范围等同或优于-72dB到12dB。</w:t>
            </w:r>
          </w:p>
          <w:p w14:paraId="14E48629">
            <w:pPr>
              <w:jc w:val="left"/>
              <w:rPr>
                <w:rFonts w:ascii="宋体" w:hAnsi="宋体" w:cs="宋体"/>
                <w:color w:val="auto"/>
                <w:szCs w:val="21"/>
                <w:highlight w:val="none"/>
              </w:rPr>
            </w:pPr>
            <w:r>
              <w:rPr>
                <w:rFonts w:hint="eastAsia" w:ascii="宋体" w:hAnsi="宋体" w:cs="宋体"/>
                <w:color w:val="auto"/>
                <w:szCs w:val="21"/>
                <w:highlight w:val="none"/>
              </w:rPr>
              <w:t>▲5.音频处理器具有跨平台软件，可运行于windows操作系统或国产操作系统或macOS系统或Ubuntu桌面版操作系统。（投标时须提供佐证材料证明满足该功能，佐证材料包含但不限于经国家认可的第三方认证（检测）机构出具的带有CMA或CNAS标志的检测报告复印件或官网截图或彩页或功能截图，除检测报告外，其他佐证材料均需加盖原厂公章。）</w:t>
            </w:r>
          </w:p>
          <w:p w14:paraId="75B8D00C">
            <w:pPr>
              <w:jc w:val="left"/>
              <w:rPr>
                <w:rFonts w:ascii="宋体" w:hAnsi="宋体" w:cs="宋体"/>
                <w:color w:val="auto"/>
                <w:szCs w:val="21"/>
                <w:highlight w:val="none"/>
              </w:rPr>
            </w:pPr>
            <w:r>
              <w:rPr>
                <w:rFonts w:hint="eastAsia" w:ascii="宋体" w:hAnsi="宋体" w:cs="宋体"/>
                <w:color w:val="auto"/>
                <w:szCs w:val="21"/>
                <w:highlight w:val="none"/>
              </w:rPr>
              <w:t>6.产品具有PC客户端、手机移动端、安卓平板端、IOS手机移动端、IOS平板端不同控制方式，可以同时登入APP软件、PC客户端同时连接设备，并实现多端数据的同步。</w:t>
            </w:r>
          </w:p>
          <w:p w14:paraId="38348DD3">
            <w:pPr>
              <w:jc w:val="left"/>
              <w:rPr>
                <w:rFonts w:ascii="宋体" w:hAnsi="宋体" w:cs="宋体"/>
                <w:color w:val="auto"/>
                <w:szCs w:val="21"/>
                <w:highlight w:val="none"/>
              </w:rPr>
            </w:pPr>
            <w:r>
              <w:rPr>
                <w:rFonts w:hint="eastAsia" w:ascii="宋体" w:hAnsi="宋体" w:cs="宋体"/>
                <w:color w:val="auto"/>
                <w:szCs w:val="21"/>
                <w:highlight w:val="none"/>
              </w:rPr>
              <w:t>7.设备具有编码旋钮和IPS屏幕，可用于控制和配置设备静音，增益，场景；IPS屏幕能够显示IP地址，输入和输出通道的实时电平。</w:t>
            </w:r>
          </w:p>
          <w:p w14:paraId="47812DE3">
            <w:pPr>
              <w:jc w:val="left"/>
              <w:rPr>
                <w:rFonts w:ascii="宋体" w:hAnsi="宋体" w:cs="宋体"/>
                <w:color w:val="auto"/>
                <w:szCs w:val="21"/>
                <w:highlight w:val="none"/>
              </w:rPr>
            </w:pPr>
            <w:r>
              <w:rPr>
                <w:rFonts w:hint="eastAsia" w:ascii="宋体" w:hAnsi="宋体" w:cs="宋体"/>
                <w:color w:val="auto"/>
                <w:szCs w:val="21"/>
                <w:highlight w:val="none"/>
              </w:rPr>
              <w:t>8.具有设备定位功能，客户端一键定位局域网内同类设备，被定位的设备会显示定位信息。</w:t>
            </w:r>
          </w:p>
          <w:p w14:paraId="1366B276">
            <w:pPr>
              <w:jc w:val="left"/>
              <w:rPr>
                <w:rFonts w:ascii="宋体" w:hAnsi="宋体" w:cs="宋体"/>
                <w:color w:val="auto"/>
                <w:szCs w:val="21"/>
                <w:highlight w:val="none"/>
              </w:rPr>
            </w:pPr>
            <w:r>
              <w:rPr>
                <w:rFonts w:hint="eastAsia" w:ascii="宋体" w:hAnsi="宋体" w:cs="宋体"/>
                <w:color w:val="auto"/>
                <w:szCs w:val="21"/>
                <w:highlight w:val="none"/>
              </w:rPr>
              <w:t>9.设备具有统一集中控制功能，支持≥65000台设备通过软件集中控制。</w:t>
            </w:r>
          </w:p>
          <w:p w14:paraId="4DB5BCB3">
            <w:pPr>
              <w:jc w:val="left"/>
              <w:rPr>
                <w:rFonts w:ascii="宋体" w:hAnsi="宋体" w:cs="宋体"/>
                <w:color w:val="auto"/>
                <w:szCs w:val="21"/>
                <w:highlight w:val="none"/>
              </w:rPr>
            </w:pPr>
            <w:r>
              <w:rPr>
                <w:rFonts w:hint="eastAsia" w:ascii="宋体" w:hAnsi="宋体" w:cs="宋体"/>
                <w:color w:val="auto"/>
                <w:szCs w:val="21"/>
                <w:highlight w:val="none"/>
              </w:rPr>
              <w:t>▲10.音频处理器软件可融入会议音频综合管理平台实现音频设备统一管理，平台可扫描数字会议主机、音频处理器、混音器、抑制器、功放类产品在线情况，同款产品多台在线设备也可扫描，并显示设备硬件名称、硬件IP地址、在线、离线状态信息；具备一键上传配置信息至云端或保存本地进行备份和一键还原配置信息功能。（投标时须提供佐证材料证明满足该功能，佐证材料包含但不限于经国家认可的第三方认证（检测）机构出具的带有CMA或CNAS标志的检测报告复印件或官网截图或彩页或功能截图，除检测报告外，其他佐证材料均需加盖原厂公章。）</w:t>
            </w:r>
          </w:p>
          <w:p w14:paraId="555D7656">
            <w:pPr>
              <w:jc w:val="left"/>
              <w:rPr>
                <w:rFonts w:ascii="宋体" w:hAnsi="宋体" w:cs="宋体"/>
                <w:color w:val="auto"/>
                <w:szCs w:val="21"/>
                <w:highlight w:val="none"/>
              </w:rPr>
            </w:pPr>
            <w:r>
              <w:rPr>
                <w:rFonts w:hint="eastAsia" w:ascii="宋体" w:hAnsi="宋体" w:cs="宋体"/>
                <w:color w:val="auto"/>
                <w:szCs w:val="21"/>
                <w:highlight w:val="none"/>
              </w:rPr>
              <w:t>11.支持双机热备份；当主机出现故障时，备用主机自动承担服务，切换时间≤2s。</w:t>
            </w:r>
          </w:p>
          <w:p w14:paraId="26B1EDAB">
            <w:pPr>
              <w:jc w:val="left"/>
              <w:rPr>
                <w:rFonts w:ascii="宋体" w:hAnsi="宋体" w:cs="宋体"/>
                <w:color w:val="auto"/>
                <w:szCs w:val="21"/>
                <w:highlight w:val="none"/>
              </w:rPr>
            </w:pPr>
            <w:r>
              <w:rPr>
                <w:rFonts w:hint="eastAsia" w:ascii="宋体" w:hAnsi="宋体" w:cs="宋体"/>
                <w:color w:val="auto"/>
                <w:szCs w:val="21"/>
                <w:highlight w:val="none"/>
              </w:rPr>
              <w:t>▲12.采用AI人工智能宽度学习算法进行噪声抑制，根据不同使用场景提供≥三个AI语音降噪档位可调整，有效降低甚至消除语言扩声系统中非人声类噪音信号，如拍掌、敲击桌子等非稳态噪声以及空调声、风扇声等稳态噪声，确保语音清晰度和可懂度（降噪能力≥40dB）。（投标时须提供佐证材料证明满足该功能，佐证材料包含但不限于经国家认可的第三方认证（检测）机构出具的带有CMA或CNAS标志的检测报告复印件或官网截图或彩页或功能截图，除检测报告外，其他佐证材料均需加盖原厂公章。）</w:t>
            </w:r>
          </w:p>
        </w:tc>
      </w:tr>
      <w:tr w14:paraId="35D256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jc w:val="center"/>
        </w:trPr>
        <w:tc>
          <w:tcPr>
            <w:tcW w:w="659" w:type="dxa"/>
            <w:shd w:val="clear" w:color="auto" w:fill="auto"/>
            <w:vAlign w:val="center"/>
          </w:tcPr>
          <w:p w14:paraId="7AA1B3B0">
            <w:pPr>
              <w:jc w:val="center"/>
              <w:rPr>
                <w:rFonts w:ascii="宋体" w:hAnsi="宋体" w:cs="宋体"/>
                <w:color w:val="auto"/>
                <w:szCs w:val="21"/>
                <w:highlight w:val="none"/>
              </w:rPr>
            </w:pPr>
            <w:r>
              <w:rPr>
                <w:rFonts w:hint="eastAsia" w:ascii="宋体" w:hAnsi="宋体" w:cs="宋体"/>
                <w:color w:val="auto"/>
                <w:szCs w:val="21"/>
                <w:highlight w:val="none"/>
              </w:rPr>
              <w:t>12</w:t>
            </w:r>
          </w:p>
        </w:tc>
        <w:tc>
          <w:tcPr>
            <w:tcW w:w="1148" w:type="dxa"/>
            <w:shd w:val="clear" w:color="auto" w:fill="auto"/>
            <w:vAlign w:val="center"/>
          </w:tcPr>
          <w:p w14:paraId="041149C6">
            <w:pPr>
              <w:jc w:val="center"/>
              <w:rPr>
                <w:rFonts w:ascii="宋体" w:hAnsi="宋体" w:cs="宋体"/>
                <w:color w:val="auto"/>
                <w:szCs w:val="21"/>
                <w:highlight w:val="none"/>
              </w:rPr>
            </w:pPr>
            <w:r>
              <w:rPr>
                <w:rFonts w:hint="eastAsia" w:ascii="宋体" w:hAnsi="宋体" w:cs="宋体"/>
                <w:color w:val="auto"/>
                <w:szCs w:val="21"/>
                <w:highlight w:val="none"/>
              </w:rPr>
              <w:t>AI反馈抑制器</w:t>
            </w:r>
          </w:p>
        </w:tc>
        <w:tc>
          <w:tcPr>
            <w:tcW w:w="961" w:type="dxa"/>
            <w:shd w:val="clear" w:color="auto" w:fill="auto"/>
            <w:vAlign w:val="center"/>
          </w:tcPr>
          <w:p w14:paraId="6F3C60AC">
            <w:pPr>
              <w:jc w:val="center"/>
              <w:rPr>
                <w:rFonts w:ascii="宋体" w:hAnsi="宋体" w:cs="宋体"/>
                <w:color w:val="auto"/>
                <w:szCs w:val="21"/>
                <w:highlight w:val="none"/>
              </w:rPr>
            </w:pPr>
            <w:r>
              <w:rPr>
                <w:rFonts w:hint="eastAsia" w:ascii="宋体" w:hAnsi="宋体" w:cs="宋体"/>
                <w:color w:val="auto"/>
                <w:szCs w:val="21"/>
                <w:highlight w:val="none"/>
              </w:rPr>
              <w:t>1台</w:t>
            </w:r>
          </w:p>
        </w:tc>
        <w:tc>
          <w:tcPr>
            <w:tcW w:w="701" w:type="dxa"/>
            <w:tcBorders>
              <w:right w:val="single" w:color="auto" w:sz="4" w:space="0"/>
            </w:tcBorders>
            <w:shd w:val="clear" w:color="auto" w:fill="auto"/>
            <w:vAlign w:val="center"/>
          </w:tcPr>
          <w:p w14:paraId="1A8CAC24">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工业</w:t>
            </w:r>
          </w:p>
        </w:tc>
        <w:tc>
          <w:tcPr>
            <w:tcW w:w="6527" w:type="dxa"/>
            <w:tcBorders>
              <w:left w:val="single" w:color="auto" w:sz="4" w:space="0"/>
              <w:right w:val="single" w:color="auto" w:sz="4" w:space="0"/>
            </w:tcBorders>
            <w:shd w:val="clear" w:color="auto" w:fill="auto"/>
          </w:tcPr>
          <w:p w14:paraId="6B331D78">
            <w:pPr>
              <w:jc w:val="left"/>
              <w:rPr>
                <w:rFonts w:ascii="宋体" w:hAnsi="宋体" w:cs="宋体"/>
                <w:color w:val="auto"/>
                <w:szCs w:val="21"/>
                <w:highlight w:val="none"/>
              </w:rPr>
            </w:pPr>
            <w:r>
              <w:rPr>
                <w:rFonts w:hint="eastAsia" w:ascii="宋体" w:hAnsi="宋体" w:cs="宋体"/>
                <w:color w:val="auto"/>
                <w:szCs w:val="21"/>
                <w:highlight w:val="none"/>
              </w:rPr>
              <w:t>▲1.处理器主频≥1.3GHz；配置≥2个完全独立的反馈抑制通道，每通道均支持自适应反馈抑制（AFC）功能，传声增益提升≥6dB，可分别处理不同声源信号（如主讲麦克风与观众席拾音），避免多麦克风场景下的交叉啸叫干扰。（投标时须提供佐证材料证明满足该功能，佐证材料包含但不限于经国家认可的第三方认证（检测）机构出具的带有CMA或CNAS标志的检测报告复印件或官网截图或彩页或功能截图，除检测报告外，其他佐证材料均需加盖原厂公章。）</w:t>
            </w:r>
          </w:p>
          <w:p w14:paraId="2F8F5D97">
            <w:pPr>
              <w:jc w:val="left"/>
              <w:rPr>
                <w:rFonts w:ascii="宋体" w:hAnsi="宋体" w:cs="宋体"/>
                <w:color w:val="auto"/>
                <w:szCs w:val="21"/>
                <w:highlight w:val="none"/>
              </w:rPr>
            </w:pPr>
            <w:r>
              <w:rPr>
                <w:rFonts w:hint="eastAsia" w:ascii="宋体" w:hAnsi="宋体" w:cs="宋体"/>
                <w:color w:val="auto"/>
                <w:szCs w:val="21"/>
                <w:highlight w:val="none"/>
              </w:rPr>
              <w:t>2.支持声学校正按钮，按下可以预测声反馈回路。提供≥高/中/低三档输入电平调节。</w:t>
            </w:r>
          </w:p>
          <w:p w14:paraId="5FD7A121">
            <w:pPr>
              <w:jc w:val="left"/>
              <w:rPr>
                <w:rFonts w:ascii="宋体" w:hAnsi="宋体" w:cs="宋体"/>
                <w:color w:val="auto"/>
                <w:szCs w:val="21"/>
                <w:highlight w:val="none"/>
              </w:rPr>
            </w:pPr>
            <w:r>
              <w:rPr>
                <w:rFonts w:hint="eastAsia" w:ascii="宋体" w:hAnsi="宋体" w:cs="宋体"/>
                <w:color w:val="auto"/>
                <w:szCs w:val="21"/>
                <w:highlight w:val="none"/>
              </w:rPr>
              <w:t>3.具有≥2个独立通道，每通道均支持等同或宽于0-99级数字音量调节及静音开关功能。</w:t>
            </w:r>
          </w:p>
          <w:p w14:paraId="50282F9D">
            <w:pPr>
              <w:jc w:val="left"/>
              <w:rPr>
                <w:rFonts w:ascii="宋体" w:hAnsi="宋体" w:cs="宋体"/>
                <w:color w:val="auto"/>
                <w:szCs w:val="21"/>
                <w:highlight w:val="none"/>
              </w:rPr>
            </w:pPr>
            <w:r>
              <w:rPr>
                <w:rFonts w:hint="eastAsia" w:ascii="宋体" w:hAnsi="宋体" w:cs="宋体"/>
                <w:color w:val="auto"/>
                <w:szCs w:val="21"/>
                <w:highlight w:val="none"/>
              </w:rPr>
              <w:t>4.基于啸叫检测门限更新法，具有移频+陷波反馈抑制功能，可以使用≥48个可编程陷波点。</w:t>
            </w:r>
          </w:p>
          <w:p w14:paraId="7E2396EE">
            <w:pPr>
              <w:jc w:val="left"/>
              <w:rPr>
                <w:rFonts w:ascii="宋体" w:hAnsi="宋体" w:cs="宋体"/>
                <w:color w:val="auto"/>
                <w:szCs w:val="21"/>
                <w:highlight w:val="none"/>
              </w:rPr>
            </w:pPr>
            <w:r>
              <w:rPr>
                <w:rFonts w:hint="eastAsia" w:ascii="宋体" w:hAnsi="宋体" w:cs="宋体"/>
                <w:color w:val="auto"/>
                <w:szCs w:val="21"/>
                <w:highlight w:val="none"/>
              </w:rPr>
              <w:t>▲5.前面板具有≥48个LED灯陷波状态指示灯（具有≥2×12个静态点和≥2×12个动态点）、≥2英寸IPS真彩显示屏、≥1个编码旋钮；后面板具有≥1个船形开关、≥2路XLR母座+2路TRS母座模拟输入、≥2路XLR公座+2路TRS母座模拟输出、≥1个RJ45接口。（投标时须提供佐证材料证明满足该功能，佐证材料包含但不限于经国家认可的第三方认证（检测）机构出具的带有CMA或CNAS标志的检测报告复印件或官网截图或彩页或功能截图，除检测报告外，其他佐证材料均需加盖原厂公章。）</w:t>
            </w:r>
          </w:p>
          <w:p w14:paraId="10E6F298">
            <w:pPr>
              <w:jc w:val="left"/>
              <w:rPr>
                <w:rFonts w:ascii="宋体" w:hAnsi="宋体" w:cs="宋体"/>
                <w:color w:val="auto"/>
                <w:szCs w:val="21"/>
                <w:highlight w:val="none"/>
              </w:rPr>
            </w:pPr>
            <w:r>
              <w:rPr>
                <w:rFonts w:hint="eastAsia" w:ascii="宋体" w:hAnsi="宋体" w:cs="宋体"/>
                <w:color w:val="auto"/>
                <w:szCs w:val="21"/>
                <w:highlight w:val="none"/>
              </w:rPr>
              <w:t>6.设备具有编码旋钮和≥2.0英寸IPS屏幕，可用于控制和配置设备直通、场景。IPS屏幕能够显示IP地址，输入和输出通道的实时电平。</w:t>
            </w:r>
          </w:p>
          <w:p w14:paraId="0B25A243">
            <w:pPr>
              <w:jc w:val="left"/>
              <w:rPr>
                <w:rFonts w:ascii="宋体" w:hAnsi="宋体" w:cs="宋体"/>
                <w:color w:val="auto"/>
                <w:szCs w:val="21"/>
                <w:highlight w:val="none"/>
              </w:rPr>
            </w:pPr>
            <w:r>
              <w:rPr>
                <w:rFonts w:hint="eastAsia" w:ascii="宋体" w:hAnsi="宋体" w:cs="宋体"/>
                <w:color w:val="auto"/>
                <w:szCs w:val="21"/>
                <w:highlight w:val="none"/>
              </w:rPr>
              <w:t>7.具有设备定位，PC客户端具有一键定位局域网内同类设备功能，被定位到的设备会在显示屏上显示定位信息。</w:t>
            </w:r>
          </w:p>
          <w:p w14:paraId="7F52F66B">
            <w:pPr>
              <w:jc w:val="left"/>
              <w:rPr>
                <w:rFonts w:ascii="宋体" w:hAnsi="宋体" w:cs="宋体"/>
                <w:color w:val="auto"/>
                <w:szCs w:val="21"/>
                <w:highlight w:val="none"/>
              </w:rPr>
            </w:pPr>
            <w:r>
              <w:rPr>
                <w:rFonts w:hint="eastAsia" w:ascii="宋体" w:hAnsi="宋体" w:cs="宋体"/>
                <w:color w:val="auto"/>
                <w:szCs w:val="21"/>
                <w:highlight w:val="none"/>
              </w:rPr>
              <w:t>8.设备具有统一集中控制功能，支持≥65000台设备通过软件集中控制。</w:t>
            </w:r>
          </w:p>
          <w:p w14:paraId="17C93C84">
            <w:pPr>
              <w:jc w:val="left"/>
              <w:rPr>
                <w:rFonts w:ascii="宋体" w:hAnsi="宋体" w:cs="宋体"/>
                <w:color w:val="auto"/>
                <w:szCs w:val="21"/>
                <w:highlight w:val="none"/>
              </w:rPr>
            </w:pPr>
            <w:r>
              <w:rPr>
                <w:rFonts w:hint="eastAsia" w:ascii="宋体" w:hAnsi="宋体" w:cs="宋体"/>
                <w:color w:val="auto"/>
                <w:szCs w:val="21"/>
                <w:highlight w:val="none"/>
              </w:rPr>
              <w:t>9.支持多客户端数据同步，≥2个客户端以上连接混音器设备时，可实现多端数据同步。</w:t>
            </w:r>
          </w:p>
          <w:p w14:paraId="4BFA19C5">
            <w:pPr>
              <w:jc w:val="left"/>
              <w:rPr>
                <w:rFonts w:ascii="宋体" w:hAnsi="宋体" w:cs="宋体"/>
                <w:color w:val="auto"/>
                <w:szCs w:val="21"/>
                <w:highlight w:val="none"/>
              </w:rPr>
            </w:pPr>
            <w:r>
              <w:rPr>
                <w:rFonts w:hint="eastAsia" w:ascii="宋体" w:hAnsi="宋体" w:cs="宋体"/>
                <w:color w:val="auto"/>
                <w:szCs w:val="21"/>
                <w:highlight w:val="none"/>
              </w:rPr>
              <w:t>▲10.反馈抑制器软件可融入会议音频综合管理平台实现音频设备统一管理，平台可扫描数字会议主机、音频处理器、混音器、抑制器、功放类产品在线情况，同款产品多台在线设备也可扫描，并显示设备硬件名称、硬件IP地址、在线、离线状态信息；具备一键上传配置信息至云端或保存本地进行备份和一键还原配置信息功能。（投标时须提供佐证材料证明满足该功能，佐证材料包含但不限于经国家认可的第三方认证（检测）机构出具的带有CMA或CNAS标志的检测报告复印件或官网截图或彩页或功能截图，除检测报告外，其他佐证材料均需加盖原厂公章。）</w:t>
            </w:r>
          </w:p>
        </w:tc>
      </w:tr>
      <w:tr w14:paraId="22CA07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jc w:val="center"/>
        </w:trPr>
        <w:tc>
          <w:tcPr>
            <w:tcW w:w="659" w:type="dxa"/>
            <w:shd w:val="clear" w:color="auto" w:fill="auto"/>
            <w:vAlign w:val="center"/>
          </w:tcPr>
          <w:p w14:paraId="580F3600">
            <w:pPr>
              <w:jc w:val="center"/>
              <w:rPr>
                <w:rFonts w:ascii="宋体" w:hAnsi="宋体" w:cs="宋体"/>
                <w:color w:val="auto"/>
                <w:szCs w:val="21"/>
                <w:highlight w:val="none"/>
              </w:rPr>
            </w:pPr>
            <w:r>
              <w:rPr>
                <w:rFonts w:hint="eastAsia" w:ascii="宋体" w:hAnsi="宋体" w:cs="宋体"/>
                <w:color w:val="auto"/>
                <w:szCs w:val="21"/>
                <w:highlight w:val="none"/>
              </w:rPr>
              <w:t>13</w:t>
            </w:r>
          </w:p>
        </w:tc>
        <w:tc>
          <w:tcPr>
            <w:tcW w:w="1148" w:type="dxa"/>
            <w:shd w:val="clear" w:color="auto" w:fill="auto"/>
            <w:vAlign w:val="center"/>
          </w:tcPr>
          <w:p w14:paraId="526FEE41">
            <w:pPr>
              <w:jc w:val="center"/>
              <w:rPr>
                <w:rFonts w:ascii="宋体" w:hAnsi="宋体" w:cs="宋体"/>
                <w:color w:val="auto"/>
                <w:szCs w:val="21"/>
                <w:highlight w:val="none"/>
              </w:rPr>
            </w:pPr>
            <w:r>
              <w:rPr>
                <w:rFonts w:hint="eastAsia" w:ascii="宋体" w:hAnsi="宋体" w:cs="宋体"/>
                <w:color w:val="auto"/>
                <w:szCs w:val="21"/>
                <w:highlight w:val="none"/>
              </w:rPr>
              <w:t>电源管理器</w:t>
            </w:r>
          </w:p>
        </w:tc>
        <w:tc>
          <w:tcPr>
            <w:tcW w:w="961" w:type="dxa"/>
            <w:shd w:val="clear" w:color="auto" w:fill="auto"/>
            <w:vAlign w:val="center"/>
          </w:tcPr>
          <w:p w14:paraId="69DC66AE">
            <w:pPr>
              <w:jc w:val="center"/>
              <w:rPr>
                <w:rFonts w:ascii="宋体" w:hAnsi="宋体" w:cs="宋体"/>
                <w:color w:val="auto"/>
                <w:szCs w:val="21"/>
                <w:highlight w:val="none"/>
              </w:rPr>
            </w:pPr>
            <w:r>
              <w:rPr>
                <w:rFonts w:hint="eastAsia" w:ascii="宋体" w:hAnsi="宋体" w:cs="宋体"/>
                <w:color w:val="auto"/>
                <w:szCs w:val="21"/>
                <w:highlight w:val="none"/>
              </w:rPr>
              <w:t>5台</w:t>
            </w:r>
          </w:p>
        </w:tc>
        <w:tc>
          <w:tcPr>
            <w:tcW w:w="701" w:type="dxa"/>
            <w:tcBorders>
              <w:right w:val="single" w:color="auto" w:sz="4" w:space="0"/>
            </w:tcBorders>
            <w:shd w:val="clear" w:color="auto" w:fill="auto"/>
            <w:vAlign w:val="center"/>
          </w:tcPr>
          <w:p w14:paraId="34BE0276">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工业</w:t>
            </w:r>
          </w:p>
        </w:tc>
        <w:tc>
          <w:tcPr>
            <w:tcW w:w="6527" w:type="dxa"/>
            <w:tcBorders>
              <w:left w:val="single" w:color="auto" w:sz="4" w:space="0"/>
              <w:right w:val="single" w:color="auto" w:sz="4" w:space="0"/>
            </w:tcBorders>
            <w:shd w:val="clear" w:color="auto" w:fill="auto"/>
          </w:tcPr>
          <w:p w14:paraId="59B1AA16">
            <w:pPr>
              <w:jc w:val="left"/>
              <w:rPr>
                <w:rFonts w:ascii="宋体" w:hAnsi="宋体" w:cs="宋体"/>
                <w:color w:val="auto"/>
                <w:szCs w:val="21"/>
                <w:highlight w:val="none"/>
              </w:rPr>
            </w:pPr>
            <w:r>
              <w:rPr>
                <w:rFonts w:hint="eastAsia" w:ascii="宋体" w:hAnsi="宋体" w:cs="宋体"/>
                <w:color w:val="auto"/>
                <w:szCs w:val="21"/>
                <w:highlight w:val="none"/>
              </w:rPr>
              <w:t>1.配备LCD显示屏，支持显示温度信息，实时输入电压信息、时间信息、IP信息，定时任务信息。</w:t>
            </w:r>
          </w:p>
          <w:p w14:paraId="50376936">
            <w:pPr>
              <w:jc w:val="left"/>
              <w:rPr>
                <w:rFonts w:ascii="宋体" w:hAnsi="宋体" w:cs="宋体"/>
                <w:color w:val="auto"/>
                <w:szCs w:val="21"/>
                <w:highlight w:val="none"/>
              </w:rPr>
            </w:pPr>
            <w:r>
              <w:rPr>
                <w:rFonts w:hint="eastAsia" w:ascii="宋体" w:hAnsi="宋体" w:cs="宋体"/>
                <w:color w:val="auto"/>
                <w:szCs w:val="21"/>
                <w:highlight w:val="none"/>
              </w:rPr>
              <w:t>2.具有≥8路单通道≥10A电源输出插座，总输出电流≥30A，支持实时监控插座功率。</w:t>
            </w:r>
          </w:p>
          <w:p w14:paraId="66AAD22D">
            <w:pPr>
              <w:jc w:val="left"/>
              <w:rPr>
                <w:rFonts w:ascii="宋体" w:hAnsi="宋体" w:cs="宋体"/>
                <w:color w:val="auto"/>
                <w:szCs w:val="21"/>
                <w:highlight w:val="none"/>
              </w:rPr>
            </w:pPr>
            <w:r>
              <w:rPr>
                <w:rFonts w:hint="eastAsia" w:ascii="宋体" w:hAnsi="宋体" w:cs="宋体"/>
                <w:color w:val="auto"/>
                <w:szCs w:val="21"/>
                <w:highlight w:val="none"/>
              </w:rPr>
              <w:t>▲3.具有≥2个10M/100M网口，≥2路RS-485接口，≥1路USB接口提供照明灯供电；配备≥1个监听扬声器，支持人声报警提示。（投标时须提供佐证材料证明满足该功能，佐证材料包含但不限于经国家认可的第三方认证（检测）机构出具的带有CMA或CNAS标志的检测报告复印件或官网截图或彩页或功能截图，除检测报告外，其他佐证材料均需加盖原厂公章。）</w:t>
            </w:r>
          </w:p>
          <w:p w14:paraId="691A1325">
            <w:pPr>
              <w:jc w:val="left"/>
              <w:rPr>
                <w:rFonts w:ascii="宋体" w:hAnsi="宋体" w:cs="宋体"/>
                <w:color w:val="auto"/>
                <w:szCs w:val="21"/>
                <w:highlight w:val="none"/>
              </w:rPr>
            </w:pPr>
            <w:r>
              <w:rPr>
                <w:rFonts w:hint="eastAsia" w:ascii="宋体" w:hAnsi="宋体" w:cs="宋体"/>
                <w:color w:val="auto"/>
                <w:szCs w:val="21"/>
                <w:highlight w:val="none"/>
              </w:rPr>
              <w:t>4.支持过载、短路保护功能；支持连接PC可视化界面进行远程操控；支持网络远程固件升级，支持主从机级联，支持通过一路网口接入局域网使用软件控制所有级联设备。</w:t>
            </w:r>
          </w:p>
          <w:p w14:paraId="085B85EB">
            <w:pPr>
              <w:jc w:val="left"/>
              <w:rPr>
                <w:rFonts w:ascii="宋体" w:hAnsi="宋体" w:cs="宋体"/>
                <w:color w:val="auto"/>
                <w:szCs w:val="21"/>
                <w:highlight w:val="none"/>
              </w:rPr>
            </w:pPr>
            <w:r>
              <w:rPr>
                <w:rFonts w:hint="eastAsia" w:ascii="宋体" w:hAnsi="宋体" w:cs="宋体"/>
                <w:color w:val="auto"/>
                <w:szCs w:val="21"/>
                <w:highlight w:val="none"/>
              </w:rPr>
              <w:t>5.具备对每一路电源输出进行定时编程，支持每路开关时序间隔动作延迟时间调节设置。</w:t>
            </w:r>
          </w:p>
          <w:p w14:paraId="61F13610">
            <w:pPr>
              <w:jc w:val="left"/>
              <w:rPr>
                <w:rFonts w:ascii="宋体" w:hAnsi="宋体" w:cs="宋体"/>
                <w:color w:val="auto"/>
                <w:szCs w:val="21"/>
                <w:highlight w:val="none"/>
              </w:rPr>
            </w:pPr>
            <w:r>
              <w:rPr>
                <w:rFonts w:hint="eastAsia" w:ascii="宋体" w:hAnsi="宋体" w:cs="宋体"/>
                <w:color w:val="auto"/>
                <w:szCs w:val="21"/>
                <w:highlight w:val="none"/>
              </w:rPr>
              <w:t>6.支持实时检测设备温度，支持拓展外接温湿度传感器，显示外部环境温湿度。</w:t>
            </w:r>
          </w:p>
          <w:p w14:paraId="021D2C93">
            <w:pPr>
              <w:jc w:val="left"/>
              <w:rPr>
                <w:rFonts w:ascii="宋体" w:hAnsi="宋体" w:cs="宋体"/>
                <w:color w:val="auto"/>
                <w:szCs w:val="21"/>
                <w:highlight w:val="none"/>
              </w:rPr>
            </w:pPr>
            <w:r>
              <w:rPr>
                <w:rFonts w:hint="eastAsia" w:ascii="宋体" w:hAnsi="宋体" w:cs="宋体"/>
                <w:color w:val="auto"/>
                <w:szCs w:val="21"/>
                <w:highlight w:val="none"/>
              </w:rPr>
              <w:t>7.具备自定义设置电源锁开启后每个通道开启、关闭、保持关闭前状态；支持设置对应通道的上下限位值、对应的超限动作和动作延时，支持调节报警音量大小。</w:t>
            </w:r>
          </w:p>
          <w:p w14:paraId="096CDBF5">
            <w:pPr>
              <w:jc w:val="left"/>
              <w:rPr>
                <w:rFonts w:ascii="宋体" w:hAnsi="宋体" w:cs="宋体"/>
                <w:color w:val="auto"/>
                <w:szCs w:val="21"/>
                <w:highlight w:val="none"/>
              </w:rPr>
            </w:pPr>
            <w:r>
              <w:rPr>
                <w:rFonts w:hint="eastAsia" w:ascii="宋体" w:hAnsi="宋体" w:cs="宋体"/>
                <w:color w:val="auto"/>
                <w:szCs w:val="21"/>
                <w:highlight w:val="none"/>
              </w:rPr>
              <w:t>8.支持电压、电流或温湿度超过限定值播放相应的人声报警，恢复正常时自动停止。</w:t>
            </w:r>
          </w:p>
          <w:p w14:paraId="4D99EEA5">
            <w:pPr>
              <w:jc w:val="left"/>
              <w:rPr>
                <w:rFonts w:ascii="宋体" w:hAnsi="宋体" w:cs="宋体"/>
                <w:color w:val="auto"/>
                <w:szCs w:val="21"/>
                <w:highlight w:val="none"/>
              </w:rPr>
            </w:pPr>
            <w:r>
              <w:rPr>
                <w:rFonts w:hint="eastAsia" w:ascii="宋体" w:hAnsi="宋体" w:cs="宋体"/>
                <w:color w:val="auto"/>
                <w:szCs w:val="21"/>
                <w:highlight w:val="none"/>
              </w:rPr>
              <w:t>9.支持通过主设备电源锁可一键开启或关闭所有从设备；支持独立控制每一路电源输出，支持一键全开或全关；支持一键紧急打开或者关闭全部电源。</w:t>
            </w:r>
          </w:p>
          <w:p w14:paraId="534D8237">
            <w:pPr>
              <w:jc w:val="left"/>
              <w:rPr>
                <w:rFonts w:ascii="宋体" w:hAnsi="宋体" w:cs="宋体"/>
                <w:color w:val="auto"/>
                <w:szCs w:val="21"/>
                <w:highlight w:val="none"/>
              </w:rPr>
            </w:pPr>
            <w:r>
              <w:rPr>
                <w:rFonts w:hint="eastAsia" w:ascii="宋体" w:hAnsi="宋体" w:cs="宋体"/>
                <w:color w:val="auto"/>
                <w:szCs w:val="21"/>
                <w:highlight w:val="none"/>
              </w:rPr>
              <w:t>10.支持PC界面控制、定时控制、手动控制、串口控制方式。</w:t>
            </w:r>
          </w:p>
        </w:tc>
      </w:tr>
      <w:tr w14:paraId="7AD43C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jc w:val="center"/>
        </w:trPr>
        <w:tc>
          <w:tcPr>
            <w:tcW w:w="9996" w:type="dxa"/>
            <w:gridSpan w:val="5"/>
            <w:tcBorders>
              <w:right w:val="single" w:color="auto" w:sz="4" w:space="0"/>
            </w:tcBorders>
            <w:shd w:val="clear" w:color="auto" w:fill="auto"/>
            <w:vAlign w:val="center"/>
          </w:tcPr>
          <w:tbl>
            <w:tblPr>
              <w:tblStyle w:val="51"/>
              <w:tblW w:w="999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59"/>
              <w:gridCol w:w="1148"/>
              <w:gridCol w:w="961"/>
              <w:gridCol w:w="701"/>
              <w:gridCol w:w="6527"/>
            </w:tblGrid>
            <w:tr w14:paraId="0574AE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jc w:val="center"/>
              </w:trPr>
              <w:tc>
                <w:tcPr>
                  <w:tcW w:w="9996" w:type="dxa"/>
                  <w:gridSpan w:val="5"/>
                  <w:tcBorders>
                    <w:right w:val="single" w:color="auto" w:sz="4" w:space="0"/>
                  </w:tcBorders>
                  <w:shd w:val="clear" w:color="auto" w:fill="auto"/>
                  <w:vAlign w:val="center"/>
                </w:tcPr>
                <w:p w14:paraId="013ADA96">
                  <w:pPr>
                    <w:jc w:val="left"/>
                    <w:rPr>
                      <w:rFonts w:ascii="宋体" w:hAnsi="宋体" w:cs="宋体"/>
                      <w:color w:val="auto"/>
                      <w:szCs w:val="21"/>
                      <w:highlight w:val="none"/>
                    </w:rPr>
                  </w:pPr>
                  <w:r>
                    <w:rPr>
                      <w:rFonts w:hint="eastAsia" w:ascii="宋体" w:hAnsi="宋体" w:cs="宋体"/>
                      <w:b/>
                      <w:bCs/>
                      <w:color w:val="auto"/>
                      <w:szCs w:val="21"/>
                      <w:highlight w:val="none"/>
                    </w:rPr>
                    <w:t>（四）数字会议发言系统</w:t>
                  </w:r>
                </w:p>
              </w:tc>
            </w:tr>
            <w:tr w14:paraId="30FBC2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jc w:val="center"/>
              </w:trPr>
              <w:tc>
                <w:tcPr>
                  <w:tcW w:w="659" w:type="dxa"/>
                  <w:shd w:val="clear" w:color="auto" w:fill="auto"/>
                  <w:vAlign w:val="center"/>
                </w:tcPr>
                <w:p w14:paraId="7AEDD4C6">
                  <w:pPr>
                    <w:jc w:val="center"/>
                    <w:rPr>
                      <w:rFonts w:ascii="宋体" w:hAnsi="宋体" w:cs="宋体"/>
                      <w:color w:val="auto"/>
                      <w:szCs w:val="21"/>
                      <w:highlight w:val="none"/>
                    </w:rPr>
                  </w:pPr>
                  <w:r>
                    <w:rPr>
                      <w:rFonts w:hint="eastAsia" w:ascii="宋体" w:hAnsi="宋体" w:cs="宋体"/>
                      <w:color w:val="auto"/>
                      <w:szCs w:val="21"/>
                      <w:highlight w:val="none"/>
                    </w:rPr>
                    <w:t>1</w:t>
                  </w:r>
                </w:p>
              </w:tc>
              <w:tc>
                <w:tcPr>
                  <w:tcW w:w="1148" w:type="dxa"/>
                  <w:shd w:val="clear" w:color="auto" w:fill="auto"/>
                  <w:vAlign w:val="center"/>
                </w:tcPr>
                <w:p w14:paraId="11424AF1">
                  <w:pPr>
                    <w:jc w:val="center"/>
                    <w:rPr>
                      <w:rFonts w:ascii="宋体" w:hAnsi="宋体" w:cs="宋体"/>
                      <w:color w:val="auto"/>
                      <w:szCs w:val="21"/>
                      <w:highlight w:val="none"/>
                    </w:rPr>
                  </w:pPr>
                  <w:r>
                    <w:rPr>
                      <w:rFonts w:hint="eastAsia" w:ascii="宋体" w:hAnsi="宋体" w:cs="宋体"/>
                      <w:color w:val="auto"/>
                      <w:szCs w:val="21"/>
                      <w:highlight w:val="none"/>
                    </w:rPr>
                    <w:t>AI会议主机</w:t>
                  </w:r>
                </w:p>
              </w:tc>
              <w:tc>
                <w:tcPr>
                  <w:tcW w:w="961" w:type="dxa"/>
                  <w:shd w:val="clear" w:color="auto" w:fill="auto"/>
                  <w:vAlign w:val="center"/>
                </w:tcPr>
                <w:p w14:paraId="553B05D0">
                  <w:pPr>
                    <w:jc w:val="center"/>
                    <w:rPr>
                      <w:rFonts w:ascii="宋体" w:hAnsi="宋体" w:cs="宋体"/>
                      <w:color w:val="auto"/>
                      <w:szCs w:val="21"/>
                      <w:highlight w:val="none"/>
                    </w:rPr>
                  </w:pPr>
                  <w:r>
                    <w:rPr>
                      <w:rFonts w:hint="eastAsia" w:ascii="宋体" w:hAnsi="宋体" w:cs="宋体"/>
                      <w:color w:val="auto"/>
                      <w:szCs w:val="21"/>
                      <w:highlight w:val="none"/>
                    </w:rPr>
                    <w:t>1台</w:t>
                  </w:r>
                </w:p>
              </w:tc>
              <w:tc>
                <w:tcPr>
                  <w:tcW w:w="701" w:type="dxa"/>
                  <w:tcBorders>
                    <w:right w:val="single" w:color="auto" w:sz="4" w:space="0"/>
                  </w:tcBorders>
                  <w:shd w:val="clear" w:color="auto" w:fill="auto"/>
                  <w:vAlign w:val="center"/>
                </w:tcPr>
                <w:p w14:paraId="45764285">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工业</w:t>
                  </w:r>
                </w:p>
              </w:tc>
              <w:tc>
                <w:tcPr>
                  <w:tcW w:w="6527" w:type="dxa"/>
                  <w:tcBorders>
                    <w:left w:val="single" w:color="auto" w:sz="4" w:space="0"/>
                    <w:right w:val="single" w:color="auto" w:sz="4" w:space="0"/>
                  </w:tcBorders>
                  <w:shd w:val="clear" w:color="auto" w:fill="auto"/>
                </w:tcPr>
                <w:p w14:paraId="3C21C002">
                  <w:pPr>
                    <w:jc w:val="left"/>
                    <w:rPr>
                      <w:rFonts w:ascii="宋体" w:hAnsi="宋体" w:cs="宋体"/>
                      <w:color w:val="auto"/>
                      <w:szCs w:val="21"/>
                      <w:highlight w:val="none"/>
                    </w:rPr>
                  </w:pPr>
                  <w:r>
                    <w:rPr>
                      <w:rFonts w:hint="eastAsia" w:ascii="宋体" w:hAnsi="宋体" w:cs="宋体"/>
                      <w:color w:val="auto"/>
                      <w:szCs w:val="21"/>
                      <w:highlight w:val="none"/>
                    </w:rPr>
                    <w:t>1.系统采用高性能DSP处理器，音频采样率≥48kHz，频率响应等同或宽于80Hz~16KHz；采用超五类屏蔽线，确保会议信息长距离传输。</w:t>
                  </w:r>
                </w:p>
                <w:p w14:paraId="4E0D0A97">
                  <w:pPr>
                    <w:jc w:val="left"/>
                    <w:rPr>
                      <w:rFonts w:ascii="宋体" w:hAnsi="宋体" w:cs="宋体"/>
                      <w:color w:val="auto"/>
                      <w:szCs w:val="21"/>
                      <w:highlight w:val="none"/>
                    </w:rPr>
                  </w:pPr>
                  <w:r>
                    <w:rPr>
                      <w:rFonts w:hint="eastAsia" w:ascii="宋体" w:hAnsi="宋体" w:cs="宋体"/>
                      <w:color w:val="auto"/>
                      <w:szCs w:val="21"/>
                      <w:highlight w:val="none"/>
                    </w:rPr>
                    <w:t>▲2.集成专业DSP处理功能，具有智能混音、音频矩阵调节、自动增益、反馈抑制、≥31段输出图示均衡（≥8段输出参量均衡）、≥10段输入图示均衡（≥5段输入参量均衡）、闪避器、分频器、音量调节、反相功能。（投标时须提供经国家认可的第三方认证（检测）机构出具的带有CMA或CNAS标志的检测报告复印件。）</w:t>
                  </w:r>
                </w:p>
                <w:p w14:paraId="5834E592">
                  <w:pPr>
                    <w:jc w:val="left"/>
                    <w:rPr>
                      <w:rFonts w:ascii="宋体" w:hAnsi="宋体" w:cs="宋体"/>
                      <w:color w:val="auto"/>
                      <w:szCs w:val="21"/>
                      <w:highlight w:val="none"/>
                    </w:rPr>
                  </w:pPr>
                  <w:r>
                    <w:rPr>
                      <w:rFonts w:hint="eastAsia" w:ascii="宋体" w:hAnsi="宋体" w:cs="宋体"/>
                      <w:color w:val="auto"/>
                      <w:szCs w:val="21"/>
                      <w:highlight w:val="none"/>
                    </w:rPr>
                    <w:t>3.通讯接口包括有≥3路航空接口，≥2路RS-232接口、≥1路RS-485接口、≥3路RJ45网络通信接口、≥1路RJ45内部调试接口、≥1路USB2.0接口；音频输入接口包括有≥1路LINE IN,音频输出接口有≥1路LINE OUT、≥两路SPK OUT。</w:t>
                  </w:r>
                </w:p>
                <w:p w14:paraId="1063F1E0">
                  <w:pPr>
                    <w:jc w:val="left"/>
                    <w:rPr>
                      <w:rFonts w:ascii="宋体" w:hAnsi="宋体" w:cs="宋体"/>
                      <w:color w:val="auto"/>
                      <w:szCs w:val="21"/>
                      <w:highlight w:val="none"/>
                    </w:rPr>
                  </w:pPr>
                  <w:r>
                    <w:rPr>
                      <w:rFonts w:hint="eastAsia" w:ascii="宋体" w:hAnsi="宋体" w:cs="宋体"/>
                      <w:color w:val="auto"/>
                      <w:szCs w:val="21"/>
                      <w:highlight w:val="none"/>
                    </w:rPr>
                    <w:t>4.设备具有会议发言录音功能；搭配会议话筒可以录制话筒混音输出音频；支持通过主机U盘录音。</w:t>
                  </w:r>
                </w:p>
                <w:p w14:paraId="78D1CFBA">
                  <w:pPr>
                    <w:jc w:val="left"/>
                    <w:rPr>
                      <w:rFonts w:ascii="宋体" w:hAnsi="宋体" w:cs="宋体"/>
                      <w:color w:val="auto"/>
                      <w:szCs w:val="21"/>
                      <w:highlight w:val="none"/>
                    </w:rPr>
                  </w:pPr>
                  <w:r>
                    <w:rPr>
                      <w:rFonts w:hint="eastAsia" w:ascii="宋体" w:hAnsi="宋体" w:cs="宋体"/>
                      <w:color w:val="auto"/>
                      <w:szCs w:val="21"/>
                      <w:highlight w:val="none"/>
                    </w:rPr>
                    <w:t>▲5.系统支持≥24只话筒同时发言，其中支持≥16只有线话筒和≥8只无线话筒同时发言；有线话筒发言人数范围可设置为等同或宽于1至16之间的任意数量，无线话筒发言人数范围可设置为等同或宽于1至8之间的任意数量。（投标时须提供经国家认可的第三方认证（检测）机构出具的带有CMA或CNAS标志的检测报告复印件。）</w:t>
                  </w:r>
                </w:p>
                <w:p w14:paraId="693C78A4">
                  <w:pPr>
                    <w:jc w:val="left"/>
                    <w:rPr>
                      <w:rFonts w:ascii="宋体" w:hAnsi="宋体" w:cs="宋体"/>
                      <w:color w:val="auto"/>
                      <w:szCs w:val="21"/>
                      <w:highlight w:val="none"/>
                    </w:rPr>
                  </w:pPr>
                  <w:r>
                    <w:rPr>
                      <w:rFonts w:hint="eastAsia" w:ascii="宋体" w:hAnsi="宋体" w:cs="宋体"/>
                      <w:color w:val="auto"/>
                      <w:szCs w:val="21"/>
                      <w:highlight w:val="none"/>
                    </w:rPr>
                    <w:t>▲6.具有≥3种备份机制；支持主机双机热备功能，可设置一台设备为主机，另一台设置为从机，当主机出现故障时，可自动切换至从机运行，实现双备份功能；支持环形双链路功能，确保在其中的一条网线断开或者单元出问题时，会议能继续正常进行；支持T型链路备份功能，链路中即使多台会议单元出现故障，其他会议单元不受影响，保障会议正常进行。（投标时须提供经国家认可的第三方认证（检测）机构出具的带有CMA或CNAS标志的检测报告复印件。）</w:t>
                  </w:r>
                </w:p>
                <w:p w14:paraId="71ED416D">
                  <w:pPr>
                    <w:jc w:val="left"/>
                    <w:rPr>
                      <w:rFonts w:ascii="宋体" w:hAnsi="宋体" w:cs="宋体"/>
                      <w:color w:val="auto"/>
                      <w:szCs w:val="21"/>
                      <w:highlight w:val="none"/>
                    </w:rPr>
                  </w:pPr>
                  <w:r>
                    <w:rPr>
                      <w:rFonts w:hint="eastAsia" w:ascii="宋体" w:hAnsi="宋体" w:cs="宋体"/>
                      <w:color w:val="auto"/>
                      <w:szCs w:val="21"/>
                      <w:highlight w:val="none"/>
                    </w:rPr>
                    <w:t>7.兼容C/S架构，采用兆芯处理器搭配银河麒麟操作系统，兼容windows操作系统或国产操作系统或macOS系统或Ubuntu桌面版操作系统。</w:t>
                  </w:r>
                </w:p>
                <w:p w14:paraId="3E4DFAE9">
                  <w:pPr>
                    <w:jc w:val="left"/>
                    <w:rPr>
                      <w:rFonts w:ascii="宋体" w:hAnsi="宋体" w:cs="宋体"/>
                      <w:color w:val="auto"/>
                      <w:szCs w:val="21"/>
                      <w:highlight w:val="none"/>
                    </w:rPr>
                  </w:pPr>
                  <w:r>
                    <w:rPr>
                      <w:rFonts w:hint="eastAsia" w:ascii="宋体" w:hAnsi="宋体" w:cs="宋体"/>
                      <w:color w:val="auto"/>
                      <w:szCs w:val="21"/>
                      <w:highlight w:val="none"/>
                    </w:rPr>
                    <w:t>8.具有消防报警联动触发接口，触发后火灾报警信息可同步至话筒界面和主机界面，第一时间提醒会场人员紧急撤离，确保参会人员安全。</w:t>
                  </w:r>
                </w:p>
              </w:tc>
            </w:tr>
            <w:tr w14:paraId="738EF7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jc w:val="center"/>
              </w:trPr>
              <w:tc>
                <w:tcPr>
                  <w:tcW w:w="659" w:type="dxa"/>
                  <w:shd w:val="clear" w:color="auto" w:fill="auto"/>
                  <w:vAlign w:val="center"/>
                </w:tcPr>
                <w:p w14:paraId="00EE77E6">
                  <w:pPr>
                    <w:jc w:val="center"/>
                    <w:rPr>
                      <w:rFonts w:ascii="宋体" w:hAnsi="宋体" w:cs="宋体"/>
                      <w:color w:val="auto"/>
                      <w:szCs w:val="21"/>
                      <w:highlight w:val="none"/>
                    </w:rPr>
                  </w:pPr>
                  <w:r>
                    <w:rPr>
                      <w:rFonts w:hint="eastAsia" w:ascii="宋体" w:hAnsi="宋体" w:cs="宋体"/>
                      <w:color w:val="auto"/>
                      <w:szCs w:val="21"/>
                      <w:highlight w:val="none"/>
                    </w:rPr>
                    <w:t>2</w:t>
                  </w:r>
                </w:p>
              </w:tc>
              <w:tc>
                <w:tcPr>
                  <w:tcW w:w="1148" w:type="dxa"/>
                  <w:shd w:val="clear" w:color="auto" w:fill="auto"/>
                  <w:vAlign w:val="center"/>
                </w:tcPr>
                <w:p w14:paraId="2C648A3D">
                  <w:pPr>
                    <w:jc w:val="center"/>
                    <w:rPr>
                      <w:rFonts w:ascii="宋体" w:hAnsi="宋体" w:cs="宋体"/>
                      <w:color w:val="auto"/>
                      <w:szCs w:val="21"/>
                      <w:highlight w:val="none"/>
                    </w:rPr>
                  </w:pPr>
                  <w:r>
                    <w:rPr>
                      <w:rFonts w:hint="eastAsia" w:ascii="宋体" w:hAnsi="宋体" w:cs="宋体"/>
                      <w:color w:val="auto"/>
                      <w:szCs w:val="21"/>
                      <w:highlight w:val="none"/>
                    </w:rPr>
                    <w:t>国产会议主机内嵌软件</w:t>
                  </w:r>
                </w:p>
              </w:tc>
              <w:tc>
                <w:tcPr>
                  <w:tcW w:w="961" w:type="dxa"/>
                  <w:shd w:val="clear" w:color="auto" w:fill="auto"/>
                  <w:vAlign w:val="center"/>
                </w:tcPr>
                <w:p w14:paraId="235E8393">
                  <w:pPr>
                    <w:jc w:val="center"/>
                    <w:rPr>
                      <w:rFonts w:ascii="宋体" w:hAnsi="宋体" w:cs="宋体"/>
                      <w:color w:val="auto"/>
                      <w:szCs w:val="21"/>
                      <w:highlight w:val="none"/>
                    </w:rPr>
                  </w:pPr>
                  <w:r>
                    <w:rPr>
                      <w:rFonts w:hint="eastAsia" w:ascii="宋体" w:hAnsi="宋体" w:cs="宋体"/>
                      <w:color w:val="auto"/>
                      <w:szCs w:val="21"/>
                      <w:highlight w:val="none"/>
                    </w:rPr>
                    <w:t>1套</w:t>
                  </w:r>
                </w:p>
              </w:tc>
              <w:tc>
                <w:tcPr>
                  <w:tcW w:w="701" w:type="dxa"/>
                  <w:tcBorders>
                    <w:right w:val="single" w:color="auto" w:sz="4" w:space="0"/>
                  </w:tcBorders>
                  <w:shd w:val="clear" w:color="auto" w:fill="auto"/>
                  <w:vAlign w:val="center"/>
                </w:tcPr>
                <w:p w14:paraId="102FDE43">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w:t>
                  </w:r>
                </w:p>
              </w:tc>
              <w:tc>
                <w:tcPr>
                  <w:tcW w:w="6527" w:type="dxa"/>
                  <w:tcBorders>
                    <w:left w:val="single" w:color="auto" w:sz="4" w:space="0"/>
                    <w:right w:val="single" w:color="auto" w:sz="4" w:space="0"/>
                  </w:tcBorders>
                  <w:shd w:val="clear" w:color="auto" w:fill="auto"/>
                </w:tcPr>
                <w:p w14:paraId="647B31AD">
                  <w:pPr>
                    <w:jc w:val="left"/>
                    <w:rPr>
                      <w:rFonts w:ascii="宋体" w:hAnsi="宋体" w:cs="宋体"/>
                      <w:color w:val="auto"/>
                      <w:szCs w:val="21"/>
                      <w:highlight w:val="none"/>
                    </w:rPr>
                  </w:pPr>
                  <w:r>
                    <w:rPr>
                      <w:rFonts w:hint="eastAsia" w:ascii="宋体" w:hAnsi="宋体" w:cs="宋体"/>
                      <w:color w:val="auto"/>
                      <w:szCs w:val="21"/>
                      <w:highlight w:val="none"/>
                    </w:rPr>
                    <w:t>1.软件内嵌于会议系统主机设备，应用于对全数字会议系统音频传输软件的管理或控制。</w:t>
                  </w:r>
                </w:p>
                <w:p w14:paraId="56D698A7">
                  <w:pPr>
                    <w:jc w:val="left"/>
                    <w:rPr>
                      <w:rFonts w:ascii="宋体" w:hAnsi="宋体" w:cs="宋体"/>
                      <w:color w:val="auto"/>
                      <w:szCs w:val="21"/>
                      <w:highlight w:val="none"/>
                    </w:rPr>
                  </w:pPr>
                  <w:r>
                    <w:rPr>
                      <w:rFonts w:hint="eastAsia" w:ascii="宋体" w:hAnsi="宋体" w:cs="宋体"/>
                      <w:color w:val="auto"/>
                      <w:szCs w:val="21"/>
                      <w:highlight w:val="none"/>
                    </w:rPr>
                    <w:t>2.内置DSP音频处理技术，支持EQ均衡调节音频处理能力。</w:t>
                  </w:r>
                </w:p>
                <w:p w14:paraId="0DECE6D7">
                  <w:pPr>
                    <w:jc w:val="left"/>
                    <w:rPr>
                      <w:rFonts w:ascii="宋体" w:hAnsi="宋体" w:cs="宋体"/>
                      <w:color w:val="auto"/>
                      <w:szCs w:val="21"/>
                      <w:highlight w:val="none"/>
                    </w:rPr>
                  </w:pPr>
                  <w:r>
                    <w:rPr>
                      <w:rFonts w:hint="eastAsia" w:ascii="宋体" w:hAnsi="宋体" w:cs="宋体"/>
                      <w:color w:val="auto"/>
                      <w:szCs w:val="21"/>
                      <w:highlight w:val="none"/>
                    </w:rPr>
                    <w:t>3.支持话筒管理能力，通过不同的模式限制话筒发言数量，保障会场发言秩序。</w:t>
                  </w:r>
                </w:p>
                <w:p w14:paraId="55130113">
                  <w:pPr>
                    <w:jc w:val="left"/>
                    <w:rPr>
                      <w:rFonts w:ascii="宋体" w:hAnsi="宋体" w:cs="宋体"/>
                      <w:color w:val="auto"/>
                      <w:szCs w:val="21"/>
                      <w:highlight w:val="none"/>
                    </w:rPr>
                  </w:pPr>
                  <w:r>
                    <w:rPr>
                      <w:rFonts w:hint="eastAsia" w:ascii="宋体" w:hAnsi="宋体" w:cs="宋体"/>
                      <w:color w:val="auto"/>
                      <w:szCs w:val="21"/>
                      <w:highlight w:val="none"/>
                    </w:rPr>
                    <w:t>4.软件支持根据话筒ID提供不同的代码编号给中控系统，与中控系统对接后，可实现摄像自动跟踪功能。</w:t>
                  </w:r>
                </w:p>
              </w:tc>
            </w:tr>
            <w:tr w14:paraId="259835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jc w:val="center"/>
              </w:trPr>
              <w:tc>
                <w:tcPr>
                  <w:tcW w:w="659" w:type="dxa"/>
                  <w:shd w:val="clear" w:color="auto" w:fill="auto"/>
                  <w:vAlign w:val="center"/>
                </w:tcPr>
                <w:p w14:paraId="66126003">
                  <w:pPr>
                    <w:jc w:val="center"/>
                    <w:rPr>
                      <w:rFonts w:ascii="宋体" w:hAnsi="宋体" w:cs="宋体"/>
                      <w:color w:val="auto"/>
                      <w:szCs w:val="21"/>
                      <w:highlight w:val="none"/>
                    </w:rPr>
                  </w:pPr>
                  <w:r>
                    <w:rPr>
                      <w:rFonts w:hint="eastAsia" w:ascii="宋体" w:hAnsi="宋体" w:cs="宋体"/>
                      <w:color w:val="auto"/>
                      <w:szCs w:val="21"/>
                      <w:highlight w:val="none"/>
                    </w:rPr>
                    <w:t>3</w:t>
                  </w:r>
                </w:p>
              </w:tc>
              <w:tc>
                <w:tcPr>
                  <w:tcW w:w="1148" w:type="dxa"/>
                  <w:shd w:val="clear" w:color="auto" w:fill="auto"/>
                  <w:vAlign w:val="center"/>
                </w:tcPr>
                <w:p w14:paraId="212ECB8B">
                  <w:pPr>
                    <w:jc w:val="center"/>
                    <w:rPr>
                      <w:rFonts w:ascii="宋体" w:hAnsi="宋体" w:cs="宋体"/>
                      <w:color w:val="auto"/>
                      <w:szCs w:val="21"/>
                      <w:highlight w:val="none"/>
                    </w:rPr>
                  </w:pPr>
                  <w:r>
                    <w:rPr>
                      <w:rFonts w:hint="eastAsia" w:ascii="宋体" w:hAnsi="宋体" w:cs="宋体"/>
                      <w:color w:val="auto"/>
                      <w:szCs w:val="21"/>
                      <w:highlight w:val="none"/>
                    </w:rPr>
                    <w:t>会议话筒</w:t>
                  </w:r>
                </w:p>
              </w:tc>
              <w:tc>
                <w:tcPr>
                  <w:tcW w:w="961" w:type="dxa"/>
                  <w:shd w:val="clear" w:color="auto" w:fill="auto"/>
                  <w:vAlign w:val="center"/>
                </w:tcPr>
                <w:p w14:paraId="1EF65863">
                  <w:pPr>
                    <w:jc w:val="center"/>
                    <w:rPr>
                      <w:rFonts w:ascii="宋体" w:hAnsi="宋体" w:cs="宋体"/>
                      <w:color w:val="auto"/>
                      <w:szCs w:val="21"/>
                      <w:highlight w:val="none"/>
                    </w:rPr>
                  </w:pPr>
                  <w:r>
                    <w:rPr>
                      <w:rFonts w:hint="eastAsia" w:ascii="宋体" w:hAnsi="宋体" w:cs="宋体"/>
                      <w:color w:val="auto"/>
                      <w:szCs w:val="21"/>
                      <w:highlight w:val="none"/>
                    </w:rPr>
                    <w:t>24台</w:t>
                  </w:r>
                </w:p>
              </w:tc>
              <w:tc>
                <w:tcPr>
                  <w:tcW w:w="701" w:type="dxa"/>
                  <w:tcBorders>
                    <w:right w:val="single" w:color="auto" w:sz="4" w:space="0"/>
                  </w:tcBorders>
                  <w:shd w:val="clear" w:color="auto" w:fill="auto"/>
                  <w:vAlign w:val="center"/>
                </w:tcPr>
                <w:p w14:paraId="03AF0B4F">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工业</w:t>
                  </w:r>
                </w:p>
              </w:tc>
              <w:tc>
                <w:tcPr>
                  <w:tcW w:w="6527" w:type="dxa"/>
                  <w:tcBorders>
                    <w:left w:val="single" w:color="auto" w:sz="4" w:space="0"/>
                    <w:right w:val="single" w:color="auto" w:sz="4" w:space="0"/>
                  </w:tcBorders>
                  <w:shd w:val="clear" w:color="auto" w:fill="auto"/>
                </w:tcPr>
                <w:p w14:paraId="0410FD93">
                  <w:pPr>
                    <w:jc w:val="left"/>
                    <w:rPr>
                      <w:rFonts w:ascii="宋体" w:hAnsi="宋体" w:cs="宋体"/>
                      <w:color w:val="auto"/>
                      <w:szCs w:val="21"/>
                      <w:highlight w:val="none"/>
                    </w:rPr>
                  </w:pPr>
                  <w:r>
                    <w:rPr>
                      <w:rFonts w:hint="eastAsia" w:ascii="宋体" w:hAnsi="宋体" w:cs="宋体"/>
                      <w:color w:val="auto"/>
                      <w:szCs w:val="21"/>
                      <w:highlight w:val="none"/>
                    </w:rPr>
                    <w:t>1.采用≥128位AES加密技术，支持 WPA/WPA2 无线安全技术。</w:t>
                  </w:r>
                </w:p>
                <w:p w14:paraId="7523A737">
                  <w:pPr>
                    <w:jc w:val="left"/>
                    <w:rPr>
                      <w:rFonts w:ascii="宋体" w:hAnsi="宋体" w:cs="宋体"/>
                      <w:color w:val="auto"/>
                      <w:szCs w:val="21"/>
                      <w:highlight w:val="none"/>
                    </w:rPr>
                  </w:pPr>
                  <w:r>
                    <w:rPr>
                      <w:rFonts w:hint="eastAsia" w:ascii="宋体" w:hAnsi="宋体" w:cs="宋体"/>
                      <w:color w:val="auto"/>
                      <w:szCs w:val="21"/>
                      <w:highlight w:val="none"/>
                    </w:rPr>
                    <w:t>2.代表机具有申请发言功能，通过主席机批准申请人发言。具有声控功能。具有发言计时和定时发言功能。</w:t>
                  </w:r>
                </w:p>
                <w:p w14:paraId="0FCB3753">
                  <w:pPr>
                    <w:jc w:val="left"/>
                    <w:rPr>
                      <w:rFonts w:ascii="宋体" w:hAnsi="宋体" w:cs="宋体"/>
                      <w:color w:val="auto"/>
                      <w:szCs w:val="21"/>
                      <w:highlight w:val="none"/>
                    </w:rPr>
                  </w:pPr>
                  <w:r>
                    <w:rPr>
                      <w:rFonts w:hint="eastAsia" w:ascii="宋体" w:hAnsi="宋体" w:cs="宋体"/>
                      <w:color w:val="auto"/>
                      <w:szCs w:val="21"/>
                      <w:highlight w:val="none"/>
                    </w:rPr>
                    <w:t>3.具备TYPE-C口，可进行升级程序和充电，内置容量锂电池，电池容量≥10200 mAh，可持续≥14小时发言。</w:t>
                  </w:r>
                </w:p>
                <w:p w14:paraId="00821846">
                  <w:pPr>
                    <w:jc w:val="left"/>
                    <w:rPr>
                      <w:rFonts w:ascii="宋体" w:hAnsi="宋体" w:cs="宋体"/>
                      <w:color w:val="auto"/>
                      <w:szCs w:val="21"/>
                      <w:highlight w:val="none"/>
                    </w:rPr>
                  </w:pPr>
                  <w:r>
                    <w:rPr>
                      <w:rFonts w:hint="eastAsia" w:ascii="宋体" w:hAnsi="宋体" w:cs="宋体"/>
                      <w:color w:val="auto"/>
                      <w:szCs w:val="21"/>
                      <w:highlight w:val="none"/>
                    </w:rPr>
                    <w:t>4.具备≥5段EQ调节功能。</w:t>
                  </w:r>
                </w:p>
                <w:p w14:paraId="0C9E2139">
                  <w:pPr>
                    <w:jc w:val="left"/>
                    <w:rPr>
                      <w:rFonts w:ascii="宋体" w:hAnsi="宋体" w:cs="宋体"/>
                      <w:color w:val="auto"/>
                      <w:szCs w:val="21"/>
                      <w:highlight w:val="none"/>
                    </w:rPr>
                  </w:pPr>
                  <w:r>
                    <w:rPr>
                      <w:rFonts w:hint="eastAsia" w:ascii="宋体" w:hAnsi="宋体" w:cs="宋体"/>
                      <w:color w:val="auto"/>
                      <w:szCs w:val="21"/>
                      <w:highlight w:val="none"/>
                    </w:rPr>
                    <w:t>5.具有智能检测故障功能，提示用户AP故障、主机通信故障、信号强度过低等情况。</w:t>
                  </w:r>
                </w:p>
                <w:p w14:paraId="302F463D">
                  <w:pPr>
                    <w:jc w:val="left"/>
                    <w:rPr>
                      <w:rFonts w:ascii="宋体" w:hAnsi="宋体" w:cs="宋体"/>
                      <w:color w:val="auto"/>
                      <w:szCs w:val="21"/>
                      <w:highlight w:val="none"/>
                    </w:rPr>
                  </w:pPr>
                  <w:r>
                    <w:rPr>
                      <w:rFonts w:hint="eastAsia" w:ascii="宋体" w:hAnsi="宋体" w:cs="宋体"/>
                      <w:color w:val="auto"/>
                      <w:szCs w:val="21"/>
                      <w:highlight w:val="none"/>
                    </w:rPr>
                    <w:t>▲6.具有≥四种投票表决模式，包括表决、选举、评级与自定义，可任选“先签到后表决”或“直接表决”两种流程；计票规则支持“第一次有效”或“最后一次有效”，并配倒计时提醒。投票结束后，可选择文字、柱状图或饼图呈现结果和通过率。（投标时须提供经国家认可的第三方认证（检测）机构出具的带有CMA或CNAS标志的检测报告复印件。）</w:t>
                  </w:r>
                </w:p>
                <w:p w14:paraId="6EE32621">
                  <w:pPr>
                    <w:jc w:val="left"/>
                    <w:rPr>
                      <w:rFonts w:ascii="宋体" w:hAnsi="宋体" w:cs="宋体"/>
                      <w:color w:val="auto"/>
                      <w:szCs w:val="21"/>
                      <w:highlight w:val="none"/>
                    </w:rPr>
                  </w:pPr>
                  <w:r>
                    <w:rPr>
                      <w:rFonts w:hint="eastAsia" w:ascii="宋体" w:hAnsi="宋体" w:cs="宋体"/>
                      <w:color w:val="auto"/>
                      <w:szCs w:val="21"/>
                      <w:highlight w:val="none"/>
                    </w:rPr>
                    <w:t>▲7.支持会议服务功能，话筒单元可向会议主机发送茶水、纸笔、人工服务需求；支持（圆盘）时钟界面显示功能，可显示时间；支持通过全数字会议系统综合控制软件配置显示或隐藏。（投标时须提供经国家认可的第三方认证（检测）机构出具的带有CMA或CNAS标志的检测报告复印件。）</w:t>
                  </w:r>
                </w:p>
                <w:p w14:paraId="2A718C17">
                  <w:pPr>
                    <w:jc w:val="left"/>
                    <w:rPr>
                      <w:rFonts w:ascii="宋体" w:hAnsi="宋体" w:cs="宋体"/>
                      <w:color w:val="auto"/>
                      <w:szCs w:val="21"/>
                      <w:highlight w:val="none"/>
                    </w:rPr>
                  </w:pPr>
                  <w:r>
                    <w:rPr>
                      <w:rFonts w:hint="eastAsia" w:ascii="宋体" w:hAnsi="宋体" w:cs="宋体"/>
                      <w:color w:val="auto"/>
                      <w:szCs w:val="21"/>
                      <w:highlight w:val="none"/>
                    </w:rPr>
                    <w:t>8.具备≥3.5mm耳机孔，可连接外置麦克风。</w:t>
                  </w:r>
                </w:p>
                <w:p w14:paraId="5B5C34EA">
                  <w:pPr>
                    <w:jc w:val="left"/>
                    <w:rPr>
                      <w:rFonts w:ascii="宋体" w:hAnsi="宋体" w:cs="宋体"/>
                      <w:color w:val="auto"/>
                      <w:szCs w:val="21"/>
                      <w:highlight w:val="none"/>
                    </w:rPr>
                  </w:pPr>
                  <w:r>
                    <w:rPr>
                      <w:rFonts w:hint="eastAsia" w:ascii="宋体" w:hAnsi="宋体" w:cs="宋体"/>
                      <w:color w:val="auto"/>
                      <w:szCs w:val="21"/>
                      <w:highlight w:val="none"/>
                    </w:rPr>
                    <w:t>9.咪杆尺寸≤240mm</w:t>
                  </w:r>
                </w:p>
              </w:tc>
            </w:tr>
            <w:tr w14:paraId="2158A5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jc w:val="center"/>
              </w:trPr>
              <w:tc>
                <w:tcPr>
                  <w:tcW w:w="659" w:type="dxa"/>
                  <w:shd w:val="clear" w:color="auto" w:fill="auto"/>
                  <w:vAlign w:val="center"/>
                </w:tcPr>
                <w:p w14:paraId="09ADEFBB">
                  <w:pPr>
                    <w:jc w:val="center"/>
                    <w:rPr>
                      <w:rFonts w:ascii="宋体" w:hAnsi="宋体" w:cs="宋体"/>
                      <w:color w:val="auto"/>
                      <w:szCs w:val="21"/>
                      <w:highlight w:val="none"/>
                    </w:rPr>
                  </w:pPr>
                  <w:r>
                    <w:rPr>
                      <w:rFonts w:hint="eastAsia" w:ascii="宋体" w:hAnsi="宋体" w:cs="宋体"/>
                      <w:color w:val="auto"/>
                      <w:szCs w:val="21"/>
                      <w:highlight w:val="none"/>
                    </w:rPr>
                    <w:t>4</w:t>
                  </w:r>
                </w:p>
              </w:tc>
              <w:tc>
                <w:tcPr>
                  <w:tcW w:w="1148" w:type="dxa"/>
                  <w:shd w:val="clear" w:color="auto" w:fill="auto"/>
                  <w:vAlign w:val="center"/>
                </w:tcPr>
                <w:p w14:paraId="1120CBFA">
                  <w:pPr>
                    <w:jc w:val="center"/>
                    <w:rPr>
                      <w:rFonts w:ascii="宋体" w:hAnsi="宋体" w:cs="宋体"/>
                      <w:color w:val="auto"/>
                      <w:szCs w:val="21"/>
                      <w:highlight w:val="none"/>
                    </w:rPr>
                  </w:pPr>
                  <w:r>
                    <w:rPr>
                      <w:rFonts w:hint="eastAsia" w:ascii="宋体" w:hAnsi="宋体" w:cs="宋体"/>
                      <w:color w:val="auto"/>
                      <w:szCs w:val="21"/>
                      <w:highlight w:val="none"/>
                    </w:rPr>
                    <w:t>全数字会议系统音频传输内嵌软件</w:t>
                  </w:r>
                </w:p>
              </w:tc>
              <w:tc>
                <w:tcPr>
                  <w:tcW w:w="961" w:type="dxa"/>
                  <w:shd w:val="clear" w:color="auto" w:fill="auto"/>
                  <w:vAlign w:val="center"/>
                </w:tcPr>
                <w:p w14:paraId="6DF2EA59">
                  <w:pPr>
                    <w:jc w:val="center"/>
                    <w:rPr>
                      <w:rFonts w:ascii="宋体" w:hAnsi="宋体" w:cs="宋体"/>
                      <w:color w:val="auto"/>
                      <w:szCs w:val="21"/>
                      <w:highlight w:val="none"/>
                    </w:rPr>
                  </w:pPr>
                  <w:r>
                    <w:rPr>
                      <w:rFonts w:hint="eastAsia" w:ascii="宋体" w:hAnsi="宋体" w:cs="宋体"/>
                      <w:color w:val="auto"/>
                      <w:szCs w:val="21"/>
                      <w:highlight w:val="none"/>
                    </w:rPr>
                    <w:t>24套</w:t>
                  </w:r>
                </w:p>
              </w:tc>
              <w:tc>
                <w:tcPr>
                  <w:tcW w:w="701" w:type="dxa"/>
                  <w:tcBorders>
                    <w:right w:val="single" w:color="auto" w:sz="4" w:space="0"/>
                  </w:tcBorders>
                  <w:shd w:val="clear" w:color="auto" w:fill="auto"/>
                  <w:vAlign w:val="center"/>
                </w:tcPr>
                <w:p w14:paraId="74D626F0">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w:t>
                  </w:r>
                </w:p>
              </w:tc>
              <w:tc>
                <w:tcPr>
                  <w:tcW w:w="6527" w:type="dxa"/>
                  <w:tcBorders>
                    <w:left w:val="single" w:color="auto" w:sz="4" w:space="0"/>
                    <w:right w:val="single" w:color="auto" w:sz="4" w:space="0"/>
                  </w:tcBorders>
                  <w:shd w:val="clear" w:color="auto" w:fill="auto"/>
                </w:tcPr>
                <w:p w14:paraId="30B79BCC">
                  <w:pPr>
                    <w:jc w:val="left"/>
                    <w:rPr>
                      <w:rFonts w:ascii="宋体" w:hAnsi="宋体" w:cs="宋体"/>
                      <w:color w:val="auto"/>
                      <w:szCs w:val="21"/>
                      <w:highlight w:val="none"/>
                    </w:rPr>
                  </w:pPr>
                  <w:r>
                    <w:rPr>
                      <w:rFonts w:hint="eastAsia" w:ascii="宋体" w:hAnsi="宋体" w:cs="宋体"/>
                      <w:color w:val="auto"/>
                      <w:szCs w:val="21"/>
                      <w:highlight w:val="none"/>
                    </w:rPr>
                    <w:t>1.软件内嵌于会议单元设备，应用于对全数字会议系统音频传输软件的管理或控制。</w:t>
                  </w:r>
                </w:p>
                <w:p w14:paraId="35158E0C">
                  <w:pPr>
                    <w:jc w:val="left"/>
                    <w:rPr>
                      <w:rFonts w:ascii="宋体" w:hAnsi="宋体" w:cs="宋体"/>
                      <w:color w:val="auto"/>
                      <w:szCs w:val="21"/>
                      <w:highlight w:val="none"/>
                    </w:rPr>
                  </w:pPr>
                  <w:r>
                    <w:rPr>
                      <w:rFonts w:hint="eastAsia" w:ascii="宋体" w:hAnsi="宋体" w:cs="宋体"/>
                      <w:color w:val="auto"/>
                      <w:szCs w:val="21"/>
                      <w:highlight w:val="none"/>
                    </w:rPr>
                    <w:t>2.支持中英文语言管理界面。</w:t>
                  </w:r>
                </w:p>
                <w:p w14:paraId="6DE2DA40">
                  <w:pPr>
                    <w:jc w:val="left"/>
                    <w:rPr>
                      <w:rFonts w:ascii="宋体" w:hAnsi="宋体" w:cs="宋体"/>
                      <w:color w:val="auto"/>
                      <w:szCs w:val="21"/>
                      <w:highlight w:val="none"/>
                    </w:rPr>
                  </w:pPr>
                  <w:r>
                    <w:rPr>
                      <w:rFonts w:hint="eastAsia" w:ascii="宋体" w:hAnsi="宋体" w:cs="宋体"/>
                      <w:color w:val="auto"/>
                      <w:szCs w:val="21"/>
                      <w:highlight w:val="none"/>
                    </w:rPr>
                    <w:t>3.支持≥48KHz采样率音频处理能力。</w:t>
                  </w:r>
                </w:p>
                <w:p w14:paraId="6D9C2010">
                  <w:pPr>
                    <w:jc w:val="left"/>
                    <w:rPr>
                      <w:rFonts w:ascii="宋体" w:hAnsi="宋体" w:cs="宋体"/>
                      <w:color w:val="auto"/>
                      <w:szCs w:val="21"/>
                      <w:highlight w:val="none"/>
                    </w:rPr>
                  </w:pPr>
                  <w:r>
                    <w:rPr>
                      <w:rFonts w:hint="eastAsia" w:ascii="宋体" w:hAnsi="宋体" w:cs="宋体"/>
                      <w:color w:val="auto"/>
                      <w:szCs w:val="21"/>
                      <w:highlight w:val="none"/>
                    </w:rPr>
                    <w:t>4.支持电池管理功能，可显示电量/信号等信息</w:t>
                  </w:r>
                </w:p>
              </w:tc>
            </w:tr>
            <w:tr w14:paraId="28C15B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jc w:val="center"/>
              </w:trPr>
              <w:tc>
                <w:tcPr>
                  <w:tcW w:w="659" w:type="dxa"/>
                  <w:shd w:val="clear" w:color="auto" w:fill="auto"/>
                  <w:vAlign w:val="center"/>
                </w:tcPr>
                <w:p w14:paraId="4A3F9A85">
                  <w:pPr>
                    <w:jc w:val="center"/>
                    <w:rPr>
                      <w:rFonts w:ascii="宋体" w:hAnsi="宋体" w:cs="宋体"/>
                      <w:color w:val="auto"/>
                      <w:szCs w:val="21"/>
                      <w:highlight w:val="none"/>
                    </w:rPr>
                  </w:pPr>
                  <w:r>
                    <w:rPr>
                      <w:rFonts w:hint="eastAsia" w:ascii="宋体" w:hAnsi="宋体" w:cs="宋体"/>
                      <w:color w:val="auto"/>
                      <w:szCs w:val="21"/>
                      <w:highlight w:val="none"/>
                    </w:rPr>
                    <w:t>5</w:t>
                  </w:r>
                </w:p>
              </w:tc>
              <w:tc>
                <w:tcPr>
                  <w:tcW w:w="1148" w:type="dxa"/>
                  <w:shd w:val="clear" w:color="auto" w:fill="auto"/>
                  <w:vAlign w:val="center"/>
                </w:tcPr>
                <w:p w14:paraId="3A52E36D">
                  <w:pPr>
                    <w:jc w:val="center"/>
                    <w:rPr>
                      <w:rFonts w:ascii="宋体" w:hAnsi="宋体" w:cs="宋体"/>
                      <w:color w:val="auto"/>
                      <w:szCs w:val="21"/>
                      <w:highlight w:val="none"/>
                    </w:rPr>
                  </w:pPr>
                  <w:r>
                    <w:rPr>
                      <w:rFonts w:hint="eastAsia" w:ascii="宋体" w:hAnsi="宋体" w:cs="宋体"/>
                      <w:color w:val="auto"/>
                      <w:szCs w:val="21"/>
                      <w:highlight w:val="none"/>
                    </w:rPr>
                    <w:t>发射器</w:t>
                  </w:r>
                </w:p>
              </w:tc>
              <w:tc>
                <w:tcPr>
                  <w:tcW w:w="961" w:type="dxa"/>
                  <w:shd w:val="clear" w:color="auto" w:fill="auto"/>
                  <w:vAlign w:val="center"/>
                </w:tcPr>
                <w:p w14:paraId="73CAD7BD">
                  <w:pPr>
                    <w:jc w:val="center"/>
                    <w:rPr>
                      <w:rFonts w:ascii="宋体" w:hAnsi="宋体" w:cs="宋体"/>
                      <w:color w:val="auto"/>
                      <w:szCs w:val="21"/>
                      <w:highlight w:val="none"/>
                    </w:rPr>
                  </w:pPr>
                  <w:r>
                    <w:rPr>
                      <w:rFonts w:hint="eastAsia" w:ascii="宋体" w:hAnsi="宋体" w:cs="宋体"/>
                      <w:color w:val="auto"/>
                      <w:szCs w:val="21"/>
                      <w:highlight w:val="none"/>
                    </w:rPr>
                    <w:t>1台</w:t>
                  </w:r>
                </w:p>
              </w:tc>
              <w:tc>
                <w:tcPr>
                  <w:tcW w:w="701" w:type="dxa"/>
                  <w:tcBorders>
                    <w:right w:val="single" w:color="auto" w:sz="4" w:space="0"/>
                  </w:tcBorders>
                  <w:shd w:val="clear" w:color="auto" w:fill="auto"/>
                  <w:vAlign w:val="center"/>
                </w:tcPr>
                <w:p w14:paraId="163171D4">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工业</w:t>
                  </w:r>
                </w:p>
              </w:tc>
              <w:tc>
                <w:tcPr>
                  <w:tcW w:w="6527" w:type="dxa"/>
                  <w:tcBorders>
                    <w:left w:val="single" w:color="auto" w:sz="4" w:space="0"/>
                    <w:right w:val="single" w:color="auto" w:sz="4" w:space="0"/>
                  </w:tcBorders>
                  <w:shd w:val="clear" w:color="auto" w:fill="auto"/>
                </w:tcPr>
                <w:p w14:paraId="4EF0EB95">
                  <w:pPr>
                    <w:jc w:val="left"/>
                    <w:rPr>
                      <w:rFonts w:ascii="宋体" w:hAnsi="宋体" w:cs="宋体"/>
                      <w:color w:val="auto"/>
                      <w:szCs w:val="21"/>
                      <w:highlight w:val="none"/>
                    </w:rPr>
                  </w:pPr>
                  <w:r>
                    <w:rPr>
                      <w:rFonts w:hint="eastAsia" w:ascii="宋体" w:hAnsi="宋体" w:cs="宋体"/>
                      <w:color w:val="auto"/>
                      <w:szCs w:val="21"/>
                      <w:highlight w:val="none"/>
                    </w:rPr>
                    <w:t>1.遵从Wi-Fi 6协议标准（IEEE 802.11ax），向下兼容802.11a/b/g/n/ac/Wave2，支持MU-MIMO，允许AP同时接收多个终端发送数据，整机最大传输速率可达1.601Gbps</w:t>
                  </w:r>
                </w:p>
                <w:p w14:paraId="00D089B8">
                  <w:pPr>
                    <w:jc w:val="left"/>
                    <w:rPr>
                      <w:rFonts w:ascii="宋体" w:hAnsi="宋体" w:cs="宋体"/>
                      <w:color w:val="auto"/>
                      <w:szCs w:val="21"/>
                      <w:highlight w:val="none"/>
                    </w:rPr>
                  </w:pPr>
                  <w:r>
                    <w:rPr>
                      <w:rFonts w:hint="eastAsia" w:ascii="宋体" w:hAnsi="宋体" w:cs="宋体"/>
                      <w:color w:val="auto"/>
                      <w:szCs w:val="21"/>
                      <w:highlight w:val="none"/>
                    </w:rPr>
                    <w:t>2.支持OFDMA空间复用技术和1024QAM调制解调算法。</w:t>
                  </w:r>
                </w:p>
                <w:p w14:paraId="212E7A98">
                  <w:pPr>
                    <w:jc w:val="left"/>
                    <w:rPr>
                      <w:rFonts w:ascii="宋体" w:hAnsi="宋体" w:cs="宋体"/>
                      <w:color w:val="auto"/>
                      <w:szCs w:val="21"/>
                      <w:highlight w:val="none"/>
                    </w:rPr>
                  </w:pPr>
                  <w:r>
                    <w:rPr>
                      <w:rFonts w:hint="eastAsia" w:ascii="宋体" w:hAnsi="宋体" w:cs="宋体"/>
                      <w:color w:val="auto"/>
                      <w:szCs w:val="21"/>
                      <w:highlight w:val="none"/>
                    </w:rPr>
                    <w:t>3.支持中文SSID，可指定最长包含≥31个字符的SSID，也可以使用中英文混合的SSID</w:t>
                  </w:r>
                </w:p>
                <w:p w14:paraId="59B4F7A5">
                  <w:pPr>
                    <w:jc w:val="left"/>
                    <w:rPr>
                      <w:rFonts w:ascii="宋体" w:hAnsi="宋体" w:cs="宋体"/>
                      <w:color w:val="auto"/>
                      <w:szCs w:val="21"/>
                      <w:highlight w:val="none"/>
                    </w:rPr>
                  </w:pPr>
                  <w:r>
                    <w:rPr>
                      <w:rFonts w:hint="eastAsia" w:ascii="宋体" w:hAnsi="宋体" w:cs="宋体"/>
                      <w:color w:val="auto"/>
                      <w:szCs w:val="21"/>
                      <w:highlight w:val="none"/>
                    </w:rPr>
                    <w:t>4.支持WPA3安全协议。</w:t>
                  </w:r>
                </w:p>
                <w:p w14:paraId="6B548CE5">
                  <w:pPr>
                    <w:jc w:val="left"/>
                    <w:rPr>
                      <w:rFonts w:ascii="宋体" w:hAnsi="宋体" w:cs="宋体"/>
                      <w:color w:val="auto"/>
                      <w:szCs w:val="21"/>
                      <w:highlight w:val="none"/>
                    </w:rPr>
                  </w:pPr>
                  <w:r>
                    <w:rPr>
                      <w:rFonts w:hint="eastAsia" w:ascii="宋体" w:hAnsi="宋体" w:cs="宋体"/>
                      <w:color w:val="auto"/>
                      <w:szCs w:val="21"/>
                      <w:highlight w:val="none"/>
                    </w:rPr>
                    <w:t>5.支持等同或优于80/160MHz的高带宽频段。</w:t>
                  </w:r>
                </w:p>
              </w:tc>
            </w:tr>
            <w:tr w14:paraId="648048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jc w:val="center"/>
              </w:trPr>
              <w:tc>
                <w:tcPr>
                  <w:tcW w:w="659" w:type="dxa"/>
                  <w:shd w:val="clear" w:color="auto" w:fill="auto"/>
                  <w:vAlign w:val="center"/>
                </w:tcPr>
                <w:p w14:paraId="2092CE8E">
                  <w:pPr>
                    <w:jc w:val="center"/>
                    <w:rPr>
                      <w:rFonts w:ascii="宋体" w:hAnsi="宋体" w:cs="宋体"/>
                      <w:color w:val="auto"/>
                      <w:szCs w:val="21"/>
                      <w:highlight w:val="none"/>
                    </w:rPr>
                  </w:pPr>
                  <w:r>
                    <w:rPr>
                      <w:rFonts w:hint="eastAsia" w:ascii="宋体" w:hAnsi="宋体" w:cs="宋体"/>
                      <w:color w:val="auto"/>
                      <w:szCs w:val="21"/>
                      <w:highlight w:val="none"/>
                    </w:rPr>
                    <w:t>6</w:t>
                  </w:r>
                </w:p>
              </w:tc>
              <w:tc>
                <w:tcPr>
                  <w:tcW w:w="1148" w:type="dxa"/>
                  <w:shd w:val="clear" w:color="auto" w:fill="auto"/>
                  <w:vAlign w:val="center"/>
                </w:tcPr>
                <w:p w14:paraId="13B4713F">
                  <w:pPr>
                    <w:jc w:val="center"/>
                    <w:rPr>
                      <w:rFonts w:ascii="宋体" w:hAnsi="宋体" w:cs="宋体"/>
                      <w:color w:val="auto"/>
                      <w:szCs w:val="21"/>
                      <w:highlight w:val="none"/>
                    </w:rPr>
                  </w:pPr>
                  <w:r>
                    <w:rPr>
                      <w:rFonts w:hint="eastAsia" w:ascii="宋体" w:hAnsi="宋体" w:cs="宋体"/>
                      <w:color w:val="auto"/>
                      <w:szCs w:val="21"/>
                      <w:highlight w:val="none"/>
                    </w:rPr>
                    <w:t>充电箱</w:t>
                  </w:r>
                </w:p>
              </w:tc>
              <w:tc>
                <w:tcPr>
                  <w:tcW w:w="961" w:type="dxa"/>
                  <w:shd w:val="clear" w:color="auto" w:fill="auto"/>
                  <w:vAlign w:val="center"/>
                </w:tcPr>
                <w:p w14:paraId="40017048">
                  <w:pPr>
                    <w:jc w:val="center"/>
                    <w:rPr>
                      <w:rFonts w:ascii="宋体" w:hAnsi="宋体" w:cs="宋体"/>
                      <w:color w:val="auto"/>
                      <w:szCs w:val="21"/>
                      <w:highlight w:val="none"/>
                    </w:rPr>
                  </w:pPr>
                  <w:r>
                    <w:rPr>
                      <w:rFonts w:hint="eastAsia" w:ascii="宋体" w:hAnsi="宋体" w:cs="宋体"/>
                      <w:color w:val="auto"/>
                      <w:szCs w:val="21"/>
                      <w:highlight w:val="none"/>
                    </w:rPr>
                    <w:t>3台</w:t>
                  </w:r>
                </w:p>
              </w:tc>
              <w:tc>
                <w:tcPr>
                  <w:tcW w:w="701" w:type="dxa"/>
                  <w:tcBorders>
                    <w:right w:val="single" w:color="auto" w:sz="4" w:space="0"/>
                  </w:tcBorders>
                  <w:shd w:val="clear" w:color="auto" w:fill="auto"/>
                  <w:vAlign w:val="center"/>
                </w:tcPr>
                <w:p w14:paraId="7CB1D5AF">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工业</w:t>
                  </w:r>
                </w:p>
              </w:tc>
              <w:tc>
                <w:tcPr>
                  <w:tcW w:w="6527" w:type="dxa"/>
                  <w:tcBorders>
                    <w:left w:val="single" w:color="auto" w:sz="4" w:space="0"/>
                    <w:right w:val="single" w:color="auto" w:sz="4" w:space="0"/>
                  </w:tcBorders>
                  <w:shd w:val="clear" w:color="auto" w:fill="auto"/>
                </w:tcPr>
                <w:p w14:paraId="55758438">
                  <w:pPr>
                    <w:jc w:val="left"/>
                    <w:rPr>
                      <w:rFonts w:ascii="宋体" w:hAnsi="宋体" w:cs="宋体"/>
                      <w:color w:val="auto"/>
                      <w:szCs w:val="21"/>
                      <w:highlight w:val="none"/>
                    </w:rPr>
                  </w:pPr>
                  <w:r>
                    <w:rPr>
                      <w:rFonts w:hint="eastAsia" w:ascii="宋体" w:hAnsi="宋体" w:cs="宋体"/>
                      <w:color w:val="auto"/>
                      <w:szCs w:val="21"/>
                      <w:highlight w:val="none"/>
                    </w:rPr>
                    <w:t>▲1.充电箱具有≥10个USB接口，支持使用USB线充电，提供5V/9V供电。一端连接充电器一端连接会议单元,支持≥18W快充。支持同时插满所有USB接口。（投标时须提供佐证材料证明满足该功能，佐证材料包含但不限于经国家认可的第三方认证（检测）机构出具的带有CMA或CNAS标志的检测报告复印件或官网截图或彩页或功能截图，除检测报告外，其他佐证材料均需加盖原厂公章。）</w:t>
                  </w:r>
                </w:p>
                <w:p w14:paraId="581B8D27">
                  <w:pPr>
                    <w:jc w:val="left"/>
                    <w:rPr>
                      <w:rFonts w:ascii="宋体" w:hAnsi="宋体" w:cs="宋体"/>
                      <w:color w:val="auto"/>
                      <w:szCs w:val="21"/>
                      <w:highlight w:val="none"/>
                    </w:rPr>
                  </w:pPr>
                  <w:r>
                    <w:rPr>
                      <w:rFonts w:hint="eastAsia" w:ascii="宋体" w:hAnsi="宋体" w:cs="宋体"/>
                      <w:color w:val="auto"/>
                      <w:szCs w:val="21"/>
                      <w:highlight w:val="none"/>
                    </w:rPr>
                    <w:t>2.根据设备的耐受电流大小充电器会自动匹配合适的电流大小给设备充电，同时有过流保护功能。</w:t>
                  </w:r>
                </w:p>
                <w:p w14:paraId="235B9181">
                  <w:pPr>
                    <w:jc w:val="left"/>
                    <w:rPr>
                      <w:rFonts w:ascii="宋体" w:hAnsi="宋体" w:cs="宋体"/>
                      <w:color w:val="auto"/>
                      <w:szCs w:val="21"/>
                      <w:highlight w:val="none"/>
                    </w:rPr>
                  </w:pPr>
                  <w:r>
                    <w:rPr>
                      <w:rFonts w:hint="eastAsia" w:ascii="宋体" w:hAnsi="宋体" w:cs="宋体"/>
                      <w:color w:val="auto"/>
                      <w:szCs w:val="21"/>
                      <w:highlight w:val="none"/>
                    </w:rPr>
                    <w:t>3.智能自动电路保护，所有USB插口均具有短路保护功能和自恢复功能。</w:t>
                  </w:r>
                </w:p>
              </w:tc>
            </w:tr>
            <w:tr w14:paraId="257193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jc w:val="center"/>
              </w:trPr>
              <w:tc>
                <w:tcPr>
                  <w:tcW w:w="659" w:type="dxa"/>
                  <w:shd w:val="clear" w:color="auto" w:fill="auto"/>
                  <w:vAlign w:val="center"/>
                </w:tcPr>
                <w:p w14:paraId="59567E69">
                  <w:pPr>
                    <w:jc w:val="center"/>
                    <w:rPr>
                      <w:rFonts w:ascii="宋体" w:hAnsi="宋体" w:cs="宋体"/>
                      <w:color w:val="auto"/>
                      <w:szCs w:val="21"/>
                      <w:highlight w:val="none"/>
                    </w:rPr>
                  </w:pPr>
                  <w:r>
                    <w:rPr>
                      <w:rFonts w:hint="eastAsia" w:ascii="宋体" w:hAnsi="宋体" w:cs="宋体"/>
                      <w:color w:val="auto"/>
                      <w:szCs w:val="21"/>
                      <w:highlight w:val="none"/>
                    </w:rPr>
                    <w:t>7</w:t>
                  </w:r>
                </w:p>
              </w:tc>
              <w:tc>
                <w:tcPr>
                  <w:tcW w:w="1148" w:type="dxa"/>
                  <w:shd w:val="clear" w:color="auto" w:fill="auto"/>
                  <w:vAlign w:val="center"/>
                </w:tcPr>
                <w:p w14:paraId="790D6A16">
                  <w:pPr>
                    <w:jc w:val="center"/>
                    <w:rPr>
                      <w:rFonts w:ascii="宋体" w:hAnsi="宋体" w:cs="宋体"/>
                      <w:color w:val="auto"/>
                      <w:szCs w:val="21"/>
                      <w:highlight w:val="none"/>
                    </w:rPr>
                  </w:pPr>
                  <w:r>
                    <w:rPr>
                      <w:rFonts w:hint="eastAsia" w:ascii="宋体" w:hAnsi="宋体" w:cs="宋体"/>
                      <w:color w:val="auto"/>
                      <w:szCs w:val="21"/>
                      <w:highlight w:val="none"/>
                    </w:rPr>
                    <w:t>交换机</w:t>
                  </w:r>
                </w:p>
              </w:tc>
              <w:tc>
                <w:tcPr>
                  <w:tcW w:w="961" w:type="dxa"/>
                  <w:shd w:val="clear" w:color="auto" w:fill="auto"/>
                  <w:vAlign w:val="center"/>
                </w:tcPr>
                <w:p w14:paraId="01B20BA0">
                  <w:pPr>
                    <w:jc w:val="center"/>
                    <w:rPr>
                      <w:rFonts w:ascii="宋体" w:hAnsi="宋体" w:cs="宋体"/>
                      <w:color w:val="auto"/>
                      <w:szCs w:val="21"/>
                      <w:highlight w:val="none"/>
                    </w:rPr>
                  </w:pPr>
                  <w:r>
                    <w:rPr>
                      <w:rFonts w:hint="eastAsia" w:ascii="宋体" w:hAnsi="宋体" w:cs="宋体"/>
                      <w:color w:val="auto"/>
                      <w:szCs w:val="21"/>
                      <w:highlight w:val="none"/>
                    </w:rPr>
                    <w:t>1台</w:t>
                  </w:r>
                </w:p>
              </w:tc>
              <w:tc>
                <w:tcPr>
                  <w:tcW w:w="701" w:type="dxa"/>
                  <w:tcBorders>
                    <w:right w:val="single" w:color="auto" w:sz="4" w:space="0"/>
                  </w:tcBorders>
                  <w:shd w:val="clear" w:color="auto" w:fill="auto"/>
                  <w:vAlign w:val="center"/>
                </w:tcPr>
                <w:p w14:paraId="26E7737D">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工业</w:t>
                  </w:r>
                </w:p>
              </w:tc>
              <w:tc>
                <w:tcPr>
                  <w:tcW w:w="6527" w:type="dxa"/>
                  <w:tcBorders>
                    <w:left w:val="single" w:color="auto" w:sz="4" w:space="0"/>
                    <w:right w:val="single" w:color="auto" w:sz="4" w:space="0"/>
                  </w:tcBorders>
                  <w:shd w:val="clear" w:color="auto" w:fill="auto"/>
                </w:tcPr>
                <w:p w14:paraId="01F3580D">
                  <w:pPr>
                    <w:jc w:val="left"/>
                    <w:rPr>
                      <w:rFonts w:ascii="宋体" w:hAnsi="宋体" w:cs="宋体"/>
                      <w:color w:val="auto"/>
                      <w:szCs w:val="21"/>
                      <w:highlight w:val="none"/>
                    </w:rPr>
                  </w:pPr>
                  <w:r>
                    <w:rPr>
                      <w:rFonts w:hint="eastAsia" w:ascii="宋体" w:hAnsi="宋体" w:cs="宋体"/>
                      <w:color w:val="auto"/>
                      <w:szCs w:val="21"/>
                      <w:highlight w:val="none"/>
                    </w:rPr>
                    <w:t>1.POE交换机，非网管交换机</w:t>
                  </w:r>
                </w:p>
                <w:p w14:paraId="75DB7488">
                  <w:pPr>
                    <w:jc w:val="left"/>
                    <w:rPr>
                      <w:rFonts w:ascii="宋体" w:hAnsi="宋体" w:cs="宋体"/>
                      <w:color w:val="auto"/>
                      <w:szCs w:val="21"/>
                      <w:highlight w:val="none"/>
                    </w:rPr>
                  </w:pPr>
                  <w:r>
                    <w:rPr>
                      <w:rFonts w:hint="eastAsia" w:ascii="宋体" w:hAnsi="宋体" w:cs="宋体"/>
                      <w:color w:val="auto"/>
                      <w:szCs w:val="21"/>
                      <w:highlight w:val="none"/>
                    </w:rPr>
                    <w:t>2.背板带宽：≥16Gbps</w:t>
                  </w:r>
                </w:p>
                <w:p w14:paraId="5D1098C6">
                  <w:pPr>
                    <w:jc w:val="left"/>
                    <w:rPr>
                      <w:rFonts w:ascii="宋体" w:hAnsi="宋体" w:cs="宋体"/>
                      <w:color w:val="auto"/>
                      <w:szCs w:val="21"/>
                      <w:highlight w:val="none"/>
                    </w:rPr>
                  </w:pPr>
                  <w:r>
                    <w:rPr>
                      <w:rFonts w:hint="eastAsia" w:ascii="宋体" w:hAnsi="宋体" w:cs="宋体"/>
                      <w:color w:val="auto"/>
                      <w:szCs w:val="21"/>
                      <w:highlight w:val="none"/>
                    </w:rPr>
                    <w:t>3.包转发率：≥11.9Mbps</w:t>
                  </w:r>
                </w:p>
                <w:p w14:paraId="198F8957">
                  <w:pPr>
                    <w:jc w:val="left"/>
                    <w:rPr>
                      <w:rFonts w:ascii="宋体" w:hAnsi="宋体" w:cs="宋体"/>
                      <w:color w:val="auto"/>
                      <w:szCs w:val="21"/>
                      <w:highlight w:val="none"/>
                    </w:rPr>
                  </w:pPr>
                  <w:r>
                    <w:rPr>
                      <w:rFonts w:hint="eastAsia" w:ascii="宋体" w:hAnsi="宋体" w:cs="宋体"/>
                      <w:color w:val="auto"/>
                      <w:szCs w:val="21"/>
                      <w:highlight w:val="none"/>
                    </w:rPr>
                    <w:t>4.端口：≥8个10/100/1000M自适应以太网端口</w:t>
                  </w:r>
                </w:p>
                <w:p w14:paraId="3747E28C">
                  <w:pPr>
                    <w:jc w:val="left"/>
                    <w:rPr>
                      <w:rFonts w:ascii="宋体" w:hAnsi="宋体" w:cs="宋体"/>
                      <w:color w:val="auto"/>
                      <w:szCs w:val="21"/>
                      <w:highlight w:val="none"/>
                    </w:rPr>
                  </w:pPr>
                  <w:r>
                    <w:rPr>
                      <w:rFonts w:hint="eastAsia" w:ascii="宋体" w:hAnsi="宋体" w:cs="宋体"/>
                      <w:color w:val="auto"/>
                      <w:szCs w:val="21"/>
                      <w:highlight w:val="none"/>
                    </w:rPr>
                    <w:t>5.电源功率：功耗≤73W,POE供电60W，单端口最大30W</w:t>
                  </w:r>
                </w:p>
              </w:tc>
            </w:tr>
          </w:tbl>
          <w:p w14:paraId="20BA260A">
            <w:pPr>
              <w:jc w:val="left"/>
              <w:rPr>
                <w:rFonts w:ascii="宋体" w:hAnsi="宋体" w:cs="宋体"/>
                <w:b/>
                <w:bCs/>
                <w:color w:val="auto"/>
                <w:szCs w:val="21"/>
                <w:highlight w:val="none"/>
              </w:rPr>
            </w:pPr>
          </w:p>
        </w:tc>
      </w:tr>
      <w:tr w14:paraId="697E17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jc w:val="center"/>
        </w:trPr>
        <w:tc>
          <w:tcPr>
            <w:tcW w:w="9996" w:type="dxa"/>
            <w:gridSpan w:val="5"/>
            <w:tcBorders>
              <w:right w:val="single" w:color="auto" w:sz="4" w:space="0"/>
            </w:tcBorders>
            <w:shd w:val="clear" w:color="auto" w:fill="auto"/>
            <w:vAlign w:val="center"/>
          </w:tcPr>
          <w:p w14:paraId="2321389A">
            <w:pPr>
              <w:jc w:val="left"/>
              <w:rPr>
                <w:rFonts w:ascii="宋体" w:hAnsi="宋体" w:cs="宋体"/>
                <w:b/>
                <w:bCs/>
                <w:color w:val="auto"/>
                <w:szCs w:val="21"/>
                <w:highlight w:val="none"/>
              </w:rPr>
            </w:pPr>
            <w:r>
              <w:rPr>
                <w:rFonts w:hint="eastAsia" w:ascii="宋体" w:hAnsi="宋体" w:cs="宋体"/>
                <w:b/>
                <w:bCs/>
                <w:color w:val="auto"/>
                <w:szCs w:val="21"/>
                <w:highlight w:val="none"/>
              </w:rPr>
              <w:t>（五）机房核心设备</w:t>
            </w:r>
          </w:p>
        </w:tc>
      </w:tr>
      <w:tr w14:paraId="36F3C8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jc w:val="center"/>
        </w:trPr>
        <w:tc>
          <w:tcPr>
            <w:tcW w:w="9996" w:type="dxa"/>
            <w:gridSpan w:val="5"/>
            <w:tcBorders>
              <w:right w:val="single" w:color="auto" w:sz="4" w:space="0"/>
            </w:tcBorders>
            <w:shd w:val="clear" w:color="auto" w:fill="auto"/>
            <w:vAlign w:val="center"/>
          </w:tcPr>
          <w:p w14:paraId="7F82D7DE">
            <w:pPr>
              <w:jc w:val="left"/>
              <w:rPr>
                <w:rFonts w:ascii="宋体" w:hAnsi="宋体" w:cs="宋体"/>
                <w:b/>
                <w:bCs/>
                <w:color w:val="auto"/>
                <w:szCs w:val="21"/>
                <w:highlight w:val="none"/>
              </w:rPr>
            </w:pPr>
            <w:r>
              <w:rPr>
                <w:rFonts w:hint="eastAsia" w:ascii="宋体" w:hAnsi="宋体" w:cs="宋体"/>
                <w:b/>
                <w:bCs/>
                <w:color w:val="auto"/>
                <w:szCs w:val="21"/>
                <w:highlight w:val="none"/>
              </w:rPr>
              <w:t>1.分布式数据存储器</w:t>
            </w:r>
          </w:p>
        </w:tc>
      </w:tr>
      <w:tr w14:paraId="76ECB0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jc w:val="center"/>
        </w:trPr>
        <w:tc>
          <w:tcPr>
            <w:tcW w:w="659" w:type="dxa"/>
            <w:shd w:val="clear" w:color="auto" w:fill="auto"/>
            <w:vAlign w:val="center"/>
          </w:tcPr>
          <w:p w14:paraId="3D8EF292">
            <w:pPr>
              <w:jc w:val="center"/>
              <w:rPr>
                <w:rFonts w:ascii="宋体" w:hAnsi="宋体" w:cs="宋体"/>
                <w:color w:val="auto"/>
                <w:szCs w:val="21"/>
                <w:highlight w:val="none"/>
              </w:rPr>
            </w:pPr>
            <w:r>
              <w:rPr>
                <w:rFonts w:hint="eastAsia" w:ascii="宋体" w:hAnsi="宋体" w:cs="宋体"/>
                <w:color w:val="auto"/>
                <w:szCs w:val="21"/>
                <w:highlight w:val="none"/>
              </w:rPr>
              <w:t>1.1</w:t>
            </w:r>
          </w:p>
        </w:tc>
        <w:tc>
          <w:tcPr>
            <w:tcW w:w="1148" w:type="dxa"/>
            <w:shd w:val="clear" w:color="auto" w:fill="auto"/>
            <w:vAlign w:val="center"/>
          </w:tcPr>
          <w:p w14:paraId="045041B0">
            <w:pPr>
              <w:jc w:val="center"/>
              <w:rPr>
                <w:rFonts w:ascii="宋体" w:hAnsi="宋体" w:cs="宋体"/>
                <w:color w:val="auto"/>
                <w:szCs w:val="21"/>
                <w:highlight w:val="none"/>
              </w:rPr>
            </w:pPr>
            <w:r>
              <w:rPr>
                <w:rFonts w:hint="eastAsia" w:ascii="宋体" w:hAnsi="宋体" w:cs="宋体"/>
                <w:color w:val="auto"/>
                <w:szCs w:val="21"/>
                <w:highlight w:val="none"/>
              </w:rPr>
              <w:t>AI智慧分布式管理主机</w:t>
            </w:r>
          </w:p>
        </w:tc>
        <w:tc>
          <w:tcPr>
            <w:tcW w:w="961" w:type="dxa"/>
            <w:shd w:val="clear" w:color="auto" w:fill="auto"/>
            <w:vAlign w:val="center"/>
          </w:tcPr>
          <w:p w14:paraId="78D86144">
            <w:pPr>
              <w:jc w:val="center"/>
              <w:rPr>
                <w:rFonts w:ascii="宋体" w:hAnsi="宋体" w:cs="宋体"/>
                <w:color w:val="auto"/>
                <w:szCs w:val="21"/>
                <w:highlight w:val="none"/>
              </w:rPr>
            </w:pPr>
            <w:r>
              <w:rPr>
                <w:rFonts w:hint="eastAsia" w:ascii="宋体" w:hAnsi="宋体" w:cs="宋体"/>
                <w:color w:val="auto"/>
                <w:szCs w:val="21"/>
                <w:highlight w:val="none"/>
              </w:rPr>
              <w:t>2台</w:t>
            </w:r>
          </w:p>
        </w:tc>
        <w:tc>
          <w:tcPr>
            <w:tcW w:w="701" w:type="dxa"/>
            <w:tcBorders>
              <w:right w:val="single" w:color="auto" w:sz="4" w:space="0"/>
            </w:tcBorders>
            <w:shd w:val="clear" w:color="auto" w:fill="auto"/>
            <w:vAlign w:val="center"/>
          </w:tcPr>
          <w:p w14:paraId="4E0D88C8">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工业</w:t>
            </w:r>
          </w:p>
        </w:tc>
        <w:tc>
          <w:tcPr>
            <w:tcW w:w="6527" w:type="dxa"/>
            <w:tcBorders>
              <w:left w:val="single" w:color="auto" w:sz="4" w:space="0"/>
              <w:right w:val="single" w:color="auto" w:sz="4" w:space="0"/>
            </w:tcBorders>
            <w:shd w:val="clear" w:color="auto" w:fill="auto"/>
          </w:tcPr>
          <w:p w14:paraId="79DDF67C">
            <w:pPr>
              <w:jc w:val="left"/>
              <w:rPr>
                <w:rFonts w:ascii="宋体" w:hAnsi="宋体" w:cs="宋体"/>
                <w:color w:val="auto"/>
                <w:szCs w:val="21"/>
                <w:highlight w:val="none"/>
              </w:rPr>
            </w:pPr>
            <w:r>
              <w:rPr>
                <w:rFonts w:hint="eastAsia" w:ascii="宋体" w:hAnsi="宋体" w:cs="宋体"/>
                <w:color w:val="auto"/>
                <w:szCs w:val="21"/>
                <w:highlight w:val="none"/>
              </w:rPr>
              <w:t>1.主机采用机架式设计，运行嵌入式Linux系统，内嵌主机软件及web管理系统，采用B/S架构，通过浏览器即可管理整个分布式系统。</w:t>
            </w:r>
          </w:p>
          <w:p w14:paraId="175C407F">
            <w:pPr>
              <w:jc w:val="left"/>
              <w:rPr>
                <w:rFonts w:ascii="宋体" w:hAnsi="宋体" w:cs="宋体"/>
                <w:color w:val="auto"/>
                <w:szCs w:val="21"/>
                <w:highlight w:val="none"/>
              </w:rPr>
            </w:pPr>
            <w:r>
              <w:rPr>
                <w:rFonts w:hint="eastAsia" w:ascii="宋体" w:hAnsi="宋体" w:cs="宋体"/>
                <w:color w:val="auto"/>
                <w:szCs w:val="21"/>
                <w:highlight w:val="none"/>
              </w:rPr>
              <w:t>2.系统基于分布式架构，可对拼接系统进行管理、控制、数据交互等。</w:t>
            </w:r>
          </w:p>
          <w:p w14:paraId="4BB169FD">
            <w:pPr>
              <w:jc w:val="left"/>
              <w:rPr>
                <w:rFonts w:ascii="宋体" w:hAnsi="宋体" w:cs="宋体"/>
                <w:color w:val="auto"/>
                <w:szCs w:val="21"/>
                <w:highlight w:val="none"/>
              </w:rPr>
            </w:pPr>
            <w:r>
              <w:rPr>
                <w:rFonts w:hint="eastAsia" w:ascii="宋体" w:hAnsi="宋体" w:cs="宋体"/>
                <w:color w:val="auto"/>
                <w:szCs w:val="21"/>
                <w:highlight w:val="none"/>
              </w:rPr>
              <w:t>3.主机CPU配置≥6核，内存配置≥8G ，存储空间≥1TB，具备≥8个硬盘位。</w:t>
            </w:r>
          </w:p>
          <w:p w14:paraId="25565729">
            <w:pPr>
              <w:jc w:val="left"/>
              <w:rPr>
                <w:rFonts w:ascii="宋体" w:hAnsi="宋体" w:cs="宋体"/>
                <w:color w:val="auto"/>
                <w:szCs w:val="21"/>
                <w:highlight w:val="none"/>
              </w:rPr>
            </w:pPr>
            <w:r>
              <w:rPr>
                <w:rFonts w:hint="eastAsia" w:ascii="宋体" w:hAnsi="宋体" w:cs="宋体"/>
                <w:color w:val="auto"/>
                <w:szCs w:val="21"/>
                <w:highlight w:val="none"/>
              </w:rPr>
              <w:t>4.支持双机热备份，当主机宕机后，马上切换至备用机进行工作，完成主备切换后，备用机代替主机进行工作。</w:t>
            </w:r>
          </w:p>
          <w:p w14:paraId="3359AE6C">
            <w:pPr>
              <w:jc w:val="left"/>
              <w:rPr>
                <w:rFonts w:ascii="宋体" w:hAnsi="宋体" w:cs="宋体"/>
                <w:color w:val="auto"/>
                <w:szCs w:val="21"/>
                <w:highlight w:val="none"/>
              </w:rPr>
            </w:pPr>
            <w:r>
              <w:rPr>
                <w:rFonts w:hint="eastAsia" w:ascii="宋体" w:hAnsi="宋体" w:cs="宋体"/>
                <w:color w:val="auto"/>
                <w:szCs w:val="21"/>
                <w:highlight w:val="none"/>
              </w:rPr>
              <w:t>▲5.支持≥1路VGA视频接口输出，具备≥2个RJ45网口，前置≥2个USB、后置≥4个USB接口。（投标时须提供佐证材料证明满足该功能，佐证材料包含但不限于经国家认可的第三方认证（检测）机构出具的带有CMA或CNAS标志的检测报告复印件或官网截图或彩页或功能截图，除检测报告外，其他佐证材料均需加盖原厂公章。）</w:t>
            </w:r>
          </w:p>
          <w:p w14:paraId="06432D31">
            <w:pPr>
              <w:jc w:val="left"/>
              <w:rPr>
                <w:rFonts w:ascii="宋体" w:hAnsi="宋体" w:cs="宋体"/>
                <w:color w:val="auto"/>
                <w:szCs w:val="21"/>
                <w:highlight w:val="none"/>
              </w:rPr>
            </w:pPr>
            <w:r>
              <w:rPr>
                <w:rFonts w:hint="eastAsia" w:ascii="宋体" w:hAnsi="宋体" w:cs="宋体"/>
                <w:color w:val="auto"/>
                <w:szCs w:val="21"/>
                <w:highlight w:val="none"/>
              </w:rPr>
              <w:t>6.支持硬件监测：故障/错误/过载和报警(包括磁盘/ RAID /电力/风机/温度/ IO 性能)</w:t>
            </w:r>
          </w:p>
        </w:tc>
      </w:tr>
      <w:tr w14:paraId="0794D8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jc w:val="center"/>
        </w:trPr>
        <w:tc>
          <w:tcPr>
            <w:tcW w:w="659" w:type="dxa"/>
            <w:shd w:val="clear" w:color="auto" w:fill="auto"/>
            <w:vAlign w:val="center"/>
          </w:tcPr>
          <w:p w14:paraId="543766A0">
            <w:pPr>
              <w:jc w:val="center"/>
              <w:rPr>
                <w:rFonts w:ascii="宋体" w:hAnsi="宋体" w:cs="宋体"/>
                <w:color w:val="auto"/>
                <w:szCs w:val="21"/>
                <w:highlight w:val="none"/>
              </w:rPr>
            </w:pPr>
            <w:r>
              <w:rPr>
                <w:rFonts w:hint="eastAsia" w:ascii="宋体" w:hAnsi="宋体" w:cs="宋体"/>
                <w:color w:val="auto"/>
                <w:szCs w:val="21"/>
                <w:highlight w:val="none"/>
              </w:rPr>
              <w:t>1.2</w:t>
            </w:r>
          </w:p>
        </w:tc>
        <w:tc>
          <w:tcPr>
            <w:tcW w:w="1148" w:type="dxa"/>
            <w:shd w:val="clear" w:color="auto" w:fill="auto"/>
            <w:vAlign w:val="center"/>
          </w:tcPr>
          <w:p w14:paraId="0227605B">
            <w:pPr>
              <w:jc w:val="center"/>
              <w:rPr>
                <w:rFonts w:ascii="宋体" w:hAnsi="宋体" w:cs="宋体"/>
                <w:color w:val="auto"/>
                <w:szCs w:val="21"/>
                <w:highlight w:val="none"/>
              </w:rPr>
            </w:pPr>
            <w:r>
              <w:rPr>
                <w:rFonts w:hint="eastAsia" w:ascii="宋体" w:hAnsi="宋体" w:cs="宋体"/>
                <w:color w:val="auto"/>
                <w:szCs w:val="21"/>
                <w:highlight w:val="none"/>
              </w:rPr>
              <w:t>基于国密SM2/SM3/SM4 加密算法的分布式综合管理系统</w:t>
            </w:r>
          </w:p>
        </w:tc>
        <w:tc>
          <w:tcPr>
            <w:tcW w:w="961" w:type="dxa"/>
            <w:shd w:val="clear" w:color="auto" w:fill="auto"/>
            <w:vAlign w:val="center"/>
          </w:tcPr>
          <w:p w14:paraId="24649D77">
            <w:pPr>
              <w:jc w:val="center"/>
              <w:rPr>
                <w:rFonts w:ascii="宋体" w:hAnsi="宋体" w:cs="宋体"/>
                <w:color w:val="auto"/>
                <w:szCs w:val="21"/>
                <w:highlight w:val="none"/>
              </w:rPr>
            </w:pPr>
            <w:r>
              <w:rPr>
                <w:rFonts w:hint="eastAsia" w:ascii="宋体" w:hAnsi="宋体" w:cs="宋体"/>
                <w:color w:val="auto"/>
                <w:szCs w:val="21"/>
                <w:highlight w:val="none"/>
              </w:rPr>
              <w:t>2套</w:t>
            </w:r>
          </w:p>
        </w:tc>
        <w:tc>
          <w:tcPr>
            <w:tcW w:w="701" w:type="dxa"/>
            <w:tcBorders>
              <w:right w:val="single" w:color="auto" w:sz="4" w:space="0"/>
            </w:tcBorders>
            <w:shd w:val="clear" w:color="auto" w:fill="auto"/>
            <w:vAlign w:val="center"/>
          </w:tcPr>
          <w:p w14:paraId="0EFDFE7C">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w:t>
            </w:r>
          </w:p>
        </w:tc>
        <w:tc>
          <w:tcPr>
            <w:tcW w:w="6527" w:type="dxa"/>
            <w:tcBorders>
              <w:left w:val="single" w:color="auto" w:sz="4" w:space="0"/>
              <w:right w:val="single" w:color="auto" w:sz="4" w:space="0"/>
            </w:tcBorders>
            <w:shd w:val="clear" w:color="auto" w:fill="auto"/>
            <w:vAlign w:val="center"/>
          </w:tcPr>
          <w:p w14:paraId="5E7240BA">
            <w:pPr>
              <w:rPr>
                <w:rFonts w:ascii="宋体" w:hAnsi="宋体" w:cs="宋体"/>
                <w:color w:val="auto"/>
                <w:szCs w:val="21"/>
                <w:highlight w:val="none"/>
              </w:rPr>
            </w:pPr>
            <w:r>
              <w:rPr>
                <w:rFonts w:hint="eastAsia" w:ascii="宋体" w:hAnsi="宋体" w:cs="宋体"/>
                <w:color w:val="auto"/>
                <w:szCs w:val="21"/>
                <w:highlight w:val="none"/>
              </w:rPr>
              <w:t>1.软件内嵌于分布式系统主机设备，实现对数据文件进行加密处理；</w:t>
            </w:r>
          </w:p>
          <w:p w14:paraId="7E37A3FA">
            <w:pPr>
              <w:rPr>
                <w:rFonts w:ascii="宋体" w:hAnsi="宋体" w:cs="宋体"/>
                <w:color w:val="auto"/>
                <w:szCs w:val="21"/>
                <w:highlight w:val="none"/>
              </w:rPr>
            </w:pPr>
            <w:r>
              <w:rPr>
                <w:rFonts w:hint="eastAsia" w:ascii="宋体" w:hAnsi="宋体" w:cs="宋体"/>
                <w:color w:val="auto"/>
                <w:szCs w:val="21"/>
                <w:highlight w:val="none"/>
              </w:rPr>
              <w:t>2.支持国密SM2/ SM3/ SM4 加密算法，并在传输过程中保持加密状态；</w:t>
            </w:r>
          </w:p>
        </w:tc>
      </w:tr>
      <w:tr w14:paraId="7605CC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jc w:val="center"/>
        </w:trPr>
        <w:tc>
          <w:tcPr>
            <w:tcW w:w="659" w:type="dxa"/>
            <w:shd w:val="clear" w:color="auto" w:fill="auto"/>
            <w:vAlign w:val="center"/>
          </w:tcPr>
          <w:p w14:paraId="74DE0F56">
            <w:pPr>
              <w:jc w:val="center"/>
              <w:rPr>
                <w:rFonts w:ascii="宋体" w:hAnsi="宋体" w:cs="宋体"/>
                <w:color w:val="auto"/>
                <w:szCs w:val="21"/>
                <w:highlight w:val="none"/>
              </w:rPr>
            </w:pPr>
            <w:r>
              <w:rPr>
                <w:rFonts w:hint="eastAsia" w:ascii="宋体" w:hAnsi="宋体" w:cs="宋体"/>
                <w:color w:val="auto"/>
                <w:szCs w:val="21"/>
                <w:highlight w:val="none"/>
              </w:rPr>
              <w:t>1.3</w:t>
            </w:r>
          </w:p>
        </w:tc>
        <w:tc>
          <w:tcPr>
            <w:tcW w:w="1148" w:type="dxa"/>
            <w:shd w:val="clear" w:color="auto" w:fill="auto"/>
            <w:vAlign w:val="center"/>
          </w:tcPr>
          <w:p w14:paraId="070A8055">
            <w:pPr>
              <w:jc w:val="center"/>
              <w:rPr>
                <w:rFonts w:ascii="宋体" w:hAnsi="宋体" w:cs="宋体"/>
                <w:color w:val="auto"/>
                <w:szCs w:val="21"/>
                <w:highlight w:val="none"/>
              </w:rPr>
            </w:pPr>
            <w:r>
              <w:rPr>
                <w:rFonts w:hint="eastAsia" w:ascii="宋体" w:hAnsi="宋体" w:cs="宋体"/>
                <w:color w:val="auto"/>
                <w:szCs w:val="21"/>
                <w:highlight w:val="none"/>
              </w:rPr>
              <w:t>分布式综合管理主机软件</w:t>
            </w:r>
          </w:p>
        </w:tc>
        <w:tc>
          <w:tcPr>
            <w:tcW w:w="961" w:type="dxa"/>
            <w:shd w:val="clear" w:color="auto" w:fill="auto"/>
            <w:vAlign w:val="center"/>
          </w:tcPr>
          <w:p w14:paraId="4F44AC42">
            <w:pPr>
              <w:jc w:val="center"/>
              <w:rPr>
                <w:rFonts w:ascii="宋体" w:hAnsi="宋体" w:cs="宋体"/>
                <w:color w:val="auto"/>
                <w:szCs w:val="21"/>
                <w:highlight w:val="none"/>
              </w:rPr>
            </w:pPr>
            <w:r>
              <w:rPr>
                <w:rFonts w:hint="eastAsia" w:ascii="宋体" w:hAnsi="宋体" w:cs="宋体"/>
                <w:color w:val="auto"/>
                <w:szCs w:val="21"/>
                <w:highlight w:val="none"/>
              </w:rPr>
              <w:t>2套</w:t>
            </w:r>
          </w:p>
        </w:tc>
        <w:tc>
          <w:tcPr>
            <w:tcW w:w="701" w:type="dxa"/>
            <w:tcBorders>
              <w:right w:val="single" w:color="auto" w:sz="4" w:space="0"/>
            </w:tcBorders>
            <w:shd w:val="clear" w:color="auto" w:fill="auto"/>
            <w:vAlign w:val="center"/>
          </w:tcPr>
          <w:p w14:paraId="51A181DA">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w:t>
            </w:r>
          </w:p>
        </w:tc>
        <w:tc>
          <w:tcPr>
            <w:tcW w:w="6527" w:type="dxa"/>
            <w:tcBorders>
              <w:left w:val="single" w:color="auto" w:sz="4" w:space="0"/>
              <w:right w:val="single" w:color="auto" w:sz="4" w:space="0"/>
            </w:tcBorders>
            <w:shd w:val="clear" w:color="auto" w:fill="auto"/>
          </w:tcPr>
          <w:p w14:paraId="62C84557">
            <w:pPr>
              <w:jc w:val="left"/>
              <w:rPr>
                <w:rFonts w:ascii="宋体" w:hAnsi="宋体" w:cs="宋体"/>
                <w:color w:val="auto"/>
                <w:szCs w:val="21"/>
                <w:highlight w:val="none"/>
              </w:rPr>
            </w:pPr>
            <w:r>
              <w:rPr>
                <w:rFonts w:hint="eastAsia" w:ascii="宋体" w:hAnsi="宋体" w:cs="宋体"/>
                <w:color w:val="auto"/>
                <w:szCs w:val="21"/>
                <w:highlight w:val="none"/>
              </w:rPr>
              <w:t>1.系统采用B/S和C/S管理控制架构，支持网页web访问系统后台管理，支持通过web浏览器对输入盒（采集盒）、输出盒（拼接盒）的管理及状态实时监测。可扩展支持使用ipad平板软件、安卓平板软件、Windows电脑客户端对分布式系统进行可视化管理、信号切换、画面叠加、画中画、画面拼接、画面漫游、画面放大/缩小、画面移动/关闭等操作，支持对显示控制区域实时监控；支持多用户多平台同步操作，支持不同平台操作界面实时同步。</w:t>
            </w:r>
          </w:p>
          <w:p w14:paraId="67621E77">
            <w:pPr>
              <w:jc w:val="left"/>
              <w:rPr>
                <w:rFonts w:ascii="宋体" w:hAnsi="宋体" w:cs="宋体"/>
                <w:color w:val="auto"/>
                <w:szCs w:val="21"/>
                <w:highlight w:val="none"/>
              </w:rPr>
            </w:pPr>
            <w:r>
              <w:rPr>
                <w:rFonts w:hint="eastAsia" w:ascii="宋体" w:hAnsi="宋体" w:cs="宋体"/>
                <w:color w:val="auto"/>
                <w:szCs w:val="21"/>
                <w:highlight w:val="none"/>
              </w:rPr>
              <w:t>2.支持三种开窗模式，包括固化模式、自由模式、两点模式。</w:t>
            </w:r>
          </w:p>
          <w:p w14:paraId="3689DBD8">
            <w:pPr>
              <w:jc w:val="left"/>
              <w:rPr>
                <w:rFonts w:ascii="宋体" w:hAnsi="宋体" w:cs="宋体"/>
                <w:color w:val="auto"/>
                <w:szCs w:val="21"/>
                <w:highlight w:val="none"/>
              </w:rPr>
            </w:pPr>
            <w:r>
              <w:rPr>
                <w:rFonts w:hint="eastAsia" w:ascii="宋体" w:hAnsi="宋体" w:cs="宋体"/>
                <w:color w:val="auto"/>
                <w:szCs w:val="21"/>
                <w:highlight w:val="none"/>
              </w:rPr>
              <w:t>3.支持中控功能，支持自定义添加受控设备，可实现可编辑中控，支持RS-232、RS-422、RS-485、IR、I/O、TCP、UDP、REALY、场景等控制方式；支持多种控件选择，可随意配置中控界面。可控制高清矩阵信号切换、电源设备开关、摄像头的转动方向放大缩小及预置位调用、音频音量、灯光/空调开关等中控功能。</w:t>
            </w:r>
          </w:p>
          <w:p w14:paraId="0E8F9160">
            <w:pPr>
              <w:jc w:val="left"/>
              <w:rPr>
                <w:rFonts w:ascii="宋体" w:hAnsi="宋体" w:cs="宋体"/>
                <w:color w:val="auto"/>
                <w:szCs w:val="21"/>
                <w:highlight w:val="none"/>
              </w:rPr>
            </w:pPr>
            <w:r>
              <w:rPr>
                <w:rFonts w:hint="eastAsia" w:ascii="宋体" w:hAnsi="宋体" w:cs="宋体"/>
                <w:color w:val="auto"/>
                <w:szCs w:val="21"/>
                <w:highlight w:val="none"/>
              </w:rPr>
              <w:t>4.支持调节拼墙的亮度值、对比度值、色调值和饱和度值，范围均为0-100。</w:t>
            </w:r>
          </w:p>
          <w:p w14:paraId="02F4FA3F">
            <w:pPr>
              <w:jc w:val="left"/>
              <w:rPr>
                <w:rFonts w:ascii="宋体" w:hAnsi="宋体" w:cs="宋体"/>
                <w:color w:val="auto"/>
                <w:szCs w:val="21"/>
                <w:highlight w:val="none"/>
              </w:rPr>
            </w:pPr>
            <w:r>
              <w:rPr>
                <w:rFonts w:hint="eastAsia" w:ascii="宋体" w:hAnsi="宋体" w:cs="宋体"/>
                <w:color w:val="auto"/>
                <w:szCs w:val="21"/>
                <w:highlight w:val="none"/>
              </w:rPr>
              <w:t>5.支持场景轮询功能，选择参与轮询的场景，设置轮询间隔为“禁用”、“30S”、“60S”、“90S”或者“180S”；支持场景锁屏功能。</w:t>
            </w:r>
          </w:p>
          <w:p w14:paraId="199AA59B">
            <w:pPr>
              <w:jc w:val="left"/>
              <w:rPr>
                <w:rFonts w:ascii="宋体" w:hAnsi="宋体" w:cs="宋体"/>
                <w:color w:val="auto"/>
                <w:szCs w:val="21"/>
                <w:highlight w:val="none"/>
              </w:rPr>
            </w:pPr>
            <w:r>
              <w:rPr>
                <w:rFonts w:hint="eastAsia" w:ascii="宋体" w:hAnsi="宋体" w:cs="宋体"/>
                <w:color w:val="auto"/>
                <w:szCs w:val="21"/>
                <w:highlight w:val="none"/>
              </w:rPr>
              <w:t>6.支持实现输入盒（采集盒）、输出盒（拼接盒）自动备份配置，断电重启后可自动恢复配置，无需担心数据损失。</w:t>
            </w:r>
          </w:p>
          <w:p w14:paraId="047095BF">
            <w:pPr>
              <w:jc w:val="left"/>
              <w:rPr>
                <w:rFonts w:ascii="宋体" w:hAnsi="宋体" w:cs="宋体"/>
                <w:color w:val="auto"/>
                <w:szCs w:val="21"/>
                <w:highlight w:val="none"/>
              </w:rPr>
            </w:pPr>
            <w:r>
              <w:rPr>
                <w:rFonts w:hint="eastAsia" w:ascii="宋体" w:hAnsi="宋体" w:cs="宋体"/>
                <w:color w:val="auto"/>
                <w:szCs w:val="21"/>
                <w:highlight w:val="none"/>
              </w:rPr>
              <w:t>7.支持web端可视化预览，实时回显信号源画面及拼墙画面，可对单个输入盒进行web端KVM管控。支持添加拼墙字幕，可设置字幕的坐标、字体大小、字体颜色、背景颜色、透明度、字体间距、滚动速度、字体类型、排列方式、是否居中等，支持字幕在web端实时回显功能，可拖动字幕手动调整位置。</w:t>
            </w:r>
          </w:p>
          <w:p w14:paraId="564B77C2">
            <w:pPr>
              <w:jc w:val="left"/>
              <w:rPr>
                <w:rFonts w:ascii="宋体" w:hAnsi="宋体" w:cs="宋体"/>
                <w:color w:val="auto"/>
                <w:szCs w:val="21"/>
                <w:highlight w:val="none"/>
              </w:rPr>
            </w:pPr>
            <w:r>
              <w:rPr>
                <w:rFonts w:hint="eastAsia" w:ascii="宋体" w:hAnsi="宋体" w:cs="宋体"/>
                <w:color w:val="auto"/>
                <w:szCs w:val="21"/>
                <w:highlight w:val="none"/>
              </w:rPr>
              <w:t>8.支持自定义显示屏镜像功能，可实现副屏画面跟随主屏画面功能，适用于监视、主副屏同步等应用场景。</w:t>
            </w:r>
          </w:p>
          <w:p w14:paraId="27B30D9E">
            <w:pPr>
              <w:jc w:val="left"/>
              <w:rPr>
                <w:rFonts w:ascii="宋体" w:hAnsi="宋体" w:cs="宋体"/>
                <w:color w:val="auto"/>
                <w:szCs w:val="21"/>
                <w:highlight w:val="none"/>
              </w:rPr>
            </w:pPr>
            <w:r>
              <w:rPr>
                <w:rFonts w:hint="eastAsia" w:ascii="宋体" w:hAnsi="宋体" w:cs="宋体"/>
                <w:color w:val="auto"/>
                <w:szCs w:val="21"/>
                <w:highlight w:val="none"/>
              </w:rPr>
              <w:t>▲9.支持对输入盒采集的音视频信号进行录制存储，可设置单个视频的录制文件大小为512MB、1GB、2GB或3GB，设置保存天数为3天、7天、15天、30天或永久，可同时录制≥8路信号；可批量删除或者批量下载已录制完成的文件。（投标时须提供经国家认可的第三方认证（检测）机构出具的带有CMA或CNAS标志的检测报告复印件。）</w:t>
            </w:r>
          </w:p>
          <w:p w14:paraId="4A7F1AB5">
            <w:pPr>
              <w:jc w:val="left"/>
              <w:rPr>
                <w:rFonts w:ascii="宋体" w:hAnsi="宋体" w:cs="宋体"/>
                <w:color w:val="auto"/>
                <w:szCs w:val="21"/>
                <w:highlight w:val="none"/>
              </w:rPr>
            </w:pPr>
            <w:r>
              <w:rPr>
                <w:rFonts w:hint="eastAsia" w:ascii="宋体" w:hAnsi="宋体" w:cs="宋体"/>
                <w:color w:val="auto"/>
                <w:szCs w:val="21"/>
                <w:highlight w:val="none"/>
              </w:rPr>
              <w:t>10.支持系统服务器双机热备功能，当主服务器出现断网/断电等异常情况不能工作时，系统会自动无缝切换音频、视频、KVM功能业务到备服务器上进行。</w:t>
            </w:r>
          </w:p>
          <w:p w14:paraId="4F78C07A">
            <w:pPr>
              <w:jc w:val="left"/>
              <w:rPr>
                <w:rFonts w:ascii="宋体" w:hAnsi="宋体" w:cs="宋体"/>
                <w:color w:val="auto"/>
                <w:szCs w:val="21"/>
                <w:highlight w:val="none"/>
              </w:rPr>
            </w:pPr>
            <w:r>
              <w:rPr>
                <w:rFonts w:hint="eastAsia" w:ascii="宋体" w:hAnsi="宋体" w:cs="宋体"/>
                <w:color w:val="auto"/>
                <w:szCs w:val="21"/>
                <w:highlight w:val="none"/>
              </w:rPr>
              <w:t>11.支持系统数据备份恢复，备份的数据包括系统的配置、当前拼接模式、拼接场景等所有配置信息；支持手动下载到本地，当进行数据恢复时，只需要上传导入需要恢复的数据即可。</w:t>
            </w:r>
          </w:p>
          <w:p w14:paraId="1E028F65">
            <w:pPr>
              <w:jc w:val="left"/>
              <w:rPr>
                <w:rFonts w:ascii="宋体" w:hAnsi="宋体" w:cs="宋体"/>
                <w:color w:val="auto"/>
                <w:szCs w:val="21"/>
                <w:highlight w:val="none"/>
              </w:rPr>
            </w:pPr>
            <w:r>
              <w:rPr>
                <w:rFonts w:hint="eastAsia" w:ascii="宋体" w:hAnsi="宋体" w:cs="宋体"/>
                <w:color w:val="auto"/>
                <w:szCs w:val="21"/>
                <w:highlight w:val="none"/>
              </w:rPr>
              <w:t>▲12.支持≥36路视频或图片点播，可将点播生成的视频信号开窗到拼墙上实时显示。支持mp4、jpg、png、bmp、tif、tga常用格式文件上传进行点播，支持纯音频文件点播。（投标时须提供经国家认可的第三方认证（检测）机构出具的带有CMA或CNAS标志的检测报告复印件。）</w:t>
            </w:r>
          </w:p>
          <w:p w14:paraId="61C51623">
            <w:pPr>
              <w:jc w:val="left"/>
              <w:rPr>
                <w:rFonts w:ascii="宋体" w:hAnsi="宋体" w:cs="宋体"/>
                <w:color w:val="auto"/>
                <w:szCs w:val="21"/>
                <w:highlight w:val="none"/>
              </w:rPr>
            </w:pPr>
            <w:r>
              <w:rPr>
                <w:rFonts w:hint="eastAsia" w:ascii="宋体" w:hAnsi="宋体" w:cs="宋体"/>
                <w:color w:val="auto"/>
                <w:szCs w:val="21"/>
                <w:highlight w:val="none"/>
              </w:rPr>
              <w:t>13.支持服务器跨域级联，不局限于局域网内，可部署于互联网环境。服务器级联后，上级服务器可调取下级服务器的任意信号源进行开窗显示。同时，上级服务器也支持共享指定信号源给下级服务器进行开窗显示。</w:t>
            </w:r>
          </w:p>
          <w:p w14:paraId="65BF4C37">
            <w:pPr>
              <w:jc w:val="left"/>
              <w:rPr>
                <w:rFonts w:ascii="宋体" w:hAnsi="宋体" w:cs="宋体"/>
                <w:color w:val="auto"/>
                <w:szCs w:val="21"/>
                <w:highlight w:val="none"/>
              </w:rPr>
            </w:pPr>
            <w:r>
              <w:rPr>
                <w:rFonts w:hint="eastAsia" w:ascii="宋体" w:hAnsi="宋体" w:cs="宋体"/>
                <w:color w:val="auto"/>
                <w:szCs w:val="21"/>
                <w:highlight w:val="none"/>
              </w:rPr>
              <w:t>14.支持网络丢包时修复机制，20%网络丢包时，音视频清晰流畅，无卡顿、无马赛克。</w:t>
            </w:r>
          </w:p>
          <w:p w14:paraId="29ED341A">
            <w:pPr>
              <w:jc w:val="left"/>
              <w:rPr>
                <w:rFonts w:ascii="宋体" w:hAnsi="宋体" w:cs="宋体"/>
                <w:color w:val="auto"/>
                <w:szCs w:val="21"/>
                <w:highlight w:val="none"/>
              </w:rPr>
            </w:pPr>
            <w:r>
              <w:rPr>
                <w:rFonts w:hint="eastAsia" w:ascii="宋体" w:hAnsi="宋体" w:cs="宋体"/>
                <w:color w:val="auto"/>
                <w:szCs w:val="21"/>
                <w:highlight w:val="none"/>
              </w:rPr>
              <w:t>15.支持系统状态数据以图表形式展示，支持以图表形式实时统计和展示输入盒/输出盒在线数和离线数、摄像头在线数和离线数、中控设备在线数和离线数、会议室分组数量、拼墙数量、场景数量、用户数量、服务器的CPU使用率和内存使用情况、硬盘使用情况。</w:t>
            </w:r>
          </w:p>
          <w:p w14:paraId="2958FD09">
            <w:pPr>
              <w:jc w:val="left"/>
              <w:rPr>
                <w:rFonts w:ascii="宋体" w:hAnsi="宋体" w:cs="宋体"/>
                <w:color w:val="auto"/>
                <w:szCs w:val="21"/>
                <w:highlight w:val="none"/>
              </w:rPr>
            </w:pPr>
            <w:r>
              <w:rPr>
                <w:rFonts w:hint="eastAsia" w:ascii="宋体" w:hAnsi="宋体" w:cs="宋体"/>
                <w:color w:val="auto"/>
                <w:szCs w:val="21"/>
                <w:highlight w:val="none"/>
              </w:rPr>
              <w:t>16.支持音频管理，可将多个输入节点的音频信号绑定到单个输出节点上，可独立调节任意节点的音频音量大小；支持设置输出节点的音频均衡器，可启用或关闭均衡器，启用或关闭动态压缩，内置18种常用的均衡器场景，可以一键切换，也可全自定义设置，针对60Hz、170Hz、310Hz、600Hz、1KHz、3KHz、6KHz、12KHz、14KHz、16KHz等不同频段的音频可以单独控制增益，范围是-20dB至20dB。</w:t>
            </w:r>
          </w:p>
          <w:p w14:paraId="239AE2E4">
            <w:pPr>
              <w:jc w:val="left"/>
              <w:rPr>
                <w:rFonts w:ascii="宋体" w:hAnsi="宋体" w:cs="宋体"/>
                <w:color w:val="auto"/>
                <w:szCs w:val="21"/>
                <w:highlight w:val="none"/>
              </w:rPr>
            </w:pPr>
            <w:r>
              <w:rPr>
                <w:rFonts w:hint="eastAsia" w:ascii="宋体" w:hAnsi="宋体" w:cs="宋体"/>
                <w:color w:val="auto"/>
                <w:szCs w:val="21"/>
                <w:highlight w:val="none"/>
              </w:rPr>
              <w:t>17.支持控制节点盒子启用或关闭国密算法SM2、SM3、SM4加密传输。</w:t>
            </w:r>
          </w:p>
          <w:p w14:paraId="49CDCFC8">
            <w:pPr>
              <w:jc w:val="left"/>
              <w:rPr>
                <w:rFonts w:ascii="宋体" w:hAnsi="宋体" w:cs="宋体"/>
                <w:color w:val="auto"/>
                <w:szCs w:val="21"/>
                <w:highlight w:val="none"/>
              </w:rPr>
            </w:pPr>
            <w:r>
              <w:rPr>
                <w:rFonts w:hint="eastAsia" w:ascii="宋体" w:hAnsi="宋体" w:cs="宋体"/>
                <w:color w:val="auto"/>
                <w:szCs w:val="21"/>
                <w:highlight w:val="none"/>
              </w:rPr>
              <w:t>18.支持给任意拼接墙绑定手势识别节点，可通过手势识别节点识别操作人员的手势并转换成控制指令选择当前拼墙的任意信号进行拖拽、放大、缩小、全屏、翻页PPT等操作。</w:t>
            </w:r>
          </w:p>
          <w:p w14:paraId="0A87A99C">
            <w:pPr>
              <w:jc w:val="left"/>
              <w:rPr>
                <w:rFonts w:ascii="宋体" w:hAnsi="宋体" w:cs="宋体"/>
                <w:color w:val="auto"/>
                <w:szCs w:val="21"/>
                <w:highlight w:val="none"/>
              </w:rPr>
            </w:pPr>
            <w:r>
              <w:rPr>
                <w:rFonts w:hint="eastAsia" w:ascii="宋体" w:hAnsi="宋体" w:cs="宋体"/>
                <w:color w:val="auto"/>
                <w:szCs w:val="21"/>
                <w:highlight w:val="none"/>
              </w:rPr>
              <w:t>19.支持对输入盒开启或关闭信号标注功能，支持对输入信号进行标注，支持自由画线、直线、箭头、方形、圆形、三角形等标注形态，可设置标注线条粗细、线条颜色，可撤销或还原批注操作，可通过橡皮擦框选删除标注或全部删除。</w:t>
            </w:r>
          </w:p>
          <w:p w14:paraId="0CC31409">
            <w:pPr>
              <w:jc w:val="left"/>
              <w:rPr>
                <w:rFonts w:ascii="宋体" w:hAnsi="宋体" w:cs="宋体"/>
                <w:color w:val="auto"/>
                <w:szCs w:val="21"/>
                <w:highlight w:val="none"/>
              </w:rPr>
            </w:pPr>
            <w:r>
              <w:rPr>
                <w:rFonts w:hint="eastAsia" w:ascii="宋体" w:hAnsi="宋体" w:cs="宋体"/>
                <w:color w:val="auto"/>
                <w:szCs w:val="21"/>
                <w:highlight w:val="none"/>
              </w:rPr>
              <w:t>20.支持对输出盒添加时间显示、温度显示、湿度显示、实时人数统计控件，可设置控件的坐标位置、字体大小、字体颜色、背景颜色、透明度、字体间距、字体类型等。</w:t>
            </w:r>
          </w:p>
          <w:p w14:paraId="61698051">
            <w:pPr>
              <w:jc w:val="left"/>
              <w:rPr>
                <w:rFonts w:ascii="宋体" w:hAnsi="宋体" w:cs="宋体"/>
                <w:color w:val="auto"/>
                <w:szCs w:val="21"/>
                <w:highlight w:val="none"/>
              </w:rPr>
            </w:pPr>
            <w:r>
              <w:rPr>
                <w:rFonts w:hint="eastAsia" w:ascii="宋体" w:hAnsi="宋体" w:cs="宋体"/>
                <w:color w:val="auto"/>
                <w:szCs w:val="21"/>
                <w:highlight w:val="none"/>
              </w:rPr>
              <w:t>▲21.支持配置AI分析任务，可对支持AI分析的分布式节点盒子同时配置多种监测任务，支持绘制监测区域或直线，可给每个区域或直线分配监测任务，对指定的输入盒信号或IPC信号进行实时分析并告警，可配置自动录制告警前后75秒内的视频，可查看每个AI分析节点的算力占用比例。（投标时须提供经国家认可的第三方认证（检测）机构出具的带有CMA或CNAS标志的检测报告复印件。）</w:t>
            </w:r>
          </w:p>
          <w:p w14:paraId="77AF5DEF">
            <w:pPr>
              <w:jc w:val="left"/>
              <w:rPr>
                <w:rFonts w:ascii="宋体" w:hAnsi="宋体" w:cs="宋体"/>
                <w:color w:val="auto"/>
                <w:szCs w:val="21"/>
                <w:highlight w:val="none"/>
              </w:rPr>
            </w:pPr>
            <w:r>
              <w:rPr>
                <w:rFonts w:hint="eastAsia" w:ascii="宋体" w:hAnsi="宋体" w:cs="宋体"/>
                <w:color w:val="auto"/>
                <w:szCs w:val="21"/>
                <w:highlight w:val="none"/>
              </w:rPr>
              <w:t>22.支持配置AI目标识别算法，可实现行人属性识别、人流量统计、区域人数统计、区域人数超限识别、人脸抓拍、人脸识别、行人抓拍、车辆抓拍、高频陌生人识别、低频人员识别等视频结构化分析功能。</w:t>
            </w:r>
          </w:p>
          <w:p w14:paraId="4A84E497">
            <w:pPr>
              <w:jc w:val="left"/>
              <w:rPr>
                <w:rFonts w:ascii="宋体" w:hAnsi="宋体" w:cs="宋体"/>
                <w:color w:val="auto"/>
                <w:szCs w:val="21"/>
                <w:highlight w:val="none"/>
              </w:rPr>
            </w:pPr>
            <w:r>
              <w:rPr>
                <w:rFonts w:hint="eastAsia" w:ascii="宋体" w:hAnsi="宋体" w:cs="宋体"/>
                <w:color w:val="auto"/>
                <w:szCs w:val="21"/>
                <w:highlight w:val="none"/>
              </w:rPr>
              <w:t>23.支持配置AI周界防范算法，可实现区域入侵识别、电瓶车进电梯识别、非机动车违停识别等视频结构化分析功能。</w:t>
            </w:r>
          </w:p>
          <w:p w14:paraId="36CF1406">
            <w:pPr>
              <w:jc w:val="left"/>
              <w:rPr>
                <w:rFonts w:ascii="宋体" w:hAnsi="宋体" w:cs="宋体"/>
                <w:color w:val="auto"/>
                <w:szCs w:val="21"/>
                <w:highlight w:val="none"/>
              </w:rPr>
            </w:pPr>
            <w:r>
              <w:rPr>
                <w:rFonts w:hint="eastAsia" w:ascii="宋体" w:hAnsi="宋体" w:cs="宋体"/>
                <w:color w:val="auto"/>
                <w:szCs w:val="21"/>
                <w:highlight w:val="none"/>
              </w:rPr>
              <w:t>24.支持配置AI行为识别算法，可实现人员离岗识别、未戴口罩识别、打电话识别、吸烟识别、人员跌倒识别、人员打架识别、人员徘徊识别、玩手机识别、手持刀具识别、人员趴睡识别、人员攀爬识别、人员翻墙识别、人群聚集识别等视频结构化分析功能。</w:t>
            </w:r>
          </w:p>
          <w:p w14:paraId="34C31FF6">
            <w:pPr>
              <w:jc w:val="left"/>
              <w:rPr>
                <w:rFonts w:ascii="宋体" w:hAnsi="宋体" w:cs="宋体"/>
                <w:color w:val="auto"/>
                <w:szCs w:val="21"/>
                <w:highlight w:val="none"/>
              </w:rPr>
            </w:pPr>
            <w:r>
              <w:rPr>
                <w:rFonts w:hint="eastAsia" w:ascii="宋体" w:hAnsi="宋体" w:cs="宋体"/>
                <w:color w:val="auto"/>
                <w:szCs w:val="21"/>
                <w:highlight w:val="none"/>
              </w:rPr>
              <w:t>25.支持配置AI作业安全识别算法，可实现未穿工服识别、短裤短袖识别、未戴头盔识别、未穿反光衣识别等视频结构化分析功能。</w:t>
            </w:r>
          </w:p>
          <w:p w14:paraId="3EFDB094">
            <w:pPr>
              <w:jc w:val="left"/>
              <w:rPr>
                <w:rFonts w:ascii="宋体" w:hAnsi="宋体" w:cs="宋体"/>
                <w:color w:val="auto"/>
                <w:szCs w:val="21"/>
                <w:highlight w:val="none"/>
              </w:rPr>
            </w:pPr>
            <w:r>
              <w:rPr>
                <w:rFonts w:hint="eastAsia" w:ascii="宋体" w:hAnsi="宋体" w:cs="宋体"/>
                <w:color w:val="auto"/>
                <w:szCs w:val="21"/>
                <w:highlight w:val="none"/>
              </w:rPr>
              <w:t>26.支持配置AI环境安全识别算法，可实现烟雾识别、明火识别、垃圾箱满溢识别、垃圾裸露识别、高空抛物识别等视频结构化分析功能。</w:t>
            </w:r>
          </w:p>
          <w:p w14:paraId="0EA9881D">
            <w:pPr>
              <w:jc w:val="left"/>
              <w:rPr>
                <w:rFonts w:ascii="宋体" w:hAnsi="宋体" w:cs="宋体"/>
                <w:color w:val="auto"/>
                <w:szCs w:val="21"/>
                <w:highlight w:val="none"/>
              </w:rPr>
            </w:pPr>
            <w:r>
              <w:rPr>
                <w:rFonts w:hint="eastAsia" w:ascii="宋体" w:hAnsi="宋体" w:cs="宋体"/>
                <w:color w:val="auto"/>
                <w:szCs w:val="21"/>
                <w:highlight w:val="none"/>
              </w:rPr>
              <w:t>27.支持配置AI智慧交通识别算法，可实现车辆违停识别、机动车车流量统计、区域车辆统计、车辆拥堵识别、机动车超时停放识别、车辆号牌遮挡识别、混凝土搅拌车识别、渣土车识别、渣土车未盖板识别、安全绳识别、泥土裸露识别等视频结构化分析功能。</w:t>
            </w:r>
          </w:p>
          <w:p w14:paraId="307EE0F1">
            <w:pPr>
              <w:jc w:val="left"/>
              <w:rPr>
                <w:rFonts w:ascii="宋体" w:hAnsi="宋体" w:cs="宋体"/>
                <w:color w:val="auto"/>
                <w:szCs w:val="21"/>
                <w:highlight w:val="none"/>
              </w:rPr>
            </w:pPr>
            <w:r>
              <w:rPr>
                <w:rFonts w:hint="eastAsia" w:ascii="宋体" w:hAnsi="宋体" w:cs="宋体"/>
                <w:color w:val="auto"/>
                <w:szCs w:val="21"/>
                <w:highlight w:val="none"/>
              </w:rPr>
              <w:t>▲28.支持配置AI智慧水务识别算法，可实现人员落水识别、区域船舶数量统计、船舶通行流量统计、船舶闯入识别等视频结构化分析功能。（投标时须提供佐证材料证明满足该功能，佐证材料包含但不限于经国家认可的第三方认证（检测）机构出具的带有CMA或CNAS标志的检测报告复印件或官网截图或彩页或功能截图，除检测报告外，其他佐证材料均需加盖原厂公章。</w:t>
            </w:r>
          </w:p>
          <w:p w14:paraId="6B24EC40">
            <w:pPr>
              <w:jc w:val="left"/>
              <w:rPr>
                <w:rFonts w:ascii="宋体" w:hAnsi="宋体" w:cs="宋体"/>
                <w:color w:val="auto"/>
                <w:szCs w:val="21"/>
                <w:highlight w:val="none"/>
              </w:rPr>
            </w:pPr>
            <w:r>
              <w:rPr>
                <w:rFonts w:hint="eastAsia" w:ascii="宋体" w:hAnsi="宋体" w:cs="宋体"/>
                <w:color w:val="auto"/>
                <w:szCs w:val="21"/>
                <w:highlight w:val="none"/>
              </w:rPr>
              <w:t>29.支持工服库管理，可对工服库进行分组，上传工服后自动对工服进行建模，可筛选未建模、建模成功、建模失败的工服。</w:t>
            </w:r>
          </w:p>
          <w:p w14:paraId="31CFE77E">
            <w:pPr>
              <w:jc w:val="left"/>
              <w:rPr>
                <w:rFonts w:ascii="宋体" w:hAnsi="宋体" w:cs="宋体"/>
                <w:color w:val="auto"/>
                <w:szCs w:val="21"/>
                <w:highlight w:val="none"/>
              </w:rPr>
            </w:pPr>
            <w:r>
              <w:rPr>
                <w:rFonts w:hint="eastAsia" w:ascii="宋体" w:hAnsi="宋体" w:cs="宋体"/>
                <w:color w:val="auto"/>
                <w:szCs w:val="21"/>
                <w:highlight w:val="none"/>
              </w:rPr>
              <w:t>30.支持PPT转视频功能，可将PPT原始文件上传到服务器并转成视频文件，同时保留PPT中的动图、视频的动态播放效果，支持播放视频时控制视频中的PPT翻页、停留一页循环播放等。</w:t>
            </w:r>
          </w:p>
          <w:p w14:paraId="420FCAFB">
            <w:pPr>
              <w:jc w:val="left"/>
              <w:rPr>
                <w:rFonts w:ascii="宋体" w:hAnsi="宋体" w:cs="宋体"/>
                <w:color w:val="auto"/>
                <w:szCs w:val="21"/>
                <w:highlight w:val="none"/>
              </w:rPr>
            </w:pPr>
            <w:r>
              <w:rPr>
                <w:rFonts w:hint="eastAsia" w:ascii="宋体" w:hAnsi="宋体" w:cs="宋体"/>
                <w:color w:val="auto"/>
                <w:szCs w:val="21"/>
                <w:highlight w:val="none"/>
              </w:rPr>
              <w:t>31.支持拼墙绑定输入信号传输方式的功能，同一个输入信号传输到不同的拼墙可绑定不同的传输方式，传输方式可设置为UDP组播、UDP单播、TCP。</w:t>
            </w:r>
          </w:p>
        </w:tc>
      </w:tr>
      <w:tr w14:paraId="2DC7DC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jc w:val="center"/>
        </w:trPr>
        <w:tc>
          <w:tcPr>
            <w:tcW w:w="9996" w:type="dxa"/>
            <w:gridSpan w:val="5"/>
            <w:tcBorders>
              <w:right w:val="single" w:color="auto" w:sz="4" w:space="0"/>
            </w:tcBorders>
            <w:shd w:val="clear" w:color="auto" w:fill="auto"/>
            <w:vAlign w:val="center"/>
          </w:tcPr>
          <w:p w14:paraId="69170FC7">
            <w:pPr>
              <w:jc w:val="left"/>
              <w:rPr>
                <w:rFonts w:ascii="宋体" w:hAnsi="宋体" w:cs="宋体"/>
                <w:color w:val="auto"/>
                <w:szCs w:val="21"/>
                <w:highlight w:val="none"/>
              </w:rPr>
            </w:pPr>
            <w:r>
              <w:rPr>
                <w:rFonts w:hint="eastAsia" w:ascii="宋体" w:hAnsi="宋体" w:cs="宋体"/>
                <w:b/>
                <w:bCs/>
                <w:color w:val="auto"/>
                <w:szCs w:val="21"/>
                <w:highlight w:val="none"/>
              </w:rPr>
              <w:t>2.分布式系统平台对接、功能定制等</w:t>
            </w:r>
          </w:p>
        </w:tc>
      </w:tr>
      <w:tr w14:paraId="2BA28B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jc w:val="center"/>
        </w:trPr>
        <w:tc>
          <w:tcPr>
            <w:tcW w:w="659" w:type="dxa"/>
            <w:shd w:val="clear" w:color="auto" w:fill="auto"/>
            <w:vAlign w:val="center"/>
          </w:tcPr>
          <w:p w14:paraId="60044BD7">
            <w:pPr>
              <w:jc w:val="center"/>
              <w:rPr>
                <w:rFonts w:ascii="宋体" w:hAnsi="宋体" w:cs="宋体"/>
                <w:color w:val="auto"/>
                <w:szCs w:val="21"/>
                <w:highlight w:val="none"/>
              </w:rPr>
            </w:pPr>
            <w:r>
              <w:rPr>
                <w:rFonts w:hint="eastAsia" w:ascii="宋体" w:hAnsi="宋体" w:cs="宋体"/>
                <w:color w:val="auto"/>
                <w:szCs w:val="21"/>
                <w:highlight w:val="none"/>
              </w:rPr>
              <w:t>2.1</w:t>
            </w:r>
          </w:p>
        </w:tc>
        <w:tc>
          <w:tcPr>
            <w:tcW w:w="1148" w:type="dxa"/>
            <w:shd w:val="clear" w:color="auto" w:fill="auto"/>
            <w:vAlign w:val="center"/>
          </w:tcPr>
          <w:p w14:paraId="14EE5B4A">
            <w:pPr>
              <w:jc w:val="center"/>
              <w:rPr>
                <w:rFonts w:ascii="宋体" w:hAnsi="宋体" w:cs="宋体"/>
                <w:color w:val="auto"/>
                <w:szCs w:val="21"/>
                <w:highlight w:val="none"/>
              </w:rPr>
            </w:pPr>
            <w:r>
              <w:rPr>
                <w:rFonts w:hint="eastAsia" w:ascii="宋体" w:hAnsi="宋体" w:cs="宋体"/>
                <w:color w:val="auto"/>
                <w:szCs w:val="21"/>
                <w:highlight w:val="none"/>
              </w:rPr>
              <w:t>AI智慧分布式网关主机</w:t>
            </w:r>
          </w:p>
        </w:tc>
        <w:tc>
          <w:tcPr>
            <w:tcW w:w="961" w:type="dxa"/>
            <w:shd w:val="clear" w:color="auto" w:fill="auto"/>
            <w:vAlign w:val="center"/>
          </w:tcPr>
          <w:p w14:paraId="6971C879">
            <w:pPr>
              <w:jc w:val="center"/>
              <w:rPr>
                <w:rFonts w:ascii="宋体" w:hAnsi="宋体" w:cs="宋体"/>
                <w:color w:val="auto"/>
                <w:szCs w:val="21"/>
                <w:highlight w:val="none"/>
              </w:rPr>
            </w:pPr>
            <w:r>
              <w:rPr>
                <w:rFonts w:hint="eastAsia" w:ascii="宋体" w:hAnsi="宋体" w:cs="宋体"/>
                <w:color w:val="auto"/>
                <w:szCs w:val="21"/>
                <w:highlight w:val="none"/>
              </w:rPr>
              <w:t>1台</w:t>
            </w:r>
          </w:p>
        </w:tc>
        <w:tc>
          <w:tcPr>
            <w:tcW w:w="701" w:type="dxa"/>
            <w:tcBorders>
              <w:right w:val="single" w:color="auto" w:sz="4" w:space="0"/>
            </w:tcBorders>
            <w:shd w:val="clear" w:color="auto" w:fill="auto"/>
            <w:vAlign w:val="center"/>
          </w:tcPr>
          <w:p w14:paraId="74F4887B">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工业</w:t>
            </w:r>
          </w:p>
        </w:tc>
        <w:tc>
          <w:tcPr>
            <w:tcW w:w="6527" w:type="dxa"/>
            <w:tcBorders>
              <w:left w:val="single" w:color="auto" w:sz="4" w:space="0"/>
              <w:right w:val="single" w:color="auto" w:sz="4" w:space="0"/>
            </w:tcBorders>
            <w:shd w:val="clear" w:color="auto" w:fill="auto"/>
          </w:tcPr>
          <w:p w14:paraId="64CECA79">
            <w:pPr>
              <w:widowControl/>
              <w:spacing w:line="360" w:lineRule="atLeast"/>
              <w:jc w:val="left"/>
              <w:rPr>
                <w:color w:val="auto"/>
                <w:highlight w:val="none"/>
              </w:rPr>
            </w:pPr>
            <w:r>
              <w:rPr>
                <w:rFonts w:hint="eastAsia"/>
                <w:color w:val="auto"/>
                <w:highlight w:val="none"/>
              </w:rPr>
              <w:t>1.支持通过SIP协议对接视频会议系统，支持视频会议系统码流给平台显示，支持平台音视频给视频会议系统。</w:t>
            </w:r>
          </w:p>
          <w:p w14:paraId="4621F95D">
            <w:pPr>
              <w:widowControl/>
              <w:spacing w:line="360" w:lineRule="atLeast"/>
              <w:jc w:val="left"/>
              <w:rPr>
                <w:color w:val="auto"/>
                <w:highlight w:val="none"/>
              </w:rPr>
            </w:pPr>
            <w:r>
              <w:rPr>
                <w:rFonts w:hint="eastAsia"/>
                <w:color w:val="auto"/>
                <w:highlight w:val="none"/>
              </w:rPr>
              <w:t>2.支持通过SIP协议对接≥8路信号，在平台系统进行调度显示。</w:t>
            </w:r>
          </w:p>
          <w:p w14:paraId="064982BB">
            <w:pPr>
              <w:widowControl/>
              <w:spacing w:line="360" w:lineRule="atLeast"/>
              <w:jc w:val="left"/>
              <w:rPr>
                <w:color w:val="auto"/>
                <w:highlight w:val="none"/>
              </w:rPr>
            </w:pPr>
            <w:r>
              <w:rPr>
                <w:rFonts w:hint="eastAsia"/>
                <w:color w:val="auto"/>
                <w:highlight w:val="none"/>
              </w:rPr>
              <w:t>3.扩展支持对接监控平台、门禁系统、4G网络及移动单兵系统。</w:t>
            </w:r>
          </w:p>
          <w:p w14:paraId="217E5CC6">
            <w:pPr>
              <w:widowControl/>
              <w:spacing w:line="360" w:lineRule="atLeast"/>
              <w:jc w:val="left"/>
              <w:rPr>
                <w:color w:val="auto"/>
                <w:highlight w:val="none"/>
              </w:rPr>
            </w:pPr>
            <w:r>
              <w:rPr>
                <w:rFonts w:hint="eastAsia" w:ascii="宋体" w:hAnsi="宋体" w:cs="宋体"/>
                <w:color w:val="auto"/>
                <w:szCs w:val="21"/>
                <w:highlight w:val="none"/>
              </w:rPr>
              <w:t>▲</w:t>
            </w:r>
            <w:r>
              <w:rPr>
                <w:rFonts w:hint="eastAsia"/>
                <w:color w:val="auto"/>
                <w:highlight w:val="none"/>
              </w:rPr>
              <w:t>4.CPU配置优于或等同于双核，内存配置≥8GB ，存储空间≥1TB，具备≥6个硬盘位可扩容空间。</w:t>
            </w:r>
            <w:r>
              <w:rPr>
                <w:rFonts w:hint="eastAsia" w:ascii="宋体" w:hAnsi="宋体" w:cs="宋体"/>
                <w:color w:val="auto"/>
                <w:szCs w:val="21"/>
                <w:highlight w:val="none"/>
              </w:rPr>
              <w:t>（投标时须提供佐证材料证明满足该功能，佐证材料包含但不限于经国家认可的第三方认证（检测）机构出具的带有CMA或CNAS标志的检测报告复印件或官网截图或彩页或功能截图，除检测报告外，其他佐证材料均需加盖原厂公章。）</w:t>
            </w:r>
          </w:p>
          <w:p w14:paraId="38AAF238">
            <w:pPr>
              <w:widowControl/>
              <w:spacing w:line="360" w:lineRule="atLeast"/>
              <w:jc w:val="left"/>
              <w:rPr>
                <w:rFonts w:ascii="宋体" w:hAnsi="宋体"/>
                <w:color w:val="auto"/>
                <w:sz w:val="20"/>
                <w:highlight w:val="none"/>
              </w:rPr>
            </w:pPr>
            <w:r>
              <w:rPr>
                <w:rFonts w:hint="eastAsia" w:ascii="宋体" w:hAnsi="宋体" w:cs="宋体"/>
                <w:color w:val="auto"/>
                <w:szCs w:val="21"/>
                <w:highlight w:val="none"/>
              </w:rPr>
              <w:t>▲</w:t>
            </w:r>
            <w:r>
              <w:rPr>
                <w:rFonts w:hint="eastAsia"/>
                <w:color w:val="auto"/>
                <w:highlight w:val="none"/>
              </w:rPr>
              <w:t>5.支持≥1路VGA和≥1路DVI视频接口输出，具备≥2个RJ45网口。</w:t>
            </w:r>
            <w:r>
              <w:rPr>
                <w:rFonts w:hint="eastAsia" w:ascii="宋体" w:hAnsi="宋体" w:cs="宋体"/>
                <w:color w:val="auto"/>
                <w:szCs w:val="21"/>
                <w:highlight w:val="none"/>
              </w:rPr>
              <w:t>（投标时须提供佐证材料证明满足该功能，佐证材料包含但不限于经国家认可的第三方认证（检测）机构出具的带有CMA或CNAS标志的检测报告复印件或官网截图或彩页或功能截图，除检测报告外，其他佐证材料均需加盖原厂公章。）</w:t>
            </w:r>
          </w:p>
        </w:tc>
      </w:tr>
      <w:tr w14:paraId="4D7889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jc w:val="center"/>
        </w:trPr>
        <w:tc>
          <w:tcPr>
            <w:tcW w:w="659" w:type="dxa"/>
            <w:shd w:val="clear" w:color="auto" w:fill="auto"/>
            <w:vAlign w:val="center"/>
          </w:tcPr>
          <w:p w14:paraId="46A37221">
            <w:pPr>
              <w:jc w:val="center"/>
              <w:rPr>
                <w:rFonts w:ascii="宋体" w:hAnsi="宋体" w:cs="宋体"/>
                <w:color w:val="auto"/>
                <w:szCs w:val="21"/>
                <w:highlight w:val="none"/>
              </w:rPr>
            </w:pPr>
            <w:r>
              <w:rPr>
                <w:rFonts w:hint="eastAsia" w:ascii="宋体" w:hAnsi="宋体" w:cs="宋体"/>
                <w:color w:val="auto"/>
                <w:szCs w:val="21"/>
                <w:highlight w:val="none"/>
              </w:rPr>
              <w:t>2.2</w:t>
            </w:r>
          </w:p>
        </w:tc>
        <w:tc>
          <w:tcPr>
            <w:tcW w:w="1148" w:type="dxa"/>
            <w:shd w:val="clear" w:color="auto" w:fill="auto"/>
            <w:vAlign w:val="center"/>
          </w:tcPr>
          <w:p w14:paraId="587AB600">
            <w:pPr>
              <w:jc w:val="center"/>
              <w:rPr>
                <w:rFonts w:ascii="宋体" w:hAnsi="宋体" w:cs="宋体"/>
                <w:color w:val="auto"/>
                <w:szCs w:val="21"/>
                <w:highlight w:val="none"/>
              </w:rPr>
            </w:pPr>
            <w:r>
              <w:rPr>
                <w:rFonts w:hint="eastAsia" w:ascii="宋体" w:hAnsi="宋体" w:cs="宋体"/>
                <w:color w:val="auto"/>
                <w:szCs w:val="21"/>
                <w:highlight w:val="none"/>
              </w:rPr>
              <w:t>分布式网关主机软件</w:t>
            </w:r>
          </w:p>
        </w:tc>
        <w:tc>
          <w:tcPr>
            <w:tcW w:w="961" w:type="dxa"/>
            <w:shd w:val="clear" w:color="auto" w:fill="auto"/>
            <w:vAlign w:val="center"/>
          </w:tcPr>
          <w:p w14:paraId="7944402C">
            <w:pPr>
              <w:jc w:val="center"/>
              <w:rPr>
                <w:rFonts w:ascii="宋体" w:hAnsi="宋体" w:cs="宋体"/>
                <w:color w:val="auto"/>
                <w:szCs w:val="21"/>
                <w:highlight w:val="none"/>
              </w:rPr>
            </w:pPr>
            <w:r>
              <w:rPr>
                <w:rFonts w:hint="eastAsia" w:ascii="宋体" w:hAnsi="宋体" w:cs="宋体"/>
                <w:color w:val="auto"/>
                <w:szCs w:val="21"/>
                <w:highlight w:val="none"/>
              </w:rPr>
              <w:t>250套</w:t>
            </w:r>
          </w:p>
        </w:tc>
        <w:tc>
          <w:tcPr>
            <w:tcW w:w="701" w:type="dxa"/>
            <w:tcBorders>
              <w:right w:val="single" w:color="auto" w:sz="4" w:space="0"/>
            </w:tcBorders>
            <w:shd w:val="clear" w:color="auto" w:fill="auto"/>
            <w:vAlign w:val="center"/>
          </w:tcPr>
          <w:p w14:paraId="677F172D">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w:t>
            </w:r>
          </w:p>
        </w:tc>
        <w:tc>
          <w:tcPr>
            <w:tcW w:w="6527" w:type="dxa"/>
            <w:tcBorders>
              <w:left w:val="single" w:color="auto" w:sz="4" w:space="0"/>
              <w:right w:val="single" w:color="auto" w:sz="4" w:space="0"/>
            </w:tcBorders>
            <w:shd w:val="clear" w:color="auto" w:fill="auto"/>
          </w:tcPr>
          <w:p w14:paraId="4BFE8B26">
            <w:pPr>
              <w:jc w:val="left"/>
              <w:rPr>
                <w:rFonts w:ascii="宋体" w:hAnsi="宋体"/>
                <w:color w:val="auto"/>
                <w:sz w:val="20"/>
                <w:highlight w:val="none"/>
              </w:rPr>
            </w:pPr>
            <w:r>
              <w:rPr>
                <w:rFonts w:hint="eastAsia" w:ascii="宋体" w:hAnsi="宋体"/>
                <w:color w:val="auto"/>
                <w:sz w:val="20"/>
                <w:highlight w:val="none"/>
              </w:rPr>
              <w:t>1.支持将满足onvif协议的海康、大华、华为和宇视等品牌的IP摄像机接入分布式系统，支持1080P分辨率，支持IP摄像机信号画面上墙功能。</w:t>
            </w:r>
          </w:p>
          <w:p w14:paraId="198CE47C">
            <w:pPr>
              <w:jc w:val="left"/>
              <w:rPr>
                <w:rFonts w:ascii="宋体" w:hAnsi="宋体"/>
                <w:color w:val="auto"/>
                <w:sz w:val="20"/>
                <w:highlight w:val="none"/>
              </w:rPr>
            </w:pPr>
            <w:r>
              <w:rPr>
                <w:rFonts w:hint="eastAsia" w:ascii="宋体" w:hAnsi="宋体"/>
                <w:color w:val="auto"/>
                <w:sz w:val="20"/>
                <w:highlight w:val="none"/>
              </w:rPr>
              <w:t>2.支持在同网段时自动搜索、添加IP摄像机信号，并支持手动添加摄像机信号。</w:t>
            </w:r>
          </w:p>
          <w:p w14:paraId="542C0FB5">
            <w:pPr>
              <w:jc w:val="left"/>
              <w:rPr>
                <w:rFonts w:ascii="宋体" w:hAnsi="宋体"/>
                <w:color w:val="auto"/>
                <w:sz w:val="20"/>
                <w:highlight w:val="none"/>
              </w:rPr>
            </w:pPr>
            <w:r>
              <w:rPr>
                <w:rFonts w:hint="eastAsia" w:ascii="宋体" w:hAnsi="宋体"/>
                <w:color w:val="auto"/>
                <w:sz w:val="20"/>
                <w:highlight w:val="none"/>
              </w:rPr>
              <w:t>3.IP摄像机信号接入分布式系统后，可支持实现画面漫游、拼接、画面放大、画面缩小、拉伸等功能。</w:t>
            </w:r>
          </w:p>
          <w:p w14:paraId="389C6B6F">
            <w:pPr>
              <w:jc w:val="left"/>
              <w:rPr>
                <w:rFonts w:ascii="宋体" w:hAnsi="宋体"/>
                <w:color w:val="auto"/>
                <w:sz w:val="20"/>
                <w:highlight w:val="none"/>
              </w:rPr>
            </w:pPr>
            <w:r>
              <w:rPr>
                <w:rFonts w:hint="eastAsia" w:ascii="宋体" w:hAnsi="宋体"/>
                <w:color w:val="auto"/>
                <w:sz w:val="20"/>
                <w:highlight w:val="none"/>
              </w:rPr>
              <w:t>4.支持通过存储服务器对接入分布式系统的IP摄像机画面进行存储。</w:t>
            </w:r>
          </w:p>
        </w:tc>
      </w:tr>
      <w:tr w14:paraId="098701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jc w:val="center"/>
        </w:trPr>
        <w:tc>
          <w:tcPr>
            <w:tcW w:w="659" w:type="dxa"/>
            <w:shd w:val="clear" w:color="auto" w:fill="auto"/>
            <w:vAlign w:val="center"/>
          </w:tcPr>
          <w:p w14:paraId="25FADE46">
            <w:pPr>
              <w:jc w:val="center"/>
              <w:rPr>
                <w:rFonts w:ascii="宋体" w:hAnsi="宋体" w:cs="宋体"/>
                <w:color w:val="auto"/>
                <w:szCs w:val="21"/>
                <w:highlight w:val="none"/>
              </w:rPr>
            </w:pPr>
            <w:r>
              <w:rPr>
                <w:rFonts w:hint="eastAsia" w:ascii="宋体" w:hAnsi="宋体" w:cs="宋体"/>
                <w:color w:val="auto"/>
                <w:szCs w:val="21"/>
                <w:highlight w:val="none"/>
              </w:rPr>
              <w:t>2.3</w:t>
            </w:r>
          </w:p>
        </w:tc>
        <w:tc>
          <w:tcPr>
            <w:tcW w:w="1148" w:type="dxa"/>
            <w:shd w:val="clear" w:color="auto" w:fill="auto"/>
            <w:vAlign w:val="center"/>
          </w:tcPr>
          <w:p w14:paraId="4D7F809C">
            <w:pPr>
              <w:jc w:val="center"/>
              <w:rPr>
                <w:rFonts w:ascii="宋体" w:hAnsi="宋体" w:cs="宋体"/>
                <w:color w:val="auto"/>
                <w:szCs w:val="21"/>
                <w:highlight w:val="none"/>
              </w:rPr>
            </w:pPr>
            <w:r>
              <w:rPr>
                <w:rFonts w:hint="eastAsia" w:ascii="宋体" w:hAnsi="宋体" w:cs="宋体"/>
                <w:color w:val="auto"/>
                <w:szCs w:val="21"/>
                <w:highlight w:val="none"/>
              </w:rPr>
              <w:t>AI智慧分布式录播主机</w:t>
            </w:r>
          </w:p>
        </w:tc>
        <w:tc>
          <w:tcPr>
            <w:tcW w:w="961" w:type="dxa"/>
            <w:shd w:val="clear" w:color="auto" w:fill="auto"/>
            <w:vAlign w:val="center"/>
          </w:tcPr>
          <w:p w14:paraId="172F5788">
            <w:pPr>
              <w:jc w:val="center"/>
              <w:rPr>
                <w:rFonts w:ascii="宋体" w:hAnsi="宋体" w:cs="宋体"/>
                <w:color w:val="auto"/>
                <w:szCs w:val="21"/>
                <w:highlight w:val="none"/>
              </w:rPr>
            </w:pPr>
            <w:r>
              <w:rPr>
                <w:rFonts w:hint="eastAsia" w:ascii="宋体" w:hAnsi="宋体" w:cs="宋体"/>
                <w:color w:val="auto"/>
                <w:szCs w:val="21"/>
                <w:highlight w:val="none"/>
              </w:rPr>
              <w:t>1台</w:t>
            </w:r>
          </w:p>
        </w:tc>
        <w:tc>
          <w:tcPr>
            <w:tcW w:w="701" w:type="dxa"/>
            <w:tcBorders>
              <w:right w:val="single" w:color="auto" w:sz="4" w:space="0"/>
            </w:tcBorders>
            <w:shd w:val="clear" w:color="auto" w:fill="auto"/>
            <w:vAlign w:val="center"/>
          </w:tcPr>
          <w:p w14:paraId="1B905EBC">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工业</w:t>
            </w:r>
          </w:p>
        </w:tc>
        <w:tc>
          <w:tcPr>
            <w:tcW w:w="6527" w:type="dxa"/>
            <w:tcBorders>
              <w:left w:val="single" w:color="auto" w:sz="4" w:space="0"/>
              <w:right w:val="single" w:color="auto" w:sz="4" w:space="0"/>
            </w:tcBorders>
            <w:shd w:val="clear" w:color="auto" w:fill="auto"/>
          </w:tcPr>
          <w:p w14:paraId="74F35DAC">
            <w:pPr>
              <w:jc w:val="left"/>
              <w:rPr>
                <w:rFonts w:ascii="宋体" w:hAnsi="宋体"/>
                <w:color w:val="auto"/>
                <w:sz w:val="20"/>
                <w:highlight w:val="none"/>
              </w:rPr>
            </w:pPr>
            <w:r>
              <w:rPr>
                <w:rFonts w:hint="eastAsia" w:ascii="宋体" w:hAnsi="宋体"/>
                <w:color w:val="auto"/>
                <w:sz w:val="20"/>
                <w:highlight w:val="none"/>
              </w:rPr>
              <w:t>1.B/S架构，支持后台web管理控制，简单易用。</w:t>
            </w:r>
          </w:p>
          <w:p w14:paraId="7F913084">
            <w:pPr>
              <w:jc w:val="left"/>
              <w:rPr>
                <w:rFonts w:ascii="宋体" w:hAnsi="宋体"/>
                <w:color w:val="auto"/>
                <w:sz w:val="20"/>
                <w:highlight w:val="none"/>
              </w:rPr>
            </w:pPr>
            <w:r>
              <w:rPr>
                <w:rFonts w:hint="eastAsia" w:ascii="宋体" w:hAnsi="宋体"/>
                <w:color w:val="auto"/>
                <w:sz w:val="20"/>
                <w:highlight w:val="none"/>
              </w:rPr>
              <w:t>2.支持最大分辨率为1080P。</w:t>
            </w:r>
          </w:p>
          <w:p w14:paraId="07180198">
            <w:pPr>
              <w:jc w:val="left"/>
              <w:rPr>
                <w:rFonts w:ascii="宋体" w:hAnsi="宋体"/>
                <w:color w:val="auto"/>
                <w:sz w:val="20"/>
                <w:highlight w:val="none"/>
              </w:rPr>
            </w:pPr>
            <w:r>
              <w:rPr>
                <w:rFonts w:hint="eastAsia" w:ascii="宋体" w:hAnsi="宋体"/>
                <w:color w:val="auto"/>
                <w:sz w:val="20"/>
                <w:highlight w:val="none"/>
              </w:rPr>
              <w:t>3.系统支持ONVIF、RTSP、SIP、GB/T28181协议，可接入海康、大华、华为、科达、宇视等各品牌摄像头。对支持ONVIF协议的IP摄像机可进行自动搜索，并且IP摄像机画面可接入分布式综合管理系统，搭配视频分发系统支持接入1000个IP摄像机信号；支持通过录播主机对IP摄像机摄像内容存储录制，可通过后台进行预览、下载、视频回放等功能。</w:t>
            </w:r>
          </w:p>
          <w:p w14:paraId="675FF38F">
            <w:pPr>
              <w:jc w:val="left"/>
              <w:rPr>
                <w:rFonts w:ascii="宋体" w:hAnsi="宋体"/>
                <w:color w:val="auto"/>
                <w:sz w:val="20"/>
                <w:highlight w:val="none"/>
              </w:rPr>
            </w:pPr>
            <w:r>
              <w:rPr>
                <w:rFonts w:hint="eastAsia" w:ascii="宋体" w:hAnsi="宋体"/>
                <w:color w:val="auto"/>
                <w:sz w:val="20"/>
                <w:highlight w:val="none"/>
              </w:rPr>
              <w:t>4.支持实时存储网络摄像头的视频流数据，支持H.264和H.265视频编码格式。</w:t>
            </w:r>
          </w:p>
          <w:p w14:paraId="393D49FE">
            <w:pPr>
              <w:jc w:val="left"/>
              <w:rPr>
                <w:rFonts w:ascii="宋体" w:hAnsi="宋体"/>
                <w:color w:val="auto"/>
                <w:sz w:val="20"/>
                <w:highlight w:val="none"/>
              </w:rPr>
            </w:pPr>
            <w:r>
              <w:rPr>
                <w:rFonts w:hint="eastAsia" w:ascii="宋体" w:hAnsi="宋体"/>
                <w:color w:val="auto"/>
                <w:sz w:val="20"/>
                <w:highlight w:val="none"/>
              </w:rPr>
              <w:t>5.支持同时存储多路网络摄像头的视频数据。</w:t>
            </w:r>
          </w:p>
          <w:p w14:paraId="3692FB15">
            <w:pPr>
              <w:jc w:val="left"/>
              <w:rPr>
                <w:rFonts w:ascii="宋体" w:hAnsi="宋体"/>
                <w:color w:val="auto"/>
                <w:sz w:val="20"/>
                <w:highlight w:val="none"/>
              </w:rPr>
            </w:pPr>
            <w:r>
              <w:rPr>
                <w:rFonts w:hint="eastAsia" w:ascii="宋体" w:hAnsi="宋体"/>
                <w:color w:val="auto"/>
                <w:sz w:val="20"/>
                <w:highlight w:val="none"/>
              </w:rPr>
              <w:t>6.支持录制开关功能，可根据实际需要对各路网络摄像头进行控制。</w:t>
            </w:r>
          </w:p>
          <w:p w14:paraId="413B6B4A">
            <w:pPr>
              <w:jc w:val="left"/>
              <w:rPr>
                <w:rFonts w:ascii="宋体" w:hAnsi="宋体"/>
                <w:color w:val="auto"/>
                <w:sz w:val="20"/>
                <w:highlight w:val="none"/>
              </w:rPr>
            </w:pPr>
            <w:r>
              <w:rPr>
                <w:rFonts w:hint="eastAsia" w:ascii="宋体" w:hAnsi="宋体"/>
                <w:color w:val="auto"/>
                <w:sz w:val="20"/>
                <w:highlight w:val="none"/>
              </w:rPr>
              <w:t>7.支持文件检索功能，可按摄像头的IP地址和录制时间检索需要查看的视频文件。</w:t>
            </w:r>
          </w:p>
          <w:p w14:paraId="2126DEB9">
            <w:pPr>
              <w:jc w:val="left"/>
              <w:rPr>
                <w:rFonts w:ascii="宋体" w:hAnsi="宋体"/>
                <w:color w:val="auto"/>
                <w:sz w:val="20"/>
                <w:highlight w:val="none"/>
              </w:rPr>
            </w:pPr>
            <w:r>
              <w:rPr>
                <w:rFonts w:hint="eastAsia" w:ascii="宋体" w:hAnsi="宋体"/>
                <w:color w:val="auto"/>
                <w:sz w:val="20"/>
                <w:highlight w:val="none"/>
              </w:rPr>
              <w:t>8.录制的视频文件格式为MP4，支持使用各类视频播放器对录制的视频进行回放。</w:t>
            </w:r>
          </w:p>
          <w:p w14:paraId="1860B0A2">
            <w:pPr>
              <w:jc w:val="left"/>
              <w:rPr>
                <w:rFonts w:ascii="宋体" w:hAnsi="宋体"/>
                <w:color w:val="auto"/>
                <w:sz w:val="20"/>
                <w:highlight w:val="none"/>
              </w:rPr>
            </w:pPr>
            <w:r>
              <w:rPr>
                <w:rFonts w:hint="eastAsia" w:ascii="宋体" w:hAnsi="宋体"/>
                <w:color w:val="auto"/>
                <w:sz w:val="20"/>
                <w:highlight w:val="none"/>
              </w:rPr>
              <w:t>9.支持同时存储≥36路视频信号，支持存储视频输入盒采集信号、存储IP摄像头信号，每路可存储≥30天。</w:t>
            </w:r>
          </w:p>
          <w:p w14:paraId="198F6534">
            <w:pPr>
              <w:jc w:val="left"/>
              <w:rPr>
                <w:rFonts w:ascii="宋体" w:hAnsi="宋体"/>
                <w:color w:val="auto"/>
                <w:sz w:val="20"/>
                <w:highlight w:val="none"/>
              </w:rPr>
            </w:pPr>
            <w:r>
              <w:rPr>
                <w:rFonts w:hint="eastAsia" w:ascii="宋体" w:hAnsi="宋体"/>
                <w:color w:val="auto"/>
                <w:sz w:val="20"/>
                <w:highlight w:val="none"/>
              </w:rPr>
              <w:t>10.可扩展存储硬盘。通过存储的网络摄像头个数、保存的最大天数以及视频码率，计算所需的最大存储空间，根据最大容量值，灵活选择所需的硬盘个数。</w:t>
            </w:r>
          </w:p>
          <w:p w14:paraId="16E9523F">
            <w:pPr>
              <w:jc w:val="left"/>
              <w:rPr>
                <w:rFonts w:ascii="宋体" w:hAnsi="宋体"/>
                <w:color w:val="auto"/>
                <w:sz w:val="20"/>
                <w:highlight w:val="none"/>
              </w:rPr>
            </w:pPr>
            <w:r>
              <w:rPr>
                <w:rFonts w:hint="eastAsia" w:ascii="宋体" w:hAnsi="宋体"/>
                <w:color w:val="auto"/>
                <w:sz w:val="20"/>
                <w:highlight w:val="none"/>
              </w:rPr>
              <w:t>11.支持信号实时进行录制、在线播放功能；支持视频录制的开始，暂停，停止和删除操作。支持视频单个下载和批量视频下载。</w:t>
            </w:r>
          </w:p>
          <w:p w14:paraId="6C7193E3">
            <w:pPr>
              <w:jc w:val="left"/>
              <w:rPr>
                <w:rFonts w:ascii="宋体" w:hAnsi="宋体"/>
                <w:color w:val="auto"/>
                <w:sz w:val="20"/>
                <w:highlight w:val="none"/>
              </w:rPr>
            </w:pPr>
            <w:r>
              <w:rPr>
                <w:rFonts w:hint="eastAsia" w:ascii="宋体" w:hAnsi="宋体"/>
                <w:color w:val="auto"/>
                <w:sz w:val="20"/>
                <w:highlight w:val="none"/>
              </w:rPr>
              <w:t>12.支持在线升级视频录制系统，一键同步时间，实时查询服务器日志。</w:t>
            </w:r>
          </w:p>
          <w:p w14:paraId="0E8498FD">
            <w:pPr>
              <w:jc w:val="left"/>
              <w:rPr>
                <w:rFonts w:ascii="宋体" w:hAnsi="宋体"/>
                <w:color w:val="auto"/>
                <w:sz w:val="20"/>
                <w:highlight w:val="none"/>
              </w:rPr>
            </w:pPr>
            <w:r>
              <w:rPr>
                <w:rFonts w:hint="eastAsia" w:ascii="宋体" w:hAnsi="宋体"/>
                <w:color w:val="auto"/>
                <w:sz w:val="20"/>
                <w:highlight w:val="none"/>
              </w:rPr>
              <w:t>13.支持定时录制和定时关闭录制功能。</w:t>
            </w:r>
          </w:p>
          <w:p w14:paraId="5E88AC4A">
            <w:pPr>
              <w:jc w:val="left"/>
              <w:rPr>
                <w:rFonts w:ascii="宋体" w:hAnsi="宋体"/>
                <w:color w:val="auto"/>
                <w:sz w:val="20"/>
                <w:highlight w:val="none"/>
              </w:rPr>
            </w:pPr>
            <w:r>
              <w:rPr>
                <w:rFonts w:hint="eastAsia" w:ascii="宋体" w:hAnsi="宋体"/>
                <w:color w:val="auto"/>
                <w:sz w:val="20"/>
                <w:highlight w:val="none"/>
              </w:rPr>
              <w:t>14.处理器≥六核；内存≥8G；硬盘≥1TB；</w:t>
            </w:r>
          </w:p>
          <w:p w14:paraId="25CB892B">
            <w:pPr>
              <w:jc w:val="left"/>
              <w:rPr>
                <w:rFonts w:ascii="宋体" w:hAnsi="宋体"/>
                <w:color w:val="auto"/>
                <w:sz w:val="20"/>
                <w:highlight w:val="none"/>
              </w:rPr>
            </w:pPr>
            <w:r>
              <w:rPr>
                <w:rFonts w:hint="eastAsia" w:ascii="宋体" w:hAnsi="宋体" w:cs="宋体"/>
                <w:color w:val="auto"/>
                <w:szCs w:val="21"/>
                <w:highlight w:val="none"/>
              </w:rPr>
              <w:t>▲</w:t>
            </w:r>
            <w:r>
              <w:rPr>
                <w:rFonts w:hint="eastAsia" w:ascii="宋体" w:hAnsi="宋体"/>
                <w:color w:val="auto"/>
                <w:sz w:val="20"/>
                <w:highlight w:val="none"/>
              </w:rPr>
              <w:t>15.具备≥ 2 个 USB2.0，≥4 个 USB2.0；≥1 个快速 UART16550 串口；≥2 个千兆网口，≥1 个远程管理接口，≥1 个 VGA</w:t>
            </w:r>
            <w:r>
              <w:rPr>
                <w:rFonts w:hint="eastAsia" w:ascii="宋体" w:hAnsi="宋体" w:cs="宋体"/>
                <w:color w:val="auto"/>
                <w:szCs w:val="21"/>
                <w:highlight w:val="none"/>
              </w:rPr>
              <w:t>（投标时须提供佐证材料证明满足该功能，佐证材料包含但不限于经国家认可的第三方认证（检测）机构出具的带有CMA或CNAS标志的检测报告复印件或官网截图或彩页或功能截图，除检测报告外，其他佐证材料均需加盖原厂公章。）</w:t>
            </w:r>
          </w:p>
        </w:tc>
      </w:tr>
      <w:tr w14:paraId="2FA7FE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jc w:val="center"/>
        </w:trPr>
        <w:tc>
          <w:tcPr>
            <w:tcW w:w="9996" w:type="dxa"/>
            <w:gridSpan w:val="5"/>
            <w:tcBorders>
              <w:right w:val="single" w:color="auto" w:sz="4" w:space="0"/>
            </w:tcBorders>
            <w:shd w:val="clear" w:color="auto" w:fill="auto"/>
            <w:vAlign w:val="center"/>
          </w:tcPr>
          <w:p w14:paraId="618FCD21">
            <w:pPr>
              <w:jc w:val="left"/>
              <w:rPr>
                <w:rFonts w:ascii="宋体" w:hAnsi="宋体" w:cs="宋体"/>
                <w:color w:val="auto"/>
                <w:szCs w:val="21"/>
                <w:highlight w:val="none"/>
              </w:rPr>
            </w:pPr>
            <w:r>
              <w:rPr>
                <w:rFonts w:hint="eastAsia" w:ascii="宋体" w:hAnsi="宋体" w:cs="宋体"/>
                <w:b/>
                <w:bCs/>
                <w:color w:val="auto"/>
                <w:szCs w:val="21"/>
                <w:highlight w:val="none"/>
              </w:rPr>
              <w:t>（五）周边设备</w:t>
            </w:r>
          </w:p>
        </w:tc>
      </w:tr>
      <w:tr w14:paraId="568F34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jc w:val="center"/>
        </w:trPr>
        <w:tc>
          <w:tcPr>
            <w:tcW w:w="659" w:type="dxa"/>
            <w:shd w:val="clear" w:color="auto" w:fill="auto"/>
            <w:vAlign w:val="center"/>
          </w:tcPr>
          <w:p w14:paraId="68297033">
            <w:pPr>
              <w:jc w:val="center"/>
              <w:rPr>
                <w:rFonts w:ascii="宋体" w:hAnsi="宋体" w:cs="宋体"/>
                <w:color w:val="auto"/>
                <w:szCs w:val="21"/>
                <w:highlight w:val="none"/>
              </w:rPr>
            </w:pPr>
            <w:r>
              <w:rPr>
                <w:rFonts w:hint="eastAsia" w:ascii="宋体" w:hAnsi="宋体" w:cs="宋体"/>
                <w:color w:val="auto"/>
                <w:szCs w:val="21"/>
                <w:highlight w:val="none"/>
              </w:rPr>
              <w:t>1</w:t>
            </w:r>
          </w:p>
        </w:tc>
        <w:tc>
          <w:tcPr>
            <w:tcW w:w="1148" w:type="dxa"/>
            <w:shd w:val="clear" w:color="auto" w:fill="auto"/>
            <w:vAlign w:val="center"/>
          </w:tcPr>
          <w:p w14:paraId="43DFBC8D">
            <w:pPr>
              <w:jc w:val="center"/>
              <w:rPr>
                <w:rFonts w:ascii="宋体" w:hAnsi="宋体" w:cs="宋体"/>
                <w:color w:val="auto"/>
                <w:szCs w:val="21"/>
                <w:highlight w:val="none"/>
              </w:rPr>
            </w:pPr>
            <w:r>
              <w:rPr>
                <w:rFonts w:hint="eastAsia" w:ascii="宋体" w:hAnsi="宋体" w:cs="宋体"/>
                <w:color w:val="auto"/>
                <w:szCs w:val="21"/>
                <w:highlight w:val="none"/>
              </w:rPr>
              <w:t>机柜</w:t>
            </w:r>
          </w:p>
        </w:tc>
        <w:tc>
          <w:tcPr>
            <w:tcW w:w="961" w:type="dxa"/>
            <w:shd w:val="clear" w:color="auto" w:fill="auto"/>
            <w:vAlign w:val="center"/>
          </w:tcPr>
          <w:p w14:paraId="2EBF18B3">
            <w:pPr>
              <w:jc w:val="center"/>
              <w:rPr>
                <w:rFonts w:ascii="宋体" w:hAnsi="宋体" w:cs="宋体"/>
                <w:color w:val="auto"/>
                <w:szCs w:val="21"/>
                <w:highlight w:val="none"/>
              </w:rPr>
            </w:pPr>
            <w:r>
              <w:rPr>
                <w:rFonts w:hint="eastAsia" w:ascii="宋体" w:hAnsi="宋体" w:cs="宋体"/>
                <w:color w:val="auto"/>
                <w:szCs w:val="21"/>
                <w:highlight w:val="none"/>
              </w:rPr>
              <w:t>4套</w:t>
            </w:r>
          </w:p>
        </w:tc>
        <w:tc>
          <w:tcPr>
            <w:tcW w:w="701" w:type="dxa"/>
            <w:tcBorders>
              <w:right w:val="single" w:color="auto" w:sz="4" w:space="0"/>
            </w:tcBorders>
            <w:shd w:val="clear" w:color="auto" w:fill="auto"/>
            <w:vAlign w:val="center"/>
          </w:tcPr>
          <w:p w14:paraId="30B56775">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工业</w:t>
            </w:r>
          </w:p>
        </w:tc>
        <w:tc>
          <w:tcPr>
            <w:tcW w:w="6527" w:type="dxa"/>
            <w:tcBorders>
              <w:left w:val="single" w:color="auto" w:sz="4" w:space="0"/>
              <w:right w:val="single" w:color="auto" w:sz="4" w:space="0"/>
            </w:tcBorders>
            <w:shd w:val="clear" w:color="auto" w:fill="auto"/>
            <w:vAlign w:val="center"/>
          </w:tcPr>
          <w:p w14:paraId="5FA4A4C1">
            <w:pPr>
              <w:rPr>
                <w:rFonts w:ascii="宋体" w:hAnsi="宋体"/>
                <w:color w:val="auto"/>
                <w:sz w:val="20"/>
                <w:highlight w:val="none"/>
              </w:rPr>
            </w:pPr>
            <w:r>
              <w:rPr>
                <w:rFonts w:hint="eastAsia" w:ascii="宋体" w:hAnsi="宋体"/>
                <w:color w:val="auto"/>
                <w:sz w:val="20"/>
                <w:highlight w:val="none"/>
              </w:rPr>
              <w:t>42U机柜，</w:t>
            </w:r>
            <w:r>
              <w:rPr>
                <w:rFonts w:hint="eastAsia"/>
                <w:color w:val="auto"/>
                <w:highlight w:val="none"/>
              </w:rPr>
              <w:t>≥</w:t>
            </w:r>
            <w:r>
              <w:rPr>
                <w:rFonts w:hint="eastAsia" w:ascii="宋体" w:hAnsi="宋体"/>
                <w:color w:val="auto"/>
                <w:sz w:val="20"/>
                <w:highlight w:val="none"/>
              </w:rPr>
              <w:t>600*800*2055mm</w:t>
            </w:r>
          </w:p>
          <w:p w14:paraId="6AF7E236">
            <w:pPr>
              <w:rPr>
                <w:rFonts w:ascii="宋体" w:hAnsi="宋体"/>
                <w:color w:val="auto"/>
                <w:sz w:val="20"/>
                <w:highlight w:val="none"/>
              </w:rPr>
            </w:pPr>
            <w:r>
              <w:rPr>
                <w:rFonts w:hint="eastAsia" w:ascii="宋体" w:hAnsi="宋体"/>
                <w:color w:val="auto"/>
                <w:sz w:val="20"/>
                <w:highlight w:val="none"/>
              </w:rPr>
              <w:t>不少于8口PDU国标电源插排×1，固定板部件×3,风扇×4,2"重型脚轮×4，M12支脚×4，M6方螺母螺钉×40，内六角扳手×1</w:t>
            </w:r>
          </w:p>
        </w:tc>
      </w:tr>
      <w:tr w14:paraId="3AA8D7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jc w:val="center"/>
        </w:trPr>
        <w:tc>
          <w:tcPr>
            <w:tcW w:w="659" w:type="dxa"/>
            <w:shd w:val="clear" w:color="auto" w:fill="auto"/>
            <w:vAlign w:val="center"/>
          </w:tcPr>
          <w:p w14:paraId="5D4F80C3">
            <w:pPr>
              <w:jc w:val="center"/>
              <w:rPr>
                <w:rFonts w:ascii="宋体" w:hAnsi="宋体" w:cs="宋体"/>
                <w:color w:val="auto"/>
                <w:szCs w:val="21"/>
                <w:highlight w:val="none"/>
              </w:rPr>
            </w:pPr>
            <w:r>
              <w:rPr>
                <w:rFonts w:hint="eastAsia" w:ascii="宋体" w:hAnsi="宋体" w:cs="宋体"/>
                <w:color w:val="auto"/>
                <w:szCs w:val="21"/>
                <w:highlight w:val="none"/>
              </w:rPr>
              <w:t>2</w:t>
            </w:r>
          </w:p>
        </w:tc>
        <w:tc>
          <w:tcPr>
            <w:tcW w:w="1148" w:type="dxa"/>
            <w:shd w:val="clear" w:color="auto" w:fill="auto"/>
            <w:vAlign w:val="center"/>
          </w:tcPr>
          <w:p w14:paraId="5C7D359B">
            <w:pPr>
              <w:jc w:val="center"/>
              <w:rPr>
                <w:rFonts w:ascii="宋体" w:hAnsi="宋体" w:cs="宋体"/>
                <w:color w:val="auto"/>
                <w:szCs w:val="21"/>
                <w:highlight w:val="none"/>
              </w:rPr>
            </w:pPr>
            <w:r>
              <w:rPr>
                <w:rFonts w:hint="eastAsia" w:ascii="宋体" w:hAnsi="宋体" w:cs="宋体"/>
                <w:color w:val="auto"/>
                <w:szCs w:val="21"/>
                <w:highlight w:val="none"/>
              </w:rPr>
              <w:t>桌插</w:t>
            </w:r>
          </w:p>
        </w:tc>
        <w:tc>
          <w:tcPr>
            <w:tcW w:w="961" w:type="dxa"/>
            <w:shd w:val="clear" w:color="auto" w:fill="auto"/>
            <w:vAlign w:val="center"/>
          </w:tcPr>
          <w:p w14:paraId="23FFAD51">
            <w:pPr>
              <w:jc w:val="center"/>
              <w:rPr>
                <w:rFonts w:ascii="宋体" w:hAnsi="宋体" w:cs="宋体"/>
                <w:color w:val="auto"/>
                <w:szCs w:val="21"/>
                <w:highlight w:val="none"/>
              </w:rPr>
            </w:pPr>
            <w:r>
              <w:rPr>
                <w:rFonts w:hint="eastAsia" w:ascii="宋体" w:hAnsi="宋体" w:cs="宋体"/>
                <w:color w:val="auto"/>
                <w:szCs w:val="21"/>
                <w:highlight w:val="none"/>
              </w:rPr>
              <w:t>2个</w:t>
            </w:r>
          </w:p>
        </w:tc>
        <w:tc>
          <w:tcPr>
            <w:tcW w:w="701" w:type="dxa"/>
            <w:tcBorders>
              <w:right w:val="single" w:color="auto" w:sz="4" w:space="0"/>
            </w:tcBorders>
            <w:shd w:val="clear" w:color="auto" w:fill="auto"/>
            <w:vAlign w:val="center"/>
          </w:tcPr>
          <w:p w14:paraId="60CE132A">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工业</w:t>
            </w:r>
          </w:p>
        </w:tc>
        <w:tc>
          <w:tcPr>
            <w:tcW w:w="6527" w:type="dxa"/>
            <w:tcBorders>
              <w:left w:val="single" w:color="auto" w:sz="4" w:space="0"/>
              <w:right w:val="single" w:color="auto" w:sz="4" w:space="0"/>
            </w:tcBorders>
            <w:shd w:val="clear" w:color="auto" w:fill="auto"/>
            <w:vAlign w:val="center"/>
          </w:tcPr>
          <w:p w14:paraId="187EA82F">
            <w:pPr>
              <w:rPr>
                <w:rFonts w:ascii="宋体" w:hAnsi="宋体"/>
                <w:color w:val="auto"/>
                <w:sz w:val="20"/>
                <w:highlight w:val="none"/>
              </w:rPr>
            </w:pPr>
            <w:r>
              <w:rPr>
                <w:rFonts w:hint="eastAsia" w:ascii="宋体" w:hAnsi="宋体"/>
                <w:color w:val="auto"/>
                <w:sz w:val="20"/>
                <w:highlight w:val="none"/>
              </w:rPr>
              <w:t>1.插座采用全铝结构，信息模块接口采用标准模块。</w:t>
            </w:r>
          </w:p>
          <w:p w14:paraId="14CF4BF7">
            <w:pPr>
              <w:rPr>
                <w:rFonts w:ascii="宋体" w:hAnsi="宋体"/>
                <w:color w:val="auto"/>
                <w:sz w:val="20"/>
                <w:highlight w:val="none"/>
              </w:rPr>
            </w:pPr>
            <w:r>
              <w:rPr>
                <w:rFonts w:hint="eastAsia" w:ascii="宋体" w:hAnsi="宋体"/>
                <w:color w:val="auto"/>
                <w:sz w:val="20"/>
                <w:highlight w:val="none"/>
              </w:rPr>
              <w:t>2.弹起式桌面插座，支持45°仰角。</w:t>
            </w:r>
          </w:p>
          <w:p w14:paraId="73BA60A5">
            <w:pPr>
              <w:rPr>
                <w:rFonts w:ascii="宋体" w:hAnsi="宋体"/>
                <w:color w:val="auto"/>
                <w:sz w:val="20"/>
                <w:highlight w:val="none"/>
              </w:rPr>
            </w:pPr>
            <w:r>
              <w:rPr>
                <w:rFonts w:hint="eastAsia" w:ascii="宋体" w:hAnsi="宋体"/>
                <w:color w:val="auto"/>
                <w:sz w:val="20"/>
                <w:highlight w:val="none"/>
              </w:rPr>
              <w:t>3.具有≥1个功能按键，支持自定义按键的功能，搭配中控矩阵使用可实现视频切换、搭配中控系统支持扩展场景调用功能、搭配中控会议系统实现会议系统电源开启关闭功能等。</w:t>
            </w:r>
          </w:p>
          <w:p w14:paraId="244D2933">
            <w:pPr>
              <w:rPr>
                <w:rFonts w:ascii="宋体" w:hAnsi="宋体"/>
                <w:color w:val="auto"/>
                <w:sz w:val="20"/>
                <w:highlight w:val="none"/>
              </w:rPr>
            </w:pPr>
            <w:r>
              <w:rPr>
                <w:rFonts w:hint="eastAsia" w:ascii="宋体" w:hAnsi="宋体"/>
                <w:color w:val="auto"/>
                <w:sz w:val="20"/>
                <w:highlight w:val="none"/>
              </w:rPr>
              <w:t>4.配置接口：≥1个多功能电源接口、≥2个RJ45网络、≥1个3.5音频、≥1个HDMI高清视频接口、≥1个功能按键</w:t>
            </w:r>
          </w:p>
        </w:tc>
      </w:tr>
      <w:tr w14:paraId="62E9EF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jc w:val="center"/>
        </w:trPr>
        <w:tc>
          <w:tcPr>
            <w:tcW w:w="659" w:type="dxa"/>
            <w:shd w:val="clear" w:color="auto" w:fill="auto"/>
            <w:vAlign w:val="center"/>
          </w:tcPr>
          <w:p w14:paraId="71A1128F">
            <w:pPr>
              <w:jc w:val="center"/>
              <w:rPr>
                <w:rFonts w:ascii="宋体" w:hAnsi="宋体" w:cs="宋体"/>
                <w:color w:val="auto"/>
                <w:szCs w:val="21"/>
                <w:highlight w:val="none"/>
              </w:rPr>
            </w:pPr>
            <w:r>
              <w:rPr>
                <w:rFonts w:hint="eastAsia" w:ascii="宋体" w:hAnsi="宋体" w:cs="宋体"/>
                <w:color w:val="auto"/>
                <w:szCs w:val="21"/>
                <w:highlight w:val="none"/>
              </w:rPr>
              <w:t>3</w:t>
            </w:r>
          </w:p>
        </w:tc>
        <w:tc>
          <w:tcPr>
            <w:tcW w:w="1148" w:type="dxa"/>
            <w:shd w:val="clear" w:color="auto" w:fill="auto"/>
            <w:vAlign w:val="center"/>
          </w:tcPr>
          <w:p w14:paraId="29A21017">
            <w:pPr>
              <w:jc w:val="center"/>
              <w:rPr>
                <w:rFonts w:ascii="宋体" w:hAnsi="宋体" w:cs="宋体"/>
                <w:color w:val="auto"/>
                <w:szCs w:val="21"/>
                <w:highlight w:val="none"/>
              </w:rPr>
            </w:pPr>
            <w:r>
              <w:rPr>
                <w:rFonts w:hint="eastAsia" w:ascii="宋体" w:hAnsi="宋体" w:cs="宋体"/>
                <w:color w:val="auto"/>
                <w:szCs w:val="21"/>
                <w:highlight w:val="none"/>
              </w:rPr>
              <w:t>音频隔离器</w:t>
            </w:r>
          </w:p>
        </w:tc>
        <w:tc>
          <w:tcPr>
            <w:tcW w:w="961" w:type="dxa"/>
            <w:shd w:val="clear" w:color="auto" w:fill="auto"/>
            <w:vAlign w:val="center"/>
          </w:tcPr>
          <w:p w14:paraId="370D2F81">
            <w:pPr>
              <w:jc w:val="center"/>
              <w:rPr>
                <w:rFonts w:ascii="宋体" w:hAnsi="宋体" w:cs="宋体"/>
                <w:color w:val="auto"/>
                <w:szCs w:val="21"/>
                <w:highlight w:val="none"/>
              </w:rPr>
            </w:pPr>
            <w:r>
              <w:rPr>
                <w:rFonts w:hint="eastAsia" w:ascii="宋体" w:hAnsi="宋体" w:cs="宋体"/>
                <w:color w:val="auto"/>
                <w:szCs w:val="21"/>
                <w:highlight w:val="none"/>
              </w:rPr>
              <w:t>2个</w:t>
            </w:r>
          </w:p>
        </w:tc>
        <w:tc>
          <w:tcPr>
            <w:tcW w:w="701" w:type="dxa"/>
            <w:tcBorders>
              <w:right w:val="single" w:color="auto" w:sz="4" w:space="0"/>
            </w:tcBorders>
            <w:shd w:val="clear" w:color="auto" w:fill="auto"/>
            <w:vAlign w:val="center"/>
          </w:tcPr>
          <w:p w14:paraId="4FEEA1D2">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工业</w:t>
            </w:r>
          </w:p>
        </w:tc>
        <w:tc>
          <w:tcPr>
            <w:tcW w:w="6527" w:type="dxa"/>
            <w:tcBorders>
              <w:left w:val="single" w:color="auto" w:sz="4" w:space="0"/>
              <w:right w:val="single" w:color="auto" w:sz="4" w:space="0"/>
            </w:tcBorders>
            <w:shd w:val="clear" w:color="auto" w:fill="auto"/>
            <w:vAlign w:val="center"/>
          </w:tcPr>
          <w:p w14:paraId="552D0377">
            <w:pPr>
              <w:rPr>
                <w:rFonts w:ascii="宋体" w:hAnsi="宋体"/>
                <w:color w:val="auto"/>
                <w:sz w:val="20"/>
                <w:highlight w:val="none"/>
              </w:rPr>
            </w:pPr>
            <w:r>
              <w:rPr>
                <w:rFonts w:hint="eastAsia" w:ascii="宋体" w:hAnsi="宋体"/>
                <w:color w:val="auto"/>
                <w:sz w:val="20"/>
                <w:highlight w:val="none"/>
              </w:rPr>
              <w:t>1.一款双通道音频隔离器。</w:t>
            </w:r>
          </w:p>
          <w:p w14:paraId="12858536">
            <w:pPr>
              <w:rPr>
                <w:rFonts w:ascii="宋体" w:hAnsi="宋体"/>
                <w:color w:val="auto"/>
                <w:sz w:val="20"/>
                <w:highlight w:val="none"/>
              </w:rPr>
            </w:pPr>
            <w:r>
              <w:rPr>
                <w:rFonts w:hint="eastAsia" w:ascii="宋体" w:hAnsi="宋体"/>
                <w:color w:val="auto"/>
                <w:sz w:val="20"/>
                <w:highlight w:val="none"/>
              </w:rPr>
              <w:t>2.低底噪、无50Hz交流“嗡”声、无高频“嗞啦”干扰。</w:t>
            </w:r>
          </w:p>
          <w:p w14:paraId="20036C78">
            <w:pPr>
              <w:rPr>
                <w:rFonts w:ascii="宋体" w:hAnsi="宋体"/>
                <w:color w:val="auto"/>
                <w:sz w:val="20"/>
                <w:highlight w:val="none"/>
              </w:rPr>
            </w:pPr>
            <w:r>
              <w:rPr>
                <w:rFonts w:hint="eastAsia" w:ascii="宋体" w:hAnsi="宋体"/>
                <w:color w:val="auto"/>
                <w:sz w:val="20"/>
                <w:highlight w:val="none"/>
              </w:rPr>
              <w:t>3.点对点平衡传输音频，可以选择前面板2个接口中的任意一个COMBO接口输入，从后面板对应COMBO接口输出。</w:t>
            </w:r>
          </w:p>
          <w:p w14:paraId="3DA51E4D">
            <w:pPr>
              <w:rPr>
                <w:rFonts w:ascii="宋体" w:hAnsi="宋体"/>
                <w:color w:val="auto"/>
                <w:sz w:val="20"/>
                <w:highlight w:val="none"/>
              </w:rPr>
            </w:pPr>
            <w:r>
              <w:rPr>
                <w:rFonts w:hint="eastAsia" w:ascii="宋体" w:hAnsi="宋体"/>
                <w:color w:val="auto"/>
                <w:sz w:val="20"/>
                <w:highlight w:val="none"/>
              </w:rPr>
              <w:t>4.即插即用，支持热插拨。</w:t>
            </w:r>
          </w:p>
          <w:p w14:paraId="5678B305">
            <w:pPr>
              <w:rPr>
                <w:rFonts w:ascii="宋体" w:hAnsi="宋体"/>
                <w:color w:val="auto"/>
                <w:sz w:val="20"/>
                <w:highlight w:val="none"/>
              </w:rPr>
            </w:pPr>
            <w:r>
              <w:rPr>
                <w:rFonts w:hint="eastAsia" w:ascii="宋体" w:hAnsi="宋体"/>
                <w:color w:val="auto"/>
                <w:sz w:val="20"/>
                <w:highlight w:val="none"/>
              </w:rPr>
              <w:t>5.隔离滤波音频传输最远传输信号等同或优于450－600米。</w:t>
            </w:r>
          </w:p>
          <w:p w14:paraId="741D791C">
            <w:pPr>
              <w:rPr>
                <w:rFonts w:ascii="宋体" w:hAnsi="宋体"/>
                <w:color w:val="auto"/>
                <w:sz w:val="20"/>
                <w:highlight w:val="none"/>
              </w:rPr>
            </w:pPr>
            <w:r>
              <w:rPr>
                <w:rFonts w:hint="eastAsia" w:ascii="宋体" w:hAnsi="宋体"/>
                <w:color w:val="auto"/>
                <w:sz w:val="20"/>
                <w:highlight w:val="none"/>
              </w:rPr>
              <w:t>6.内置瞬态、浪涌抑制、抗静电保护电路。</w:t>
            </w:r>
          </w:p>
          <w:p w14:paraId="00B4A762">
            <w:pPr>
              <w:rPr>
                <w:rFonts w:ascii="宋体" w:hAnsi="宋体"/>
                <w:color w:val="auto"/>
                <w:sz w:val="20"/>
                <w:highlight w:val="none"/>
              </w:rPr>
            </w:pPr>
            <w:r>
              <w:rPr>
                <w:rFonts w:hint="eastAsia" w:ascii="宋体" w:hAnsi="宋体"/>
                <w:color w:val="auto"/>
                <w:sz w:val="20"/>
                <w:highlight w:val="none"/>
              </w:rPr>
              <w:t>7.具有≥2路XLR输入；具有≥2路XLR输出</w:t>
            </w:r>
          </w:p>
        </w:tc>
      </w:tr>
      <w:tr w14:paraId="73E676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jc w:val="center"/>
        </w:trPr>
        <w:tc>
          <w:tcPr>
            <w:tcW w:w="659" w:type="dxa"/>
            <w:shd w:val="clear" w:color="auto" w:fill="auto"/>
            <w:vAlign w:val="center"/>
          </w:tcPr>
          <w:p w14:paraId="6B959133">
            <w:pPr>
              <w:jc w:val="center"/>
              <w:rPr>
                <w:rFonts w:ascii="宋体" w:hAnsi="宋体" w:cs="宋体"/>
                <w:color w:val="auto"/>
                <w:szCs w:val="21"/>
                <w:highlight w:val="none"/>
              </w:rPr>
            </w:pPr>
            <w:r>
              <w:rPr>
                <w:rFonts w:hint="eastAsia" w:ascii="宋体" w:hAnsi="宋体" w:cs="宋体"/>
                <w:color w:val="auto"/>
                <w:szCs w:val="21"/>
                <w:highlight w:val="none"/>
              </w:rPr>
              <w:t>4</w:t>
            </w:r>
          </w:p>
        </w:tc>
        <w:tc>
          <w:tcPr>
            <w:tcW w:w="1148" w:type="dxa"/>
            <w:shd w:val="clear" w:color="auto" w:fill="auto"/>
            <w:vAlign w:val="center"/>
          </w:tcPr>
          <w:p w14:paraId="750C05C9">
            <w:pPr>
              <w:jc w:val="center"/>
              <w:rPr>
                <w:rFonts w:ascii="宋体" w:hAnsi="宋体" w:cs="宋体"/>
                <w:color w:val="auto"/>
                <w:szCs w:val="21"/>
                <w:highlight w:val="none"/>
              </w:rPr>
            </w:pPr>
            <w:r>
              <w:rPr>
                <w:rFonts w:hint="eastAsia" w:ascii="宋体" w:hAnsi="宋体" w:cs="宋体"/>
                <w:color w:val="auto"/>
                <w:szCs w:val="21"/>
                <w:highlight w:val="none"/>
              </w:rPr>
              <w:t>音频连接线</w:t>
            </w:r>
          </w:p>
        </w:tc>
        <w:tc>
          <w:tcPr>
            <w:tcW w:w="961" w:type="dxa"/>
            <w:shd w:val="clear" w:color="auto" w:fill="auto"/>
            <w:vAlign w:val="center"/>
          </w:tcPr>
          <w:p w14:paraId="02900330">
            <w:pPr>
              <w:jc w:val="center"/>
              <w:rPr>
                <w:rFonts w:ascii="宋体" w:hAnsi="宋体" w:cs="宋体"/>
                <w:color w:val="auto"/>
                <w:szCs w:val="21"/>
                <w:highlight w:val="none"/>
              </w:rPr>
            </w:pPr>
            <w:r>
              <w:rPr>
                <w:rFonts w:hint="eastAsia" w:ascii="宋体" w:hAnsi="宋体" w:cs="宋体"/>
                <w:color w:val="auto"/>
                <w:szCs w:val="21"/>
                <w:highlight w:val="none"/>
              </w:rPr>
              <w:t>8根</w:t>
            </w:r>
          </w:p>
        </w:tc>
        <w:tc>
          <w:tcPr>
            <w:tcW w:w="701" w:type="dxa"/>
            <w:tcBorders>
              <w:right w:val="single" w:color="auto" w:sz="4" w:space="0"/>
            </w:tcBorders>
            <w:shd w:val="clear" w:color="auto" w:fill="auto"/>
            <w:vAlign w:val="center"/>
          </w:tcPr>
          <w:p w14:paraId="369C4EC6">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工业</w:t>
            </w:r>
          </w:p>
        </w:tc>
        <w:tc>
          <w:tcPr>
            <w:tcW w:w="6527" w:type="dxa"/>
            <w:tcBorders>
              <w:left w:val="single" w:color="auto" w:sz="4" w:space="0"/>
              <w:right w:val="single" w:color="auto" w:sz="4" w:space="0"/>
            </w:tcBorders>
            <w:shd w:val="clear" w:color="auto" w:fill="auto"/>
            <w:vAlign w:val="center"/>
          </w:tcPr>
          <w:p w14:paraId="29C035CE">
            <w:pPr>
              <w:rPr>
                <w:rFonts w:ascii="宋体" w:hAnsi="宋体"/>
                <w:color w:val="auto"/>
                <w:sz w:val="20"/>
                <w:highlight w:val="none"/>
              </w:rPr>
            </w:pPr>
            <w:r>
              <w:rPr>
                <w:rFonts w:hint="eastAsia" w:ascii="宋体" w:hAnsi="宋体"/>
                <w:color w:val="auto"/>
                <w:sz w:val="20"/>
                <w:highlight w:val="none"/>
              </w:rPr>
              <w:t>1.8米音频连接线：卡侬头（母）-卡侬头（公）</w:t>
            </w:r>
          </w:p>
        </w:tc>
      </w:tr>
      <w:tr w14:paraId="6D253C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jc w:val="center"/>
        </w:trPr>
        <w:tc>
          <w:tcPr>
            <w:tcW w:w="659" w:type="dxa"/>
            <w:shd w:val="clear" w:color="auto" w:fill="auto"/>
            <w:vAlign w:val="center"/>
          </w:tcPr>
          <w:p w14:paraId="3808F3FF">
            <w:pPr>
              <w:jc w:val="center"/>
              <w:rPr>
                <w:rFonts w:ascii="宋体" w:hAnsi="宋体" w:cs="宋体"/>
                <w:color w:val="auto"/>
                <w:szCs w:val="21"/>
                <w:highlight w:val="none"/>
              </w:rPr>
            </w:pPr>
            <w:r>
              <w:rPr>
                <w:rFonts w:hint="eastAsia" w:ascii="宋体" w:hAnsi="宋体" w:cs="宋体"/>
                <w:color w:val="auto"/>
                <w:szCs w:val="21"/>
                <w:highlight w:val="none"/>
              </w:rPr>
              <w:t>5</w:t>
            </w:r>
          </w:p>
        </w:tc>
        <w:tc>
          <w:tcPr>
            <w:tcW w:w="1148" w:type="dxa"/>
            <w:shd w:val="clear" w:color="auto" w:fill="auto"/>
            <w:vAlign w:val="center"/>
          </w:tcPr>
          <w:p w14:paraId="159C3C8C">
            <w:pPr>
              <w:jc w:val="center"/>
              <w:rPr>
                <w:rFonts w:ascii="宋体" w:hAnsi="宋体" w:cs="宋体"/>
                <w:color w:val="auto"/>
                <w:szCs w:val="21"/>
                <w:highlight w:val="none"/>
              </w:rPr>
            </w:pPr>
            <w:r>
              <w:rPr>
                <w:rFonts w:hint="eastAsia" w:ascii="宋体" w:hAnsi="宋体" w:cs="宋体"/>
                <w:color w:val="auto"/>
                <w:szCs w:val="21"/>
                <w:highlight w:val="none"/>
              </w:rPr>
              <w:t>音频连接线</w:t>
            </w:r>
          </w:p>
        </w:tc>
        <w:tc>
          <w:tcPr>
            <w:tcW w:w="961" w:type="dxa"/>
            <w:shd w:val="clear" w:color="auto" w:fill="auto"/>
            <w:vAlign w:val="center"/>
          </w:tcPr>
          <w:p w14:paraId="19294ADC">
            <w:pPr>
              <w:jc w:val="center"/>
              <w:rPr>
                <w:rFonts w:ascii="宋体" w:hAnsi="宋体" w:cs="宋体"/>
                <w:color w:val="auto"/>
                <w:szCs w:val="21"/>
                <w:highlight w:val="none"/>
              </w:rPr>
            </w:pPr>
            <w:r>
              <w:rPr>
                <w:rFonts w:hint="eastAsia" w:ascii="宋体" w:hAnsi="宋体" w:cs="宋体"/>
                <w:color w:val="auto"/>
                <w:szCs w:val="21"/>
                <w:highlight w:val="none"/>
              </w:rPr>
              <w:t>2根</w:t>
            </w:r>
          </w:p>
        </w:tc>
        <w:tc>
          <w:tcPr>
            <w:tcW w:w="701" w:type="dxa"/>
            <w:tcBorders>
              <w:right w:val="single" w:color="auto" w:sz="4" w:space="0"/>
            </w:tcBorders>
            <w:shd w:val="clear" w:color="auto" w:fill="auto"/>
            <w:vAlign w:val="center"/>
          </w:tcPr>
          <w:p w14:paraId="6F5CB2D5">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工业</w:t>
            </w:r>
          </w:p>
        </w:tc>
        <w:tc>
          <w:tcPr>
            <w:tcW w:w="6527" w:type="dxa"/>
            <w:tcBorders>
              <w:left w:val="single" w:color="auto" w:sz="4" w:space="0"/>
              <w:right w:val="single" w:color="auto" w:sz="4" w:space="0"/>
            </w:tcBorders>
            <w:shd w:val="clear" w:color="auto" w:fill="auto"/>
            <w:vAlign w:val="center"/>
          </w:tcPr>
          <w:p w14:paraId="334EA707">
            <w:pPr>
              <w:rPr>
                <w:rFonts w:ascii="宋体" w:hAnsi="宋体"/>
                <w:color w:val="auto"/>
                <w:sz w:val="20"/>
                <w:highlight w:val="none"/>
              </w:rPr>
            </w:pPr>
            <w:r>
              <w:rPr>
                <w:rFonts w:hint="eastAsia" w:ascii="宋体" w:hAnsi="宋体"/>
                <w:color w:val="auto"/>
                <w:sz w:val="20"/>
                <w:highlight w:val="none"/>
              </w:rPr>
              <w:t>1.8米音频连接线：6.35话筒插头-6.35话筒插头</w:t>
            </w:r>
          </w:p>
        </w:tc>
      </w:tr>
      <w:tr w14:paraId="217F1B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jc w:val="center"/>
        </w:trPr>
        <w:tc>
          <w:tcPr>
            <w:tcW w:w="659" w:type="dxa"/>
            <w:shd w:val="clear" w:color="auto" w:fill="auto"/>
            <w:vAlign w:val="center"/>
          </w:tcPr>
          <w:p w14:paraId="65E64A21">
            <w:pPr>
              <w:jc w:val="center"/>
              <w:rPr>
                <w:rFonts w:ascii="宋体" w:hAnsi="宋体" w:cs="宋体"/>
                <w:color w:val="auto"/>
                <w:szCs w:val="21"/>
                <w:highlight w:val="none"/>
              </w:rPr>
            </w:pPr>
            <w:r>
              <w:rPr>
                <w:rFonts w:hint="eastAsia" w:ascii="宋体" w:hAnsi="宋体" w:cs="宋体"/>
                <w:color w:val="auto"/>
                <w:szCs w:val="21"/>
                <w:highlight w:val="none"/>
              </w:rPr>
              <w:t>6</w:t>
            </w:r>
          </w:p>
        </w:tc>
        <w:tc>
          <w:tcPr>
            <w:tcW w:w="1148" w:type="dxa"/>
            <w:shd w:val="clear" w:color="auto" w:fill="auto"/>
            <w:vAlign w:val="center"/>
          </w:tcPr>
          <w:p w14:paraId="4C62E106">
            <w:pPr>
              <w:jc w:val="center"/>
              <w:rPr>
                <w:rFonts w:ascii="宋体" w:hAnsi="宋体" w:cs="宋体"/>
                <w:color w:val="auto"/>
                <w:szCs w:val="21"/>
                <w:highlight w:val="none"/>
              </w:rPr>
            </w:pPr>
            <w:r>
              <w:rPr>
                <w:rFonts w:hint="eastAsia" w:ascii="宋体" w:hAnsi="宋体" w:cs="宋体"/>
                <w:color w:val="auto"/>
                <w:szCs w:val="21"/>
                <w:highlight w:val="none"/>
              </w:rPr>
              <w:t>音频连接线</w:t>
            </w:r>
          </w:p>
        </w:tc>
        <w:tc>
          <w:tcPr>
            <w:tcW w:w="961" w:type="dxa"/>
            <w:shd w:val="clear" w:color="auto" w:fill="auto"/>
            <w:vAlign w:val="center"/>
          </w:tcPr>
          <w:p w14:paraId="6F88F2EE">
            <w:pPr>
              <w:jc w:val="center"/>
              <w:rPr>
                <w:rFonts w:ascii="宋体" w:hAnsi="宋体" w:cs="宋体"/>
                <w:color w:val="auto"/>
                <w:szCs w:val="21"/>
                <w:highlight w:val="none"/>
              </w:rPr>
            </w:pPr>
            <w:r>
              <w:rPr>
                <w:rFonts w:hint="eastAsia" w:ascii="宋体" w:hAnsi="宋体" w:cs="宋体"/>
                <w:color w:val="auto"/>
                <w:szCs w:val="21"/>
                <w:highlight w:val="none"/>
              </w:rPr>
              <w:t>6根</w:t>
            </w:r>
          </w:p>
        </w:tc>
        <w:tc>
          <w:tcPr>
            <w:tcW w:w="701" w:type="dxa"/>
            <w:tcBorders>
              <w:right w:val="single" w:color="auto" w:sz="4" w:space="0"/>
            </w:tcBorders>
            <w:shd w:val="clear" w:color="auto" w:fill="auto"/>
            <w:vAlign w:val="center"/>
          </w:tcPr>
          <w:p w14:paraId="6DAD696E">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工业</w:t>
            </w:r>
          </w:p>
        </w:tc>
        <w:tc>
          <w:tcPr>
            <w:tcW w:w="6527" w:type="dxa"/>
            <w:tcBorders>
              <w:left w:val="single" w:color="auto" w:sz="4" w:space="0"/>
              <w:right w:val="single" w:color="auto" w:sz="4" w:space="0"/>
            </w:tcBorders>
            <w:shd w:val="clear" w:color="auto" w:fill="auto"/>
            <w:vAlign w:val="center"/>
          </w:tcPr>
          <w:p w14:paraId="4FEAEA5A">
            <w:pPr>
              <w:rPr>
                <w:rFonts w:ascii="宋体" w:hAnsi="宋体"/>
                <w:color w:val="auto"/>
                <w:sz w:val="20"/>
                <w:highlight w:val="none"/>
              </w:rPr>
            </w:pPr>
            <w:r>
              <w:rPr>
                <w:rFonts w:hint="eastAsia" w:ascii="宋体" w:hAnsi="宋体"/>
                <w:color w:val="auto"/>
                <w:sz w:val="20"/>
                <w:highlight w:val="none"/>
              </w:rPr>
              <w:t>1.8米音频连接线：卡农头（母）-空</w:t>
            </w:r>
          </w:p>
        </w:tc>
      </w:tr>
      <w:tr w14:paraId="045C59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jc w:val="center"/>
        </w:trPr>
        <w:tc>
          <w:tcPr>
            <w:tcW w:w="659" w:type="dxa"/>
            <w:shd w:val="clear" w:color="auto" w:fill="auto"/>
            <w:vAlign w:val="center"/>
          </w:tcPr>
          <w:p w14:paraId="44F192DC">
            <w:pPr>
              <w:jc w:val="center"/>
              <w:rPr>
                <w:rFonts w:ascii="宋体" w:hAnsi="宋体" w:cs="宋体"/>
                <w:color w:val="auto"/>
                <w:szCs w:val="21"/>
                <w:highlight w:val="none"/>
              </w:rPr>
            </w:pPr>
            <w:r>
              <w:rPr>
                <w:rFonts w:hint="eastAsia" w:ascii="宋体" w:hAnsi="宋体" w:cs="宋体"/>
                <w:color w:val="auto"/>
                <w:szCs w:val="21"/>
                <w:highlight w:val="none"/>
              </w:rPr>
              <w:t>7</w:t>
            </w:r>
          </w:p>
        </w:tc>
        <w:tc>
          <w:tcPr>
            <w:tcW w:w="1148" w:type="dxa"/>
            <w:shd w:val="clear" w:color="auto" w:fill="auto"/>
            <w:vAlign w:val="center"/>
          </w:tcPr>
          <w:p w14:paraId="68B30112">
            <w:pPr>
              <w:jc w:val="center"/>
              <w:rPr>
                <w:rFonts w:ascii="宋体" w:hAnsi="宋体" w:cs="宋体"/>
                <w:color w:val="auto"/>
                <w:szCs w:val="21"/>
                <w:highlight w:val="none"/>
              </w:rPr>
            </w:pPr>
            <w:r>
              <w:rPr>
                <w:rFonts w:hint="eastAsia" w:ascii="宋体" w:hAnsi="宋体" w:cs="宋体"/>
                <w:color w:val="auto"/>
                <w:szCs w:val="21"/>
                <w:highlight w:val="none"/>
              </w:rPr>
              <w:t>音频连接线</w:t>
            </w:r>
          </w:p>
        </w:tc>
        <w:tc>
          <w:tcPr>
            <w:tcW w:w="961" w:type="dxa"/>
            <w:shd w:val="clear" w:color="auto" w:fill="auto"/>
            <w:vAlign w:val="center"/>
          </w:tcPr>
          <w:p w14:paraId="0D611921">
            <w:pPr>
              <w:jc w:val="center"/>
              <w:rPr>
                <w:rFonts w:ascii="宋体" w:hAnsi="宋体" w:cs="宋体"/>
                <w:color w:val="auto"/>
                <w:szCs w:val="21"/>
                <w:highlight w:val="none"/>
              </w:rPr>
            </w:pPr>
            <w:r>
              <w:rPr>
                <w:rFonts w:hint="eastAsia" w:ascii="宋体" w:hAnsi="宋体" w:cs="宋体"/>
                <w:color w:val="auto"/>
                <w:szCs w:val="21"/>
                <w:highlight w:val="none"/>
              </w:rPr>
              <w:t>4根</w:t>
            </w:r>
          </w:p>
        </w:tc>
        <w:tc>
          <w:tcPr>
            <w:tcW w:w="701" w:type="dxa"/>
            <w:tcBorders>
              <w:right w:val="single" w:color="auto" w:sz="4" w:space="0"/>
            </w:tcBorders>
            <w:shd w:val="clear" w:color="auto" w:fill="auto"/>
            <w:vAlign w:val="center"/>
          </w:tcPr>
          <w:p w14:paraId="1AE90546">
            <w:pPr>
              <w:widowControl/>
              <w:jc w:val="center"/>
              <w:textAlignment w:val="center"/>
              <w:rPr>
                <w:rFonts w:ascii="宋体" w:hAnsi="宋体" w:cs="宋体"/>
                <w:color w:val="auto"/>
                <w:szCs w:val="21"/>
                <w:highlight w:val="none"/>
              </w:rPr>
            </w:pPr>
            <w:r>
              <w:rPr>
                <w:rFonts w:ascii="宋体" w:hAnsi="宋体" w:cs="宋体"/>
                <w:color w:val="auto"/>
                <w:szCs w:val="21"/>
                <w:highlight w:val="none"/>
              </w:rPr>
              <w:t>工业</w:t>
            </w:r>
          </w:p>
        </w:tc>
        <w:tc>
          <w:tcPr>
            <w:tcW w:w="6527" w:type="dxa"/>
            <w:tcBorders>
              <w:left w:val="single" w:color="auto" w:sz="4" w:space="0"/>
              <w:right w:val="single" w:color="auto" w:sz="4" w:space="0"/>
            </w:tcBorders>
            <w:shd w:val="clear" w:color="auto" w:fill="auto"/>
            <w:vAlign w:val="center"/>
          </w:tcPr>
          <w:p w14:paraId="357C7AAC">
            <w:pPr>
              <w:rPr>
                <w:rFonts w:ascii="宋体" w:hAnsi="宋体"/>
                <w:color w:val="auto"/>
                <w:sz w:val="20"/>
                <w:highlight w:val="none"/>
              </w:rPr>
            </w:pPr>
            <w:r>
              <w:rPr>
                <w:rFonts w:hint="eastAsia" w:ascii="宋体" w:hAnsi="宋体"/>
                <w:color w:val="auto"/>
                <w:sz w:val="20"/>
                <w:highlight w:val="none"/>
              </w:rPr>
              <w:t>1.8米音频连接线：卡农头（公）-空</w:t>
            </w:r>
          </w:p>
        </w:tc>
      </w:tr>
      <w:tr w14:paraId="3BD754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jc w:val="center"/>
        </w:trPr>
        <w:tc>
          <w:tcPr>
            <w:tcW w:w="659" w:type="dxa"/>
            <w:shd w:val="clear" w:color="auto" w:fill="auto"/>
            <w:vAlign w:val="center"/>
          </w:tcPr>
          <w:p w14:paraId="66C329EB">
            <w:pPr>
              <w:jc w:val="center"/>
              <w:rPr>
                <w:rFonts w:ascii="宋体" w:hAnsi="宋体" w:cs="宋体"/>
                <w:color w:val="auto"/>
                <w:szCs w:val="21"/>
                <w:highlight w:val="none"/>
              </w:rPr>
            </w:pPr>
            <w:r>
              <w:rPr>
                <w:rFonts w:hint="eastAsia" w:ascii="宋体" w:hAnsi="宋体" w:cs="宋体"/>
                <w:color w:val="auto"/>
                <w:szCs w:val="21"/>
                <w:highlight w:val="none"/>
              </w:rPr>
              <w:t>8</w:t>
            </w:r>
          </w:p>
        </w:tc>
        <w:tc>
          <w:tcPr>
            <w:tcW w:w="1148" w:type="dxa"/>
            <w:shd w:val="clear" w:color="auto" w:fill="auto"/>
            <w:vAlign w:val="center"/>
          </w:tcPr>
          <w:p w14:paraId="06887798">
            <w:pPr>
              <w:jc w:val="center"/>
              <w:rPr>
                <w:rFonts w:ascii="宋体" w:hAnsi="宋体" w:cs="宋体"/>
                <w:color w:val="auto"/>
                <w:szCs w:val="21"/>
                <w:highlight w:val="none"/>
              </w:rPr>
            </w:pPr>
            <w:r>
              <w:rPr>
                <w:rFonts w:hint="eastAsia" w:ascii="宋体" w:hAnsi="宋体" w:cs="宋体"/>
                <w:color w:val="auto"/>
                <w:szCs w:val="21"/>
                <w:highlight w:val="none"/>
              </w:rPr>
              <w:t>音频连接线</w:t>
            </w:r>
          </w:p>
        </w:tc>
        <w:tc>
          <w:tcPr>
            <w:tcW w:w="961" w:type="dxa"/>
            <w:shd w:val="clear" w:color="auto" w:fill="auto"/>
            <w:vAlign w:val="center"/>
          </w:tcPr>
          <w:p w14:paraId="645F8ED0">
            <w:pPr>
              <w:jc w:val="center"/>
              <w:rPr>
                <w:rFonts w:ascii="宋体" w:hAnsi="宋体" w:cs="宋体"/>
                <w:color w:val="auto"/>
                <w:szCs w:val="21"/>
                <w:highlight w:val="none"/>
              </w:rPr>
            </w:pPr>
            <w:r>
              <w:rPr>
                <w:rFonts w:hint="eastAsia" w:ascii="宋体" w:hAnsi="宋体" w:cs="宋体"/>
                <w:color w:val="auto"/>
                <w:szCs w:val="21"/>
                <w:highlight w:val="none"/>
              </w:rPr>
              <w:t>4根</w:t>
            </w:r>
          </w:p>
        </w:tc>
        <w:tc>
          <w:tcPr>
            <w:tcW w:w="701" w:type="dxa"/>
            <w:tcBorders>
              <w:right w:val="single" w:color="auto" w:sz="4" w:space="0"/>
            </w:tcBorders>
            <w:shd w:val="clear" w:color="auto" w:fill="auto"/>
            <w:vAlign w:val="center"/>
          </w:tcPr>
          <w:p w14:paraId="4C1CF69E">
            <w:pPr>
              <w:widowControl/>
              <w:jc w:val="center"/>
              <w:textAlignment w:val="center"/>
              <w:rPr>
                <w:rFonts w:ascii="宋体" w:hAnsi="宋体" w:cs="宋体"/>
                <w:color w:val="auto"/>
                <w:szCs w:val="21"/>
                <w:highlight w:val="none"/>
              </w:rPr>
            </w:pPr>
            <w:r>
              <w:rPr>
                <w:rFonts w:ascii="宋体" w:hAnsi="宋体" w:cs="宋体"/>
                <w:color w:val="auto"/>
                <w:szCs w:val="21"/>
                <w:highlight w:val="none"/>
              </w:rPr>
              <w:t>工业</w:t>
            </w:r>
          </w:p>
        </w:tc>
        <w:tc>
          <w:tcPr>
            <w:tcW w:w="6527" w:type="dxa"/>
            <w:tcBorders>
              <w:left w:val="single" w:color="auto" w:sz="4" w:space="0"/>
              <w:right w:val="single" w:color="auto" w:sz="4" w:space="0"/>
            </w:tcBorders>
            <w:shd w:val="clear" w:color="auto" w:fill="auto"/>
            <w:vAlign w:val="center"/>
          </w:tcPr>
          <w:p w14:paraId="76010E2F">
            <w:pPr>
              <w:rPr>
                <w:rFonts w:ascii="宋体" w:hAnsi="宋体"/>
                <w:color w:val="auto"/>
                <w:sz w:val="20"/>
                <w:highlight w:val="none"/>
              </w:rPr>
            </w:pPr>
            <w:r>
              <w:rPr>
                <w:rFonts w:hint="eastAsia" w:ascii="宋体" w:hAnsi="宋体"/>
                <w:color w:val="auto"/>
                <w:sz w:val="20"/>
                <w:highlight w:val="none"/>
              </w:rPr>
              <w:t>1.8米音频连接线：6.35话筒插头-空</w:t>
            </w:r>
          </w:p>
        </w:tc>
      </w:tr>
      <w:tr w14:paraId="48E013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jc w:val="center"/>
        </w:trPr>
        <w:tc>
          <w:tcPr>
            <w:tcW w:w="659" w:type="dxa"/>
            <w:shd w:val="clear" w:color="auto" w:fill="auto"/>
            <w:vAlign w:val="center"/>
          </w:tcPr>
          <w:p w14:paraId="5A13230A">
            <w:pPr>
              <w:jc w:val="center"/>
              <w:rPr>
                <w:rFonts w:ascii="宋体" w:hAnsi="宋体" w:cs="宋体"/>
                <w:color w:val="auto"/>
                <w:szCs w:val="21"/>
                <w:highlight w:val="none"/>
              </w:rPr>
            </w:pPr>
            <w:r>
              <w:rPr>
                <w:rFonts w:hint="eastAsia" w:ascii="宋体" w:hAnsi="宋体" w:cs="宋体"/>
                <w:color w:val="auto"/>
                <w:szCs w:val="21"/>
                <w:highlight w:val="none"/>
              </w:rPr>
              <w:t>9</w:t>
            </w:r>
          </w:p>
        </w:tc>
        <w:tc>
          <w:tcPr>
            <w:tcW w:w="1148" w:type="dxa"/>
            <w:shd w:val="clear" w:color="auto" w:fill="auto"/>
            <w:vAlign w:val="center"/>
          </w:tcPr>
          <w:p w14:paraId="2AC088E5">
            <w:pPr>
              <w:jc w:val="center"/>
              <w:rPr>
                <w:rFonts w:ascii="宋体" w:hAnsi="宋体" w:cs="宋体"/>
                <w:color w:val="auto"/>
                <w:szCs w:val="21"/>
                <w:highlight w:val="none"/>
              </w:rPr>
            </w:pPr>
            <w:r>
              <w:rPr>
                <w:rFonts w:hint="eastAsia" w:ascii="宋体" w:hAnsi="宋体" w:cs="宋体"/>
                <w:color w:val="auto"/>
                <w:szCs w:val="21"/>
                <w:highlight w:val="none"/>
              </w:rPr>
              <w:t>音频连接线</w:t>
            </w:r>
          </w:p>
        </w:tc>
        <w:tc>
          <w:tcPr>
            <w:tcW w:w="961" w:type="dxa"/>
            <w:shd w:val="clear" w:color="auto" w:fill="auto"/>
            <w:vAlign w:val="center"/>
          </w:tcPr>
          <w:p w14:paraId="07732176">
            <w:pPr>
              <w:jc w:val="center"/>
              <w:rPr>
                <w:rFonts w:ascii="宋体" w:hAnsi="宋体" w:cs="宋体"/>
                <w:color w:val="auto"/>
                <w:szCs w:val="21"/>
                <w:highlight w:val="none"/>
              </w:rPr>
            </w:pPr>
            <w:r>
              <w:rPr>
                <w:rFonts w:hint="eastAsia" w:ascii="宋体" w:hAnsi="宋体" w:cs="宋体"/>
                <w:color w:val="auto"/>
                <w:szCs w:val="21"/>
                <w:highlight w:val="none"/>
              </w:rPr>
              <w:t>2根</w:t>
            </w:r>
          </w:p>
        </w:tc>
        <w:tc>
          <w:tcPr>
            <w:tcW w:w="701" w:type="dxa"/>
            <w:tcBorders>
              <w:right w:val="single" w:color="auto" w:sz="4" w:space="0"/>
            </w:tcBorders>
            <w:shd w:val="clear" w:color="auto" w:fill="auto"/>
            <w:vAlign w:val="center"/>
          </w:tcPr>
          <w:p w14:paraId="19668B80">
            <w:pPr>
              <w:widowControl/>
              <w:jc w:val="center"/>
              <w:textAlignment w:val="center"/>
              <w:rPr>
                <w:rFonts w:ascii="宋体" w:hAnsi="宋体" w:cs="宋体"/>
                <w:color w:val="auto"/>
                <w:szCs w:val="21"/>
                <w:highlight w:val="none"/>
              </w:rPr>
            </w:pPr>
            <w:r>
              <w:rPr>
                <w:rFonts w:ascii="宋体" w:hAnsi="宋体" w:cs="宋体"/>
                <w:color w:val="auto"/>
                <w:szCs w:val="21"/>
                <w:highlight w:val="none"/>
              </w:rPr>
              <w:t>工业</w:t>
            </w:r>
          </w:p>
        </w:tc>
        <w:tc>
          <w:tcPr>
            <w:tcW w:w="6527" w:type="dxa"/>
            <w:tcBorders>
              <w:left w:val="single" w:color="auto" w:sz="4" w:space="0"/>
              <w:right w:val="single" w:color="auto" w:sz="4" w:space="0"/>
            </w:tcBorders>
            <w:shd w:val="clear" w:color="auto" w:fill="auto"/>
            <w:vAlign w:val="center"/>
          </w:tcPr>
          <w:p w14:paraId="31D9831E">
            <w:pPr>
              <w:rPr>
                <w:rFonts w:ascii="宋体" w:hAnsi="宋体"/>
                <w:color w:val="auto"/>
                <w:sz w:val="20"/>
                <w:highlight w:val="none"/>
              </w:rPr>
            </w:pPr>
            <w:r>
              <w:rPr>
                <w:rFonts w:hint="eastAsia" w:ascii="宋体" w:hAnsi="宋体"/>
                <w:color w:val="auto"/>
                <w:sz w:val="20"/>
                <w:highlight w:val="none"/>
              </w:rPr>
              <w:t>3米音频连接线：3.5（耳机插头）-双6.35话筒插头</w:t>
            </w:r>
          </w:p>
        </w:tc>
      </w:tr>
      <w:tr w14:paraId="241B75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jc w:val="center"/>
        </w:trPr>
        <w:tc>
          <w:tcPr>
            <w:tcW w:w="659" w:type="dxa"/>
            <w:shd w:val="clear" w:color="auto" w:fill="auto"/>
            <w:vAlign w:val="center"/>
          </w:tcPr>
          <w:p w14:paraId="584CCFBF">
            <w:pPr>
              <w:jc w:val="center"/>
              <w:rPr>
                <w:rFonts w:ascii="宋体" w:hAnsi="宋体" w:cs="宋体"/>
                <w:color w:val="auto"/>
                <w:szCs w:val="21"/>
                <w:highlight w:val="none"/>
              </w:rPr>
            </w:pPr>
            <w:r>
              <w:rPr>
                <w:rFonts w:hint="eastAsia" w:ascii="宋体" w:hAnsi="宋体" w:cs="宋体"/>
                <w:color w:val="auto"/>
                <w:szCs w:val="21"/>
                <w:highlight w:val="none"/>
              </w:rPr>
              <w:t>10</w:t>
            </w:r>
          </w:p>
        </w:tc>
        <w:tc>
          <w:tcPr>
            <w:tcW w:w="1148" w:type="dxa"/>
            <w:shd w:val="clear" w:color="auto" w:fill="auto"/>
            <w:vAlign w:val="center"/>
          </w:tcPr>
          <w:p w14:paraId="2D004875">
            <w:pPr>
              <w:jc w:val="center"/>
              <w:rPr>
                <w:rFonts w:ascii="宋体" w:hAnsi="宋体" w:cs="宋体"/>
                <w:color w:val="auto"/>
                <w:szCs w:val="21"/>
                <w:highlight w:val="none"/>
              </w:rPr>
            </w:pPr>
            <w:r>
              <w:rPr>
                <w:rFonts w:hint="eastAsia" w:ascii="宋体" w:hAnsi="宋体" w:cs="宋体"/>
                <w:color w:val="auto"/>
                <w:szCs w:val="21"/>
                <w:highlight w:val="none"/>
              </w:rPr>
              <w:t>音频连接线</w:t>
            </w:r>
          </w:p>
        </w:tc>
        <w:tc>
          <w:tcPr>
            <w:tcW w:w="961" w:type="dxa"/>
            <w:shd w:val="clear" w:color="auto" w:fill="auto"/>
            <w:vAlign w:val="center"/>
          </w:tcPr>
          <w:p w14:paraId="2A9A800C">
            <w:pPr>
              <w:jc w:val="center"/>
              <w:rPr>
                <w:rFonts w:ascii="宋体" w:hAnsi="宋体" w:cs="宋体"/>
                <w:color w:val="auto"/>
                <w:szCs w:val="21"/>
                <w:highlight w:val="none"/>
              </w:rPr>
            </w:pPr>
            <w:r>
              <w:rPr>
                <w:rFonts w:hint="eastAsia" w:ascii="宋体" w:hAnsi="宋体" w:cs="宋体"/>
                <w:color w:val="auto"/>
                <w:szCs w:val="21"/>
                <w:highlight w:val="none"/>
              </w:rPr>
              <w:t>2根</w:t>
            </w:r>
          </w:p>
        </w:tc>
        <w:tc>
          <w:tcPr>
            <w:tcW w:w="701" w:type="dxa"/>
            <w:tcBorders>
              <w:right w:val="single" w:color="auto" w:sz="4" w:space="0"/>
            </w:tcBorders>
            <w:shd w:val="clear" w:color="auto" w:fill="auto"/>
            <w:vAlign w:val="center"/>
          </w:tcPr>
          <w:p w14:paraId="41C91DF1">
            <w:pPr>
              <w:widowControl/>
              <w:jc w:val="center"/>
              <w:textAlignment w:val="center"/>
              <w:rPr>
                <w:rFonts w:ascii="宋体" w:hAnsi="宋体" w:cs="宋体"/>
                <w:color w:val="auto"/>
                <w:szCs w:val="21"/>
                <w:highlight w:val="none"/>
              </w:rPr>
            </w:pPr>
            <w:r>
              <w:rPr>
                <w:rFonts w:ascii="宋体" w:hAnsi="宋体" w:cs="宋体"/>
                <w:color w:val="auto"/>
                <w:szCs w:val="21"/>
                <w:highlight w:val="none"/>
              </w:rPr>
              <w:t>工业</w:t>
            </w:r>
          </w:p>
        </w:tc>
        <w:tc>
          <w:tcPr>
            <w:tcW w:w="6527" w:type="dxa"/>
            <w:tcBorders>
              <w:left w:val="single" w:color="auto" w:sz="4" w:space="0"/>
              <w:right w:val="single" w:color="auto" w:sz="4" w:space="0"/>
            </w:tcBorders>
            <w:shd w:val="clear" w:color="auto" w:fill="auto"/>
            <w:vAlign w:val="center"/>
          </w:tcPr>
          <w:p w14:paraId="58A61FEF">
            <w:pPr>
              <w:rPr>
                <w:rFonts w:ascii="宋体" w:hAnsi="宋体"/>
                <w:color w:val="auto"/>
                <w:sz w:val="20"/>
                <w:highlight w:val="none"/>
              </w:rPr>
            </w:pPr>
            <w:r>
              <w:rPr>
                <w:rFonts w:hint="eastAsia" w:ascii="宋体" w:hAnsi="宋体"/>
                <w:color w:val="auto"/>
                <w:sz w:val="20"/>
                <w:highlight w:val="none"/>
              </w:rPr>
              <w:t>3米音频连接线：3.5（耳机插头）-双莲花（RCA）</w:t>
            </w:r>
          </w:p>
        </w:tc>
      </w:tr>
      <w:tr w14:paraId="328F54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jc w:val="center"/>
        </w:trPr>
        <w:tc>
          <w:tcPr>
            <w:tcW w:w="659" w:type="dxa"/>
            <w:shd w:val="clear" w:color="auto" w:fill="auto"/>
            <w:vAlign w:val="center"/>
          </w:tcPr>
          <w:p w14:paraId="5660851A">
            <w:pPr>
              <w:jc w:val="center"/>
              <w:rPr>
                <w:rFonts w:ascii="宋体" w:hAnsi="宋体" w:cs="宋体"/>
                <w:color w:val="auto"/>
                <w:szCs w:val="21"/>
                <w:highlight w:val="none"/>
              </w:rPr>
            </w:pPr>
            <w:r>
              <w:rPr>
                <w:rFonts w:hint="eastAsia" w:ascii="宋体" w:hAnsi="宋体" w:cs="宋体"/>
                <w:color w:val="auto"/>
                <w:szCs w:val="21"/>
                <w:highlight w:val="none"/>
              </w:rPr>
              <w:t>11</w:t>
            </w:r>
          </w:p>
        </w:tc>
        <w:tc>
          <w:tcPr>
            <w:tcW w:w="1148" w:type="dxa"/>
            <w:shd w:val="clear" w:color="auto" w:fill="auto"/>
            <w:vAlign w:val="center"/>
          </w:tcPr>
          <w:p w14:paraId="59B7AFAD">
            <w:pPr>
              <w:jc w:val="center"/>
              <w:rPr>
                <w:rFonts w:ascii="宋体" w:hAnsi="宋体" w:cs="宋体"/>
                <w:color w:val="auto"/>
                <w:szCs w:val="21"/>
                <w:highlight w:val="none"/>
              </w:rPr>
            </w:pPr>
            <w:r>
              <w:rPr>
                <w:rFonts w:hint="eastAsia" w:ascii="宋体" w:hAnsi="宋体" w:cs="宋体"/>
                <w:color w:val="auto"/>
                <w:szCs w:val="21"/>
                <w:highlight w:val="none"/>
              </w:rPr>
              <w:t>交换机</w:t>
            </w:r>
          </w:p>
        </w:tc>
        <w:tc>
          <w:tcPr>
            <w:tcW w:w="961" w:type="dxa"/>
            <w:shd w:val="clear" w:color="auto" w:fill="auto"/>
            <w:vAlign w:val="center"/>
          </w:tcPr>
          <w:p w14:paraId="190BD651">
            <w:pPr>
              <w:jc w:val="center"/>
              <w:rPr>
                <w:rFonts w:ascii="宋体" w:hAnsi="宋体" w:cs="宋体"/>
                <w:color w:val="auto"/>
                <w:szCs w:val="21"/>
                <w:highlight w:val="none"/>
              </w:rPr>
            </w:pPr>
            <w:r>
              <w:rPr>
                <w:rFonts w:hint="eastAsia" w:ascii="宋体" w:hAnsi="宋体" w:cs="宋体"/>
                <w:color w:val="auto"/>
                <w:szCs w:val="21"/>
                <w:highlight w:val="none"/>
              </w:rPr>
              <w:t>3台</w:t>
            </w:r>
          </w:p>
        </w:tc>
        <w:tc>
          <w:tcPr>
            <w:tcW w:w="701" w:type="dxa"/>
            <w:tcBorders>
              <w:right w:val="single" w:color="auto" w:sz="4" w:space="0"/>
            </w:tcBorders>
            <w:shd w:val="clear" w:color="auto" w:fill="auto"/>
            <w:vAlign w:val="center"/>
          </w:tcPr>
          <w:p w14:paraId="5CB27517">
            <w:pPr>
              <w:widowControl/>
              <w:jc w:val="center"/>
              <w:textAlignment w:val="center"/>
              <w:rPr>
                <w:rFonts w:ascii="宋体" w:hAnsi="宋体" w:cs="宋体"/>
                <w:color w:val="auto"/>
                <w:szCs w:val="21"/>
                <w:highlight w:val="none"/>
              </w:rPr>
            </w:pPr>
            <w:r>
              <w:rPr>
                <w:rFonts w:ascii="宋体" w:hAnsi="宋体" w:cs="宋体"/>
                <w:color w:val="auto"/>
                <w:szCs w:val="21"/>
                <w:highlight w:val="none"/>
              </w:rPr>
              <w:t>工业</w:t>
            </w:r>
          </w:p>
        </w:tc>
        <w:tc>
          <w:tcPr>
            <w:tcW w:w="6527" w:type="dxa"/>
            <w:tcBorders>
              <w:left w:val="single" w:color="auto" w:sz="4" w:space="0"/>
              <w:right w:val="single" w:color="auto" w:sz="4" w:space="0"/>
            </w:tcBorders>
            <w:shd w:val="clear" w:color="auto" w:fill="auto"/>
            <w:vAlign w:val="center"/>
          </w:tcPr>
          <w:p w14:paraId="45372441">
            <w:pPr>
              <w:rPr>
                <w:rFonts w:ascii="宋体" w:hAnsi="宋体"/>
                <w:color w:val="auto"/>
                <w:sz w:val="20"/>
                <w:highlight w:val="none"/>
              </w:rPr>
            </w:pPr>
            <w:r>
              <w:rPr>
                <w:rFonts w:hint="eastAsia" w:ascii="宋体" w:hAnsi="宋体"/>
                <w:color w:val="auto"/>
                <w:sz w:val="20"/>
                <w:highlight w:val="none"/>
              </w:rPr>
              <w:t>1.交换容量：≥1.28Tps</w:t>
            </w:r>
          </w:p>
          <w:p w14:paraId="647B0006">
            <w:pPr>
              <w:rPr>
                <w:rFonts w:ascii="宋体" w:hAnsi="宋体"/>
                <w:color w:val="auto"/>
                <w:sz w:val="20"/>
                <w:highlight w:val="none"/>
              </w:rPr>
            </w:pPr>
            <w:r>
              <w:rPr>
                <w:rFonts w:hint="eastAsia" w:ascii="宋体" w:hAnsi="宋体"/>
                <w:color w:val="auto"/>
                <w:sz w:val="20"/>
                <w:highlight w:val="none"/>
              </w:rPr>
              <w:t>2.包转发率：≥252Mpps</w:t>
            </w:r>
          </w:p>
          <w:p w14:paraId="0734B9DF">
            <w:pPr>
              <w:rPr>
                <w:rFonts w:ascii="宋体" w:hAnsi="宋体"/>
                <w:color w:val="auto"/>
                <w:sz w:val="20"/>
                <w:highlight w:val="none"/>
              </w:rPr>
            </w:pPr>
            <w:r>
              <w:rPr>
                <w:rFonts w:hint="eastAsia" w:ascii="宋体" w:hAnsi="宋体"/>
                <w:color w:val="auto"/>
                <w:sz w:val="20"/>
                <w:highlight w:val="none"/>
              </w:rPr>
              <w:t>3.固定端口:≥48个10/100/1000Base-T以太网端口，4个万兆SFP+</w:t>
            </w:r>
          </w:p>
          <w:p w14:paraId="1F46D2D3">
            <w:pPr>
              <w:rPr>
                <w:rFonts w:ascii="宋体" w:hAnsi="宋体"/>
                <w:color w:val="auto"/>
                <w:sz w:val="20"/>
                <w:highlight w:val="none"/>
              </w:rPr>
            </w:pPr>
            <w:r>
              <w:rPr>
                <w:rFonts w:hint="eastAsia" w:ascii="宋体" w:hAnsi="宋体"/>
                <w:color w:val="auto"/>
                <w:sz w:val="20"/>
                <w:highlight w:val="none"/>
              </w:rPr>
              <w:t>4.POE总功率≥1000W</w:t>
            </w:r>
          </w:p>
        </w:tc>
      </w:tr>
      <w:tr w14:paraId="1D0661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jc w:val="center"/>
        </w:trPr>
        <w:tc>
          <w:tcPr>
            <w:tcW w:w="659" w:type="dxa"/>
            <w:shd w:val="clear" w:color="auto" w:fill="auto"/>
            <w:vAlign w:val="center"/>
          </w:tcPr>
          <w:p w14:paraId="56F7EB25">
            <w:pPr>
              <w:jc w:val="center"/>
              <w:rPr>
                <w:rFonts w:ascii="宋体" w:hAnsi="宋体" w:cs="宋体"/>
                <w:color w:val="auto"/>
                <w:szCs w:val="21"/>
                <w:highlight w:val="none"/>
              </w:rPr>
            </w:pPr>
            <w:r>
              <w:rPr>
                <w:rFonts w:hint="eastAsia" w:ascii="宋体" w:hAnsi="宋体" w:cs="宋体"/>
                <w:color w:val="auto"/>
                <w:szCs w:val="21"/>
                <w:highlight w:val="none"/>
              </w:rPr>
              <w:t>12</w:t>
            </w:r>
          </w:p>
        </w:tc>
        <w:tc>
          <w:tcPr>
            <w:tcW w:w="1148" w:type="dxa"/>
            <w:shd w:val="clear" w:color="auto" w:fill="auto"/>
            <w:vAlign w:val="center"/>
          </w:tcPr>
          <w:p w14:paraId="2782A630">
            <w:pPr>
              <w:jc w:val="center"/>
              <w:rPr>
                <w:rFonts w:ascii="宋体" w:hAnsi="宋体" w:cs="宋体"/>
                <w:color w:val="auto"/>
                <w:szCs w:val="21"/>
                <w:highlight w:val="none"/>
              </w:rPr>
            </w:pPr>
            <w:r>
              <w:rPr>
                <w:rFonts w:hint="eastAsia" w:ascii="宋体" w:hAnsi="宋体" w:cs="宋体"/>
                <w:color w:val="auto"/>
                <w:szCs w:val="21"/>
                <w:highlight w:val="none"/>
              </w:rPr>
              <w:t>交换机</w:t>
            </w:r>
          </w:p>
        </w:tc>
        <w:tc>
          <w:tcPr>
            <w:tcW w:w="961" w:type="dxa"/>
            <w:shd w:val="clear" w:color="auto" w:fill="auto"/>
            <w:vAlign w:val="center"/>
          </w:tcPr>
          <w:p w14:paraId="2852640C">
            <w:pPr>
              <w:jc w:val="center"/>
              <w:rPr>
                <w:rFonts w:ascii="宋体" w:hAnsi="宋体" w:cs="宋体"/>
                <w:color w:val="auto"/>
                <w:szCs w:val="21"/>
                <w:highlight w:val="none"/>
              </w:rPr>
            </w:pPr>
            <w:r>
              <w:rPr>
                <w:rFonts w:hint="eastAsia" w:ascii="宋体" w:hAnsi="宋体" w:cs="宋体"/>
                <w:color w:val="auto"/>
                <w:szCs w:val="21"/>
                <w:highlight w:val="none"/>
              </w:rPr>
              <w:t>1台</w:t>
            </w:r>
          </w:p>
        </w:tc>
        <w:tc>
          <w:tcPr>
            <w:tcW w:w="701" w:type="dxa"/>
            <w:tcBorders>
              <w:right w:val="single" w:color="auto" w:sz="4" w:space="0"/>
            </w:tcBorders>
            <w:shd w:val="clear" w:color="auto" w:fill="auto"/>
            <w:vAlign w:val="center"/>
          </w:tcPr>
          <w:p w14:paraId="66D67DBF">
            <w:pPr>
              <w:widowControl/>
              <w:jc w:val="center"/>
              <w:textAlignment w:val="center"/>
              <w:rPr>
                <w:rFonts w:ascii="宋体" w:hAnsi="宋体" w:cs="宋体"/>
                <w:color w:val="auto"/>
                <w:szCs w:val="21"/>
                <w:highlight w:val="none"/>
              </w:rPr>
            </w:pPr>
            <w:r>
              <w:rPr>
                <w:rFonts w:ascii="宋体" w:hAnsi="宋体" w:cs="宋体"/>
                <w:color w:val="auto"/>
                <w:szCs w:val="21"/>
                <w:highlight w:val="none"/>
              </w:rPr>
              <w:t>工业</w:t>
            </w:r>
          </w:p>
        </w:tc>
        <w:tc>
          <w:tcPr>
            <w:tcW w:w="6527" w:type="dxa"/>
            <w:tcBorders>
              <w:left w:val="single" w:color="auto" w:sz="4" w:space="0"/>
              <w:right w:val="single" w:color="auto" w:sz="4" w:space="0"/>
            </w:tcBorders>
            <w:shd w:val="clear" w:color="auto" w:fill="auto"/>
            <w:vAlign w:val="center"/>
          </w:tcPr>
          <w:p w14:paraId="21C708F2">
            <w:pPr>
              <w:rPr>
                <w:rFonts w:ascii="宋体" w:hAnsi="宋体"/>
                <w:color w:val="auto"/>
                <w:sz w:val="20"/>
                <w:highlight w:val="none"/>
              </w:rPr>
            </w:pPr>
            <w:r>
              <w:rPr>
                <w:rFonts w:hint="eastAsia" w:ascii="宋体" w:hAnsi="宋体"/>
                <w:color w:val="auto"/>
                <w:sz w:val="20"/>
                <w:highlight w:val="none"/>
              </w:rPr>
              <w:t>1.交换容量：≥2.56Tbps</w:t>
            </w:r>
          </w:p>
          <w:p w14:paraId="62847C31">
            <w:pPr>
              <w:rPr>
                <w:rFonts w:ascii="宋体" w:hAnsi="宋体"/>
                <w:color w:val="auto"/>
                <w:sz w:val="20"/>
                <w:highlight w:val="none"/>
              </w:rPr>
            </w:pPr>
            <w:r>
              <w:rPr>
                <w:rFonts w:hint="eastAsia" w:ascii="宋体" w:hAnsi="宋体"/>
                <w:color w:val="auto"/>
                <w:sz w:val="20"/>
                <w:highlight w:val="none"/>
              </w:rPr>
              <w:t>2.包转发率：≥720Mpps</w:t>
            </w:r>
          </w:p>
          <w:p w14:paraId="1F60BCAE">
            <w:pPr>
              <w:rPr>
                <w:rFonts w:ascii="宋体" w:hAnsi="宋体"/>
                <w:color w:val="auto"/>
                <w:sz w:val="20"/>
                <w:highlight w:val="none"/>
              </w:rPr>
            </w:pPr>
            <w:r>
              <w:rPr>
                <w:rFonts w:hint="eastAsia" w:ascii="宋体" w:hAnsi="宋体"/>
                <w:color w:val="auto"/>
                <w:sz w:val="20"/>
                <w:highlight w:val="none"/>
              </w:rPr>
              <w:t>3.固定端口:≥24个万兆10GE SFP，2个万兆 40GE SFP</w:t>
            </w:r>
          </w:p>
          <w:p w14:paraId="7ABE8AF9">
            <w:pPr>
              <w:rPr>
                <w:rFonts w:ascii="宋体" w:hAnsi="宋体"/>
                <w:color w:val="auto"/>
                <w:sz w:val="20"/>
                <w:highlight w:val="none"/>
              </w:rPr>
            </w:pPr>
            <w:r>
              <w:rPr>
                <w:rFonts w:hint="eastAsia" w:ascii="宋体" w:hAnsi="宋体"/>
                <w:color w:val="auto"/>
                <w:sz w:val="20"/>
                <w:highlight w:val="none"/>
              </w:rPr>
              <w:t>4.支持 1+1 电源备份</w:t>
            </w:r>
          </w:p>
        </w:tc>
      </w:tr>
      <w:tr w14:paraId="47F974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jc w:val="center"/>
        </w:trPr>
        <w:tc>
          <w:tcPr>
            <w:tcW w:w="659" w:type="dxa"/>
            <w:shd w:val="clear" w:color="auto" w:fill="auto"/>
            <w:vAlign w:val="center"/>
          </w:tcPr>
          <w:p w14:paraId="2256B7A5">
            <w:pPr>
              <w:jc w:val="center"/>
              <w:rPr>
                <w:rFonts w:ascii="宋体" w:hAnsi="宋体" w:cs="宋体"/>
                <w:color w:val="auto"/>
                <w:szCs w:val="21"/>
                <w:highlight w:val="none"/>
              </w:rPr>
            </w:pPr>
            <w:r>
              <w:rPr>
                <w:rFonts w:hint="eastAsia" w:ascii="宋体" w:hAnsi="宋体" w:cs="宋体"/>
                <w:color w:val="auto"/>
                <w:szCs w:val="21"/>
                <w:highlight w:val="none"/>
              </w:rPr>
              <w:t>13</w:t>
            </w:r>
          </w:p>
        </w:tc>
        <w:tc>
          <w:tcPr>
            <w:tcW w:w="1148" w:type="dxa"/>
            <w:shd w:val="clear" w:color="auto" w:fill="auto"/>
            <w:vAlign w:val="center"/>
          </w:tcPr>
          <w:p w14:paraId="0F1926DB">
            <w:pPr>
              <w:jc w:val="center"/>
              <w:rPr>
                <w:rFonts w:ascii="宋体" w:hAnsi="宋体" w:cs="宋体"/>
                <w:color w:val="auto"/>
                <w:szCs w:val="21"/>
                <w:highlight w:val="none"/>
              </w:rPr>
            </w:pPr>
            <w:r>
              <w:rPr>
                <w:rFonts w:hint="eastAsia" w:ascii="宋体" w:hAnsi="宋体" w:cs="宋体"/>
                <w:color w:val="auto"/>
                <w:szCs w:val="21"/>
                <w:highlight w:val="none"/>
              </w:rPr>
              <w:t>光模块</w:t>
            </w:r>
          </w:p>
        </w:tc>
        <w:tc>
          <w:tcPr>
            <w:tcW w:w="961" w:type="dxa"/>
            <w:shd w:val="clear" w:color="auto" w:fill="auto"/>
            <w:vAlign w:val="center"/>
          </w:tcPr>
          <w:p w14:paraId="41673EAD">
            <w:pPr>
              <w:jc w:val="center"/>
              <w:rPr>
                <w:rFonts w:ascii="宋体" w:hAnsi="宋体" w:cs="宋体"/>
                <w:color w:val="auto"/>
                <w:szCs w:val="21"/>
                <w:highlight w:val="none"/>
              </w:rPr>
            </w:pPr>
            <w:r>
              <w:rPr>
                <w:rFonts w:hint="eastAsia" w:ascii="宋体" w:hAnsi="宋体" w:cs="宋体"/>
                <w:color w:val="auto"/>
                <w:szCs w:val="21"/>
                <w:highlight w:val="none"/>
              </w:rPr>
              <w:t>14个</w:t>
            </w:r>
          </w:p>
        </w:tc>
        <w:tc>
          <w:tcPr>
            <w:tcW w:w="701" w:type="dxa"/>
            <w:tcBorders>
              <w:right w:val="single" w:color="auto" w:sz="4" w:space="0"/>
            </w:tcBorders>
            <w:shd w:val="clear" w:color="auto" w:fill="auto"/>
            <w:vAlign w:val="center"/>
          </w:tcPr>
          <w:p w14:paraId="065F78EE">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工业</w:t>
            </w:r>
          </w:p>
        </w:tc>
        <w:tc>
          <w:tcPr>
            <w:tcW w:w="6527" w:type="dxa"/>
            <w:tcBorders>
              <w:left w:val="single" w:color="auto" w:sz="4" w:space="0"/>
              <w:right w:val="single" w:color="auto" w:sz="4" w:space="0"/>
            </w:tcBorders>
            <w:shd w:val="clear" w:color="auto" w:fill="auto"/>
            <w:vAlign w:val="center"/>
          </w:tcPr>
          <w:p w14:paraId="5C28AEA7">
            <w:pPr>
              <w:rPr>
                <w:rFonts w:ascii="宋体" w:hAnsi="宋体"/>
                <w:color w:val="auto"/>
                <w:sz w:val="20"/>
                <w:highlight w:val="none"/>
              </w:rPr>
            </w:pPr>
            <w:r>
              <w:rPr>
                <w:rFonts w:hint="eastAsia" w:ascii="宋体" w:hAnsi="宋体"/>
                <w:color w:val="auto"/>
                <w:sz w:val="20"/>
                <w:highlight w:val="none"/>
              </w:rPr>
              <w:t>1.光纤类型:万兆单模</w:t>
            </w:r>
          </w:p>
          <w:p w14:paraId="3B21542E">
            <w:pPr>
              <w:rPr>
                <w:rFonts w:ascii="宋体" w:hAnsi="宋体"/>
                <w:color w:val="auto"/>
                <w:sz w:val="20"/>
                <w:highlight w:val="none"/>
              </w:rPr>
            </w:pPr>
            <w:r>
              <w:rPr>
                <w:rFonts w:hint="eastAsia" w:ascii="宋体" w:hAnsi="宋体"/>
                <w:color w:val="auto"/>
                <w:sz w:val="20"/>
                <w:highlight w:val="none"/>
              </w:rPr>
              <w:t>2.中心波长≥1310nm</w:t>
            </w:r>
          </w:p>
          <w:p w14:paraId="2F40F3EB">
            <w:pPr>
              <w:rPr>
                <w:rFonts w:ascii="宋体" w:hAnsi="宋体"/>
                <w:color w:val="auto"/>
                <w:sz w:val="20"/>
                <w:highlight w:val="none"/>
              </w:rPr>
            </w:pPr>
            <w:r>
              <w:rPr>
                <w:rFonts w:hint="eastAsia" w:ascii="宋体" w:hAnsi="宋体"/>
                <w:color w:val="auto"/>
                <w:sz w:val="20"/>
                <w:highlight w:val="none"/>
              </w:rPr>
              <w:t>3.最大传输距离 ：≥10km</w:t>
            </w:r>
          </w:p>
          <w:p w14:paraId="26D38BC0">
            <w:pPr>
              <w:rPr>
                <w:rFonts w:ascii="宋体" w:hAnsi="宋体"/>
                <w:color w:val="auto"/>
                <w:sz w:val="20"/>
                <w:highlight w:val="none"/>
              </w:rPr>
            </w:pPr>
            <w:r>
              <w:rPr>
                <w:rFonts w:hint="eastAsia" w:ascii="宋体" w:hAnsi="宋体"/>
                <w:color w:val="auto"/>
                <w:sz w:val="20"/>
                <w:highlight w:val="none"/>
              </w:rPr>
              <w:t>4.接口类型：SFP+</w:t>
            </w:r>
          </w:p>
          <w:p w14:paraId="0DF757F7">
            <w:pPr>
              <w:rPr>
                <w:rFonts w:ascii="宋体" w:hAnsi="宋体"/>
                <w:color w:val="auto"/>
                <w:sz w:val="20"/>
                <w:highlight w:val="none"/>
              </w:rPr>
            </w:pPr>
            <w:r>
              <w:rPr>
                <w:rFonts w:hint="eastAsia" w:ascii="宋体" w:hAnsi="宋体"/>
                <w:color w:val="auto"/>
                <w:sz w:val="20"/>
                <w:highlight w:val="none"/>
              </w:rPr>
              <w:t>5.接头类型：LC</w:t>
            </w:r>
          </w:p>
          <w:p w14:paraId="2D88DDBB">
            <w:pPr>
              <w:rPr>
                <w:rFonts w:ascii="宋体" w:hAnsi="宋体"/>
                <w:color w:val="auto"/>
                <w:sz w:val="20"/>
                <w:highlight w:val="none"/>
              </w:rPr>
            </w:pPr>
            <w:r>
              <w:rPr>
                <w:rFonts w:hint="eastAsia" w:ascii="宋体" w:hAnsi="宋体"/>
                <w:color w:val="auto"/>
                <w:sz w:val="20"/>
                <w:highlight w:val="none"/>
              </w:rPr>
              <w:t>6.芯头：双芯</w:t>
            </w:r>
          </w:p>
        </w:tc>
      </w:tr>
      <w:tr w14:paraId="6310B6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jc w:val="center"/>
        </w:trPr>
        <w:tc>
          <w:tcPr>
            <w:tcW w:w="9996" w:type="dxa"/>
            <w:gridSpan w:val="5"/>
            <w:tcBorders>
              <w:right w:val="single" w:color="auto" w:sz="4" w:space="0"/>
            </w:tcBorders>
            <w:shd w:val="clear" w:color="auto" w:fill="auto"/>
            <w:vAlign w:val="center"/>
          </w:tcPr>
          <w:p w14:paraId="24BED578">
            <w:pPr>
              <w:jc w:val="left"/>
              <w:rPr>
                <w:rFonts w:ascii="宋体" w:hAnsi="宋体" w:cs="宋体"/>
                <w:color w:val="auto"/>
                <w:szCs w:val="21"/>
                <w:highlight w:val="none"/>
              </w:rPr>
            </w:pPr>
            <w:r>
              <w:rPr>
                <w:rFonts w:hint="eastAsia" w:ascii="宋体" w:hAnsi="宋体" w:cs="宋体"/>
                <w:b/>
                <w:bCs/>
                <w:color w:val="auto"/>
                <w:szCs w:val="21"/>
                <w:highlight w:val="none"/>
              </w:rPr>
              <w:t>（六）辅材</w:t>
            </w:r>
          </w:p>
        </w:tc>
      </w:tr>
      <w:tr w14:paraId="1BDC6B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jc w:val="center"/>
        </w:trPr>
        <w:tc>
          <w:tcPr>
            <w:tcW w:w="659" w:type="dxa"/>
            <w:shd w:val="clear" w:color="auto" w:fill="auto"/>
            <w:vAlign w:val="center"/>
          </w:tcPr>
          <w:p w14:paraId="265BD9C4">
            <w:pPr>
              <w:jc w:val="center"/>
              <w:rPr>
                <w:rFonts w:ascii="宋体" w:hAnsi="宋体" w:cs="宋体"/>
                <w:color w:val="auto"/>
                <w:szCs w:val="21"/>
                <w:highlight w:val="none"/>
              </w:rPr>
            </w:pPr>
            <w:r>
              <w:rPr>
                <w:rFonts w:hint="eastAsia" w:ascii="宋体" w:hAnsi="宋体" w:cs="宋体"/>
                <w:color w:val="auto"/>
                <w:szCs w:val="21"/>
                <w:highlight w:val="none"/>
              </w:rPr>
              <w:t>1</w:t>
            </w:r>
          </w:p>
        </w:tc>
        <w:tc>
          <w:tcPr>
            <w:tcW w:w="1148" w:type="dxa"/>
            <w:shd w:val="clear" w:color="auto" w:fill="auto"/>
            <w:vAlign w:val="center"/>
          </w:tcPr>
          <w:p w14:paraId="57ECE6D3">
            <w:pPr>
              <w:jc w:val="center"/>
              <w:rPr>
                <w:rFonts w:ascii="宋体" w:hAnsi="宋体" w:cs="宋体"/>
                <w:color w:val="auto"/>
                <w:szCs w:val="21"/>
                <w:highlight w:val="none"/>
              </w:rPr>
            </w:pPr>
            <w:r>
              <w:rPr>
                <w:rFonts w:hint="eastAsia" w:ascii="宋体" w:hAnsi="宋体" w:cs="宋体"/>
                <w:color w:val="auto"/>
                <w:szCs w:val="21"/>
                <w:highlight w:val="none"/>
              </w:rPr>
              <w:t>调音操作台</w:t>
            </w:r>
          </w:p>
        </w:tc>
        <w:tc>
          <w:tcPr>
            <w:tcW w:w="961" w:type="dxa"/>
            <w:shd w:val="clear" w:color="auto" w:fill="auto"/>
            <w:vAlign w:val="center"/>
          </w:tcPr>
          <w:p w14:paraId="582FB57F">
            <w:pPr>
              <w:jc w:val="center"/>
              <w:rPr>
                <w:rFonts w:ascii="宋体" w:hAnsi="宋体" w:cs="宋体"/>
                <w:color w:val="auto"/>
                <w:szCs w:val="21"/>
                <w:highlight w:val="none"/>
              </w:rPr>
            </w:pPr>
            <w:r>
              <w:rPr>
                <w:rFonts w:hint="eastAsia" w:ascii="宋体" w:hAnsi="宋体" w:cs="宋体"/>
                <w:color w:val="auto"/>
                <w:szCs w:val="21"/>
                <w:highlight w:val="none"/>
              </w:rPr>
              <w:t>1张</w:t>
            </w:r>
          </w:p>
        </w:tc>
        <w:tc>
          <w:tcPr>
            <w:tcW w:w="701" w:type="dxa"/>
            <w:tcBorders>
              <w:right w:val="single" w:color="auto" w:sz="4" w:space="0"/>
            </w:tcBorders>
            <w:shd w:val="clear" w:color="auto" w:fill="auto"/>
            <w:vAlign w:val="center"/>
          </w:tcPr>
          <w:p w14:paraId="092A105B">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工业</w:t>
            </w:r>
          </w:p>
        </w:tc>
        <w:tc>
          <w:tcPr>
            <w:tcW w:w="6527" w:type="dxa"/>
            <w:tcBorders>
              <w:left w:val="single" w:color="auto" w:sz="4" w:space="0"/>
              <w:right w:val="single" w:color="auto" w:sz="4" w:space="0"/>
            </w:tcBorders>
            <w:shd w:val="clear" w:color="auto" w:fill="auto"/>
            <w:vAlign w:val="center"/>
          </w:tcPr>
          <w:p w14:paraId="2291B48A">
            <w:pPr>
              <w:rPr>
                <w:rFonts w:ascii="宋体" w:hAnsi="宋体"/>
                <w:color w:val="auto"/>
                <w:sz w:val="20"/>
                <w:highlight w:val="none"/>
              </w:rPr>
            </w:pPr>
            <w:r>
              <w:rPr>
                <w:rFonts w:hint="eastAsia" w:ascii="宋体" w:hAnsi="宋体"/>
                <w:color w:val="auto"/>
                <w:sz w:val="20"/>
                <w:highlight w:val="none"/>
              </w:rPr>
              <w:t>尺寸不低于W800mm*D800mm*H750mm</w:t>
            </w:r>
          </w:p>
        </w:tc>
      </w:tr>
      <w:tr w14:paraId="63BA7C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jc w:val="center"/>
        </w:trPr>
        <w:tc>
          <w:tcPr>
            <w:tcW w:w="659" w:type="dxa"/>
            <w:shd w:val="clear" w:color="auto" w:fill="auto"/>
            <w:vAlign w:val="center"/>
          </w:tcPr>
          <w:p w14:paraId="28429EF8">
            <w:pPr>
              <w:jc w:val="center"/>
              <w:rPr>
                <w:rFonts w:ascii="宋体" w:hAnsi="宋体" w:cs="宋体"/>
                <w:color w:val="auto"/>
                <w:szCs w:val="21"/>
                <w:highlight w:val="none"/>
              </w:rPr>
            </w:pPr>
            <w:r>
              <w:rPr>
                <w:rFonts w:hint="eastAsia" w:ascii="宋体" w:hAnsi="宋体" w:cs="宋体"/>
                <w:color w:val="auto"/>
                <w:szCs w:val="21"/>
                <w:highlight w:val="none"/>
              </w:rPr>
              <w:t>2</w:t>
            </w:r>
          </w:p>
        </w:tc>
        <w:tc>
          <w:tcPr>
            <w:tcW w:w="1148" w:type="dxa"/>
            <w:shd w:val="clear" w:color="auto" w:fill="auto"/>
            <w:vAlign w:val="center"/>
          </w:tcPr>
          <w:p w14:paraId="40002597">
            <w:pPr>
              <w:jc w:val="center"/>
              <w:rPr>
                <w:rFonts w:ascii="宋体" w:hAnsi="宋体" w:cs="宋体"/>
                <w:color w:val="auto"/>
                <w:szCs w:val="21"/>
                <w:highlight w:val="none"/>
              </w:rPr>
            </w:pPr>
            <w:r>
              <w:rPr>
                <w:rFonts w:hint="eastAsia" w:ascii="宋体" w:hAnsi="宋体" w:cs="宋体"/>
                <w:color w:val="auto"/>
                <w:szCs w:val="21"/>
                <w:highlight w:val="none"/>
              </w:rPr>
              <w:t>辅材</w:t>
            </w:r>
          </w:p>
        </w:tc>
        <w:tc>
          <w:tcPr>
            <w:tcW w:w="961" w:type="dxa"/>
            <w:shd w:val="clear" w:color="auto" w:fill="auto"/>
            <w:vAlign w:val="center"/>
          </w:tcPr>
          <w:p w14:paraId="4471B075">
            <w:pPr>
              <w:jc w:val="center"/>
              <w:rPr>
                <w:rFonts w:ascii="宋体" w:hAnsi="宋体" w:cs="宋体"/>
                <w:color w:val="auto"/>
                <w:szCs w:val="21"/>
                <w:highlight w:val="none"/>
              </w:rPr>
            </w:pPr>
            <w:r>
              <w:rPr>
                <w:rFonts w:hint="eastAsia" w:ascii="宋体" w:hAnsi="宋体" w:cs="宋体"/>
                <w:color w:val="auto"/>
                <w:szCs w:val="21"/>
                <w:highlight w:val="none"/>
              </w:rPr>
              <w:t>1批</w:t>
            </w:r>
          </w:p>
        </w:tc>
        <w:tc>
          <w:tcPr>
            <w:tcW w:w="701" w:type="dxa"/>
            <w:tcBorders>
              <w:right w:val="single" w:color="auto" w:sz="4" w:space="0"/>
            </w:tcBorders>
            <w:shd w:val="clear" w:color="auto" w:fill="auto"/>
            <w:vAlign w:val="center"/>
          </w:tcPr>
          <w:p w14:paraId="2AF231A5">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工业</w:t>
            </w:r>
          </w:p>
        </w:tc>
        <w:tc>
          <w:tcPr>
            <w:tcW w:w="6527" w:type="dxa"/>
            <w:tcBorders>
              <w:left w:val="single" w:color="auto" w:sz="4" w:space="0"/>
              <w:right w:val="single" w:color="auto" w:sz="4" w:space="0"/>
            </w:tcBorders>
            <w:shd w:val="clear" w:color="auto" w:fill="auto"/>
            <w:vAlign w:val="center"/>
          </w:tcPr>
          <w:p w14:paraId="34C1C9AD">
            <w:pPr>
              <w:rPr>
                <w:rFonts w:ascii="宋体" w:hAnsi="宋体"/>
                <w:color w:val="auto"/>
                <w:sz w:val="20"/>
                <w:highlight w:val="none"/>
              </w:rPr>
            </w:pPr>
            <w:r>
              <w:rPr>
                <w:rFonts w:hint="eastAsia" w:ascii="宋体" w:hAnsi="宋体"/>
                <w:color w:val="auto"/>
                <w:sz w:val="20"/>
                <w:highlight w:val="none"/>
              </w:rPr>
              <w:t>设备安装所需材料</w:t>
            </w:r>
          </w:p>
        </w:tc>
      </w:tr>
    </w:tbl>
    <w:p w14:paraId="49072E64">
      <w:pPr>
        <w:spacing w:line="360" w:lineRule="auto"/>
        <w:rPr>
          <w:color w:val="auto"/>
          <w:szCs w:val="21"/>
          <w:highlight w:val="none"/>
        </w:rPr>
      </w:pPr>
    </w:p>
    <w:p w14:paraId="611DCF26">
      <w:pPr>
        <w:spacing w:line="360" w:lineRule="auto"/>
        <w:rPr>
          <w:color w:val="auto"/>
          <w:szCs w:val="21"/>
          <w:highlight w:val="none"/>
        </w:rPr>
      </w:pPr>
      <w:r>
        <w:rPr>
          <w:rFonts w:hint="eastAsia"/>
          <w:color w:val="auto"/>
          <w:szCs w:val="21"/>
          <w:highlight w:val="none"/>
        </w:rPr>
        <w:t>注：1、所属行业标明“/”的采购标的，无需在中小企业声明函中填写。</w:t>
      </w:r>
    </w:p>
    <w:p w14:paraId="3CC8F791">
      <w:pPr>
        <w:spacing w:line="360" w:lineRule="auto"/>
        <w:rPr>
          <w:color w:val="auto"/>
          <w:szCs w:val="21"/>
          <w:highlight w:val="none"/>
        </w:rPr>
      </w:pPr>
      <w:r>
        <w:rPr>
          <w:rFonts w:hint="eastAsia"/>
          <w:color w:val="auto"/>
          <w:szCs w:val="21"/>
          <w:highlight w:val="none"/>
        </w:rPr>
        <w:t>2、实质性参数要求提交证明材料的，应按照要求提供，未提供或未按要求提供的将视为响应无效。</w:t>
      </w:r>
    </w:p>
    <w:p w14:paraId="03A866A4">
      <w:pPr>
        <w:spacing w:line="360" w:lineRule="auto"/>
        <w:rPr>
          <w:rFonts w:ascii="黑体" w:hAnsi="黑体" w:eastAsia="黑体" w:cs="Arial"/>
          <w:b/>
          <w:color w:val="auto"/>
          <w:kern w:val="0"/>
          <w:sz w:val="28"/>
          <w:szCs w:val="28"/>
          <w:highlight w:val="none"/>
        </w:rPr>
      </w:pPr>
      <w:r>
        <w:rPr>
          <w:rFonts w:hint="eastAsia" w:ascii="黑体" w:hAnsi="黑体" w:eastAsia="黑体" w:cs="Arial"/>
          <w:b/>
          <w:color w:val="auto"/>
          <w:kern w:val="0"/>
          <w:sz w:val="28"/>
          <w:szCs w:val="28"/>
          <w:highlight w:val="none"/>
        </w:rPr>
        <w:t>三、商务要求</w:t>
      </w:r>
    </w:p>
    <w:tbl>
      <w:tblPr>
        <w:tblStyle w:val="52"/>
        <w:tblW w:w="9864" w:type="dxa"/>
        <w:tblInd w:w="-55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25"/>
        <w:gridCol w:w="7939"/>
      </w:tblGrid>
      <w:tr w14:paraId="406D6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5" w:type="dxa"/>
            <w:tcBorders>
              <w:top w:val="single" w:color="auto" w:sz="4" w:space="0"/>
              <w:left w:val="single" w:color="auto" w:sz="4" w:space="0"/>
              <w:bottom w:val="single" w:color="auto" w:sz="4" w:space="0"/>
              <w:right w:val="single" w:color="auto" w:sz="4" w:space="0"/>
            </w:tcBorders>
            <w:vAlign w:val="center"/>
          </w:tcPr>
          <w:p w14:paraId="754D8B76">
            <w:pPr>
              <w:spacing w:line="360" w:lineRule="auto"/>
              <w:jc w:val="center"/>
              <w:rPr>
                <w:rFonts w:ascii="黑体" w:hAnsi="黑体" w:eastAsia="黑体" w:cs="Arial"/>
                <w:b/>
                <w:color w:val="auto"/>
                <w:kern w:val="0"/>
                <w:sz w:val="28"/>
                <w:szCs w:val="28"/>
                <w:highlight w:val="none"/>
              </w:rPr>
            </w:pPr>
            <w:r>
              <w:rPr>
                <w:rFonts w:hint="eastAsia" w:ascii="宋体" w:hAnsi="宋体" w:cs="宋体"/>
                <w:color w:val="auto"/>
                <w:szCs w:val="21"/>
                <w:highlight w:val="none"/>
              </w:rPr>
              <w:t>▲</w:t>
            </w:r>
            <w:r>
              <w:rPr>
                <w:rFonts w:hint="eastAsia"/>
                <w:b/>
                <w:bCs/>
                <w:color w:val="auto"/>
                <w:szCs w:val="21"/>
                <w:highlight w:val="none"/>
              </w:rPr>
              <w:t>1．报价要求</w:t>
            </w:r>
          </w:p>
        </w:tc>
        <w:tc>
          <w:tcPr>
            <w:tcW w:w="7939" w:type="dxa"/>
            <w:tcBorders>
              <w:top w:val="single" w:color="auto" w:sz="4" w:space="0"/>
              <w:left w:val="single" w:color="auto" w:sz="4" w:space="0"/>
              <w:bottom w:val="single" w:color="auto" w:sz="4" w:space="0"/>
              <w:right w:val="single" w:color="auto" w:sz="4" w:space="0"/>
            </w:tcBorders>
            <w:vAlign w:val="center"/>
          </w:tcPr>
          <w:p w14:paraId="4BB6C18F">
            <w:pPr>
              <w:spacing w:line="360" w:lineRule="auto"/>
              <w:rPr>
                <w:rFonts w:ascii="黑体" w:hAnsi="黑体" w:eastAsia="黑体" w:cs="Arial"/>
                <w:b/>
                <w:color w:val="auto"/>
                <w:kern w:val="0"/>
                <w:sz w:val="28"/>
                <w:szCs w:val="28"/>
                <w:highlight w:val="none"/>
              </w:rPr>
            </w:pPr>
            <w:r>
              <w:rPr>
                <w:rFonts w:hint="eastAsia"/>
                <w:color w:val="auto"/>
                <w:szCs w:val="21"/>
                <w:highlight w:val="none"/>
              </w:rPr>
              <w:t>本次报价须为人民币报价，包含产品价、运输费（含装卸费）、保险费、安装调试费、税费、培训费、招标代理费、产品检测费、产品质保期内维护费等费用。对于本文件中明确列明必须报价的货物或服务，供应商应分别报价。对于本文件中未列明，而供应商认为必需的费用也需列入总报价。在合同实施时，采购人将不予支付成交供应商没有列入的项目费用，并认为此项目的费用已包括在投标总报价中。</w:t>
            </w:r>
          </w:p>
        </w:tc>
      </w:tr>
      <w:tr w14:paraId="5D9BC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trPr>
        <w:tc>
          <w:tcPr>
            <w:tcW w:w="1925" w:type="dxa"/>
            <w:tcBorders>
              <w:top w:val="single" w:color="auto" w:sz="4" w:space="0"/>
              <w:left w:val="single" w:color="auto" w:sz="4" w:space="0"/>
              <w:bottom w:val="single" w:color="auto" w:sz="4" w:space="0"/>
              <w:right w:val="single" w:color="auto" w:sz="4" w:space="0"/>
            </w:tcBorders>
            <w:vAlign w:val="center"/>
          </w:tcPr>
          <w:p w14:paraId="117BE596">
            <w:pPr>
              <w:spacing w:line="360" w:lineRule="auto"/>
              <w:jc w:val="center"/>
              <w:rPr>
                <w:rFonts w:ascii="黑体" w:hAnsi="黑体" w:eastAsia="黑体" w:cs="Arial"/>
                <w:b/>
                <w:color w:val="auto"/>
                <w:kern w:val="0"/>
                <w:sz w:val="28"/>
                <w:szCs w:val="28"/>
                <w:highlight w:val="none"/>
              </w:rPr>
            </w:pPr>
            <w:r>
              <w:rPr>
                <w:rFonts w:hint="eastAsia" w:ascii="宋体" w:hAnsi="宋体" w:cs="宋体"/>
                <w:color w:val="auto"/>
                <w:szCs w:val="21"/>
                <w:highlight w:val="none"/>
              </w:rPr>
              <w:t>▲</w:t>
            </w:r>
            <w:r>
              <w:rPr>
                <w:rFonts w:hint="eastAsia"/>
                <w:b/>
                <w:bCs/>
                <w:color w:val="auto"/>
                <w:szCs w:val="21"/>
                <w:highlight w:val="none"/>
              </w:rPr>
              <w:t>2.合同签订日期</w:t>
            </w:r>
          </w:p>
        </w:tc>
        <w:tc>
          <w:tcPr>
            <w:tcW w:w="7939" w:type="dxa"/>
            <w:tcBorders>
              <w:top w:val="single" w:color="auto" w:sz="4" w:space="0"/>
              <w:left w:val="single" w:color="auto" w:sz="4" w:space="0"/>
              <w:bottom w:val="single" w:color="auto" w:sz="4" w:space="0"/>
              <w:right w:val="single" w:color="auto" w:sz="4" w:space="0"/>
            </w:tcBorders>
            <w:vAlign w:val="center"/>
          </w:tcPr>
          <w:p w14:paraId="7D2D41F7">
            <w:pPr>
              <w:spacing w:line="360" w:lineRule="auto"/>
              <w:rPr>
                <w:rFonts w:ascii="黑体" w:hAnsi="黑体" w:eastAsia="黑体" w:cs="Arial"/>
                <w:b/>
                <w:color w:val="auto"/>
                <w:kern w:val="0"/>
                <w:sz w:val="28"/>
                <w:szCs w:val="28"/>
                <w:highlight w:val="none"/>
              </w:rPr>
            </w:pPr>
            <w:r>
              <w:rPr>
                <w:rFonts w:hint="eastAsia"/>
                <w:color w:val="auto"/>
                <w:szCs w:val="21"/>
                <w:highlight w:val="none"/>
              </w:rPr>
              <w:t>自成交通知书发出之日起，8个工作日内签订（采购过程中出现质疑、投诉的除外），最晚不得超过广西壮族自治区规定的25日。</w:t>
            </w:r>
          </w:p>
        </w:tc>
      </w:tr>
      <w:tr w14:paraId="2493C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5" w:type="dxa"/>
            <w:tcBorders>
              <w:top w:val="single" w:color="auto" w:sz="4" w:space="0"/>
              <w:left w:val="single" w:color="auto" w:sz="4" w:space="0"/>
              <w:bottom w:val="single" w:color="auto" w:sz="4" w:space="0"/>
              <w:right w:val="single" w:color="auto" w:sz="4" w:space="0"/>
            </w:tcBorders>
            <w:vAlign w:val="center"/>
          </w:tcPr>
          <w:p w14:paraId="3EEAD0B5">
            <w:pPr>
              <w:spacing w:line="360" w:lineRule="auto"/>
              <w:jc w:val="center"/>
              <w:rPr>
                <w:rFonts w:ascii="黑体" w:hAnsi="黑体" w:eastAsia="黑体" w:cs="Arial"/>
                <w:b/>
                <w:color w:val="auto"/>
                <w:kern w:val="0"/>
                <w:sz w:val="28"/>
                <w:szCs w:val="28"/>
                <w:highlight w:val="none"/>
              </w:rPr>
            </w:pPr>
            <w:r>
              <w:rPr>
                <w:rFonts w:hint="eastAsia" w:ascii="宋体" w:hAnsi="宋体" w:cs="宋体"/>
                <w:color w:val="auto"/>
                <w:szCs w:val="21"/>
                <w:highlight w:val="none"/>
              </w:rPr>
              <w:t>▲</w:t>
            </w:r>
            <w:r>
              <w:rPr>
                <w:rFonts w:hint="eastAsia"/>
                <w:b/>
                <w:bCs/>
                <w:color w:val="auto"/>
                <w:szCs w:val="21"/>
                <w:highlight w:val="none"/>
              </w:rPr>
              <w:t>3.交货（实施）时间</w:t>
            </w:r>
          </w:p>
        </w:tc>
        <w:tc>
          <w:tcPr>
            <w:tcW w:w="7939" w:type="dxa"/>
            <w:tcBorders>
              <w:top w:val="single" w:color="auto" w:sz="4" w:space="0"/>
              <w:left w:val="single" w:color="auto" w:sz="4" w:space="0"/>
              <w:bottom w:val="single" w:color="auto" w:sz="4" w:space="0"/>
              <w:right w:val="single" w:color="auto" w:sz="4" w:space="0"/>
            </w:tcBorders>
            <w:vAlign w:val="center"/>
          </w:tcPr>
          <w:p w14:paraId="1B0D816B">
            <w:pPr>
              <w:spacing w:line="360" w:lineRule="auto"/>
              <w:rPr>
                <w:color w:val="auto"/>
                <w:szCs w:val="21"/>
                <w:highlight w:val="none"/>
              </w:rPr>
            </w:pPr>
            <w:r>
              <w:rPr>
                <w:rFonts w:hint="eastAsia"/>
                <w:color w:val="auto"/>
                <w:szCs w:val="21"/>
                <w:highlight w:val="none"/>
              </w:rPr>
              <w:t>自签订合同之日起</w:t>
            </w:r>
            <w:r>
              <w:rPr>
                <w:color w:val="auto"/>
                <w:szCs w:val="21"/>
                <w:highlight w:val="none"/>
              </w:rPr>
              <w:t>60</w:t>
            </w:r>
            <w:r>
              <w:rPr>
                <w:rFonts w:hint="eastAsia"/>
                <w:color w:val="auto"/>
                <w:szCs w:val="21"/>
                <w:highlight w:val="none"/>
              </w:rPr>
              <w:t>个日历天内完成交付、安装、调试。</w:t>
            </w:r>
          </w:p>
        </w:tc>
      </w:tr>
      <w:tr w14:paraId="71FA5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5" w:type="dxa"/>
            <w:tcBorders>
              <w:top w:val="single" w:color="auto" w:sz="4" w:space="0"/>
              <w:left w:val="single" w:color="auto" w:sz="4" w:space="0"/>
              <w:bottom w:val="single" w:color="auto" w:sz="4" w:space="0"/>
              <w:right w:val="single" w:color="auto" w:sz="4" w:space="0"/>
            </w:tcBorders>
            <w:vAlign w:val="center"/>
          </w:tcPr>
          <w:p w14:paraId="4CCB495E">
            <w:pPr>
              <w:spacing w:line="360" w:lineRule="auto"/>
              <w:jc w:val="center"/>
              <w:rPr>
                <w:rFonts w:ascii="黑体" w:hAnsi="黑体" w:eastAsia="黑体" w:cs="Arial"/>
                <w:b/>
                <w:color w:val="auto"/>
                <w:kern w:val="0"/>
                <w:sz w:val="28"/>
                <w:szCs w:val="28"/>
                <w:highlight w:val="none"/>
              </w:rPr>
            </w:pPr>
            <w:r>
              <w:rPr>
                <w:rFonts w:hint="eastAsia" w:ascii="宋体" w:hAnsi="宋体" w:cs="宋体"/>
                <w:color w:val="auto"/>
                <w:szCs w:val="21"/>
                <w:highlight w:val="none"/>
              </w:rPr>
              <w:t>▲</w:t>
            </w:r>
            <w:r>
              <w:rPr>
                <w:rFonts w:hint="eastAsia"/>
                <w:b/>
                <w:bCs/>
                <w:color w:val="auto"/>
                <w:szCs w:val="21"/>
                <w:highlight w:val="none"/>
              </w:rPr>
              <w:t>4.交货地点或服务地点</w:t>
            </w:r>
          </w:p>
        </w:tc>
        <w:tc>
          <w:tcPr>
            <w:tcW w:w="7939" w:type="dxa"/>
            <w:tcBorders>
              <w:top w:val="single" w:color="auto" w:sz="4" w:space="0"/>
              <w:left w:val="single" w:color="auto" w:sz="4" w:space="0"/>
              <w:bottom w:val="single" w:color="auto" w:sz="4" w:space="0"/>
              <w:right w:val="single" w:color="auto" w:sz="4" w:space="0"/>
            </w:tcBorders>
            <w:vAlign w:val="center"/>
          </w:tcPr>
          <w:p w14:paraId="2DA72A6B">
            <w:pPr>
              <w:spacing w:line="360" w:lineRule="auto"/>
              <w:rPr>
                <w:rFonts w:ascii="黑体" w:hAnsi="黑体" w:eastAsia="黑体" w:cs="Arial"/>
                <w:b/>
                <w:color w:val="auto"/>
                <w:kern w:val="0"/>
                <w:sz w:val="28"/>
                <w:szCs w:val="28"/>
                <w:highlight w:val="none"/>
              </w:rPr>
            </w:pPr>
            <w:r>
              <w:rPr>
                <w:rFonts w:hint="eastAsia"/>
                <w:color w:val="auto"/>
                <w:szCs w:val="21"/>
                <w:highlight w:val="none"/>
              </w:rPr>
              <w:t>采购人指定地点。</w:t>
            </w:r>
          </w:p>
        </w:tc>
      </w:tr>
      <w:tr w14:paraId="45896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1925" w:type="dxa"/>
            <w:tcBorders>
              <w:top w:val="single" w:color="auto" w:sz="4" w:space="0"/>
              <w:left w:val="single" w:color="auto" w:sz="4" w:space="0"/>
              <w:bottom w:val="single" w:color="auto" w:sz="4" w:space="0"/>
              <w:right w:val="single" w:color="auto" w:sz="4" w:space="0"/>
            </w:tcBorders>
            <w:vAlign w:val="center"/>
          </w:tcPr>
          <w:p w14:paraId="7FE3F821">
            <w:pPr>
              <w:spacing w:line="360" w:lineRule="auto"/>
              <w:jc w:val="center"/>
              <w:rPr>
                <w:rFonts w:ascii="黑体" w:hAnsi="黑体" w:eastAsia="黑体" w:cs="Arial"/>
                <w:b/>
                <w:color w:val="auto"/>
                <w:kern w:val="0"/>
                <w:sz w:val="28"/>
                <w:szCs w:val="28"/>
                <w:highlight w:val="none"/>
              </w:rPr>
            </w:pPr>
            <w:r>
              <w:rPr>
                <w:rFonts w:hint="eastAsia" w:ascii="宋体" w:hAnsi="宋体" w:cs="宋体"/>
                <w:color w:val="auto"/>
                <w:szCs w:val="21"/>
                <w:highlight w:val="none"/>
              </w:rPr>
              <w:t>▲</w:t>
            </w:r>
            <w:r>
              <w:rPr>
                <w:rFonts w:hint="eastAsia"/>
                <w:b/>
                <w:bCs/>
                <w:color w:val="auto"/>
                <w:szCs w:val="21"/>
                <w:highlight w:val="none"/>
              </w:rPr>
              <w:t>5.验收标准</w:t>
            </w:r>
          </w:p>
        </w:tc>
        <w:tc>
          <w:tcPr>
            <w:tcW w:w="7939" w:type="dxa"/>
            <w:tcBorders>
              <w:top w:val="single" w:color="auto" w:sz="4" w:space="0"/>
              <w:left w:val="single" w:color="auto" w:sz="4" w:space="0"/>
              <w:bottom w:val="single" w:color="auto" w:sz="4" w:space="0"/>
              <w:right w:val="single" w:color="auto" w:sz="4" w:space="0"/>
            </w:tcBorders>
            <w:vAlign w:val="center"/>
          </w:tcPr>
          <w:p w14:paraId="507370AC">
            <w:pPr>
              <w:spacing w:line="360" w:lineRule="auto"/>
              <w:rPr>
                <w:color w:val="auto"/>
                <w:szCs w:val="21"/>
                <w:highlight w:val="none"/>
              </w:rPr>
            </w:pPr>
            <w:r>
              <w:rPr>
                <w:rFonts w:hint="eastAsia"/>
                <w:color w:val="auto"/>
                <w:szCs w:val="21"/>
                <w:highlight w:val="none"/>
              </w:rPr>
              <w:t xml:space="preserve">1.验收过程中所产生的一切费用均由成交供应商承担。报价时应考虑相关费用。 </w:t>
            </w:r>
          </w:p>
          <w:p w14:paraId="2687C8C0">
            <w:pPr>
              <w:spacing w:line="360" w:lineRule="auto"/>
              <w:rPr>
                <w:color w:val="auto"/>
                <w:szCs w:val="21"/>
                <w:highlight w:val="none"/>
              </w:rPr>
            </w:pPr>
            <w:r>
              <w:rPr>
                <w:rFonts w:hint="eastAsia"/>
                <w:color w:val="auto"/>
                <w:szCs w:val="21"/>
                <w:highlight w:val="none"/>
              </w:rPr>
              <w:t xml:space="preserve">2.采购人对成交供应商提交的货物依据采购文件上的技术规格要求和国家有关质量标准进行现场签收，外观、说明书符合采购文件技术要求的，给予签收，不合格的不予签收。 </w:t>
            </w:r>
          </w:p>
          <w:p w14:paraId="3F308036">
            <w:pPr>
              <w:spacing w:line="360" w:lineRule="auto"/>
              <w:rPr>
                <w:color w:val="auto"/>
                <w:szCs w:val="21"/>
                <w:highlight w:val="none"/>
              </w:rPr>
            </w:pPr>
            <w:r>
              <w:rPr>
                <w:rFonts w:hint="eastAsia"/>
                <w:color w:val="auto"/>
                <w:szCs w:val="21"/>
                <w:highlight w:val="none"/>
              </w:rPr>
              <w:t xml:space="preserve">3.成交供应商交货前应对产品作出全面检查和对验收文件进行整理，并列出清单，作为采购人收货验收和使用的技术条件依据，检验的结果应随货物交采购人。成交供应商不能完整交付货物的，必须负责补齐，否则视为未按合同约定交货。 </w:t>
            </w:r>
          </w:p>
          <w:p w14:paraId="017B9486">
            <w:pPr>
              <w:spacing w:line="360" w:lineRule="auto"/>
              <w:rPr>
                <w:color w:val="auto"/>
                <w:szCs w:val="21"/>
                <w:highlight w:val="none"/>
              </w:rPr>
            </w:pPr>
            <w:r>
              <w:rPr>
                <w:rFonts w:hint="eastAsia"/>
                <w:color w:val="auto"/>
                <w:szCs w:val="21"/>
                <w:highlight w:val="none"/>
              </w:rPr>
              <w:t>4.成交供应商需负责安装、调试（测试），并培训采购人的使用操作人员，直到设备运行符合技术要求，采购人方验收。</w:t>
            </w:r>
          </w:p>
          <w:p w14:paraId="480893D1">
            <w:pPr>
              <w:spacing w:line="360" w:lineRule="auto"/>
              <w:rPr>
                <w:color w:val="auto"/>
                <w:szCs w:val="21"/>
                <w:highlight w:val="none"/>
              </w:rPr>
            </w:pPr>
            <w:r>
              <w:rPr>
                <w:rFonts w:hint="eastAsia"/>
                <w:color w:val="auto"/>
                <w:szCs w:val="21"/>
                <w:highlight w:val="none"/>
              </w:rPr>
              <w:t xml:space="preserve">5.采购人组织验收，成交供应商必须到场配合，验收合格后双方签署验收合格凭证。 </w:t>
            </w:r>
          </w:p>
          <w:p w14:paraId="0C014CC4">
            <w:pPr>
              <w:spacing w:line="360" w:lineRule="auto"/>
              <w:rPr>
                <w:color w:val="auto"/>
                <w:szCs w:val="21"/>
                <w:highlight w:val="none"/>
              </w:rPr>
            </w:pPr>
            <w:r>
              <w:rPr>
                <w:rFonts w:hint="eastAsia"/>
                <w:color w:val="auto"/>
                <w:szCs w:val="21"/>
                <w:highlight w:val="none"/>
              </w:rPr>
              <w:t xml:space="preserve">6.其他未尽事宜应严格按照《关于印发广西壮族自治区政府采购项目履约验收管理办法的通知》[桂财采〔2015〕22 号]以及《财政部关于进一步加强政府采购需求和履约验收管理的指导意见》[财库〔2016〕205 号]规定执行。 </w:t>
            </w:r>
          </w:p>
          <w:p w14:paraId="284746A2">
            <w:pPr>
              <w:spacing w:line="360" w:lineRule="auto"/>
              <w:rPr>
                <w:rFonts w:ascii="黑体" w:hAnsi="黑体" w:eastAsia="黑体" w:cs="Arial"/>
                <w:b/>
                <w:color w:val="auto"/>
                <w:kern w:val="0"/>
                <w:sz w:val="28"/>
                <w:szCs w:val="28"/>
                <w:highlight w:val="none"/>
              </w:rPr>
            </w:pPr>
            <w:r>
              <w:rPr>
                <w:rFonts w:hint="eastAsia"/>
                <w:color w:val="auto"/>
                <w:szCs w:val="21"/>
                <w:highlight w:val="none"/>
              </w:rPr>
              <w:t>7.合同履行过程中，如不符合采购文件的技术需求及要求以及提供虚假承诺的，按相关规定做退货处理及违约处理，成交供应商须承担所有责任和费用，采购人保留进一步追究责任的权利。</w:t>
            </w:r>
          </w:p>
        </w:tc>
      </w:tr>
      <w:tr w14:paraId="7F489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1925" w:type="dxa"/>
            <w:tcBorders>
              <w:top w:val="single" w:color="auto" w:sz="4" w:space="0"/>
              <w:left w:val="single" w:color="auto" w:sz="4" w:space="0"/>
              <w:bottom w:val="single" w:color="auto" w:sz="4" w:space="0"/>
              <w:right w:val="single" w:color="auto" w:sz="4" w:space="0"/>
            </w:tcBorders>
            <w:vAlign w:val="center"/>
          </w:tcPr>
          <w:p w14:paraId="0256DABE">
            <w:pPr>
              <w:jc w:val="center"/>
              <w:rPr>
                <w:rFonts w:ascii="宋体" w:hAnsi="宋体" w:cs="宋体"/>
                <w:color w:val="auto"/>
                <w:szCs w:val="21"/>
                <w:highlight w:val="none"/>
              </w:rPr>
            </w:pPr>
            <w:r>
              <w:rPr>
                <w:rFonts w:hint="eastAsia" w:ascii="宋体" w:hAnsi="宋体" w:cs="宋体"/>
                <w:color w:val="auto"/>
                <w:szCs w:val="21"/>
                <w:highlight w:val="none"/>
              </w:rPr>
              <w:t>▲</w:t>
            </w:r>
            <w:r>
              <w:rPr>
                <w:rFonts w:hint="eastAsia"/>
                <w:b/>
                <w:bCs/>
                <w:color w:val="auto"/>
                <w:szCs w:val="21"/>
                <w:highlight w:val="none"/>
              </w:rPr>
              <w:t>6.质保期</w:t>
            </w:r>
          </w:p>
        </w:tc>
        <w:tc>
          <w:tcPr>
            <w:tcW w:w="7939" w:type="dxa"/>
            <w:tcBorders>
              <w:top w:val="single" w:color="auto" w:sz="4" w:space="0"/>
              <w:left w:val="single" w:color="auto" w:sz="4" w:space="0"/>
              <w:bottom w:val="single" w:color="auto" w:sz="4" w:space="0"/>
              <w:right w:val="single" w:color="auto" w:sz="4" w:space="0"/>
            </w:tcBorders>
            <w:vAlign w:val="center"/>
          </w:tcPr>
          <w:p w14:paraId="63548D4D">
            <w:pPr>
              <w:spacing w:line="360" w:lineRule="auto"/>
              <w:rPr>
                <w:color w:val="auto"/>
                <w:szCs w:val="21"/>
                <w:highlight w:val="none"/>
              </w:rPr>
            </w:pPr>
            <w:r>
              <w:rPr>
                <w:rFonts w:hint="eastAsia"/>
                <w:color w:val="auto"/>
                <w:szCs w:val="21"/>
                <w:highlight w:val="none"/>
              </w:rPr>
              <w:t>1.按国家有关产品“三包”规定执行“三包”，质保期按技术参数表中各项产品要求。</w:t>
            </w:r>
          </w:p>
          <w:p w14:paraId="4225073C">
            <w:pPr>
              <w:spacing w:line="360" w:lineRule="auto"/>
              <w:rPr>
                <w:color w:val="auto"/>
                <w:szCs w:val="21"/>
                <w:highlight w:val="none"/>
              </w:rPr>
            </w:pPr>
            <w:r>
              <w:rPr>
                <w:rFonts w:hint="eastAsia"/>
                <w:color w:val="auto"/>
                <w:szCs w:val="21"/>
                <w:highlight w:val="none"/>
              </w:rPr>
              <w:t>2.项目需求中有特殊要求的，按项目需求执行。提供终身维护和保养服务，保修期内出现故障需派出技术工程师到达现场处理故障，并承担一切费用，保修期外发生维修只收材料成本费。</w:t>
            </w:r>
          </w:p>
        </w:tc>
      </w:tr>
      <w:tr w14:paraId="7FA2D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5" w:type="dxa"/>
            <w:tcBorders>
              <w:top w:val="single" w:color="auto" w:sz="4" w:space="0"/>
              <w:left w:val="single" w:color="auto" w:sz="4" w:space="0"/>
              <w:bottom w:val="single" w:color="auto" w:sz="4" w:space="0"/>
              <w:right w:val="single" w:color="auto" w:sz="4" w:space="0"/>
            </w:tcBorders>
            <w:vAlign w:val="center"/>
          </w:tcPr>
          <w:p w14:paraId="1A900B86">
            <w:pPr>
              <w:spacing w:line="360" w:lineRule="auto"/>
              <w:jc w:val="center"/>
              <w:rPr>
                <w:rFonts w:ascii="黑体" w:hAnsi="黑体" w:eastAsia="黑体" w:cs="Arial"/>
                <w:b/>
                <w:color w:val="auto"/>
                <w:kern w:val="0"/>
                <w:sz w:val="28"/>
                <w:szCs w:val="28"/>
                <w:highlight w:val="none"/>
              </w:rPr>
            </w:pPr>
            <w:r>
              <w:rPr>
                <w:rFonts w:hint="eastAsia" w:ascii="宋体" w:hAnsi="宋体" w:cs="宋体"/>
                <w:color w:val="auto"/>
                <w:szCs w:val="21"/>
                <w:highlight w:val="none"/>
              </w:rPr>
              <w:t>▲</w:t>
            </w:r>
            <w:r>
              <w:rPr>
                <w:rFonts w:hint="eastAsia"/>
                <w:b/>
                <w:bCs/>
                <w:color w:val="auto"/>
                <w:szCs w:val="21"/>
                <w:highlight w:val="none"/>
              </w:rPr>
              <w:t>7.付款方式</w:t>
            </w:r>
          </w:p>
        </w:tc>
        <w:tc>
          <w:tcPr>
            <w:tcW w:w="7939" w:type="dxa"/>
            <w:tcBorders>
              <w:top w:val="single" w:color="auto" w:sz="4" w:space="0"/>
              <w:left w:val="single" w:color="auto" w:sz="4" w:space="0"/>
              <w:bottom w:val="single" w:color="auto" w:sz="4" w:space="0"/>
              <w:right w:val="single" w:color="auto" w:sz="4" w:space="0"/>
            </w:tcBorders>
            <w:vAlign w:val="center"/>
          </w:tcPr>
          <w:p w14:paraId="0ED472E9">
            <w:pPr>
              <w:spacing w:line="360" w:lineRule="auto"/>
              <w:rPr>
                <w:rFonts w:hint="eastAsia" w:cs="Arial" w:asciiTheme="minorEastAsia" w:hAnsiTheme="minorEastAsia" w:eastAsiaTheme="minorEastAsia"/>
                <w:color w:val="auto"/>
                <w:kern w:val="0"/>
                <w:szCs w:val="21"/>
                <w:highlight w:val="none"/>
              </w:rPr>
            </w:pPr>
            <w:r>
              <w:rPr>
                <w:rFonts w:hint="eastAsia" w:cs="Arial" w:asciiTheme="minorEastAsia" w:hAnsiTheme="minorEastAsia" w:eastAsiaTheme="minorEastAsia"/>
                <w:color w:val="auto"/>
                <w:kern w:val="0"/>
                <w:szCs w:val="21"/>
                <w:highlight w:val="none"/>
              </w:rPr>
              <w:t>采用分批次支付方式:</w:t>
            </w:r>
          </w:p>
          <w:p w14:paraId="22233095">
            <w:pPr>
              <w:spacing w:line="360" w:lineRule="auto"/>
              <w:rPr>
                <w:rFonts w:hint="eastAsia" w:ascii="黑体" w:hAnsi="黑体" w:eastAsia="黑体" w:cs="Arial"/>
                <w:b/>
                <w:color w:val="auto"/>
                <w:kern w:val="0"/>
                <w:sz w:val="28"/>
                <w:szCs w:val="28"/>
                <w:highlight w:val="none"/>
              </w:rPr>
            </w:pPr>
            <w:r>
              <w:rPr>
                <w:rFonts w:hint="eastAsia" w:cs="Arial" w:asciiTheme="minorEastAsia" w:hAnsiTheme="minorEastAsia" w:eastAsiaTheme="minorEastAsia"/>
                <w:color w:val="auto"/>
                <w:kern w:val="0"/>
                <w:szCs w:val="21"/>
                <w:highlight w:val="none"/>
              </w:rPr>
              <w:t>双方签订合同后20个工作日内支付合同款的40%作为预付款。全部货到后20个工作日内支付合同款的30%。验收合格后供应商需先向</w:t>
            </w:r>
            <w:r>
              <w:rPr>
                <w:rFonts w:hint="eastAsia" w:cs="Arial" w:asciiTheme="minorEastAsia" w:hAnsiTheme="minorEastAsia" w:eastAsiaTheme="minorEastAsia"/>
                <w:color w:val="auto"/>
                <w:kern w:val="0"/>
                <w:szCs w:val="21"/>
                <w:highlight w:val="none"/>
                <w:lang w:val="en-US" w:eastAsia="zh-CN"/>
              </w:rPr>
              <w:t>采购人</w:t>
            </w:r>
            <w:r>
              <w:rPr>
                <w:rFonts w:hint="eastAsia" w:cs="Arial" w:asciiTheme="minorEastAsia" w:hAnsiTheme="minorEastAsia" w:eastAsiaTheme="minorEastAsia"/>
                <w:color w:val="auto"/>
                <w:kern w:val="0"/>
                <w:szCs w:val="21"/>
                <w:highlight w:val="none"/>
              </w:rPr>
              <w:t>开具合同金额全额的正式发票，后20个工作日内支付合同款的30%。</w:t>
            </w:r>
          </w:p>
        </w:tc>
      </w:tr>
      <w:tr w14:paraId="6B7AC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1925" w:type="dxa"/>
            <w:tcBorders>
              <w:top w:val="single" w:color="auto" w:sz="4" w:space="0"/>
              <w:left w:val="single" w:color="auto" w:sz="4" w:space="0"/>
              <w:bottom w:val="single" w:color="auto" w:sz="4" w:space="0"/>
              <w:right w:val="single" w:color="auto" w:sz="4" w:space="0"/>
            </w:tcBorders>
            <w:vAlign w:val="center"/>
          </w:tcPr>
          <w:p w14:paraId="1A34E237">
            <w:pPr>
              <w:spacing w:line="360" w:lineRule="auto"/>
              <w:jc w:val="center"/>
              <w:rPr>
                <w:rFonts w:ascii="黑体" w:hAnsi="黑体" w:eastAsia="黑体" w:cs="Arial"/>
                <w:b/>
                <w:color w:val="auto"/>
                <w:kern w:val="0"/>
                <w:sz w:val="28"/>
                <w:szCs w:val="28"/>
                <w:highlight w:val="none"/>
              </w:rPr>
            </w:pPr>
            <w:r>
              <w:rPr>
                <w:rFonts w:hint="eastAsia" w:ascii="宋体" w:hAnsi="宋体" w:cs="宋体"/>
                <w:color w:val="auto"/>
                <w:szCs w:val="21"/>
                <w:highlight w:val="none"/>
              </w:rPr>
              <w:t>▲</w:t>
            </w:r>
            <w:r>
              <w:rPr>
                <w:rFonts w:hint="eastAsia"/>
                <w:b/>
                <w:bCs/>
                <w:color w:val="auto"/>
                <w:szCs w:val="21"/>
                <w:highlight w:val="none"/>
              </w:rPr>
              <w:t>8.履约保证金</w:t>
            </w:r>
          </w:p>
        </w:tc>
        <w:tc>
          <w:tcPr>
            <w:tcW w:w="7939" w:type="dxa"/>
            <w:tcBorders>
              <w:top w:val="single" w:color="auto" w:sz="4" w:space="0"/>
              <w:left w:val="single" w:color="auto" w:sz="4" w:space="0"/>
              <w:bottom w:val="single" w:color="auto" w:sz="4" w:space="0"/>
              <w:right w:val="single" w:color="auto" w:sz="4" w:space="0"/>
            </w:tcBorders>
            <w:vAlign w:val="center"/>
          </w:tcPr>
          <w:p w14:paraId="4F310DB1">
            <w:pPr>
              <w:spacing w:line="360" w:lineRule="auto"/>
              <w:rPr>
                <w:rFonts w:ascii="黑体" w:hAnsi="黑体" w:eastAsia="黑体" w:cs="Arial"/>
                <w:b/>
                <w:color w:val="auto"/>
                <w:kern w:val="0"/>
                <w:sz w:val="28"/>
                <w:szCs w:val="28"/>
                <w:highlight w:val="none"/>
              </w:rPr>
            </w:pPr>
            <w:r>
              <w:rPr>
                <w:rFonts w:hint="eastAsia"/>
                <w:color w:val="auto"/>
                <w:szCs w:val="21"/>
                <w:highlight w:val="none"/>
              </w:rPr>
              <w:t>本项目不收取履约保证金</w:t>
            </w:r>
          </w:p>
        </w:tc>
      </w:tr>
      <w:tr w14:paraId="05784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5" w:type="dxa"/>
            <w:tcBorders>
              <w:top w:val="single" w:color="auto" w:sz="4" w:space="0"/>
              <w:left w:val="single" w:color="auto" w:sz="4" w:space="0"/>
              <w:bottom w:val="single" w:color="auto" w:sz="4" w:space="0"/>
              <w:right w:val="single" w:color="auto" w:sz="4" w:space="0"/>
            </w:tcBorders>
            <w:vAlign w:val="center"/>
          </w:tcPr>
          <w:p w14:paraId="04C8A8D3">
            <w:pPr>
              <w:spacing w:line="360" w:lineRule="auto"/>
              <w:jc w:val="center"/>
              <w:rPr>
                <w:rFonts w:ascii="黑体" w:hAnsi="黑体" w:eastAsia="黑体" w:cs="Arial"/>
                <w:b/>
                <w:color w:val="auto"/>
                <w:kern w:val="0"/>
                <w:sz w:val="28"/>
                <w:szCs w:val="28"/>
                <w:highlight w:val="none"/>
              </w:rPr>
            </w:pPr>
          </w:p>
          <w:p w14:paraId="747B6449">
            <w:pPr>
              <w:spacing w:line="360" w:lineRule="auto"/>
              <w:jc w:val="center"/>
              <w:rPr>
                <w:b/>
                <w:bCs/>
                <w:color w:val="auto"/>
                <w:szCs w:val="21"/>
                <w:highlight w:val="none"/>
              </w:rPr>
            </w:pPr>
            <w:r>
              <w:rPr>
                <w:rFonts w:hint="eastAsia" w:ascii="宋体" w:hAnsi="宋体" w:cs="宋体"/>
                <w:color w:val="auto"/>
                <w:szCs w:val="21"/>
                <w:highlight w:val="none"/>
              </w:rPr>
              <w:t>▲</w:t>
            </w:r>
            <w:r>
              <w:rPr>
                <w:rFonts w:hint="eastAsia"/>
                <w:b/>
                <w:bCs/>
                <w:color w:val="auto"/>
                <w:szCs w:val="21"/>
                <w:highlight w:val="none"/>
              </w:rPr>
              <w:t>9.售后服务</w:t>
            </w:r>
          </w:p>
          <w:p w14:paraId="6C86B36C">
            <w:pPr>
              <w:spacing w:line="360" w:lineRule="auto"/>
              <w:jc w:val="center"/>
              <w:rPr>
                <w:rFonts w:ascii="黑体" w:hAnsi="黑体" w:eastAsia="黑体" w:cs="Arial"/>
                <w:b/>
                <w:color w:val="auto"/>
                <w:kern w:val="0"/>
                <w:sz w:val="28"/>
                <w:szCs w:val="28"/>
                <w:highlight w:val="none"/>
              </w:rPr>
            </w:pPr>
          </w:p>
        </w:tc>
        <w:tc>
          <w:tcPr>
            <w:tcW w:w="7939" w:type="dxa"/>
            <w:tcBorders>
              <w:top w:val="single" w:color="auto" w:sz="4" w:space="0"/>
              <w:left w:val="single" w:color="auto" w:sz="4" w:space="0"/>
              <w:bottom w:val="single" w:color="auto" w:sz="4" w:space="0"/>
              <w:right w:val="single" w:color="auto" w:sz="4" w:space="0"/>
            </w:tcBorders>
            <w:vAlign w:val="center"/>
          </w:tcPr>
          <w:p w14:paraId="4F152B4F">
            <w:pPr>
              <w:spacing w:line="380" w:lineRule="exact"/>
              <w:rPr>
                <w:color w:val="auto"/>
                <w:szCs w:val="21"/>
                <w:highlight w:val="none"/>
              </w:rPr>
            </w:pPr>
            <w:r>
              <w:rPr>
                <w:rFonts w:hint="eastAsia"/>
                <w:color w:val="auto"/>
                <w:szCs w:val="21"/>
                <w:highlight w:val="none"/>
              </w:rPr>
              <w:t xml:space="preserve">1.免费保修期：按国家有关产品“三包”规定执行“三包”，免费保修期不得少于 2 年，保修期内一切费用由成交供应商承担，并提供终身维修服务；采购需求中有特殊要求的，按采购需求执行。 </w:t>
            </w:r>
          </w:p>
          <w:p w14:paraId="210C78C9">
            <w:pPr>
              <w:spacing w:line="380" w:lineRule="exact"/>
              <w:rPr>
                <w:color w:val="auto"/>
                <w:szCs w:val="21"/>
                <w:highlight w:val="none"/>
              </w:rPr>
            </w:pPr>
            <w:r>
              <w:rPr>
                <w:rFonts w:hint="eastAsia"/>
                <w:color w:val="auto"/>
                <w:szCs w:val="21"/>
                <w:highlight w:val="none"/>
              </w:rPr>
              <w:t xml:space="preserve">2.采购范围内的货物提供送货上门服务，并负责安装调试合格。提供现场技术培训，保证采购人使用人员熟练操作设备的各种功能；若设备自带软件，在免费保修期负责软件升级。 </w:t>
            </w:r>
          </w:p>
          <w:p w14:paraId="3DFC7884">
            <w:pPr>
              <w:spacing w:line="380" w:lineRule="exact"/>
              <w:rPr>
                <w:color w:val="auto"/>
                <w:szCs w:val="21"/>
                <w:highlight w:val="none"/>
              </w:rPr>
            </w:pPr>
            <w:r>
              <w:rPr>
                <w:rFonts w:hint="eastAsia"/>
                <w:color w:val="auto"/>
                <w:szCs w:val="21"/>
                <w:highlight w:val="none"/>
              </w:rPr>
              <w:t xml:space="preserve">3.提供售后服务联系电话及联系人，免费保修期内，货物若出现问题，成交供应商在接到故障通知的 1 小时内响应，3 小时内提供解决方案，24 小时内派工程技术人员上门维修并解决故障问题。如果需要更换配件的，要求更换的配件应跟被更换的品牌、类型相一致或者是同类同档次的替代品，后者需征得采购人同意。 </w:t>
            </w:r>
          </w:p>
          <w:p w14:paraId="762D1E5E">
            <w:pPr>
              <w:spacing w:line="380" w:lineRule="exact"/>
              <w:rPr>
                <w:color w:val="auto"/>
                <w:szCs w:val="21"/>
                <w:highlight w:val="none"/>
              </w:rPr>
            </w:pPr>
            <w:r>
              <w:rPr>
                <w:rFonts w:hint="eastAsia"/>
                <w:color w:val="auto"/>
                <w:szCs w:val="21"/>
                <w:highlight w:val="none"/>
              </w:rPr>
              <w:t xml:space="preserve">4.运维服务期外服务要求：成交供应商完成服务项目后，同样提供 7*24 小时电话咨询服务。 </w:t>
            </w:r>
          </w:p>
          <w:p w14:paraId="7268D951">
            <w:pPr>
              <w:spacing w:line="380" w:lineRule="exact"/>
              <w:rPr>
                <w:color w:val="auto"/>
                <w:szCs w:val="21"/>
                <w:highlight w:val="none"/>
              </w:rPr>
            </w:pPr>
            <w:r>
              <w:rPr>
                <w:rFonts w:hint="eastAsia"/>
                <w:color w:val="auto"/>
                <w:szCs w:val="21"/>
                <w:highlight w:val="none"/>
              </w:rPr>
              <w:t xml:space="preserve">5.保修期内每半年至少提供一次维护保养，并提供保养报告单；定期的维护保养服务包括：设备的安全检查、影像质量检查、设备清洁保养、性能测试及校准、运行状态检查等。保修期内需更换的损耗品由成交供应商负责提供，不得额外收取费用。 </w:t>
            </w:r>
          </w:p>
          <w:p w14:paraId="7306D967">
            <w:pPr>
              <w:spacing w:line="380" w:lineRule="exact"/>
              <w:rPr>
                <w:color w:val="auto"/>
                <w:sz w:val="24"/>
                <w:highlight w:val="none"/>
              </w:rPr>
            </w:pPr>
            <w:r>
              <w:rPr>
                <w:rFonts w:hint="eastAsia"/>
                <w:color w:val="auto"/>
                <w:szCs w:val="21"/>
                <w:highlight w:val="none"/>
              </w:rPr>
              <w:t>6.培训要求：成交供应商须向采购人提供现场实地培训，通过技术培训结合现场操作对维护管理和实际操作人员培训，使他们对产品及技术有较深的理解，能熟练地进行系统操作。要求成交供应商委派培训工程师完成对相关管理维护、操作人员的培训，培训地点时间由采购人按需指定。</w:t>
            </w:r>
          </w:p>
        </w:tc>
      </w:tr>
      <w:tr w14:paraId="544E4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5" w:type="dxa"/>
            <w:tcBorders>
              <w:top w:val="single" w:color="auto" w:sz="4" w:space="0"/>
              <w:left w:val="single" w:color="auto" w:sz="4" w:space="0"/>
              <w:bottom w:val="single" w:color="auto" w:sz="4" w:space="0"/>
              <w:right w:val="single" w:color="auto" w:sz="4" w:space="0"/>
            </w:tcBorders>
            <w:vAlign w:val="center"/>
          </w:tcPr>
          <w:p w14:paraId="71E64BF3">
            <w:pPr>
              <w:spacing w:line="360" w:lineRule="auto"/>
              <w:jc w:val="center"/>
              <w:rPr>
                <w:rFonts w:ascii="黑体" w:hAnsi="黑体" w:eastAsia="黑体" w:cs="Arial"/>
                <w:b/>
                <w:color w:val="auto"/>
                <w:kern w:val="0"/>
                <w:sz w:val="28"/>
                <w:szCs w:val="28"/>
                <w:highlight w:val="none"/>
              </w:rPr>
            </w:pPr>
            <w:r>
              <w:rPr>
                <w:rFonts w:hint="eastAsia" w:ascii="宋体" w:hAnsi="宋体" w:cs="宋体"/>
                <w:color w:val="auto"/>
                <w:szCs w:val="21"/>
                <w:highlight w:val="none"/>
              </w:rPr>
              <w:t>▲</w:t>
            </w:r>
            <w:r>
              <w:rPr>
                <w:rFonts w:hint="eastAsia"/>
                <w:b/>
                <w:bCs/>
                <w:color w:val="auto"/>
                <w:szCs w:val="21"/>
                <w:highlight w:val="none"/>
              </w:rPr>
              <w:t>10.包装和运输要求</w:t>
            </w:r>
          </w:p>
        </w:tc>
        <w:tc>
          <w:tcPr>
            <w:tcW w:w="7939" w:type="dxa"/>
            <w:tcBorders>
              <w:top w:val="single" w:color="auto" w:sz="4" w:space="0"/>
              <w:left w:val="single" w:color="auto" w:sz="4" w:space="0"/>
              <w:bottom w:val="single" w:color="auto" w:sz="4" w:space="0"/>
              <w:right w:val="single" w:color="auto" w:sz="4" w:space="0"/>
            </w:tcBorders>
            <w:vAlign w:val="center"/>
          </w:tcPr>
          <w:p w14:paraId="0ECE6220">
            <w:pPr>
              <w:spacing w:line="360" w:lineRule="auto"/>
              <w:rPr>
                <w:color w:val="auto"/>
                <w:szCs w:val="21"/>
                <w:highlight w:val="none"/>
              </w:rPr>
            </w:pPr>
            <w:r>
              <w:rPr>
                <w:rFonts w:hint="eastAsia" w:ascii="宋体" w:hAnsi="宋体" w:cs="宋体"/>
                <w:color w:val="auto"/>
                <w:szCs w:val="21"/>
                <w:highlight w:val="none"/>
              </w:rPr>
              <w:t>　　成交供应商应提供货物运至合同规定的最终目的地所需要的包装，以防止货物在转运中损坏或变质。这类包装应采取防潮、防晒防锈、防腐蚀、防震动及防止其它损坏的必要保护措施，从而保护货物能够经受多次搬运、装卸及内陆的长途运输。成交供应商应承担由于其包装或其防护措施不妥而引起货物锈蚀、损坏或丢失的任何损失的责任或费用。</w:t>
            </w:r>
          </w:p>
        </w:tc>
      </w:tr>
      <w:tr w14:paraId="087C8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5" w:type="dxa"/>
            <w:tcBorders>
              <w:top w:val="single" w:color="auto" w:sz="4" w:space="0"/>
              <w:left w:val="single" w:color="auto" w:sz="4" w:space="0"/>
              <w:bottom w:val="single" w:color="auto" w:sz="4" w:space="0"/>
              <w:right w:val="single" w:color="auto" w:sz="4" w:space="0"/>
            </w:tcBorders>
            <w:vAlign w:val="center"/>
          </w:tcPr>
          <w:p w14:paraId="2CFA0396">
            <w:pPr>
              <w:spacing w:line="360" w:lineRule="auto"/>
              <w:jc w:val="center"/>
              <w:rPr>
                <w:rFonts w:ascii="黑体" w:hAnsi="黑体" w:eastAsia="黑体" w:cs="Arial"/>
                <w:b/>
                <w:color w:val="auto"/>
                <w:kern w:val="0"/>
                <w:sz w:val="28"/>
                <w:szCs w:val="28"/>
                <w:highlight w:val="none"/>
              </w:rPr>
            </w:pPr>
            <w:r>
              <w:rPr>
                <w:rFonts w:hint="eastAsia" w:ascii="宋体" w:hAnsi="宋体" w:cs="宋体"/>
                <w:color w:val="auto"/>
                <w:szCs w:val="21"/>
                <w:highlight w:val="none"/>
              </w:rPr>
              <w:t>▲</w:t>
            </w:r>
            <w:r>
              <w:rPr>
                <w:rFonts w:hint="eastAsia"/>
                <w:b/>
                <w:bCs/>
                <w:color w:val="auto"/>
                <w:szCs w:val="21"/>
                <w:highlight w:val="none"/>
              </w:rPr>
              <w:t>11.保险</w:t>
            </w:r>
          </w:p>
        </w:tc>
        <w:tc>
          <w:tcPr>
            <w:tcW w:w="7939" w:type="dxa"/>
            <w:tcBorders>
              <w:top w:val="single" w:color="auto" w:sz="4" w:space="0"/>
              <w:left w:val="single" w:color="auto" w:sz="4" w:space="0"/>
              <w:bottom w:val="single" w:color="auto" w:sz="4" w:space="0"/>
              <w:right w:val="single" w:color="auto" w:sz="4" w:space="0"/>
            </w:tcBorders>
            <w:vAlign w:val="center"/>
          </w:tcPr>
          <w:p w14:paraId="3A04AAB9">
            <w:pPr>
              <w:spacing w:line="360" w:lineRule="auto"/>
              <w:rPr>
                <w:color w:val="auto"/>
                <w:szCs w:val="21"/>
                <w:highlight w:val="none"/>
              </w:rPr>
            </w:pPr>
            <w:r>
              <w:rPr>
                <w:rFonts w:hint="eastAsia"/>
                <w:color w:val="auto"/>
                <w:szCs w:val="21"/>
                <w:highlight w:val="none"/>
              </w:rPr>
              <w:t>供应商负责办理运输和保险，将货物运抵交货地点。与运输、保险相关的费用由供应商承担。</w:t>
            </w:r>
          </w:p>
        </w:tc>
      </w:tr>
    </w:tbl>
    <w:p w14:paraId="34532BF2">
      <w:pPr>
        <w:spacing w:line="360" w:lineRule="auto"/>
        <w:rPr>
          <w:rFonts w:ascii="黑体" w:hAnsi="黑体" w:eastAsia="黑体" w:cs="Arial"/>
          <w:b/>
          <w:color w:val="auto"/>
          <w:kern w:val="0"/>
          <w:sz w:val="28"/>
          <w:szCs w:val="28"/>
          <w:highlight w:val="none"/>
        </w:rPr>
      </w:pPr>
      <w:r>
        <w:rPr>
          <w:rFonts w:hint="eastAsia" w:ascii="黑体" w:hAnsi="黑体" w:eastAsia="黑体" w:cs="Arial"/>
          <w:b/>
          <w:color w:val="auto"/>
          <w:kern w:val="0"/>
          <w:sz w:val="28"/>
          <w:szCs w:val="28"/>
          <w:highlight w:val="none"/>
        </w:rPr>
        <w:t>四、其他要求</w:t>
      </w:r>
    </w:p>
    <w:p w14:paraId="6ED09ACC">
      <w:pPr>
        <w:rPr>
          <w:color w:val="auto"/>
          <w:sz w:val="2"/>
          <w:szCs w:val="2"/>
          <w:highlight w:val="none"/>
        </w:rPr>
      </w:pPr>
      <w:r>
        <w:rPr>
          <w:rFonts w:hint="eastAsia"/>
          <w:color w:val="auto"/>
          <w:szCs w:val="21"/>
          <w:highlight w:val="none"/>
        </w:rPr>
        <w:t>无</w:t>
      </w:r>
    </w:p>
    <w:p w14:paraId="28355D13">
      <w:pPr>
        <w:spacing w:line="528" w:lineRule="exact"/>
        <w:ind w:firstLine="210" w:firstLineChars="100"/>
        <w:rPr>
          <w:color w:val="auto"/>
          <w:sz w:val="28"/>
          <w:szCs w:val="28"/>
          <w:highlight w:val="none"/>
        </w:rPr>
      </w:pPr>
      <w:r>
        <w:rPr>
          <w:color w:val="auto"/>
          <w:szCs w:val="21"/>
          <w:highlight w:val="none"/>
        </w:rPr>
        <w:br w:type="page"/>
      </w:r>
      <w:r>
        <w:rPr>
          <w:rFonts w:hint="eastAsia"/>
          <w:color w:val="auto"/>
          <w:sz w:val="28"/>
          <w:szCs w:val="28"/>
          <w:highlight w:val="none"/>
        </w:rPr>
        <w:t xml:space="preserve">附件1： </w:t>
      </w:r>
      <w:r>
        <w:rPr>
          <w:color w:val="auto"/>
          <w:sz w:val="28"/>
          <w:szCs w:val="28"/>
          <w:highlight w:val="none"/>
        </w:rPr>
        <w:t xml:space="preserve">                              </w:t>
      </w:r>
    </w:p>
    <w:p w14:paraId="37AA5C0A">
      <w:pPr>
        <w:spacing w:line="528" w:lineRule="exact"/>
        <w:ind w:firstLine="3500" w:firstLineChars="1250"/>
        <w:rPr>
          <w:color w:val="auto"/>
          <w:sz w:val="28"/>
          <w:szCs w:val="28"/>
          <w:highlight w:val="none"/>
        </w:rPr>
      </w:pPr>
      <w:r>
        <w:rPr>
          <w:rFonts w:hint="eastAsia"/>
          <w:color w:val="auto"/>
          <w:sz w:val="28"/>
          <w:szCs w:val="28"/>
          <w:highlight w:val="none"/>
        </w:rPr>
        <w:t>中小微企业划型标准</w:t>
      </w:r>
    </w:p>
    <w:tbl>
      <w:tblPr>
        <w:tblStyle w:val="51"/>
        <w:tblW w:w="8706" w:type="dxa"/>
        <w:tblInd w:w="250" w:type="dxa"/>
        <w:tblLayout w:type="fixed"/>
        <w:tblCellMar>
          <w:top w:w="0" w:type="dxa"/>
          <w:left w:w="108" w:type="dxa"/>
          <w:bottom w:w="0" w:type="dxa"/>
          <w:right w:w="108" w:type="dxa"/>
        </w:tblCellMar>
      </w:tblPr>
      <w:tblGrid>
        <w:gridCol w:w="1446"/>
        <w:gridCol w:w="1701"/>
        <w:gridCol w:w="1134"/>
        <w:gridCol w:w="1846"/>
        <w:gridCol w:w="1570"/>
        <w:gridCol w:w="1009"/>
      </w:tblGrid>
      <w:tr w14:paraId="1AED239C">
        <w:tblPrEx>
          <w:tblCellMar>
            <w:top w:w="0" w:type="dxa"/>
            <w:left w:w="108" w:type="dxa"/>
            <w:bottom w:w="0" w:type="dxa"/>
            <w:right w:w="108" w:type="dxa"/>
          </w:tblCellMar>
        </w:tblPrEx>
        <w:trPr>
          <w:trHeight w:val="279" w:hRule="atLeast"/>
        </w:trPr>
        <w:tc>
          <w:tcPr>
            <w:tcW w:w="1446" w:type="dxa"/>
            <w:tcBorders>
              <w:top w:val="single" w:color="auto" w:sz="4" w:space="0"/>
              <w:left w:val="single" w:color="auto" w:sz="4" w:space="0"/>
              <w:bottom w:val="single" w:color="auto" w:sz="4" w:space="0"/>
              <w:right w:val="single" w:color="auto" w:sz="4" w:space="0"/>
            </w:tcBorders>
            <w:vAlign w:val="center"/>
          </w:tcPr>
          <w:p w14:paraId="4D03451D">
            <w:pPr>
              <w:widowControl/>
              <w:jc w:val="left"/>
              <w:rPr>
                <w:color w:val="auto"/>
                <w:szCs w:val="21"/>
                <w:highlight w:val="none"/>
              </w:rPr>
            </w:pPr>
            <w:r>
              <w:rPr>
                <w:rFonts w:hint="eastAsia"/>
                <w:color w:val="auto"/>
                <w:szCs w:val="21"/>
                <w:highlight w:val="none"/>
              </w:rPr>
              <w:t>行业名称</w:t>
            </w:r>
          </w:p>
        </w:tc>
        <w:tc>
          <w:tcPr>
            <w:tcW w:w="1701" w:type="dxa"/>
            <w:tcBorders>
              <w:top w:val="single" w:color="auto" w:sz="4" w:space="0"/>
              <w:left w:val="nil"/>
              <w:bottom w:val="single" w:color="auto" w:sz="4" w:space="0"/>
              <w:right w:val="single" w:color="auto" w:sz="4" w:space="0"/>
            </w:tcBorders>
            <w:vAlign w:val="center"/>
          </w:tcPr>
          <w:p w14:paraId="0E757632">
            <w:pPr>
              <w:widowControl/>
              <w:jc w:val="left"/>
              <w:rPr>
                <w:color w:val="auto"/>
                <w:szCs w:val="21"/>
                <w:highlight w:val="none"/>
              </w:rPr>
            </w:pPr>
            <w:r>
              <w:rPr>
                <w:rFonts w:hint="eastAsia"/>
                <w:color w:val="auto"/>
                <w:szCs w:val="21"/>
                <w:highlight w:val="none"/>
              </w:rPr>
              <w:t>指标名称</w:t>
            </w:r>
          </w:p>
        </w:tc>
        <w:tc>
          <w:tcPr>
            <w:tcW w:w="1134" w:type="dxa"/>
            <w:tcBorders>
              <w:top w:val="single" w:color="auto" w:sz="4" w:space="0"/>
              <w:left w:val="nil"/>
              <w:bottom w:val="single" w:color="auto" w:sz="4" w:space="0"/>
              <w:right w:val="single" w:color="auto" w:sz="4" w:space="0"/>
            </w:tcBorders>
            <w:vAlign w:val="center"/>
          </w:tcPr>
          <w:p w14:paraId="3FBE6D48">
            <w:pPr>
              <w:widowControl/>
              <w:jc w:val="left"/>
              <w:rPr>
                <w:color w:val="auto"/>
                <w:szCs w:val="21"/>
                <w:highlight w:val="none"/>
              </w:rPr>
            </w:pPr>
            <w:r>
              <w:rPr>
                <w:rFonts w:hint="eastAsia"/>
                <w:color w:val="auto"/>
                <w:szCs w:val="21"/>
                <w:highlight w:val="none"/>
              </w:rPr>
              <w:t>计量单位</w:t>
            </w:r>
          </w:p>
        </w:tc>
        <w:tc>
          <w:tcPr>
            <w:tcW w:w="1846" w:type="dxa"/>
            <w:tcBorders>
              <w:top w:val="single" w:color="auto" w:sz="4" w:space="0"/>
              <w:left w:val="nil"/>
              <w:bottom w:val="single" w:color="auto" w:sz="4" w:space="0"/>
              <w:right w:val="single" w:color="auto" w:sz="4" w:space="0"/>
            </w:tcBorders>
            <w:vAlign w:val="center"/>
          </w:tcPr>
          <w:p w14:paraId="46DC6C9A">
            <w:pPr>
              <w:widowControl/>
              <w:jc w:val="left"/>
              <w:rPr>
                <w:color w:val="auto"/>
                <w:szCs w:val="21"/>
                <w:highlight w:val="none"/>
              </w:rPr>
            </w:pPr>
            <w:r>
              <w:rPr>
                <w:rFonts w:hint="eastAsia"/>
                <w:color w:val="auto"/>
                <w:szCs w:val="21"/>
                <w:highlight w:val="none"/>
              </w:rPr>
              <w:t>中型</w:t>
            </w:r>
          </w:p>
        </w:tc>
        <w:tc>
          <w:tcPr>
            <w:tcW w:w="1570" w:type="dxa"/>
            <w:tcBorders>
              <w:top w:val="single" w:color="auto" w:sz="4" w:space="0"/>
              <w:left w:val="nil"/>
              <w:bottom w:val="single" w:color="auto" w:sz="4" w:space="0"/>
              <w:right w:val="single" w:color="auto" w:sz="4" w:space="0"/>
            </w:tcBorders>
            <w:vAlign w:val="center"/>
          </w:tcPr>
          <w:p w14:paraId="34F2C4D3">
            <w:pPr>
              <w:widowControl/>
              <w:jc w:val="left"/>
              <w:rPr>
                <w:color w:val="auto"/>
                <w:szCs w:val="21"/>
                <w:highlight w:val="none"/>
              </w:rPr>
            </w:pPr>
            <w:r>
              <w:rPr>
                <w:rFonts w:hint="eastAsia"/>
                <w:color w:val="auto"/>
                <w:szCs w:val="21"/>
                <w:highlight w:val="none"/>
              </w:rPr>
              <w:t>小型</w:t>
            </w:r>
          </w:p>
        </w:tc>
        <w:tc>
          <w:tcPr>
            <w:tcW w:w="1009" w:type="dxa"/>
            <w:tcBorders>
              <w:top w:val="single" w:color="auto" w:sz="4" w:space="0"/>
              <w:left w:val="nil"/>
              <w:bottom w:val="single" w:color="auto" w:sz="4" w:space="0"/>
              <w:right w:val="single" w:color="auto" w:sz="4" w:space="0"/>
            </w:tcBorders>
            <w:vAlign w:val="center"/>
          </w:tcPr>
          <w:p w14:paraId="7AF3F598">
            <w:pPr>
              <w:widowControl/>
              <w:jc w:val="left"/>
              <w:rPr>
                <w:color w:val="auto"/>
                <w:szCs w:val="21"/>
                <w:highlight w:val="none"/>
              </w:rPr>
            </w:pPr>
            <w:r>
              <w:rPr>
                <w:rFonts w:hint="eastAsia"/>
                <w:color w:val="auto"/>
                <w:szCs w:val="21"/>
                <w:highlight w:val="none"/>
              </w:rPr>
              <w:t>微型</w:t>
            </w:r>
          </w:p>
        </w:tc>
      </w:tr>
      <w:tr w14:paraId="65C08275">
        <w:tblPrEx>
          <w:tblCellMar>
            <w:top w:w="0" w:type="dxa"/>
            <w:left w:w="108" w:type="dxa"/>
            <w:bottom w:w="0" w:type="dxa"/>
            <w:right w:w="108" w:type="dxa"/>
          </w:tblCellMar>
        </w:tblPrEx>
        <w:trPr>
          <w:trHeight w:val="220" w:hRule="atLeast"/>
        </w:trPr>
        <w:tc>
          <w:tcPr>
            <w:tcW w:w="1446" w:type="dxa"/>
            <w:tcBorders>
              <w:top w:val="nil"/>
              <w:left w:val="single" w:color="auto" w:sz="4" w:space="0"/>
              <w:bottom w:val="single" w:color="auto" w:sz="4" w:space="0"/>
              <w:right w:val="single" w:color="auto" w:sz="4" w:space="0"/>
            </w:tcBorders>
            <w:vAlign w:val="bottom"/>
          </w:tcPr>
          <w:p w14:paraId="475D6929">
            <w:pPr>
              <w:widowControl/>
              <w:jc w:val="center"/>
              <w:rPr>
                <w:color w:val="auto"/>
                <w:szCs w:val="21"/>
                <w:highlight w:val="none"/>
              </w:rPr>
            </w:pPr>
            <w:r>
              <w:rPr>
                <w:rFonts w:hint="eastAsia"/>
                <w:color w:val="auto"/>
                <w:szCs w:val="21"/>
                <w:highlight w:val="none"/>
              </w:rPr>
              <w:t>农、林、牧、渔</w:t>
            </w:r>
          </w:p>
        </w:tc>
        <w:tc>
          <w:tcPr>
            <w:tcW w:w="1701" w:type="dxa"/>
            <w:tcBorders>
              <w:top w:val="nil"/>
              <w:left w:val="nil"/>
              <w:bottom w:val="single" w:color="auto" w:sz="4" w:space="0"/>
              <w:right w:val="single" w:color="auto" w:sz="4" w:space="0"/>
            </w:tcBorders>
            <w:vAlign w:val="center"/>
          </w:tcPr>
          <w:p w14:paraId="7CB7BD25">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vAlign w:val="center"/>
          </w:tcPr>
          <w:p w14:paraId="7E5326A6">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vAlign w:val="center"/>
          </w:tcPr>
          <w:p w14:paraId="6E846365">
            <w:pPr>
              <w:widowControl/>
              <w:jc w:val="left"/>
              <w:rPr>
                <w:color w:val="auto"/>
                <w:szCs w:val="21"/>
                <w:highlight w:val="none"/>
              </w:rPr>
            </w:pPr>
            <w:r>
              <w:rPr>
                <w:rFonts w:hint="eastAsia"/>
                <w:color w:val="auto"/>
                <w:szCs w:val="21"/>
                <w:highlight w:val="none"/>
              </w:rPr>
              <w:t>500≤Y＜20000</w:t>
            </w:r>
          </w:p>
        </w:tc>
        <w:tc>
          <w:tcPr>
            <w:tcW w:w="1570" w:type="dxa"/>
            <w:tcBorders>
              <w:top w:val="nil"/>
              <w:left w:val="nil"/>
              <w:bottom w:val="single" w:color="auto" w:sz="4" w:space="0"/>
              <w:right w:val="single" w:color="auto" w:sz="4" w:space="0"/>
            </w:tcBorders>
            <w:vAlign w:val="center"/>
          </w:tcPr>
          <w:p w14:paraId="284B34EA">
            <w:pPr>
              <w:widowControl/>
              <w:jc w:val="left"/>
              <w:rPr>
                <w:color w:val="auto"/>
                <w:szCs w:val="21"/>
                <w:highlight w:val="none"/>
              </w:rPr>
            </w:pPr>
            <w:r>
              <w:rPr>
                <w:rFonts w:hint="eastAsia"/>
                <w:color w:val="auto"/>
                <w:szCs w:val="21"/>
                <w:highlight w:val="none"/>
              </w:rPr>
              <w:t>50≤Y＜500</w:t>
            </w:r>
          </w:p>
        </w:tc>
        <w:tc>
          <w:tcPr>
            <w:tcW w:w="1009" w:type="dxa"/>
            <w:tcBorders>
              <w:top w:val="nil"/>
              <w:left w:val="nil"/>
              <w:bottom w:val="single" w:color="auto" w:sz="4" w:space="0"/>
              <w:right w:val="single" w:color="auto" w:sz="4" w:space="0"/>
            </w:tcBorders>
            <w:vAlign w:val="center"/>
          </w:tcPr>
          <w:p w14:paraId="18144F48">
            <w:pPr>
              <w:widowControl/>
              <w:jc w:val="left"/>
              <w:rPr>
                <w:color w:val="auto"/>
                <w:szCs w:val="21"/>
                <w:highlight w:val="none"/>
              </w:rPr>
            </w:pPr>
            <w:r>
              <w:rPr>
                <w:rFonts w:hint="eastAsia"/>
                <w:color w:val="auto"/>
                <w:szCs w:val="21"/>
                <w:highlight w:val="none"/>
              </w:rPr>
              <w:t>Y＜50</w:t>
            </w:r>
          </w:p>
        </w:tc>
      </w:tr>
      <w:tr w14:paraId="22EE27C8">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2074A8A2">
            <w:pPr>
              <w:widowControl/>
              <w:jc w:val="center"/>
              <w:rPr>
                <w:color w:val="auto"/>
                <w:szCs w:val="21"/>
                <w:highlight w:val="none"/>
              </w:rPr>
            </w:pPr>
            <w:r>
              <w:rPr>
                <w:rFonts w:hint="eastAsia"/>
                <w:color w:val="auto"/>
                <w:szCs w:val="21"/>
                <w:highlight w:val="none"/>
              </w:rPr>
              <w:t>工业</w:t>
            </w:r>
          </w:p>
        </w:tc>
        <w:tc>
          <w:tcPr>
            <w:tcW w:w="1701" w:type="dxa"/>
            <w:tcBorders>
              <w:top w:val="nil"/>
              <w:left w:val="nil"/>
              <w:bottom w:val="single" w:color="auto" w:sz="4" w:space="0"/>
              <w:right w:val="single" w:color="auto" w:sz="4" w:space="0"/>
            </w:tcBorders>
            <w:vAlign w:val="center"/>
          </w:tcPr>
          <w:p w14:paraId="58136AC8">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vAlign w:val="center"/>
          </w:tcPr>
          <w:p w14:paraId="68F01C0D">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vAlign w:val="center"/>
          </w:tcPr>
          <w:p w14:paraId="4D10D9DC">
            <w:pPr>
              <w:widowControl/>
              <w:jc w:val="left"/>
              <w:rPr>
                <w:color w:val="auto"/>
                <w:szCs w:val="21"/>
                <w:highlight w:val="none"/>
              </w:rPr>
            </w:pPr>
            <w:r>
              <w:rPr>
                <w:rFonts w:hint="eastAsia"/>
                <w:color w:val="auto"/>
                <w:szCs w:val="21"/>
                <w:highlight w:val="none"/>
              </w:rPr>
              <w:t>300≤X＜1000</w:t>
            </w:r>
          </w:p>
        </w:tc>
        <w:tc>
          <w:tcPr>
            <w:tcW w:w="1570" w:type="dxa"/>
            <w:tcBorders>
              <w:top w:val="nil"/>
              <w:left w:val="nil"/>
              <w:bottom w:val="single" w:color="auto" w:sz="4" w:space="0"/>
              <w:right w:val="single" w:color="auto" w:sz="4" w:space="0"/>
            </w:tcBorders>
            <w:vAlign w:val="center"/>
          </w:tcPr>
          <w:p w14:paraId="032EF97E">
            <w:pPr>
              <w:widowControl/>
              <w:jc w:val="left"/>
              <w:rPr>
                <w:color w:val="auto"/>
                <w:szCs w:val="21"/>
                <w:highlight w:val="none"/>
              </w:rPr>
            </w:pPr>
            <w:r>
              <w:rPr>
                <w:rFonts w:hint="eastAsia"/>
                <w:color w:val="auto"/>
                <w:szCs w:val="21"/>
                <w:highlight w:val="none"/>
              </w:rPr>
              <w:t>20≤X＜300</w:t>
            </w:r>
          </w:p>
        </w:tc>
        <w:tc>
          <w:tcPr>
            <w:tcW w:w="1009" w:type="dxa"/>
            <w:tcBorders>
              <w:top w:val="nil"/>
              <w:left w:val="nil"/>
              <w:bottom w:val="single" w:color="auto" w:sz="4" w:space="0"/>
              <w:right w:val="single" w:color="auto" w:sz="4" w:space="0"/>
            </w:tcBorders>
            <w:vAlign w:val="center"/>
          </w:tcPr>
          <w:p w14:paraId="6FF22E13">
            <w:pPr>
              <w:widowControl/>
              <w:jc w:val="left"/>
              <w:rPr>
                <w:color w:val="auto"/>
                <w:szCs w:val="21"/>
                <w:highlight w:val="none"/>
              </w:rPr>
            </w:pPr>
            <w:r>
              <w:rPr>
                <w:rFonts w:hint="eastAsia"/>
                <w:color w:val="auto"/>
                <w:szCs w:val="21"/>
                <w:highlight w:val="none"/>
              </w:rPr>
              <w:t>X＜20</w:t>
            </w:r>
          </w:p>
        </w:tc>
      </w:tr>
      <w:tr w14:paraId="25C47792">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095DB37A">
            <w:pPr>
              <w:widowControl/>
              <w:jc w:val="left"/>
              <w:rPr>
                <w:color w:val="auto"/>
                <w:szCs w:val="21"/>
                <w:highlight w:val="none"/>
              </w:rPr>
            </w:pPr>
          </w:p>
        </w:tc>
        <w:tc>
          <w:tcPr>
            <w:tcW w:w="1701" w:type="dxa"/>
            <w:tcBorders>
              <w:top w:val="nil"/>
              <w:left w:val="nil"/>
              <w:bottom w:val="single" w:color="auto" w:sz="4" w:space="0"/>
              <w:right w:val="single" w:color="auto" w:sz="4" w:space="0"/>
            </w:tcBorders>
            <w:vAlign w:val="center"/>
          </w:tcPr>
          <w:p w14:paraId="3478232E">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vAlign w:val="center"/>
          </w:tcPr>
          <w:p w14:paraId="0C1D6518">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vAlign w:val="center"/>
          </w:tcPr>
          <w:p w14:paraId="3B4F9965">
            <w:pPr>
              <w:widowControl/>
              <w:jc w:val="left"/>
              <w:rPr>
                <w:color w:val="auto"/>
                <w:szCs w:val="21"/>
                <w:highlight w:val="none"/>
              </w:rPr>
            </w:pPr>
            <w:r>
              <w:rPr>
                <w:rFonts w:hint="eastAsia"/>
                <w:color w:val="auto"/>
                <w:szCs w:val="21"/>
                <w:highlight w:val="none"/>
              </w:rPr>
              <w:t>2000≤Y＜40000</w:t>
            </w:r>
          </w:p>
        </w:tc>
        <w:tc>
          <w:tcPr>
            <w:tcW w:w="1570" w:type="dxa"/>
            <w:tcBorders>
              <w:top w:val="nil"/>
              <w:left w:val="nil"/>
              <w:bottom w:val="single" w:color="auto" w:sz="4" w:space="0"/>
              <w:right w:val="single" w:color="auto" w:sz="4" w:space="0"/>
            </w:tcBorders>
            <w:vAlign w:val="center"/>
          </w:tcPr>
          <w:p w14:paraId="7B1453CE">
            <w:pPr>
              <w:widowControl/>
              <w:jc w:val="left"/>
              <w:rPr>
                <w:color w:val="auto"/>
                <w:szCs w:val="21"/>
                <w:highlight w:val="none"/>
              </w:rPr>
            </w:pPr>
            <w:r>
              <w:rPr>
                <w:rFonts w:hint="eastAsia"/>
                <w:color w:val="auto"/>
                <w:szCs w:val="21"/>
                <w:highlight w:val="none"/>
              </w:rPr>
              <w:t>300≤Y＜2000</w:t>
            </w:r>
          </w:p>
        </w:tc>
        <w:tc>
          <w:tcPr>
            <w:tcW w:w="1009" w:type="dxa"/>
            <w:tcBorders>
              <w:top w:val="nil"/>
              <w:left w:val="nil"/>
              <w:bottom w:val="single" w:color="auto" w:sz="4" w:space="0"/>
              <w:right w:val="single" w:color="auto" w:sz="4" w:space="0"/>
            </w:tcBorders>
            <w:vAlign w:val="center"/>
          </w:tcPr>
          <w:p w14:paraId="3B201F93">
            <w:pPr>
              <w:widowControl/>
              <w:jc w:val="left"/>
              <w:rPr>
                <w:color w:val="auto"/>
                <w:szCs w:val="21"/>
                <w:highlight w:val="none"/>
              </w:rPr>
            </w:pPr>
            <w:r>
              <w:rPr>
                <w:rFonts w:hint="eastAsia"/>
                <w:color w:val="auto"/>
                <w:szCs w:val="21"/>
                <w:highlight w:val="none"/>
              </w:rPr>
              <w:t>Y＜300</w:t>
            </w:r>
          </w:p>
        </w:tc>
      </w:tr>
      <w:tr w14:paraId="5DBAD879">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62F0F00F">
            <w:pPr>
              <w:widowControl/>
              <w:jc w:val="center"/>
              <w:rPr>
                <w:color w:val="auto"/>
                <w:szCs w:val="21"/>
                <w:highlight w:val="none"/>
              </w:rPr>
            </w:pPr>
            <w:r>
              <w:rPr>
                <w:rFonts w:hint="eastAsia"/>
                <w:color w:val="auto"/>
                <w:szCs w:val="21"/>
                <w:highlight w:val="none"/>
              </w:rPr>
              <w:t>建筑业</w:t>
            </w:r>
          </w:p>
        </w:tc>
        <w:tc>
          <w:tcPr>
            <w:tcW w:w="1701" w:type="dxa"/>
            <w:tcBorders>
              <w:top w:val="nil"/>
              <w:left w:val="nil"/>
              <w:bottom w:val="single" w:color="auto" w:sz="4" w:space="0"/>
              <w:right w:val="single" w:color="auto" w:sz="4" w:space="0"/>
            </w:tcBorders>
            <w:vAlign w:val="center"/>
          </w:tcPr>
          <w:p w14:paraId="77418F20">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vAlign w:val="center"/>
          </w:tcPr>
          <w:p w14:paraId="1C70082C">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vAlign w:val="center"/>
          </w:tcPr>
          <w:p w14:paraId="583F9847">
            <w:pPr>
              <w:widowControl/>
              <w:jc w:val="left"/>
              <w:rPr>
                <w:color w:val="auto"/>
                <w:szCs w:val="21"/>
                <w:highlight w:val="none"/>
              </w:rPr>
            </w:pPr>
            <w:r>
              <w:rPr>
                <w:rFonts w:hint="eastAsia"/>
                <w:color w:val="auto"/>
                <w:szCs w:val="21"/>
                <w:highlight w:val="none"/>
              </w:rPr>
              <w:t>6000≤Y＜80000</w:t>
            </w:r>
          </w:p>
        </w:tc>
        <w:tc>
          <w:tcPr>
            <w:tcW w:w="1570" w:type="dxa"/>
            <w:tcBorders>
              <w:top w:val="nil"/>
              <w:left w:val="nil"/>
              <w:bottom w:val="single" w:color="auto" w:sz="4" w:space="0"/>
              <w:right w:val="single" w:color="auto" w:sz="4" w:space="0"/>
            </w:tcBorders>
            <w:vAlign w:val="center"/>
          </w:tcPr>
          <w:p w14:paraId="5C6A3D17">
            <w:pPr>
              <w:widowControl/>
              <w:jc w:val="left"/>
              <w:rPr>
                <w:color w:val="auto"/>
                <w:szCs w:val="21"/>
                <w:highlight w:val="none"/>
              </w:rPr>
            </w:pPr>
            <w:r>
              <w:rPr>
                <w:rFonts w:hint="eastAsia"/>
                <w:color w:val="auto"/>
                <w:szCs w:val="21"/>
                <w:highlight w:val="none"/>
              </w:rPr>
              <w:t>300≤Y＜6000</w:t>
            </w:r>
          </w:p>
        </w:tc>
        <w:tc>
          <w:tcPr>
            <w:tcW w:w="1009" w:type="dxa"/>
            <w:tcBorders>
              <w:top w:val="nil"/>
              <w:left w:val="nil"/>
              <w:bottom w:val="single" w:color="auto" w:sz="4" w:space="0"/>
              <w:right w:val="single" w:color="auto" w:sz="4" w:space="0"/>
            </w:tcBorders>
            <w:vAlign w:val="center"/>
          </w:tcPr>
          <w:p w14:paraId="68BD5E90">
            <w:pPr>
              <w:widowControl/>
              <w:jc w:val="left"/>
              <w:rPr>
                <w:color w:val="auto"/>
                <w:szCs w:val="21"/>
                <w:highlight w:val="none"/>
              </w:rPr>
            </w:pPr>
            <w:r>
              <w:rPr>
                <w:rFonts w:hint="eastAsia"/>
                <w:color w:val="auto"/>
                <w:szCs w:val="21"/>
                <w:highlight w:val="none"/>
              </w:rPr>
              <w:t>Y＜300</w:t>
            </w:r>
          </w:p>
        </w:tc>
      </w:tr>
      <w:tr w14:paraId="22D64353">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62B05B77">
            <w:pPr>
              <w:widowControl/>
              <w:jc w:val="left"/>
              <w:rPr>
                <w:color w:val="auto"/>
                <w:szCs w:val="21"/>
                <w:highlight w:val="none"/>
              </w:rPr>
            </w:pPr>
          </w:p>
        </w:tc>
        <w:tc>
          <w:tcPr>
            <w:tcW w:w="1701" w:type="dxa"/>
            <w:tcBorders>
              <w:top w:val="nil"/>
              <w:left w:val="nil"/>
              <w:bottom w:val="single" w:color="auto" w:sz="4" w:space="0"/>
              <w:right w:val="single" w:color="auto" w:sz="4" w:space="0"/>
            </w:tcBorders>
            <w:vAlign w:val="center"/>
          </w:tcPr>
          <w:p w14:paraId="18F2E0EF">
            <w:pPr>
              <w:widowControl/>
              <w:jc w:val="left"/>
              <w:rPr>
                <w:color w:val="auto"/>
                <w:szCs w:val="21"/>
                <w:highlight w:val="none"/>
              </w:rPr>
            </w:pPr>
            <w:r>
              <w:rPr>
                <w:rFonts w:hint="eastAsia"/>
                <w:color w:val="auto"/>
                <w:szCs w:val="21"/>
                <w:highlight w:val="none"/>
              </w:rPr>
              <w:t>资产总额（Z）</w:t>
            </w:r>
          </w:p>
        </w:tc>
        <w:tc>
          <w:tcPr>
            <w:tcW w:w="1134" w:type="dxa"/>
            <w:tcBorders>
              <w:top w:val="nil"/>
              <w:left w:val="nil"/>
              <w:bottom w:val="single" w:color="auto" w:sz="4" w:space="0"/>
              <w:right w:val="single" w:color="auto" w:sz="4" w:space="0"/>
            </w:tcBorders>
            <w:vAlign w:val="center"/>
          </w:tcPr>
          <w:p w14:paraId="686C55C6">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vAlign w:val="center"/>
          </w:tcPr>
          <w:p w14:paraId="486D5150">
            <w:pPr>
              <w:widowControl/>
              <w:jc w:val="left"/>
              <w:rPr>
                <w:color w:val="auto"/>
                <w:szCs w:val="21"/>
                <w:highlight w:val="none"/>
              </w:rPr>
            </w:pPr>
            <w:r>
              <w:rPr>
                <w:rFonts w:hint="eastAsia"/>
                <w:color w:val="auto"/>
                <w:szCs w:val="21"/>
                <w:highlight w:val="none"/>
              </w:rPr>
              <w:t>5000≤Z＜80000</w:t>
            </w:r>
          </w:p>
        </w:tc>
        <w:tc>
          <w:tcPr>
            <w:tcW w:w="1570" w:type="dxa"/>
            <w:tcBorders>
              <w:top w:val="nil"/>
              <w:left w:val="nil"/>
              <w:bottom w:val="single" w:color="auto" w:sz="4" w:space="0"/>
              <w:right w:val="single" w:color="auto" w:sz="4" w:space="0"/>
            </w:tcBorders>
            <w:vAlign w:val="center"/>
          </w:tcPr>
          <w:p w14:paraId="6008A689">
            <w:pPr>
              <w:widowControl/>
              <w:jc w:val="left"/>
              <w:rPr>
                <w:color w:val="auto"/>
                <w:szCs w:val="21"/>
                <w:highlight w:val="none"/>
              </w:rPr>
            </w:pPr>
            <w:r>
              <w:rPr>
                <w:rFonts w:hint="eastAsia"/>
                <w:color w:val="auto"/>
                <w:szCs w:val="21"/>
                <w:highlight w:val="none"/>
              </w:rPr>
              <w:t>300≤Z＜5000</w:t>
            </w:r>
          </w:p>
        </w:tc>
        <w:tc>
          <w:tcPr>
            <w:tcW w:w="1009" w:type="dxa"/>
            <w:tcBorders>
              <w:top w:val="nil"/>
              <w:left w:val="nil"/>
              <w:bottom w:val="single" w:color="auto" w:sz="4" w:space="0"/>
              <w:right w:val="single" w:color="auto" w:sz="4" w:space="0"/>
            </w:tcBorders>
            <w:vAlign w:val="center"/>
          </w:tcPr>
          <w:p w14:paraId="244A5353">
            <w:pPr>
              <w:widowControl/>
              <w:jc w:val="left"/>
              <w:rPr>
                <w:color w:val="auto"/>
                <w:szCs w:val="21"/>
                <w:highlight w:val="none"/>
              </w:rPr>
            </w:pPr>
            <w:r>
              <w:rPr>
                <w:rFonts w:hint="eastAsia"/>
                <w:color w:val="auto"/>
                <w:szCs w:val="21"/>
                <w:highlight w:val="none"/>
              </w:rPr>
              <w:t>Z＜300</w:t>
            </w:r>
          </w:p>
        </w:tc>
      </w:tr>
      <w:tr w14:paraId="5BB781E2">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5A332ACE">
            <w:pPr>
              <w:widowControl/>
              <w:ind w:firstLine="315" w:firstLineChars="150"/>
              <w:rPr>
                <w:color w:val="auto"/>
                <w:szCs w:val="21"/>
                <w:highlight w:val="none"/>
              </w:rPr>
            </w:pPr>
            <w:r>
              <w:rPr>
                <w:rFonts w:hint="eastAsia"/>
                <w:color w:val="auto"/>
                <w:szCs w:val="21"/>
                <w:highlight w:val="none"/>
              </w:rPr>
              <w:t>批发业</w:t>
            </w:r>
          </w:p>
        </w:tc>
        <w:tc>
          <w:tcPr>
            <w:tcW w:w="1701" w:type="dxa"/>
            <w:tcBorders>
              <w:top w:val="nil"/>
              <w:left w:val="nil"/>
              <w:bottom w:val="single" w:color="auto" w:sz="4" w:space="0"/>
              <w:right w:val="single" w:color="auto" w:sz="4" w:space="0"/>
            </w:tcBorders>
            <w:vAlign w:val="center"/>
          </w:tcPr>
          <w:p w14:paraId="31298446">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vAlign w:val="center"/>
          </w:tcPr>
          <w:p w14:paraId="646D8EE5">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vAlign w:val="center"/>
          </w:tcPr>
          <w:p w14:paraId="66C67F8A">
            <w:pPr>
              <w:widowControl/>
              <w:jc w:val="left"/>
              <w:rPr>
                <w:color w:val="auto"/>
                <w:szCs w:val="21"/>
                <w:highlight w:val="none"/>
              </w:rPr>
            </w:pPr>
            <w:r>
              <w:rPr>
                <w:rFonts w:hint="eastAsia"/>
                <w:color w:val="auto"/>
                <w:szCs w:val="21"/>
                <w:highlight w:val="none"/>
              </w:rPr>
              <w:t>20≤X＜200</w:t>
            </w:r>
          </w:p>
        </w:tc>
        <w:tc>
          <w:tcPr>
            <w:tcW w:w="1570" w:type="dxa"/>
            <w:tcBorders>
              <w:top w:val="nil"/>
              <w:left w:val="nil"/>
              <w:bottom w:val="single" w:color="auto" w:sz="4" w:space="0"/>
              <w:right w:val="single" w:color="auto" w:sz="4" w:space="0"/>
            </w:tcBorders>
            <w:vAlign w:val="center"/>
          </w:tcPr>
          <w:p w14:paraId="2C4AE311">
            <w:pPr>
              <w:widowControl/>
              <w:jc w:val="left"/>
              <w:rPr>
                <w:color w:val="auto"/>
                <w:szCs w:val="21"/>
                <w:highlight w:val="none"/>
              </w:rPr>
            </w:pPr>
            <w:r>
              <w:rPr>
                <w:rFonts w:hint="eastAsia"/>
                <w:color w:val="auto"/>
                <w:szCs w:val="21"/>
                <w:highlight w:val="none"/>
              </w:rPr>
              <w:t>5≤X＜20</w:t>
            </w:r>
          </w:p>
        </w:tc>
        <w:tc>
          <w:tcPr>
            <w:tcW w:w="1009" w:type="dxa"/>
            <w:tcBorders>
              <w:top w:val="nil"/>
              <w:left w:val="nil"/>
              <w:bottom w:val="single" w:color="auto" w:sz="4" w:space="0"/>
              <w:right w:val="single" w:color="auto" w:sz="4" w:space="0"/>
            </w:tcBorders>
            <w:vAlign w:val="center"/>
          </w:tcPr>
          <w:p w14:paraId="4542FA23">
            <w:pPr>
              <w:widowControl/>
              <w:jc w:val="left"/>
              <w:rPr>
                <w:color w:val="auto"/>
                <w:szCs w:val="21"/>
                <w:highlight w:val="none"/>
              </w:rPr>
            </w:pPr>
            <w:r>
              <w:rPr>
                <w:rFonts w:hint="eastAsia"/>
                <w:color w:val="auto"/>
                <w:szCs w:val="21"/>
                <w:highlight w:val="none"/>
              </w:rPr>
              <w:t>X＜5</w:t>
            </w:r>
          </w:p>
        </w:tc>
      </w:tr>
      <w:tr w14:paraId="491598E2">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2AAB4A43">
            <w:pPr>
              <w:widowControl/>
              <w:jc w:val="left"/>
              <w:rPr>
                <w:color w:val="auto"/>
                <w:szCs w:val="21"/>
                <w:highlight w:val="none"/>
              </w:rPr>
            </w:pPr>
          </w:p>
        </w:tc>
        <w:tc>
          <w:tcPr>
            <w:tcW w:w="1701" w:type="dxa"/>
            <w:tcBorders>
              <w:top w:val="nil"/>
              <w:left w:val="nil"/>
              <w:bottom w:val="single" w:color="auto" w:sz="4" w:space="0"/>
              <w:right w:val="single" w:color="auto" w:sz="4" w:space="0"/>
            </w:tcBorders>
            <w:vAlign w:val="center"/>
          </w:tcPr>
          <w:p w14:paraId="2E88C4E7">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vAlign w:val="center"/>
          </w:tcPr>
          <w:p w14:paraId="6DC20C72">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vAlign w:val="center"/>
          </w:tcPr>
          <w:p w14:paraId="5F4A7D6C">
            <w:pPr>
              <w:widowControl/>
              <w:jc w:val="left"/>
              <w:rPr>
                <w:color w:val="auto"/>
                <w:szCs w:val="21"/>
                <w:highlight w:val="none"/>
              </w:rPr>
            </w:pPr>
            <w:r>
              <w:rPr>
                <w:rFonts w:hint="eastAsia"/>
                <w:color w:val="auto"/>
                <w:szCs w:val="21"/>
                <w:highlight w:val="none"/>
              </w:rPr>
              <w:t>5000≤Y＜40000</w:t>
            </w:r>
          </w:p>
        </w:tc>
        <w:tc>
          <w:tcPr>
            <w:tcW w:w="1570" w:type="dxa"/>
            <w:tcBorders>
              <w:top w:val="nil"/>
              <w:left w:val="nil"/>
              <w:bottom w:val="single" w:color="auto" w:sz="4" w:space="0"/>
              <w:right w:val="single" w:color="auto" w:sz="4" w:space="0"/>
            </w:tcBorders>
            <w:vAlign w:val="center"/>
          </w:tcPr>
          <w:p w14:paraId="26875C97">
            <w:pPr>
              <w:widowControl/>
              <w:jc w:val="left"/>
              <w:rPr>
                <w:color w:val="auto"/>
                <w:szCs w:val="21"/>
                <w:highlight w:val="none"/>
              </w:rPr>
            </w:pPr>
            <w:r>
              <w:rPr>
                <w:rFonts w:hint="eastAsia"/>
                <w:color w:val="auto"/>
                <w:szCs w:val="21"/>
                <w:highlight w:val="none"/>
              </w:rPr>
              <w:t>1000≤Y＜5000</w:t>
            </w:r>
          </w:p>
        </w:tc>
        <w:tc>
          <w:tcPr>
            <w:tcW w:w="1009" w:type="dxa"/>
            <w:tcBorders>
              <w:top w:val="nil"/>
              <w:left w:val="nil"/>
              <w:bottom w:val="single" w:color="auto" w:sz="4" w:space="0"/>
              <w:right w:val="single" w:color="auto" w:sz="4" w:space="0"/>
            </w:tcBorders>
            <w:vAlign w:val="center"/>
          </w:tcPr>
          <w:p w14:paraId="5637B916">
            <w:pPr>
              <w:widowControl/>
              <w:jc w:val="left"/>
              <w:rPr>
                <w:color w:val="auto"/>
                <w:szCs w:val="21"/>
                <w:highlight w:val="none"/>
              </w:rPr>
            </w:pPr>
            <w:r>
              <w:rPr>
                <w:rFonts w:hint="eastAsia"/>
                <w:color w:val="auto"/>
                <w:szCs w:val="21"/>
                <w:highlight w:val="none"/>
              </w:rPr>
              <w:t>Y＜1000</w:t>
            </w:r>
          </w:p>
        </w:tc>
      </w:tr>
      <w:tr w14:paraId="1F471608">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4655AC1E">
            <w:pPr>
              <w:widowControl/>
              <w:jc w:val="center"/>
              <w:rPr>
                <w:color w:val="auto"/>
                <w:szCs w:val="21"/>
                <w:highlight w:val="none"/>
              </w:rPr>
            </w:pPr>
            <w:r>
              <w:rPr>
                <w:rFonts w:hint="eastAsia"/>
                <w:color w:val="auto"/>
                <w:szCs w:val="21"/>
                <w:highlight w:val="none"/>
              </w:rPr>
              <w:t>零售业</w:t>
            </w:r>
          </w:p>
        </w:tc>
        <w:tc>
          <w:tcPr>
            <w:tcW w:w="1701" w:type="dxa"/>
            <w:tcBorders>
              <w:top w:val="nil"/>
              <w:left w:val="nil"/>
              <w:bottom w:val="single" w:color="auto" w:sz="4" w:space="0"/>
              <w:right w:val="single" w:color="auto" w:sz="4" w:space="0"/>
            </w:tcBorders>
            <w:vAlign w:val="center"/>
          </w:tcPr>
          <w:p w14:paraId="376A788E">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vAlign w:val="center"/>
          </w:tcPr>
          <w:p w14:paraId="0A0ECF8F">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vAlign w:val="center"/>
          </w:tcPr>
          <w:p w14:paraId="3C76CF0C">
            <w:pPr>
              <w:widowControl/>
              <w:jc w:val="left"/>
              <w:rPr>
                <w:color w:val="auto"/>
                <w:szCs w:val="21"/>
                <w:highlight w:val="none"/>
              </w:rPr>
            </w:pPr>
            <w:r>
              <w:rPr>
                <w:rFonts w:hint="eastAsia"/>
                <w:color w:val="auto"/>
                <w:szCs w:val="21"/>
                <w:highlight w:val="none"/>
              </w:rPr>
              <w:t>50≤X＜300</w:t>
            </w:r>
          </w:p>
        </w:tc>
        <w:tc>
          <w:tcPr>
            <w:tcW w:w="1570" w:type="dxa"/>
            <w:tcBorders>
              <w:top w:val="nil"/>
              <w:left w:val="nil"/>
              <w:bottom w:val="single" w:color="auto" w:sz="4" w:space="0"/>
              <w:right w:val="single" w:color="auto" w:sz="4" w:space="0"/>
            </w:tcBorders>
            <w:vAlign w:val="center"/>
          </w:tcPr>
          <w:p w14:paraId="3CC95E77">
            <w:pPr>
              <w:widowControl/>
              <w:jc w:val="left"/>
              <w:rPr>
                <w:color w:val="auto"/>
                <w:szCs w:val="21"/>
                <w:highlight w:val="none"/>
              </w:rPr>
            </w:pPr>
            <w:r>
              <w:rPr>
                <w:rFonts w:hint="eastAsia"/>
                <w:color w:val="auto"/>
                <w:szCs w:val="21"/>
                <w:highlight w:val="none"/>
              </w:rPr>
              <w:t>10≤X＜50</w:t>
            </w:r>
          </w:p>
        </w:tc>
        <w:tc>
          <w:tcPr>
            <w:tcW w:w="1009" w:type="dxa"/>
            <w:tcBorders>
              <w:top w:val="nil"/>
              <w:left w:val="nil"/>
              <w:bottom w:val="single" w:color="auto" w:sz="4" w:space="0"/>
              <w:right w:val="single" w:color="auto" w:sz="4" w:space="0"/>
            </w:tcBorders>
            <w:vAlign w:val="center"/>
          </w:tcPr>
          <w:p w14:paraId="02C6E486">
            <w:pPr>
              <w:widowControl/>
              <w:jc w:val="left"/>
              <w:rPr>
                <w:color w:val="auto"/>
                <w:szCs w:val="21"/>
                <w:highlight w:val="none"/>
              </w:rPr>
            </w:pPr>
            <w:r>
              <w:rPr>
                <w:rFonts w:hint="eastAsia"/>
                <w:color w:val="auto"/>
                <w:szCs w:val="21"/>
                <w:highlight w:val="none"/>
              </w:rPr>
              <w:t>X＜10</w:t>
            </w:r>
          </w:p>
        </w:tc>
      </w:tr>
      <w:tr w14:paraId="22DBB68B">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70917F36">
            <w:pPr>
              <w:widowControl/>
              <w:jc w:val="left"/>
              <w:rPr>
                <w:color w:val="auto"/>
                <w:szCs w:val="21"/>
                <w:highlight w:val="none"/>
              </w:rPr>
            </w:pPr>
          </w:p>
        </w:tc>
        <w:tc>
          <w:tcPr>
            <w:tcW w:w="1701" w:type="dxa"/>
            <w:tcBorders>
              <w:top w:val="nil"/>
              <w:left w:val="nil"/>
              <w:bottom w:val="single" w:color="auto" w:sz="4" w:space="0"/>
              <w:right w:val="single" w:color="auto" w:sz="4" w:space="0"/>
            </w:tcBorders>
            <w:vAlign w:val="center"/>
          </w:tcPr>
          <w:p w14:paraId="6B027C9B">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vAlign w:val="center"/>
          </w:tcPr>
          <w:p w14:paraId="035A6EAF">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vAlign w:val="center"/>
          </w:tcPr>
          <w:p w14:paraId="6694A022">
            <w:pPr>
              <w:widowControl/>
              <w:jc w:val="left"/>
              <w:rPr>
                <w:color w:val="auto"/>
                <w:szCs w:val="21"/>
                <w:highlight w:val="none"/>
              </w:rPr>
            </w:pPr>
            <w:r>
              <w:rPr>
                <w:rFonts w:hint="eastAsia"/>
                <w:color w:val="auto"/>
                <w:szCs w:val="21"/>
                <w:highlight w:val="none"/>
              </w:rPr>
              <w:t>500≤Y＜20000</w:t>
            </w:r>
          </w:p>
        </w:tc>
        <w:tc>
          <w:tcPr>
            <w:tcW w:w="1570" w:type="dxa"/>
            <w:tcBorders>
              <w:top w:val="nil"/>
              <w:left w:val="nil"/>
              <w:bottom w:val="single" w:color="auto" w:sz="4" w:space="0"/>
              <w:right w:val="single" w:color="auto" w:sz="4" w:space="0"/>
            </w:tcBorders>
            <w:vAlign w:val="center"/>
          </w:tcPr>
          <w:p w14:paraId="732886A6">
            <w:pPr>
              <w:widowControl/>
              <w:jc w:val="left"/>
              <w:rPr>
                <w:color w:val="auto"/>
                <w:szCs w:val="21"/>
                <w:highlight w:val="none"/>
              </w:rPr>
            </w:pPr>
            <w:r>
              <w:rPr>
                <w:rFonts w:hint="eastAsia"/>
                <w:color w:val="auto"/>
                <w:szCs w:val="21"/>
                <w:highlight w:val="none"/>
              </w:rPr>
              <w:t>100≤Y＜500</w:t>
            </w:r>
          </w:p>
        </w:tc>
        <w:tc>
          <w:tcPr>
            <w:tcW w:w="1009" w:type="dxa"/>
            <w:tcBorders>
              <w:top w:val="nil"/>
              <w:left w:val="nil"/>
              <w:bottom w:val="single" w:color="auto" w:sz="4" w:space="0"/>
              <w:right w:val="single" w:color="auto" w:sz="4" w:space="0"/>
            </w:tcBorders>
            <w:vAlign w:val="center"/>
          </w:tcPr>
          <w:p w14:paraId="04122095">
            <w:pPr>
              <w:widowControl/>
              <w:jc w:val="left"/>
              <w:rPr>
                <w:color w:val="auto"/>
                <w:szCs w:val="21"/>
                <w:highlight w:val="none"/>
              </w:rPr>
            </w:pPr>
            <w:r>
              <w:rPr>
                <w:rFonts w:hint="eastAsia"/>
                <w:color w:val="auto"/>
                <w:szCs w:val="21"/>
                <w:highlight w:val="none"/>
              </w:rPr>
              <w:t>Y＜100</w:t>
            </w:r>
          </w:p>
        </w:tc>
      </w:tr>
      <w:tr w14:paraId="75E1D150">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4C38F61F">
            <w:pPr>
              <w:widowControl/>
              <w:jc w:val="center"/>
              <w:rPr>
                <w:color w:val="auto"/>
                <w:szCs w:val="21"/>
                <w:highlight w:val="none"/>
              </w:rPr>
            </w:pPr>
            <w:r>
              <w:rPr>
                <w:rFonts w:hint="eastAsia"/>
                <w:color w:val="auto"/>
                <w:szCs w:val="21"/>
                <w:highlight w:val="none"/>
              </w:rPr>
              <w:t>交通运输业</w:t>
            </w:r>
          </w:p>
        </w:tc>
        <w:tc>
          <w:tcPr>
            <w:tcW w:w="1701" w:type="dxa"/>
            <w:tcBorders>
              <w:top w:val="nil"/>
              <w:left w:val="nil"/>
              <w:bottom w:val="single" w:color="auto" w:sz="4" w:space="0"/>
              <w:right w:val="single" w:color="auto" w:sz="4" w:space="0"/>
            </w:tcBorders>
            <w:vAlign w:val="center"/>
          </w:tcPr>
          <w:p w14:paraId="28557BDE">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vAlign w:val="center"/>
          </w:tcPr>
          <w:p w14:paraId="4ABCDD21">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vAlign w:val="center"/>
          </w:tcPr>
          <w:p w14:paraId="251D8AA2">
            <w:pPr>
              <w:widowControl/>
              <w:jc w:val="left"/>
              <w:rPr>
                <w:color w:val="auto"/>
                <w:szCs w:val="21"/>
                <w:highlight w:val="none"/>
              </w:rPr>
            </w:pPr>
            <w:r>
              <w:rPr>
                <w:rFonts w:hint="eastAsia"/>
                <w:color w:val="auto"/>
                <w:szCs w:val="21"/>
                <w:highlight w:val="none"/>
              </w:rPr>
              <w:t>300≤X＜1000</w:t>
            </w:r>
          </w:p>
        </w:tc>
        <w:tc>
          <w:tcPr>
            <w:tcW w:w="1570" w:type="dxa"/>
            <w:tcBorders>
              <w:top w:val="nil"/>
              <w:left w:val="nil"/>
              <w:bottom w:val="single" w:color="auto" w:sz="4" w:space="0"/>
              <w:right w:val="single" w:color="auto" w:sz="4" w:space="0"/>
            </w:tcBorders>
            <w:vAlign w:val="center"/>
          </w:tcPr>
          <w:p w14:paraId="7A4A842F">
            <w:pPr>
              <w:widowControl/>
              <w:jc w:val="left"/>
              <w:rPr>
                <w:color w:val="auto"/>
                <w:szCs w:val="21"/>
                <w:highlight w:val="none"/>
              </w:rPr>
            </w:pPr>
            <w:r>
              <w:rPr>
                <w:rFonts w:hint="eastAsia"/>
                <w:color w:val="auto"/>
                <w:szCs w:val="21"/>
                <w:highlight w:val="none"/>
              </w:rPr>
              <w:t>20≤X＜300</w:t>
            </w:r>
          </w:p>
        </w:tc>
        <w:tc>
          <w:tcPr>
            <w:tcW w:w="1009" w:type="dxa"/>
            <w:tcBorders>
              <w:top w:val="nil"/>
              <w:left w:val="nil"/>
              <w:bottom w:val="single" w:color="auto" w:sz="4" w:space="0"/>
              <w:right w:val="single" w:color="auto" w:sz="4" w:space="0"/>
            </w:tcBorders>
            <w:vAlign w:val="center"/>
          </w:tcPr>
          <w:p w14:paraId="73ADFAC1">
            <w:pPr>
              <w:widowControl/>
              <w:jc w:val="left"/>
              <w:rPr>
                <w:color w:val="auto"/>
                <w:szCs w:val="21"/>
                <w:highlight w:val="none"/>
              </w:rPr>
            </w:pPr>
            <w:r>
              <w:rPr>
                <w:rFonts w:hint="eastAsia"/>
                <w:color w:val="auto"/>
                <w:szCs w:val="21"/>
                <w:highlight w:val="none"/>
              </w:rPr>
              <w:t>X＜20</w:t>
            </w:r>
          </w:p>
        </w:tc>
      </w:tr>
      <w:tr w14:paraId="5FA8CF81">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1B7C1B8B">
            <w:pPr>
              <w:widowControl/>
              <w:jc w:val="left"/>
              <w:rPr>
                <w:color w:val="auto"/>
                <w:szCs w:val="21"/>
                <w:highlight w:val="none"/>
              </w:rPr>
            </w:pPr>
          </w:p>
        </w:tc>
        <w:tc>
          <w:tcPr>
            <w:tcW w:w="1701" w:type="dxa"/>
            <w:tcBorders>
              <w:top w:val="nil"/>
              <w:left w:val="nil"/>
              <w:bottom w:val="single" w:color="auto" w:sz="4" w:space="0"/>
              <w:right w:val="single" w:color="auto" w:sz="4" w:space="0"/>
            </w:tcBorders>
            <w:vAlign w:val="center"/>
          </w:tcPr>
          <w:p w14:paraId="6292678A">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vAlign w:val="center"/>
          </w:tcPr>
          <w:p w14:paraId="43BC6C8A">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vAlign w:val="center"/>
          </w:tcPr>
          <w:p w14:paraId="6559FE27">
            <w:pPr>
              <w:widowControl/>
              <w:jc w:val="left"/>
              <w:rPr>
                <w:color w:val="auto"/>
                <w:szCs w:val="21"/>
                <w:highlight w:val="none"/>
              </w:rPr>
            </w:pPr>
            <w:r>
              <w:rPr>
                <w:rFonts w:hint="eastAsia"/>
                <w:color w:val="auto"/>
                <w:szCs w:val="21"/>
                <w:highlight w:val="none"/>
              </w:rPr>
              <w:t>3000≤Y＜30000</w:t>
            </w:r>
          </w:p>
        </w:tc>
        <w:tc>
          <w:tcPr>
            <w:tcW w:w="1570" w:type="dxa"/>
            <w:tcBorders>
              <w:top w:val="nil"/>
              <w:left w:val="nil"/>
              <w:bottom w:val="single" w:color="auto" w:sz="4" w:space="0"/>
              <w:right w:val="single" w:color="auto" w:sz="4" w:space="0"/>
            </w:tcBorders>
            <w:vAlign w:val="center"/>
          </w:tcPr>
          <w:p w14:paraId="47883521">
            <w:pPr>
              <w:widowControl/>
              <w:jc w:val="left"/>
              <w:rPr>
                <w:color w:val="auto"/>
                <w:szCs w:val="21"/>
                <w:highlight w:val="none"/>
              </w:rPr>
            </w:pPr>
            <w:r>
              <w:rPr>
                <w:rFonts w:hint="eastAsia"/>
                <w:color w:val="auto"/>
                <w:szCs w:val="21"/>
                <w:highlight w:val="none"/>
              </w:rPr>
              <w:t>200≤Y＜3000</w:t>
            </w:r>
          </w:p>
        </w:tc>
        <w:tc>
          <w:tcPr>
            <w:tcW w:w="1009" w:type="dxa"/>
            <w:tcBorders>
              <w:top w:val="nil"/>
              <w:left w:val="nil"/>
              <w:bottom w:val="single" w:color="auto" w:sz="4" w:space="0"/>
              <w:right w:val="single" w:color="auto" w:sz="4" w:space="0"/>
            </w:tcBorders>
            <w:vAlign w:val="center"/>
          </w:tcPr>
          <w:p w14:paraId="310846C9">
            <w:pPr>
              <w:widowControl/>
              <w:jc w:val="left"/>
              <w:rPr>
                <w:color w:val="auto"/>
                <w:szCs w:val="21"/>
                <w:highlight w:val="none"/>
              </w:rPr>
            </w:pPr>
            <w:r>
              <w:rPr>
                <w:rFonts w:hint="eastAsia"/>
                <w:color w:val="auto"/>
                <w:szCs w:val="21"/>
                <w:highlight w:val="none"/>
              </w:rPr>
              <w:t>Y＜200</w:t>
            </w:r>
          </w:p>
        </w:tc>
      </w:tr>
      <w:tr w14:paraId="2BD2164D">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2B0544D1">
            <w:pPr>
              <w:widowControl/>
              <w:jc w:val="center"/>
              <w:rPr>
                <w:color w:val="auto"/>
                <w:szCs w:val="21"/>
                <w:highlight w:val="none"/>
              </w:rPr>
            </w:pPr>
            <w:r>
              <w:rPr>
                <w:rFonts w:hint="eastAsia"/>
                <w:color w:val="auto"/>
                <w:szCs w:val="21"/>
                <w:highlight w:val="none"/>
              </w:rPr>
              <w:t>仓储业</w:t>
            </w:r>
          </w:p>
        </w:tc>
        <w:tc>
          <w:tcPr>
            <w:tcW w:w="1701" w:type="dxa"/>
            <w:tcBorders>
              <w:top w:val="nil"/>
              <w:left w:val="nil"/>
              <w:bottom w:val="single" w:color="auto" w:sz="4" w:space="0"/>
              <w:right w:val="single" w:color="auto" w:sz="4" w:space="0"/>
            </w:tcBorders>
            <w:vAlign w:val="center"/>
          </w:tcPr>
          <w:p w14:paraId="7CF17702">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vAlign w:val="center"/>
          </w:tcPr>
          <w:p w14:paraId="22147C35">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vAlign w:val="center"/>
          </w:tcPr>
          <w:p w14:paraId="651C373D">
            <w:pPr>
              <w:widowControl/>
              <w:jc w:val="left"/>
              <w:rPr>
                <w:color w:val="auto"/>
                <w:szCs w:val="21"/>
                <w:highlight w:val="none"/>
              </w:rPr>
            </w:pPr>
            <w:r>
              <w:rPr>
                <w:rFonts w:hint="eastAsia"/>
                <w:color w:val="auto"/>
                <w:szCs w:val="21"/>
                <w:highlight w:val="none"/>
              </w:rPr>
              <w:t>100≤X＜200</w:t>
            </w:r>
          </w:p>
        </w:tc>
        <w:tc>
          <w:tcPr>
            <w:tcW w:w="1570" w:type="dxa"/>
            <w:tcBorders>
              <w:top w:val="nil"/>
              <w:left w:val="nil"/>
              <w:bottom w:val="single" w:color="auto" w:sz="4" w:space="0"/>
              <w:right w:val="single" w:color="auto" w:sz="4" w:space="0"/>
            </w:tcBorders>
            <w:vAlign w:val="center"/>
          </w:tcPr>
          <w:p w14:paraId="60D89E3E">
            <w:pPr>
              <w:widowControl/>
              <w:jc w:val="left"/>
              <w:rPr>
                <w:color w:val="auto"/>
                <w:szCs w:val="21"/>
                <w:highlight w:val="none"/>
              </w:rPr>
            </w:pPr>
            <w:r>
              <w:rPr>
                <w:rFonts w:hint="eastAsia"/>
                <w:color w:val="auto"/>
                <w:szCs w:val="21"/>
                <w:highlight w:val="none"/>
              </w:rPr>
              <w:t>20≤X＜100</w:t>
            </w:r>
          </w:p>
        </w:tc>
        <w:tc>
          <w:tcPr>
            <w:tcW w:w="1009" w:type="dxa"/>
            <w:tcBorders>
              <w:top w:val="nil"/>
              <w:left w:val="nil"/>
              <w:bottom w:val="single" w:color="auto" w:sz="4" w:space="0"/>
              <w:right w:val="single" w:color="auto" w:sz="4" w:space="0"/>
            </w:tcBorders>
            <w:vAlign w:val="center"/>
          </w:tcPr>
          <w:p w14:paraId="7C7A33DA">
            <w:pPr>
              <w:widowControl/>
              <w:jc w:val="left"/>
              <w:rPr>
                <w:color w:val="auto"/>
                <w:szCs w:val="21"/>
                <w:highlight w:val="none"/>
              </w:rPr>
            </w:pPr>
            <w:r>
              <w:rPr>
                <w:rFonts w:hint="eastAsia"/>
                <w:color w:val="auto"/>
                <w:szCs w:val="21"/>
                <w:highlight w:val="none"/>
              </w:rPr>
              <w:t>X＜20</w:t>
            </w:r>
          </w:p>
        </w:tc>
      </w:tr>
      <w:tr w14:paraId="08416234">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73B0128B">
            <w:pPr>
              <w:widowControl/>
              <w:jc w:val="left"/>
              <w:rPr>
                <w:color w:val="auto"/>
                <w:szCs w:val="21"/>
                <w:highlight w:val="none"/>
              </w:rPr>
            </w:pPr>
          </w:p>
        </w:tc>
        <w:tc>
          <w:tcPr>
            <w:tcW w:w="1701" w:type="dxa"/>
            <w:tcBorders>
              <w:top w:val="nil"/>
              <w:left w:val="nil"/>
              <w:bottom w:val="single" w:color="auto" w:sz="4" w:space="0"/>
              <w:right w:val="single" w:color="auto" w:sz="4" w:space="0"/>
            </w:tcBorders>
            <w:vAlign w:val="center"/>
          </w:tcPr>
          <w:p w14:paraId="79063C23">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vAlign w:val="center"/>
          </w:tcPr>
          <w:p w14:paraId="423F0020">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vAlign w:val="center"/>
          </w:tcPr>
          <w:p w14:paraId="3709E602">
            <w:pPr>
              <w:widowControl/>
              <w:jc w:val="left"/>
              <w:rPr>
                <w:color w:val="auto"/>
                <w:szCs w:val="21"/>
                <w:highlight w:val="none"/>
              </w:rPr>
            </w:pPr>
            <w:r>
              <w:rPr>
                <w:rFonts w:hint="eastAsia"/>
                <w:color w:val="auto"/>
                <w:szCs w:val="21"/>
                <w:highlight w:val="none"/>
              </w:rPr>
              <w:t>1000≤Y＜30000</w:t>
            </w:r>
          </w:p>
        </w:tc>
        <w:tc>
          <w:tcPr>
            <w:tcW w:w="1570" w:type="dxa"/>
            <w:tcBorders>
              <w:top w:val="nil"/>
              <w:left w:val="nil"/>
              <w:bottom w:val="single" w:color="auto" w:sz="4" w:space="0"/>
              <w:right w:val="single" w:color="auto" w:sz="4" w:space="0"/>
            </w:tcBorders>
            <w:vAlign w:val="center"/>
          </w:tcPr>
          <w:p w14:paraId="01C0A9F0">
            <w:pPr>
              <w:widowControl/>
              <w:jc w:val="left"/>
              <w:rPr>
                <w:color w:val="auto"/>
                <w:szCs w:val="21"/>
                <w:highlight w:val="none"/>
              </w:rPr>
            </w:pPr>
            <w:r>
              <w:rPr>
                <w:rFonts w:hint="eastAsia"/>
                <w:color w:val="auto"/>
                <w:szCs w:val="21"/>
                <w:highlight w:val="none"/>
              </w:rPr>
              <w:t>100≤Y＜1000</w:t>
            </w:r>
          </w:p>
        </w:tc>
        <w:tc>
          <w:tcPr>
            <w:tcW w:w="1009" w:type="dxa"/>
            <w:tcBorders>
              <w:top w:val="nil"/>
              <w:left w:val="nil"/>
              <w:bottom w:val="single" w:color="auto" w:sz="4" w:space="0"/>
              <w:right w:val="single" w:color="auto" w:sz="4" w:space="0"/>
            </w:tcBorders>
            <w:vAlign w:val="center"/>
          </w:tcPr>
          <w:p w14:paraId="51D8E6AD">
            <w:pPr>
              <w:widowControl/>
              <w:jc w:val="left"/>
              <w:rPr>
                <w:color w:val="auto"/>
                <w:szCs w:val="21"/>
                <w:highlight w:val="none"/>
              </w:rPr>
            </w:pPr>
            <w:r>
              <w:rPr>
                <w:rFonts w:hint="eastAsia"/>
                <w:color w:val="auto"/>
                <w:szCs w:val="21"/>
                <w:highlight w:val="none"/>
              </w:rPr>
              <w:t>Y＜100</w:t>
            </w:r>
          </w:p>
        </w:tc>
      </w:tr>
      <w:tr w14:paraId="64A6280D">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561718B2">
            <w:pPr>
              <w:widowControl/>
              <w:jc w:val="center"/>
              <w:rPr>
                <w:color w:val="auto"/>
                <w:szCs w:val="21"/>
                <w:highlight w:val="none"/>
              </w:rPr>
            </w:pPr>
            <w:r>
              <w:rPr>
                <w:rFonts w:hint="eastAsia"/>
                <w:color w:val="auto"/>
                <w:szCs w:val="21"/>
                <w:highlight w:val="none"/>
              </w:rPr>
              <w:t>邮政业</w:t>
            </w:r>
          </w:p>
        </w:tc>
        <w:tc>
          <w:tcPr>
            <w:tcW w:w="1701" w:type="dxa"/>
            <w:tcBorders>
              <w:top w:val="nil"/>
              <w:left w:val="nil"/>
              <w:bottom w:val="single" w:color="auto" w:sz="4" w:space="0"/>
              <w:right w:val="single" w:color="auto" w:sz="4" w:space="0"/>
            </w:tcBorders>
            <w:vAlign w:val="center"/>
          </w:tcPr>
          <w:p w14:paraId="3D33E213">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vAlign w:val="center"/>
          </w:tcPr>
          <w:p w14:paraId="0269451E">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vAlign w:val="center"/>
          </w:tcPr>
          <w:p w14:paraId="4C0B4991">
            <w:pPr>
              <w:widowControl/>
              <w:jc w:val="left"/>
              <w:rPr>
                <w:color w:val="auto"/>
                <w:szCs w:val="21"/>
                <w:highlight w:val="none"/>
              </w:rPr>
            </w:pPr>
            <w:r>
              <w:rPr>
                <w:rFonts w:hint="eastAsia"/>
                <w:color w:val="auto"/>
                <w:szCs w:val="21"/>
                <w:highlight w:val="none"/>
              </w:rPr>
              <w:t>300≤X＜1000</w:t>
            </w:r>
          </w:p>
        </w:tc>
        <w:tc>
          <w:tcPr>
            <w:tcW w:w="1570" w:type="dxa"/>
            <w:tcBorders>
              <w:top w:val="nil"/>
              <w:left w:val="nil"/>
              <w:bottom w:val="single" w:color="auto" w:sz="4" w:space="0"/>
              <w:right w:val="single" w:color="auto" w:sz="4" w:space="0"/>
            </w:tcBorders>
            <w:vAlign w:val="center"/>
          </w:tcPr>
          <w:p w14:paraId="18C37267">
            <w:pPr>
              <w:widowControl/>
              <w:jc w:val="left"/>
              <w:rPr>
                <w:color w:val="auto"/>
                <w:szCs w:val="21"/>
                <w:highlight w:val="none"/>
              </w:rPr>
            </w:pPr>
            <w:r>
              <w:rPr>
                <w:rFonts w:hint="eastAsia"/>
                <w:color w:val="auto"/>
                <w:szCs w:val="21"/>
                <w:highlight w:val="none"/>
              </w:rPr>
              <w:t>20≤X＜300</w:t>
            </w:r>
          </w:p>
        </w:tc>
        <w:tc>
          <w:tcPr>
            <w:tcW w:w="1009" w:type="dxa"/>
            <w:tcBorders>
              <w:top w:val="nil"/>
              <w:left w:val="nil"/>
              <w:bottom w:val="single" w:color="auto" w:sz="4" w:space="0"/>
              <w:right w:val="single" w:color="auto" w:sz="4" w:space="0"/>
            </w:tcBorders>
            <w:vAlign w:val="center"/>
          </w:tcPr>
          <w:p w14:paraId="1CDCB209">
            <w:pPr>
              <w:widowControl/>
              <w:jc w:val="left"/>
              <w:rPr>
                <w:color w:val="auto"/>
                <w:szCs w:val="21"/>
                <w:highlight w:val="none"/>
              </w:rPr>
            </w:pPr>
            <w:r>
              <w:rPr>
                <w:rFonts w:hint="eastAsia"/>
                <w:color w:val="auto"/>
                <w:szCs w:val="21"/>
                <w:highlight w:val="none"/>
              </w:rPr>
              <w:t>X＜20</w:t>
            </w:r>
          </w:p>
        </w:tc>
      </w:tr>
      <w:tr w14:paraId="01607618">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4930389D">
            <w:pPr>
              <w:widowControl/>
              <w:jc w:val="left"/>
              <w:rPr>
                <w:color w:val="auto"/>
                <w:szCs w:val="21"/>
                <w:highlight w:val="none"/>
              </w:rPr>
            </w:pPr>
          </w:p>
        </w:tc>
        <w:tc>
          <w:tcPr>
            <w:tcW w:w="1701" w:type="dxa"/>
            <w:tcBorders>
              <w:top w:val="nil"/>
              <w:left w:val="nil"/>
              <w:bottom w:val="single" w:color="auto" w:sz="4" w:space="0"/>
              <w:right w:val="single" w:color="auto" w:sz="4" w:space="0"/>
            </w:tcBorders>
            <w:vAlign w:val="center"/>
          </w:tcPr>
          <w:p w14:paraId="498F4BB2">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vAlign w:val="center"/>
          </w:tcPr>
          <w:p w14:paraId="41364BDA">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vAlign w:val="center"/>
          </w:tcPr>
          <w:p w14:paraId="052E2F85">
            <w:pPr>
              <w:widowControl/>
              <w:jc w:val="left"/>
              <w:rPr>
                <w:color w:val="auto"/>
                <w:szCs w:val="21"/>
                <w:highlight w:val="none"/>
              </w:rPr>
            </w:pPr>
            <w:r>
              <w:rPr>
                <w:rFonts w:hint="eastAsia"/>
                <w:color w:val="auto"/>
                <w:szCs w:val="21"/>
                <w:highlight w:val="none"/>
              </w:rPr>
              <w:t>2000≤Y＜30000</w:t>
            </w:r>
          </w:p>
        </w:tc>
        <w:tc>
          <w:tcPr>
            <w:tcW w:w="1570" w:type="dxa"/>
            <w:tcBorders>
              <w:top w:val="nil"/>
              <w:left w:val="nil"/>
              <w:bottom w:val="single" w:color="auto" w:sz="4" w:space="0"/>
              <w:right w:val="single" w:color="auto" w:sz="4" w:space="0"/>
            </w:tcBorders>
            <w:vAlign w:val="center"/>
          </w:tcPr>
          <w:p w14:paraId="0BC7AE14">
            <w:pPr>
              <w:widowControl/>
              <w:jc w:val="left"/>
              <w:rPr>
                <w:color w:val="auto"/>
                <w:szCs w:val="21"/>
                <w:highlight w:val="none"/>
              </w:rPr>
            </w:pPr>
            <w:r>
              <w:rPr>
                <w:rFonts w:hint="eastAsia"/>
                <w:color w:val="auto"/>
                <w:szCs w:val="21"/>
                <w:highlight w:val="none"/>
              </w:rPr>
              <w:t>100≤Y＜2000</w:t>
            </w:r>
          </w:p>
        </w:tc>
        <w:tc>
          <w:tcPr>
            <w:tcW w:w="1009" w:type="dxa"/>
            <w:tcBorders>
              <w:top w:val="nil"/>
              <w:left w:val="nil"/>
              <w:bottom w:val="single" w:color="auto" w:sz="4" w:space="0"/>
              <w:right w:val="single" w:color="auto" w:sz="4" w:space="0"/>
            </w:tcBorders>
            <w:vAlign w:val="center"/>
          </w:tcPr>
          <w:p w14:paraId="380A2AC6">
            <w:pPr>
              <w:widowControl/>
              <w:jc w:val="left"/>
              <w:rPr>
                <w:color w:val="auto"/>
                <w:szCs w:val="21"/>
                <w:highlight w:val="none"/>
              </w:rPr>
            </w:pPr>
            <w:r>
              <w:rPr>
                <w:rFonts w:hint="eastAsia"/>
                <w:color w:val="auto"/>
                <w:szCs w:val="21"/>
                <w:highlight w:val="none"/>
              </w:rPr>
              <w:t>Y＜100</w:t>
            </w:r>
          </w:p>
        </w:tc>
      </w:tr>
      <w:tr w14:paraId="7E039B57">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65B183E3">
            <w:pPr>
              <w:widowControl/>
              <w:jc w:val="center"/>
              <w:rPr>
                <w:color w:val="auto"/>
                <w:szCs w:val="21"/>
                <w:highlight w:val="none"/>
              </w:rPr>
            </w:pPr>
            <w:r>
              <w:rPr>
                <w:rFonts w:hint="eastAsia"/>
                <w:color w:val="auto"/>
                <w:szCs w:val="21"/>
                <w:highlight w:val="none"/>
              </w:rPr>
              <w:t>住宿业</w:t>
            </w:r>
          </w:p>
        </w:tc>
        <w:tc>
          <w:tcPr>
            <w:tcW w:w="1701" w:type="dxa"/>
            <w:tcBorders>
              <w:top w:val="nil"/>
              <w:left w:val="nil"/>
              <w:bottom w:val="single" w:color="auto" w:sz="4" w:space="0"/>
              <w:right w:val="single" w:color="auto" w:sz="4" w:space="0"/>
            </w:tcBorders>
            <w:vAlign w:val="center"/>
          </w:tcPr>
          <w:p w14:paraId="140F4072">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vAlign w:val="center"/>
          </w:tcPr>
          <w:p w14:paraId="2C48D49B">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vAlign w:val="center"/>
          </w:tcPr>
          <w:p w14:paraId="1524E1B4">
            <w:pPr>
              <w:widowControl/>
              <w:jc w:val="left"/>
              <w:rPr>
                <w:color w:val="auto"/>
                <w:szCs w:val="21"/>
                <w:highlight w:val="none"/>
              </w:rPr>
            </w:pPr>
            <w:r>
              <w:rPr>
                <w:rFonts w:hint="eastAsia"/>
                <w:color w:val="auto"/>
                <w:szCs w:val="21"/>
                <w:highlight w:val="none"/>
              </w:rPr>
              <w:t>100≤X＜300</w:t>
            </w:r>
          </w:p>
        </w:tc>
        <w:tc>
          <w:tcPr>
            <w:tcW w:w="1570" w:type="dxa"/>
            <w:tcBorders>
              <w:top w:val="nil"/>
              <w:left w:val="nil"/>
              <w:bottom w:val="single" w:color="auto" w:sz="4" w:space="0"/>
              <w:right w:val="single" w:color="auto" w:sz="4" w:space="0"/>
            </w:tcBorders>
            <w:vAlign w:val="center"/>
          </w:tcPr>
          <w:p w14:paraId="3754689D">
            <w:pPr>
              <w:widowControl/>
              <w:jc w:val="left"/>
              <w:rPr>
                <w:color w:val="auto"/>
                <w:szCs w:val="21"/>
                <w:highlight w:val="none"/>
              </w:rPr>
            </w:pPr>
            <w:r>
              <w:rPr>
                <w:rFonts w:hint="eastAsia"/>
                <w:color w:val="auto"/>
                <w:szCs w:val="21"/>
                <w:highlight w:val="none"/>
              </w:rPr>
              <w:t>10≤X＜100</w:t>
            </w:r>
          </w:p>
        </w:tc>
        <w:tc>
          <w:tcPr>
            <w:tcW w:w="1009" w:type="dxa"/>
            <w:tcBorders>
              <w:top w:val="nil"/>
              <w:left w:val="nil"/>
              <w:bottom w:val="single" w:color="auto" w:sz="4" w:space="0"/>
              <w:right w:val="single" w:color="auto" w:sz="4" w:space="0"/>
            </w:tcBorders>
            <w:vAlign w:val="center"/>
          </w:tcPr>
          <w:p w14:paraId="63CCF7E2">
            <w:pPr>
              <w:widowControl/>
              <w:jc w:val="left"/>
              <w:rPr>
                <w:color w:val="auto"/>
                <w:szCs w:val="21"/>
                <w:highlight w:val="none"/>
              </w:rPr>
            </w:pPr>
            <w:r>
              <w:rPr>
                <w:rFonts w:hint="eastAsia"/>
                <w:color w:val="auto"/>
                <w:szCs w:val="21"/>
                <w:highlight w:val="none"/>
              </w:rPr>
              <w:t>X＜10</w:t>
            </w:r>
          </w:p>
        </w:tc>
      </w:tr>
      <w:tr w14:paraId="11C3E85D">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00DA8CCE">
            <w:pPr>
              <w:widowControl/>
              <w:jc w:val="left"/>
              <w:rPr>
                <w:color w:val="auto"/>
                <w:szCs w:val="21"/>
                <w:highlight w:val="none"/>
              </w:rPr>
            </w:pPr>
          </w:p>
        </w:tc>
        <w:tc>
          <w:tcPr>
            <w:tcW w:w="1701" w:type="dxa"/>
            <w:tcBorders>
              <w:top w:val="nil"/>
              <w:left w:val="nil"/>
              <w:bottom w:val="single" w:color="auto" w:sz="4" w:space="0"/>
              <w:right w:val="single" w:color="auto" w:sz="4" w:space="0"/>
            </w:tcBorders>
            <w:vAlign w:val="center"/>
          </w:tcPr>
          <w:p w14:paraId="03F5A4D5">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vAlign w:val="center"/>
          </w:tcPr>
          <w:p w14:paraId="0366B525">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vAlign w:val="center"/>
          </w:tcPr>
          <w:p w14:paraId="08C5460A">
            <w:pPr>
              <w:widowControl/>
              <w:jc w:val="left"/>
              <w:rPr>
                <w:color w:val="auto"/>
                <w:szCs w:val="21"/>
                <w:highlight w:val="none"/>
              </w:rPr>
            </w:pPr>
            <w:r>
              <w:rPr>
                <w:rFonts w:hint="eastAsia"/>
                <w:color w:val="auto"/>
                <w:szCs w:val="21"/>
                <w:highlight w:val="none"/>
              </w:rPr>
              <w:t>2000≤Y＜10000</w:t>
            </w:r>
          </w:p>
        </w:tc>
        <w:tc>
          <w:tcPr>
            <w:tcW w:w="1570" w:type="dxa"/>
            <w:tcBorders>
              <w:top w:val="nil"/>
              <w:left w:val="nil"/>
              <w:bottom w:val="single" w:color="auto" w:sz="4" w:space="0"/>
              <w:right w:val="single" w:color="auto" w:sz="4" w:space="0"/>
            </w:tcBorders>
            <w:vAlign w:val="center"/>
          </w:tcPr>
          <w:p w14:paraId="49114683">
            <w:pPr>
              <w:widowControl/>
              <w:jc w:val="left"/>
              <w:rPr>
                <w:color w:val="auto"/>
                <w:szCs w:val="21"/>
                <w:highlight w:val="none"/>
              </w:rPr>
            </w:pPr>
            <w:r>
              <w:rPr>
                <w:rFonts w:hint="eastAsia"/>
                <w:color w:val="auto"/>
                <w:szCs w:val="21"/>
                <w:highlight w:val="none"/>
              </w:rPr>
              <w:t>100≤Y＜2000</w:t>
            </w:r>
          </w:p>
        </w:tc>
        <w:tc>
          <w:tcPr>
            <w:tcW w:w="1009" w:type="dxa"/>
            <w:tcBorders>
              <w:top w:val="nil"/>
              <w:left w:val="nil"/>
              <w:bottom w:val="single" w:color="auto" w:sz="4" w:space="0"/>
              <w:right w:val="single" w:color="auto" w:sz="4" w:space="0"/>
            </w:tcBorders>
            <w:vAlign w:val="center"/>
          </w:tcPr>
          <w:p w14:paraId="1B92B966">
            <w:pPr>
              <w:widowControl/>
              <w:jc w:val="left"/>
              <w:rPr>
                <w:color w:val="auto"/>
                <w:szCs w:val="21"/>
                <w:highlight w:val="none"/>
              </w:rPr>
            </w:pPr>
            <w:r>
              <w:rPr>
                <w:rFonts w:hint="eastAsia"/>
                <w:color w:val="auto"/>
                <w:szCs w:val="21"/>
                <w:highlight w:val="none"/>
              </w:rPr>
              <w:t>Y＜100</w:t>
            </w:r>
          </w:p>
        </w:tc>
      </w:tr>
      <w:tr w14:paraId="11A4FFB2">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7F0D6D1B">
            <w:pPr>
              <w:widowControl/>
              <w:jc w:val="center"/>
              <w:rPr>
                <w:color w:val="auto"/>
                <w:szCs w:val="21"/>
                <w:highlight w:val="none"/>
              </w:rPr>
            </w:pPr>
            <w:r>
              <w:rPr>
                <w:rFonts w:hint="eastAsia"/>
                <w:color w:val="auto"/>
                <w:szCs w:val="21"/>
                <w:highlight w:val="none"/>
              </w:rPr>
              <w:t>餐饮业</w:t>
            </w:r>
          </w:p>
        </w:tc>
        <w:tc>
          <w:tcPr>
            <w:tcW w:w="1701" w:type="dxa"/>
            <w:tcBorders>
              <w:top w:val="nil"/>
              <w:left w:val="nil"/>
              <w:bottom w:val="single" w:color="auto" w:sz="4" w:space="0"/>
              <w:right w:val="single" w:color="auto" w:sz="4" w:space="0"/>
            </w:tcBorders>
            <w:vAlign w:val="center"/>
          </w:tcPr>
          <w:p w14:paraId="6C850DEA">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vAlign w:val="center"/>
          </w:tcPr>
          <w:p w14:paraId="391BE5D4">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vAlign w:val="center"/>
          </w:tcPr>
          <w:p w14:paraId="7303D9C4">
            <w:pPr>
              <w:widowControl/>
              <w:jc w:val="left"/>
              <w:rPr>
                <w:color w:val="auto"/>
                <w:szCs w:val="21"/>
                <w:highlight w:val="none"/>
              </w:rPr>
            </w:pPr>
            <w:r>
              <w:rPr>
                <w:rFonts w:hint="eastAsia"/>
                <w:color w:val="auto"/>
                <w:szCs w:val="21"/>
                <w:highlight w:val="none"/>
              </w:rPr>
              <w:t>100≤X＜300</w:t>
            </w:r>
          </w:p>
        </w:tc>
        <w:tc>
          <w:tcPr>
            <w:tcW w:w="1570" w:type="dxa"/>
            <w:tcBorders>
              <w:top w:val="nil"/>
              <w:left w:val="nil"/>
              <w:bottom w:val="single" w:color="auto" w:sz="4" w:space="0"/>
              <w:right w:val="single" w:color="auto" w:sz="4" w:space="0"/>
            </w:tcBorders>
            <w:vAlign w:val="center"/>
          </w:tcPr>
          <w:p w14:paraId="1AF4B3D5">
            <w:pPr>
              <w:widowControl/>
              <w:jc w:val="left"/>
              <w:rPr>
                <w:color w:val="auto"/>
                <w:szCs w:val="21"/>
                <w:highlight w:val="none"/>
              </w:rPr>
            </w:pPr>
            <w:r>
              <w:rPr>
                <w:rFonts w:hint="eastAsia"/>
                <w:color w:val="auto"/>
                <w:szCs w:val="21"/>
                <w:highlight w:val="none"/>
              </w:rPr>
              <w:t>10≤X＜100</w:t>
            </w:r>
          </w:p>
        </w:tc>
        <w:tc>
          <w:tcPr>
            <w:tcW w:w="1009" w:type="dxa"/>
            <w:tcBorders>
              <w:top w:val="nil"/>
              <w:left w:val="nil"/>
              <w:bottom w:val="single" w:color="auto" w:sz="4" w:space="0"/>
              <w:right w:val="single" w:color="auto" w:sz="4" w:space="0"/>
            </w:tcBorders>
            <w:vAlign w:val="center"/>
          </w:tcPr>
          <w:p w14:paraId="04F7CE4C">
            <w:pPr>
              <w:widowControl/>
              <w:jc w:val="left"/>
              <w:rPr>
                <w:color w:val="auto"/>
                <w:szCs w:val="21"/>
                <w:highlight w:val="none"/>
              </w:rPr>
            </w:pPr>
            <w:r>
              <w:rPr>
                <w:rFonts w:hint="eastAsia"/>
                <w:color w:val="auto"/>
                <w:szCs w:val="21"/>
                <w:highlight w:val="none"/>
              </w:rPr>
              <w:t>X＜10</w:t>
            </w:r>
          </w:p>
        </w:tc>
      </w:tr>
      <w:tr w14:paraId="42981A78">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20BEFF31">
            <w:pPr>
              <w:widowControl/>
              <w:jc w:val="left"/>
              <w:rPr>
                <w:color w:val="auto"/>
                <w:szCs w:val="21"/>
                <w:highlight w:val="none"/>
              </w:rPr>
            </w:pPr>
          </w:p>
        </w:tc>
        <w:tc>
          <w:tcPr>
            <w:tcW w:w="1701" w:type="dxa"/>
            <w:tcBorders>
              <w:top w:val="nil"/>
              <w:left w:val="nil"/>
              <w:bottom w:val="single" w:color="auto" w:sz="4" w:space="0"/>
              <w:right w:val="single" w:color="auto" w:sz="4" w:space="0"/>
            </w:tcBorders>
            <w:vAlign w:val="center"/>
          </w:tcPr>
          <w:p w14:paraId="1ADC3879">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vAlign w:val="center"/>
          </w:tcPr>
          <w:p w14:paraId="210E89AD">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vAlign w:val="center"/>
          </w:tcPr>
          <w:p w14:paraId="1ACF9076">
            <w:pPr>
              <w:widowControl/>
              <w:jc w:val="left"/>
              <w:rPr>
                <w:color w:val="auto"/>
                <w:szCs w:val="21"/>
                <w:highlight w:val="none"/>
              </w:rPr>
            </w:pPr>
            <w:r>
              <w:rPr>
                <w:rFonts w:hint="eastAsia"/>
                <w:color w:val="auto"/>
                <w:szCs w:val="21"/>
                <w:highlight w:val="none"/>
              </w:rPr>
              <w:t>2000≤Y＜10000</w:t>
            </w:r>
          </w:p>
        </w:tc>
        <w:tc>
          <w:tcPr>
            <w:tcW w:w="1570" w:type="dxa"/>
            <w:tcBorders>
              <w:top w:val="nil"/>
              <w:left w:val="nil"/>
              <w:bottom w:val="single" w:color="auto" w:sz="4" w:space="0"/>
              <w:right w:val="single" w:color="auto" w:sz="4" w:space="0"/>
            </w:tcBorders>
            <w:vAlign w:val="center"/>
          </w:tcPr>
          <w:p w14:paraId="3150622F">
            <w:pPr>
              <w:widowControl/>
              <w:jc w:val="left"/>
              <w:rPr>
                <w:color w:val="auto"/>
                <w:szCs w:val="21"/>
                <w:highlight w:val="none"/>
              </w:rPr>
            </w:pPr>
            <w:r>
              <w:rPr>
                <w:rFonts w:hint="eastAsia"/>
                <w:color w:val="auto"/>
                <w:szCs w:val="21"/>
                <w:highlight w:val="none"/>
              </w:rPr>
              <w:t>100≤Y＜2000</w:t>
            </w:r>
          </w:p>
        </w:tc>
        <w:tc>
          <w:tcPr>
            <w:tcW w:w="1009" w:type="dxa"/>
            <w:tcBorders>
              <w:top w:val="nil"/>
              <w:left w:val="nil"/>
              <w:bottom w:val="single" w:color="auto" w:sz="4" w:space="0"/>
              <w:right w:val="single" w:color="auto" w:sz="4" w:space="0"/>
            </w:tcBorders>
            <w:vAlign w:val="center"/>
          </w:tcPr>
          <w:p w14:paraId="6B23BE8C">
            <w:pPr>
              <w:widowControl/>
              <w:jc w:val="left"/>
              <w:rPr>
                <w:color w:val="auto"/>
                <w:szCs w:val="21"/>
                <w:highlight w:val="none"/>
              </w:rPr>
            </w:pPr>
            <w:r>
              <w:rPr>
                <w:rFonts w:hint="eastAsia"/>
                <w:color w:val="auto"/>
                <w:szCs w:val="21"/>
                <w:highlight w:val="none"/>
              </w:rPr>
              <w:t>Y＜100</w:t>
            </w:r>
          </w:p>
        </w:tc>
      </w:tr>
      <w:tr w14:paraId="17974CDC">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66CA04A0">
            <w:pPr>
              <w:widowControl/>
              <w:jc w:val="center"/>
              <w:rPr>
                <w:color w:val="auto"/>
                <w:szCs w:val="21"/>
                <w:highlight w:val="none"/>
              </w:rPr>
            </w:pPr>
            <w:r>
              <w:rPr>
                <w:rFonts w:hint="eastAsia"/>
                <w:color w:val="auto"/>
                <w:szCs w:val="21"/>
                <w:highlight w:val="none"/>
              </w:rPr>
              <w:t>信息传输业</w:t>
            </w:r>
          </w:p>
        </w:tc>
        <w:tc>
          <w:tcPr>
            <w:tcW w:w="1701" w:type="dxa"/>
            <w:tcBorders>
              <w:top w:val="nil"/>
              <w:left w:val="nil"/>
              <w:bottom w:val="single" w:color="auto" w:sz="4" w:space="0"/>
              <w:right w:val="single" w:color="auto" w:sz="4" w:space="0"/>
            </w:tcBorders>
            <w:vAlign w:val="center"/>
          </w:tcPr>
          <w:p w14:paraId="4AA1D6A1">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vAlign w:val="center"/>
          </w:tcPr>
          <w:p w14:paraId="179B0712">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vAlign w:val="center"/>
          </w:tcPr>
          <w:p w14:paraId="2CB71542">
            <w:pPr>
              <w:widowControl/>
              <w:jc w:val="left"/>
              <w:rPr>
                <w:color w:val="auto"/>
                <w:szCs w:val="21"/>
                <w:highlight w:val="none"/>
              </w:rPr>
            </w:pPr>
            <w:r>
              <w:rPr>
                <w:rFonts w:hint="eastAsia"/>
                <w:color w:val="auto"/>
                <w:szCs w:val="21"/>
                <w:highlight w:val="none"/>
              </w:rPr>
              <w:t>100≤X＜2000</w:t>
            </w:r>
          </w:p>
        </w:tc>
        <w:tc>
          <w:tcPr>
            <w:tcW w:w="1570" w:type="dxa"/>
            <w:tcBorders>
              <w:top w:val="nil"/>
              <w:left w:val="nil"/>
              <w:bottom w:val="single" w:color="auto" w:sz="4" w:space="0"/>
              <w:right w:val="single" w:color="auto" w:sz="4" w:space="0"/>
            </w:tcBorders>
            <w:vAlign w:val="center"/>
          </w:tcPr>
          <w:p w14:paraId="778107FD">
            <w:pPr>
              <w:widowControl/>
              <w:jc w:val="left"/>
              <w:rPr>
                <w:color w:val="auto"/>
                <w:szCs w:val="21"/>
                <w:highlight w:val="none"/>
              </w:rPr>
            </w:pPr>
            <w:r>
              <w:rPr>
                <w:rFonts w:hint="eastAsia"/>
                <w:color w:val="auto"/>
                <w:szCs w:val="21"/>
                <w:highlight w:val="none"/>
              </w:rPr>
              <w:t>10≤X＜100</w:t>
            </w:r>
          </w:p>
        </w:tc>
        <w:tc>
          <w:tcPr>
            <w:tcW w:w="1009" w:type="dxa"/>
            <w:tcBorders>
              <w:top w:val="nil"/>
              <w:left w:val="nil"/>
              <w:bottom w:val="single" w:color="auto" w:sz="4" w:space="0"/>
              <w:right w:val="single" w:color="auto" w:sz="4" w:space="0"/>
            </w:tcBorders>
            <w:vAlign w:val="center"/>
          </w:tcPr>
          <w:p w14:paraId="47EDC17E">
            <w:pPr>
              <w:widowControl/>
              <w:jc w:val="left"/>
              <w:rPr>
                <w:color w:val="auto"/>
                <w:szCs w:val="21"/>
                <w:highlight w:val="none"/>
              </w:rPr>
            </w:pPr>
            <w:r>
              <w:rPr>
                <w:rFonts w:hint="eastAsia"/>
                <w:color w:val="auto"/>
                <w:szCs w:val="21"/>
                <w:highlight w:val="none"/>
              </w:rPr>
              <w:t>X＜10</w:t>
            </w:r>
          </w:p>
        </w:tc>
      </w:tr>
      <w:tr w14:paraId="0947849C">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67D734DF">
            <w:pPr>
              <w:widowControl/>
              <w:jc w:val="left"/>
              <w:rPr>
                <w:color w:val="auto"/>
                <w:szCs w:val="21"/>
                <w:highlight w:val="none"/>
              </w:rPr>
            </w:pPr>
          </w:p>
        </w:tc>
        <w:tc>
          <w:tcPr>
            <w:tcW w:w="1701" w:type="dxa"/>
            <w:tcBorders>
              <w:top w:val="nil"/>
              <w:left w:val="nil"/>
              <w:bottom w:val="single" w:color="auto" w:sz="4" w:space="0"/>
              <w:right w:val="single" w:color="auto" w:sz="4" w:space="0"/>
            </w:tcBorders>
            <w:vAlign w:val="center"/>
          </w:tcPr>
          <w:p w14:paraId="53DC2F3F">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vAlign w:val="center"/>
          </w:tcPr>
          <w:p w14:paraId="45F94350">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vAlign w:val="center"/>
          </w:tcPr>
          <w:p w14:paraId="7FEE11A3">
            <w:pPr>
              <w:widowControl/>
              <w:jc w:val="left"/>
              <w:rPr>
                <w:color w:val="auto"/>
                <w:szCs w:val="21"/>
                <w:highlight w:val="none"/>
              </w:rPr>
            </w:pPr>
            <w:r>
              <w:rPr>
                <w:rFonts w:hint="eastAsia"/>
                <w:color w:val="auto"/>
                <w:szCs w:val="21"/>
                <w:highlight w:val="none"/>
              </w:rPr>
              <w:t>1000≤Y＜100000</w:t>
            </w:r>
          </w:p>
        </w:tc>
        <w:tc>
          <w:tcPr>
            <w:tcW w:w="1570" w:type="dxa"/>
            <w:tcBorders>
              <w:top w:val="nil"/>
              <w:left w:val="nil"/>
              <w:bottom w:val="single" w:color="auto" w:sz="4" w:space="0"/>
              <w:right w:val="single" w:color="auto" w:sz="4" w:space="0"/>
            </w:tcBorders>
            <w:vAlign w:val="center"/>
          </w:tcPr>
          <w:p w14:paraId="65E523A8">
            <w:pPr>
              <w:widowControl/>
              <w:jc w:val="left"/>
              <w:rPr>
                <w:color w:val="auto"/>
                <w:szCs w:val="21"/>
                <w:highlight w:val="none"/>
              </w:rPr>
            </w:pPr>
            <w:r>
              <w:rPr>
                <w:rFonts w:hint="eastAsia"/>
                <w:color w:val="auto"/>
                <w:szCs w:val="21"/>
                <w:highlight w:val="none"/>
              </w:rPr>
              <w:t>100≤Y＜1000</w:t>
            </w:r>
          </w:p>
        </w:tc>
        <w:tc>
          <w:tcPr>
            <w:tcW w:w="1009" w:type="dxa"/>
            <w:tcBorders>
              <w:top w:val="nil"/>
              <w:left w:val="nil"/>
              <w:bottom w:val="single" w:color="auto" w:sz="4" w:space="0"/>
              <w:right w:val="single" w:color="auto" w:sz="4" w:space="0"/>
            </w:tcBorders>
            <w:vAlign w:val="center"/>
          </w:tcPr>
          <w:p w14:paraId="3519FD79">
            <w:pPr>
              <w:widowControl/>
              <w:jc w:val="left"/>
              <w:rPr>
                <w:color w:val="auto"/>
                <w:szCs w:val="21"/>
                <w:highlight w:val="none"/>
              </w:rPr>
            </w:pPr>
            <w:r>
              <w:rPr>
                <w:rFonts w:hint="eastAsia"/>
                <w:color w:val="auto"/>
                <w:szCs w:val="21"/>
                <w:highlight w:val="none"/>
              </w:rPr>
              <w:t>Y＜100</w:t>
            </w:r>
          </w:p>
        </w:tc>
      </w:tr>
      <w:tr w14:paraId="0DAB67F8">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3CA72610">
            <w:pPr>
              <w:widowControl/>
              <w:jc w:val="center"/>
              <w:rPr>
                <w:color w:val="auto"/>
                <w:szCs w:val="21"/>
                <w:highlight w:val="none"/>
              </w:rPr>
            </w:pPr>
            <w:r>
              <w:rPr>
                <w:rFonts w:hint="eastAsia"/>
                <w:color w:val="auto"/>
                <w:szCs w:val="21"/>
                <w:highlight w:val="none"/>
              </w:rPr>
              <w:t>软件和信息技术服务业</w:t>
            </w:r>
          </w:p>
        </w:tc>
        <w:tc>
          <w:tcPr>
            <w:tcW w:w="1701" w:type="dxa"/>
            <w:tcBorders>
              <w:top w:val="nil"/>
              <w:left w:val="nil"/>
              <w:bottom w:val="single" w:color="auto" w:sz="4" w:space="0"/>
              <w:right w:val="single" w:color="auto" w:sz="4" w:space="0"/>
            </w:tcBorders>
            <w:vAlign w:val="center"/>
          </w:tcPr>
          <w:p w14:paraId="18BCD41E">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vAlign w:val="center"/>
          </w:tcPr>
          <w:p w14:paraId="21F812A6">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vAlign w:val="center"/>
          </w:tcPr>
          <w:p w14:paraId="5C294909">
            <w:pPr>
              <w:widowControl/>
              <w:jc w:val="left"/>
              <w:rPr>
                <w:color w:val="auto"/>
                <w:szCs w:val="21"/>
                <w:highlight w:val="none"/>
              </w:rPr>
            </w:pPr>
            <w:r>
              <w:rPr>
                <w:rFonts w:hint="eastAsia"/>
                <w:color w:val="auto"/>
                <w:szCs w:val="21"/>
                <w:highlight w:val="none"/>
              </w:rPr>
              <w:t>100≤X＜300</w:t>
            </w:r>
          </w:p>
        </w:tc>
        <w:tc>
          <w:tcPr>
            <w:tcW w:w="1570" w:type="dxa"/>
            <w:tcBorders>
              <w:top w:val="nil"/>
              <w:left w:val="nil"/>
              <w:bottom w:val="single" w:color="auto" w:sz="4" w:space="0"/>
              <w:right w:val="single" w:color="auto" w:sz="4" w:space="0"/>
            </w:tcBorders>
            <w:vAlign w:val="center"/>
          </w:tcPr>
          <w:p w14:paraId="188B4C51">
            <w:pPr>
              <w:widowControl/>
              <w:jc w:val="left"/>
              <w:rPr>
                <w:color w:val="auto"/>
                <w:szCs w:val="21"/>
                <w:highlight w:val="none"/>
              </w:rPr>
            </w:pPr>
            <w:r>
              <w:rPr>
                <w:rFonts w:hint="eastAsia"/>
                <w:color w:val="auto"/>
                <w:szCs w:val="21"/>
                <w:highlight w:val="none"/>
              </w:rPr>
              <w:t>10≤X＜100</w:t>
            </w:r>
          </w:p>
        </w:tc>
        <w:tc>
          <w:tcPr>
            <w:tcW w:w="1009" w:type="dxa"/>
            <w:tcBorders>
              <w:top w:val="nil"/>
              <w:left w:val="nil"/>
              <w:bottom w:val="single" w:color="auto" w:sz="4" w:space="0"/>
              <w:right w:val="single" w:color="auto" w:sz="4" w:space="0"/>
            </w:tcBorders>
            <w:vAlign w:val="center"/>
          </w:tcPr>
          <w:p w14:paraId="19529F84">
            <w:pPr>
              <w:widowControl/>
              <w:jc w:val="left"/>
              <w:rPr>
                <w:color w:val="auto"/>
                <w:szCs w:val="21"/>
                <w:highlight w:val="none"/>
              </w:rPr>
            </w:pPr>
            <w:r>
              <w:rPr>
                <w:rFonts w:hint="eastAsia"/>
                <w:color w:val="auto"/>
                <w:szCs w:val="21"/>
                <w:highlight w:val="none"/>
              </w:rPr>
              <w:t>X＜10</w:t>
            </w:r>
          </w:p>
        </w:tc>
      </w:tr>
      <w:tr w14:paraId="409C775F">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22957733">
            <w:pPr>
              <w:widowControl/>
              <w:jc w:val="left"/>
              <w:rPr>
                <w:color w:val="auto"/>
                <w:szCs w:val="21"/>
                <w:highlight w:val="none"/>
              </w:rPr>
            </w:pPr>
          </w:p>
        </w:tc>
        <w:tc>
          <w:tcPr>
            <w:tcW w:w="1701" w:type="dxa"/>
            <w:tcBorders>
              <w:top w:val="nil"/>
              <w:left w:val="nil"/>
              <w:bottom w:val="single" w:color="auto" w:sz="4" w:space="0"/>
              <w:right w:val="single" w:color="auto" w:sz="4" w:space="0"/>
            </w:tcBorders>
            <w:vAlign w:val="center"/>
          </w:tcPr>
          <w:p w14:paraId="6EB96746">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vAlign w:val="center"/>
          </w:tcPr>
          <w:p w14:paraId="06C5447E">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vAlign w:val="center"/>
          </w:tcPr>
          <w:p w14:paraId="3F41790D">
            <w:pPr>
              <w:widowControl/>
              <w:jc w:val="left"/>
              <w:rPr>
                <w:color w:val="auto"/>
                <w:szCs w:val="21"/>
                <w:highlight w:val="none"/>
              </w:rPr>
            </w:pPr>
            <w:r>
              <w:rPr>
                <w:rFonts w:hint="eastAsia"/>
                <w:color w:val="auto"/>
                <w:szCs w:val="21"/>
                <w:highlight w:val="none"/>
              </w:rPr>
              <w:t>1000≤Y＜10000</w:t>
            </w:r>
          </w:p>
        </w:tc>
        <w:tc>
          <w:tcPr>
            <w:tcW w:w="1570" w:type="dxa"/>
            <w:tcBorders>
              <w:top w:val="nil"/>
              <w:left w:val="nil"/>
              <w:bottom w:val="single" w:color="auto" w:sz="4" w:space="0"/>
              <w:right w:val="single" w:color="auto" w:sz="4" w:space="0"/>
            </w:tcBorders>
            <w:vAlign w:val="center"/>
          </w:tcPr>
          <w:p w14:paraId="15E80971">
            <w:pPr>
              <w:widowControl/>
              <w:jc w:val="left"/>
              <w:rPr>
                <w:color w:val="auto"/>
                <w:szCs w:val="21"/>
                <w:highlight w:val="none"/>
              </w:rPr>
            </w:pPr>
            <w:r>
              <w:rPr>
                <w:rFonts w:hint="eastAsia"/>
                <w:color w:val="auto"/>
                <w:szCs w:val="21"/>
                <w:highlight w:val="none"/>
              </w:rPr>
              <w:t>50≤Y＜1000</w:t>
            </w:r>
          </w:p>
        </w:tc>
        <w:tc>
          <w:tcPr>
            <w:tcW w:w="1009" w:type="dxa"/>
            <w:tcBorders>
              <w:top w:val="nil"/>
              <w:left w:val="nil"/>
              <w:bottom w:val="single" w:color="auto" w:sz="4" w:space="0"/>
              <w:right w:val="single" w:color="auto" w:sz="4" w:space="0"/>
            </w:tcBorders>
            <w:vAlign w:val="center"/>
          </w:tcPr>
          <w:p w14:paraId="285644FC">
            <w:pPr>
              <w:widowControl/>
              <w:jc w:val="left"/>
              <w:rPr>
                <w:color w:val="auto"/>
                <w:szCs w:val="21"/>
                <w:highlight w:val="none"/>
              </w:rPr>
            </w:pPr>
            <w:r>
              <w:rPr>
                <w:rFonts w:hint="eastAsia"/>
                <w:color w:val="auto"/>
                <w:szCs w:val="21"/>
                <w:highlight w:val="none"/>
              </w:rPr>
              <w:t>Y＜50</w:t>
            </w:r>
          </w:p>
        </w:tc>
      </w:tr>
      <w:tr w14:paraId="244554D7">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4ED99F15">
            <w:pPr>
              <w:widowControl/>
              <w:jc w:val="center"/>
              <w:rPr>
                <w:color w:val="auto"/>
                <w:szCs w:val="21"/>
                <w:highlight w:val="none"/>
              </w:rPr>
            </w:pPr>
            <w:r>
              <w:rPr>
                <w:rFonts w:hint="eastAsia"/>
                <w:color w:val="auto"/>
                <w:szCs w:val="21"/>
                <w:highlight w:val="none"/>
              </w:rPr>
              <w:t>房地产开发经营</w:t>
            </w:r>
          </w:p>
        </w:tc>
        <w:tc>
          <w:tcPr>
            <w:tcW w:w="1701" w:type="dxa"/>
            <w:tcBorders>
              <w:top w:val="nil"/>
              <w:left w:val="nil"/>
              <w:bottom w:val="single" w:color="auto" w:sz="4" w:space="0"/>
              <w:right w:val="single" w:color="auto" w:sz="4" w:space="0"/>
            </w:tcBorders>
            <w:vAlign w:val="center"/>
          </w:tcPr>
          <w:p w14:paraId="517A1211">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vAlign w:val="center"/>
          </w:tcPr>
          <w:p w14:paraId="1A8B2DBF">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vAlign w:val="center"/>
          </w:tcPr>
          <w:p w14:paraId="6B8639F2">
            <w:pPr>
              <w:widowControl/>
              <w:jc w:val="left"/>
              <w:rPr>
                <w:color w:val="auto"/>
                <w:szCs w:val="21"/>
                <w:highlight w:val="none"/>
              </w:rPr>
            </w:pPr>
            <w:r>
              <w:rPr>
                <w:rFonts w:hint="eastAsia"/>
                <w:color w:val="auto"/>
                <w:szCs w:val="21"/>
                <w:highlight w:val="none"/>
              </w:rPr>
              <w:t>1000≤Y＜200000</w:t>
            </w:r>
          </w:p>
        </w:tc>
        <w:tc>
          <w:tcPr>
            <w:tcW w:w="1570" w:type="dxa"/>
            <w:tcBorders>
              <w:top w:val="nil"/>
              <w:left w:val="nil"/>
              <w:bottom w:val="single" w:color="auto" w:sz="4" w:space="0"/>
              <w:right w:val="single" w:color="auto" w:sz="4" w:space="0"/>
            </w:tcBorders>
            <w:vAlign w:val="center"/>
          </w:tcPr>
          <w:p w14:paraId="672FC7DE">
            <w:pPr>
              <w:widowControl/>
              <w:jc w:val="left"/>
              <w:rPr>
                <w:color w:val="auto"/>
                <w:szCs w:val="21"/>
                <w:highlight w:val="none"/>
              </w:rPr>
            </w:pPr>
            <w:r>
              <w:rPr>
                <w:rFonts w:hint="eastAsia"/>
                <w:color w:val="auto"/>
                <w:szCs w:val="21"/>
                <w:highlight w:val="none"/>
              </w:rPr>
              <w:t>100≤X＜1000</w:t>
            </w:r>
          </w:p>
        </w:tc>
        <w:tc>
          <w:tcPr>
            <w:tcW w:w="1009" w:type="dxa"/>
            <w:tcBorders>
              <w:top w:val="nil"/>
              <w:left w:val="nil"/>
              <w:bottom w:val="single" w:color="auto" w:sz="4" w:space="0"/>
              <w:right w:val="single" w:color="auto" w:sz="4" w:space="0"/>
            </w:tcBorders>
            <w:vAlign w:val="center"/>
          </w:tcPr>
          <w:p w14:paraId="2625356C">
            <w:pPr>
              <w:widowControl/>
              <w:jc w:val="left"/>
              <w:rPr>
                <w:color w:val="auto"/>
                <w:szCs w:val="21"/>
                <w:highlight w:val="none"/>
              </w:rPr>
            </w:pPr>
            <w:r>
              <w:rPr>
                <w:rFonts w:hint="eastAsia"/>
                <w:color w:val="auto"/>
                <w:szCs w:val="21"/>
                <w:highlight w:val="none"/>
              </w:rPr>
              <w:t>X＜100</w:t>
            </w:r>
          </w:p>
        </w:tc>
      </w:tr>
      <w:tr w14:paraId="043DD0E8">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23E3F083">
            <w:pPr>
              <w:widowControl/>
              <w:jc w:val="left"/>
              <w:rPr>
                <w:color w:val="auto"/>
                <w:szCs w:val="21"/>
                <w:highlight w:val="none"/>
              </w:rPr>
            </w:pPr>
          </w:p>
        </w:tc>
        <w:tc>
          <w:tcPr>
            <w:tcW w:w="1701" w:type="dxa"/>
            <w:tcBorders>
              <w:top w:val="nil"/>
              <w:left w:val="nil"/>
              <w:bottom w:val="single" w:color="auto" w:sz="4" w:space="0"/>
              <w:right w:val="single" w:color="auto" w:sz="4" w:space="0"/>
            </w:tcBorders>
            <w:vAlign w:val="center"/>
          </w:tcPr>
          <w:p w14:paraId="2B58BF76">
            <w:pPr>
              <w:widowControl/>
              <w:jc w:val="left"/>
              <w:rPr>
                <w:color w:val="auto"/>
                <w:szCs w:val="21"/>
                <w:highlight w:val="none"/>
              </w:rPr>
            </w:pPr>
            <w:r>
              <w:rPr>
                <w:rFonts w:hint="eastAsia"/>
                <w:color w:val="auto"/>
                <w:szCs w:val="21"/>
                <w:highlight w:val="none"/>
              </w:rPr>
              <w:t>资产总额（Z）</w:t>
            </w:r>
          </w:p>
        </w:tc>
        <w:tc>
          <w:tcPr>
            <w:tcW w:w="1134" w:type="dxa"/>
            <w:tcBorders>
              <w:top w:val="nil"/>
              <w:left w:val="nil"/>
              <w:bottom w:val="single" w:color="auto" w:sz="4" w:space="0"/>
              <w:right w:val="single" w:color="auto" w:sz="4" w:space="0"/>
            </w:tcBorders>
            <w:vAlign w:val="center"/>
          </w:tcPr>
          <w:p w14:paraId="69B9F9CB">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vAlign w:val="center"/>
          </w:tcPr>
          <w:p w14:paraId="42A39919">
            <w:pPr>
              <w:widowControl/>
              <w:jc w:val="left"/>
              <w:rPr>
                <w:color w:val="auto"/>
                <w:szCs w:val="21"/>
                <w:highlight w:val="none"/>
              </w:rPr>
            </w:pPr>
            <w:r>
              <w:rPr>
                <w:rFonts w:hint="eastAsia"/>
                <w:color w:val="auto"/>
                <w:szCs w:val="21"/>
                <w:highlight w:val="none"/>
              </w:rPr>
              <w:t>5000≤Z＜10000</w:t>
            </w:r>
          </w:p>
        </w:tc>
        <w:tc>
          <w:tcPr>
            <w:tcW w:w="1570" w:type="dxa"/>
            <w:tcBorders>
              <w:top w:val="nil"/>
              <w:left w:val="nil"/>
              <w:bottom w:val="single" w:color="auto" w:sz="4" w:space="0"/>
              <w:right w:val="single" w:color="auto" w:sz="4" w:space="0"/>
            </w:tcBorders>
            <w:vAlign w:val="center"/>
          </w:tcPr>
          <w:p w14:paraId="3C4ACB42">
            <w:pPr>
              <w:widowControl/>
              <w:jc w:val="left"/>
              <w:rPr>
                <w:color w:val="auto"/>
                <w:szCs w:val="21"/>
                <w:highlight w:val="none"/>
              </w:rPr>
            </w:pPr>
            <w:r>
              <w:rPr>
                <w:rFonts w:hint="eastAsia"/>
                <w:color w:val="auto"/>
                <w:szCs w:val="21"/>
                <w:highlight w:val="none"/>
              </w:rPr>
              <w:t>2000≤Y＜5000</w:t>
            </w:r>
          </w:p>
        </w:tc>
        <w:tc>
          <w:tcPr>
            <w:tcW w:w="1009" w:type="dxa"/>
            <w:tcBorders>
              <w:top w:val="nil"/>
              <w:left w:val="nil"/>
              <w:bottom w:val="single" w:color="auto" w:sz="4" w:space="0"/>
              <w:right w:val="single" w:color="auto" w:sz="4" w:space="0"/>
            </w:tcBorders>
            <w:vAlign w:val="center"/>
          </w:tcPr>
          <w:p w14:paraId="2AB6A5D9">
            <w:pPr>
              <w:widowControl/>
              <w:jc w:val="left"/>
              <w:rPr>
                <w:color w:val="auto"/>
                <w:szCs w:val="21"/>
                <w:highlight w:val="none"/>
              </w:rPr>
            </w:pPr>
            <w:r>
              <w:rPr>
                <w:rFonts w:hint="eastAsia"/>
                <w:color w:val="auto"/>
                <w:szCs w:val="21"/>
                <w:highlight w:val="none"/>
              </w:rPr>
              <w:t>Y＜2000</w:t>
            </w:r>
          </w:p>
        </w:tc>
      </w:tr>
      <w:tr w14:paraId="6DA1853B">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061E99F1">
            <w:pPr>
              <w:widowControl/>
              <w:jc w:val="center"/>
              <w:rPr>
                <w:color w:val="auto"/>
                <w:szCs w:val="21"/>
                <w:highlight w:val="none"/>
              </w:rPr>
            </w:pPr>
            <w:r>
              <w:rPr>
                <w:rFonts w:hint="eastAsia"/>
                <w:color w:val="auto"/>
                <w:szCs w:val="21"/>
                <w:highlight w:val="none"/>
              </w:rPr>
              <w:t>物业管理</w:t>
            </w:r>
          </w:p>
        </w:tc>
        <w:tc>
          <w:tcPr>
            <w:tcW w:w="1701" w:type="dxa"/>
            <w:tcBorders>
              <w:top w:val="nil"/>
              <w:left w:val="nil"/>
              <w:bottom w:val="single" w:color="auto" w:sz="4" w:space="0"/>
              <w:right w:val="single" w:color="auto" w:sz="4" w:space="0"/>
            </w:tcBorders>
            <w:vAlign w:val="center"/>
          </w:tcPr>
          <w:p w14:paraId="280CA050">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vAlign w:val="center"/>
          </w:tcPr>
          <w:p w14:paraId="46CEB73F">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vAlign w:val="center"/>
          </w:tcPr>
          <w:p w14:paraId="3C90C1E5">
            <w:pPr>
              <w:widowControl/>
              <w:jc w:val="left"/>
              <w:rPr>
                <w:color w:val="auto"/>
                <w:szCs w:val="21"/>
                <w:highlight w:val="none"/>
              </w:rPr>
            </w:pPr>
            <w:r>
              <w:rPr>
                <w:rFonts w:hint="eastAsia"/>
                <w:color w:val="auto"/>
                <w:szCs w:val="21"/>
                <w:highlight w:val="none"/>
              </w:rPr>
              <w:t>300≤X＜1000</w:t>
            </w:r>
          </w:p>
        </w:tc>
        <w:tc>
          <w:tcPr>
            <w:tcW w:w="1570" w:type="dxa"/>
            <w:tcBorders>
              <w:top w:val="nil"/>
              <w:left w:val="nil"/>
              <w:bottom w:val="single" w:color="auto" w:sz="4" w:space="0"/>
              <w:right w:val="single" w:color="auto" w:sz="4" w:space="0"/>
            </w:tcBorders>
            <w:vAlign w:val="center"/>
          </w:tcPr>
          <w:p w14:paraId="14459465">
            <w:pPr>
              <w:widowControl/>
              <w:jc w:val="left"/>
              <w:rPr>
                <w:color w:val="auto"/>
                <w:szCs w:val="21"/>
                <w:highlight w:val="none"/>
              </w:rPr>
            </w:pPr>
            <w:r>
              <w:rPr>
                <w:rFonts w:hint="eastAsia"/>
                <w:color w:val="auto"/>
                <w:szCs w:val="21"/>
                <w:highlight w:val="none"/>
              </w:rPr>
              <w:t>100≤X＜300</w:t>
            </w:r>
          </w:p>
        </w:tc>
        <w:tc>
          <w:tcPr>
            <w:tcW w:w="1009" w:type="dxa"/>
            <w:tcBorders>
              <w:top w:val="nil"/>
              <w:left w:val="nil"/>
              <w:bottom w:val="single" w:color="auto" w:sz="4" w:space="0"/>
              <w:right w:val="single" w:color="auto" w:sz="4" w:space="0"/>
            </w:tcBorders>
            <w:vAlign w:val="center"/>
          </w:tcPr>
          <w:p w14:paraId="3F58267A">
            <w:pPr>
              <w:widowControl/>
              <w:jc w:val="left"/>
              <w:rPr>
                <w:color w:val="auto"/>
                <w:szCs w:val="21"/>
                <w:highlight w:val="none"/>
              </w:rPr>
            </w:pPr>
            <w:r>
              <w:rPr>
                <w:rFonts w:hint="eastAsia"/>
                <w:color w:val="auto"/>
                <w:szCs w:val="21"/>
                <w:highlight w:val="none"/>
              </w:rPr>
              <w:t>X＜100</w:t>
            </w:r>
          </w:p>
        </w:tc>
      </w:tr>
      <w:tr w14:paraId="46303C7D">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6111C64A">
            <w:pPr>
              <w:widowControl/>
              <w:jc w:val="left"/>
              <w:rPr>
                <w:color w:val="auto"/>
                <w:szCs w:val="21"/>
                <w:highlight w:val="none"/>
              </w:rPr>
            </w:pPr>
          </w:p>
        </w:tc>
        <w:tc>
          <w:tcPr>
            <w:tcW w:w="1701" w:type="dxa"/>
            <w:tcBorders>
              <w:top w:val="nil"/>
              <w:left w:val="nil"/>
              <w:bottom w:val="single" w:color="auto" w:sz="4" w:space="0"/>
              <w:right w:val="single" w:color="auto" w:sz="4" w:space="0"/>
            </w:tcBorders>
            <w:vAlign w:val="center"/>
          </w:tcPr>
          <w:p w14:paraId="3972726B">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vAlign w:val="center"/>
          </w:tcPr>
          <w:p w14:paraId="6286C197">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vAlign w:val="center"/>
          </w:tcPr>
          <w:p w14:paraId="1C95B853">
            <w:pPr>
              <w:widowControl/>
              <w:jc w:val="left"/>
              <w:rPr>
                <w:color w:val="auto"/>
                <w:szCs w:val="21"/>
                <w:highlight w:val="none"/>
              </w:rPr>
            </w:pPr>
            <w:r>
              <w:rPr>
                <w:rFonts w:hint="eastAsia"/>
                <w:color w:val="auto"/>
                <w:szCs w:val="21"/>
                <w:highlight w:val="none"/>
              </w:rPr>
              <w:t>1000≤Y＜5000</w:t>
            </w:r>
          </w:p>
        </w:tc>
        <w:tc>
          <w:tcPr>
            <w:tcW w:w="1570" w:type="dxa"/>
            <w:tcBorders>
              <w:top w:val="nil"/>
              <w:left w:val="nil"/>
              <w:bottom w:val="single" w:color="auto" w:sz="4" w:space="0"/>
              <w:right w:val="single" w:color="auto" w:sz="4" w:space="0"/>
            </w:tcBorders>
            <w:vAlign w:val="center"/>
          </w:tcPr>
          <w:p w14:paraId="356C7EE4">
            <w:pPr>
              <w:widowControl/>
              <w:jc w:val="left"/>
              <w:rPr>
                <w:color w:val="auto"/>
                <w:szCs w:val="21"/>
                <w:highlight w:val="none"/>
              </w:rPr>
            </w:pPr>
            <w:r>
              <w:rPr>
                <w:rFonts w:hint="eastAsia"/>
                <w:color w:val="auto"/>
                <w:szCs w:val="21"/>
                <w:highlight w:val="none"/>
              </w:rPr>
              <w:t>500≤Y＜1000</w:t>
            </w:r>
          </w:p>
        </w:tc>
        <w:tc>
          <w:tcPr>
            <w:tcW w:w="1009" w:type="dxa"/>
            <w:tcBorders>
              <w:top w:val="nil"/>
              <w:left w:val="nil"/>
              <w:bottom w:val="single" w:color="auto" w:sz="4" w:space="0"/>
              <w:right w:val="single" w:color="auto" w:sz="4" w:space="0"/>
            </w:tcBorders>
            <w:vAlign w:val="center"/>
          </w:tcPr>
          <w:p w14:paraId="3770DEAF">
            <w:pPr>
              <w:widowControl/>
              <w:jc w:val="left"/>
              <w:rPr>
                <w:color w:val="auto"/>
                <w:szCs w:val="21"/>
                <w:highlight w:val="none"/>
              </w:rPr>
            </w:pPr>
            <w:r>
              <w:rPr>
                <w:rFonts w:hint="eastAsia"/>
                <w:color w:val="auto"/>
                <w:szCs w:val="21"/>
                <w:highlight w:val="none"/>
              </w:rPr>
              <w:t>Y＜500</w:t>
            </w:r>
          </w:p>
        </w:tc>
      </w:tr>
      <w:tr w14:paraId="3C78ADA4">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760A0586">
            <w:pPr>
              <w:widowControl/>
              <w:jc w:val="center"/>
              <w:rPr>
                <w:color w:val="auto"/>
                <w:szCs w:val="21"/>
                <w:highlight w:val="none"/>
              </w:rPr>
            </w:pPr>
            <w:r>
              <w:rPr>
                <w:rFonts w:hint="eastAsia"/>
                <w:color w:val="auto"/>
                <w:szCs w:val="21"/>
                <w:highlight w:val="none"/>
              </w:rPr>
              <w:t>租赁和商务服务业</w:t>
            </w:r>
          </w:p>
        </w:tc>
        <w:tc>
          <w:tcPr>
            <w:tcW w:w="1701" w:type="dxa"/>
            <w:tcBorders>
              <w:top w:val="nil"/>
              <w:left w:val="nil"/>
              <w:bottom w:val="single" w:color="auto" w:sz="4" w:space="0"/>
              <w:right w:val="single" w:color="auto" w:sz="4" w:space="0"/>
            </w:tcBorders>
            <w:vAlign w:val="center"/>
          </w:tcPr>
          <w:p w14:paraId="5BF5BB7C">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vAlign w:val="center"/>
          </w:tcPr>
          <w:p w14:paraId="27BCB1C2">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vAlign w:val="center"/>
          </w:tcPr>
          <w:p w14:paraId="42B27DC6">
            <w:pPr>
              <w:widowControl/>
              <w:jc w:val="left"/>
              <w:rPr>
                <w:color w:val="auto"/>
                <w:szCs w:val="21"/>
                <w:highlight w:val="none"/>
              </w:rPr>
            </w:pPr>
            <w:r>
              <w:rPr>
                <w:rFonts w:hint="eastAsia"/>
                <w:color w:val="auto"/>
                <w:szCs w:val="21"/>
                <w:highlight w:val="none"/>
              </w:rPr>
              <w:t>100≤X＜300</w:t>
            </w:r>
          </w:p>
        </w:tc>
        <w:tc>
          <w:tcPr>
            <w:tcW w:w="1570" w:type="dxa"/>
            <w:tcBorders>
              <w:top w:val="nil"/>
              <w:left w:val="nil"/>
              <w:bottom w:val="single" w:color="auto" w:sz="4" w:space="0"/>
              <w:right w:val="single" w:color="auto" w:sz="4" w:space="0"/>
            </w:tcBorders>
            <w:vAlign w:val="center"/>
          </w:tcPr>
          <w:p w14:paraId="49BD950D">
            <w:pPr>
              <w:widowControl/>
              <w:jc w:val="left"/>
              <w:rPr>
                <w:color w:val="auto"/>
                <w:szCs w:val="21"/>
                <w:highlight w:val="none"/>
              </w:rPr>
            </w:pPr>
            <w:r>
              <w:rPr>
                <w:rFonts w:hint="eastAsia"/>
                <w:color w:val="auto"/>
                <w:szCs w:val="21"/>
                <w:highlight w:val="none"/>
              </w:rPr>
              <w:t>10≤X＜100</w:t>
            </w:r>
          </w:p>
        </w:tc>
        <w:tc>
          <w:tcPr>
            <w:tcW w:w="1009" w:type="dxa"/>
            <w:tcBorders>
              <w:top w:val="nil"/>
              <w:left w:val="nil"/>
              <w:bottom w:val="single" w:color="auto" w:sz="4" w:space="0"/>
              <w:right w:val="single" w:color="auto" w:sz="4" w:space="0"/>
            </w:tcBorders>
            <w:vAlign w:val="center"/>
          </w:tcPr>
          <w:p w14:paraId="1079E4E8">
            <w:pPr>
              <w:widowControl/>
              <w:jc w:val="left"/>
              <w:rPr>
                <w:color w:val="auto"/>
                <w:szCs w:val="21"/>
                <w:highlight w:val="none"/>
              </w:rPr>
            </w:pPr>
            <w:r>
              <w:rPr>
                <w:rFonts w:hint="eastAsia"/>
                <w:color w:val="auto"/>
                <w:szCs w:val="21"/>
                <w:highlight w:val="none"/>
              </w:rPr>
              <w:t>X＜10</w:t>
            </w:r>
          </w:p>
        </w:tc>
      </w:tr>
      <w:tr w14:paraId="544533F7">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7986DB28">
            <w:pPr>
              <w:widowControl/>
              <w:jc w:val="left"/>
              <w:rPr>
                <w:color w:val="auto"/>
                <w:szCs w:val="21"/>
                <w:highlight w:val="none"/>
              </w:rPr>
            </w:pPr>
          </w:p>
        </w:tc>
        <w:tc>
          <w:tcPr>
            <w:tcW w:w="1701" w:type="dxa"/>
            <w:tcBorders>
              <w:top w:val="nil"/>
              <w:left w:val="nil"/>
              <w:bottom w:val="single" w:color="auto" w:sz="4" w:space="0"/>
              <w:right w:val="single" w:color="auto" w:sz="4" w:space="0"/>
            </w:tcBorders>
            <w:vAlign w:val="center"/>
          </w:tcPr>
          <w:p w14:paraId="6A7B4C0F">
            <w:pPr>
              <w:widowControl/>
              <w:jc w:val="left"/>
              <w:rPr>
                <w:color w:val="auto"/>
                <w:szCs w:val="21"/>
                <w:highlight w:val="none"/>
              </w:rPr>
            </w:pPr>
            <w:r>
              <w:rPr>
                <w:rFonts w:hint="eastAsia"/>
                <w:color w:val="auto"/>
                <w:szCs w:val="21"/>
                <w:highlight w:val="none"/>
              </w:rPr>
              <w:t>资产总额（Z）</w:t>
            </w:r>
          </w:p>
        </w:tc>
        <w:tc>
          <w:tcPr>
            <w:tcW w:w="1134" w:type="dxa"/>
            <w:tcBorders>
              <w:top w:val="nil"/>
              <w:left w:val="nil"/>
              <w:bottom w:val="single" w:color="auto" w:sz="4" w:space="0"/>
              <w:right w:val="single" w:color="auto" w:sz="4" w:space="0"/>
            </w:tcBorders>
            <w:vAlign w:val="center"/>
          </w:tcPr>
          <w:p w14:paraId="6EF1C04A">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vAlign w:val="center"/>
          </w:tcPr>
          <w:p w14:paraId="66047559">
            <w:pPr>
              <w:widowControl/>
              <w:jc w:val="left"/>
              <w:rPr>
                <w:color w:val="auto"/>
                <w:szCs w:val="21"/>
                <w:highlight w:val="none"/>
              </w:rPr>
            </w:pPr>
            <w:r>
              <w:rPr>
                <w:rFonts w:hint="eastAsia"/>
                <w:color w:val="auto"/>
                <w:szCs w:val="21"/>
                <w:highlight w:val="none"/>
              </w:rPr>
              <w:t>8000≤Z＜120000</w:t>
            </w:r>
          </w:p>
        </w:tc>
        <w:tc>
          <w:tcPr>
            <w:tcW w:w="1570" w:type="dxa"/>
            <w:tcBorders>
              <w:top w:val="nil"/>
              <w:left w:val="nil"/>
              <w:bottom w:val="single" w:color="auto" w:sz="4" w:space="0"/>
              <w:right w:val="single" w:color="auto" w:sz="4" w:space="0"/>
            </w:tcBorders>
            <w:vAlign w:val="center"/>
          </w:tcPr>
          <w:p w14:paraId="1C88E536">
            <w:pPr>
              <w:widowControl/>
              <w:jc w:val="left"/>
              <w:rPr>
                <w:color w:val="auto"/>
                <w:szCs w:val="21"/>
                <w:highlight w:val="none"/>
              </w:rPr>
            </w:pPr>
            <w:r>
              <w:rPr>
                <w:rFonts w:hint="eastAsia"/>
                <w:color w:val="auto"/>
                <w:szCs w:val="21"/>
                <w:highlight w:val="none"/>
              </w:rPr>
              <w:t>100≤Z＜8000</w:t>
            </w:r>
          </w:p>
        </w:tc>
        <w:tc>
          <w:tcPr>
            <w:tcW w:w="1009" w:type="dxa"/>
            <w:tcBorders>
              <w:top w:val="nil"/>
              <w:left w:val="nil"/>
              <w:bottom w:val="single" w:color="auto" w:sz="4" w:space="0"/>
              <w:right w:val="single" w:color="auto" w:sz="4" w:space="0"/>
            </w:tcBorders>
            <w:vAlign w:val="center"/>
          </w:tcPr>
          <w:p w14:paraId="21ABB8A3">
            <w:pPr>
              <w:widowControl/>
              <w:jc w:val="left"/>
              <w:rPr>
                <w:color w:val="auto"/>
                <w:szCs w:val="21"/>
                <w:highlight w:val="none"/>
              </w:rPr>
            </w:pPr>
            <w:r>
              <w:rPr>
                <w:rFonts w:hint="eastAsia"/>
                <w:color w:val="auto"/>
                <w:szCs w:val="21"/>
                <w:highlight w:val="none"/>
              </w:rPr>
              <w:t>Y＜100</w:t>
            </w:r>
          </w:p>
        </w:tc>
      </w:tr>
      <w:tr w14:paraId="65F03D9C">
        <w:tblPrEx>
          <w:tblCellMar>
            <w:top w:w="0" w:type="dxa"/>
            <w:left w:w="108" w:type="dxa"/>
            <w:bottom w:w="0" w:type="dxa"/>
            <w:right w:w="108" w:type="dxa"/>
          </w:tblCellMar>
        </w:tblPrEx>
        <w:trPr>
          <w:trHeight w:val="220" w:hRule="atLeast"/>
        </w:trPr>
        <w:tc>
          <w:tcPr>
            <w:tcW w:w="1446" w:type="dxa"/>
            <w:tcBorders>
              <w:top w:val="nil"/>
              <w:left w:val="single" w:color="auto" w:sz="4" w:space="0"/>
              <w:bottom w:val="single" w:color="auto" w:sz="4" w:space="0"/>
              <w:right w:val="single" w:color="auto" w:sz="4" w:space="0"/>
            </w:tcBorders>
            <w:vAlign w:val="bottom"/>
          </w:tcPr>
          <w:p w14:paraId="14A5CA63">
            <w:pPr>
              <w:widowControl/>
              <w:jc w:val="center"/>
              <w:rPr>
                <w:color w:val="auto"/>
                <w:szCs w:val="21"/>
                <w:highlight w:val="none"/>
              </w:rPr>
            </w:pPr>
            <w:r>
              <w:rPr>
                <w:rFonts w:hint="eastAsia"/>
                <w:color w:val="auto"/>
                <w:szCs w:val="21"/>
                <w:highlight w:val="none"/>
              </w:rPr>
              <w:t>其他未列明行业</w:t>
            </w:r>
          </w:p>
        </w:tc>
        <w:tc>
          <w:tcPr>
            <w:tcW w:w="1701" w:type="dxa"/>
            <w:tcBorders>
              <w:top w:val="nil"/>
              <w:left w:val="nil"/>
              <w:bottom w:val="single" w:color="auto" w:sz="4" w:space="0"/>
              <w:right w:val="single" w:color="auto" w:sz="4" w:space="0"/>
            </w:tcBorders>
            <w:vAlign w:val="center"/>
          </w:tcPr>
          <w:p w14:paraId="7D9EF799">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vAlign w:val="center"/>
          </w:tcPr>
          <w:p w14:paraId="7D05C735">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vAlign w:val="center"/>
          </w:tcPr>
          <w:p w14:paraId="739A1278">
            <w:pPr>
              <w:widowControl/>
              <w:jc w:val="left"/>
              <w:rPr>
                <w:color w:val="auto"/>
                <w:szCs w:val="21"/>
                <w:highlight w:val="none"/>
              </w:rPr>
            </w:pPr>
            <w:r>
              <w:rPr>
                <w:rFonts w:hint="eastAsia"/>
                <w:color w:val="auto"/>
                <w:szCs w:val="21"/>
                <w:highlight w:val="none"/>
              </w:rPr>
              <w:t>100≤X＜300</w:t>
            </w:r>
          </w:p>
        </w:tc>
        <w:tc>
          <w:tcPr>
            <w:tcW w:w="1570" w:type="dxa"/>
            <w:tcBorders>
              <w:top w:val="nil"/>
              <w:left w:val="nil"/>
              <w:bottom w:val="single" w:color="auto" w:sz="4" w:space="0"/>
              <w:right w:val="single" w:color="auto" w:sz="4" w:space="0"/>
            </w:tcBorders>
            <w:vAlign w:val="center"/>
          </w:tcPr>
          <w:p w14:paraId="5670B391">
            <w:pPr>
              <w:widowControl/>
              <w:jc w:val="left"/>
              <w:rPr>
                <w:color w:val="auto"/>
                <w:szCs w:val="21"/>
                <w:highlight w:val="none"/>
              </w:rPr>
            </w:pPr>
            <w:r>
              <w:rPr>
                <w:rFonts w:hint="eastAsia"/>
                <w:color w:val="auto"/>
                <w:szCs w:val="21"/>
                <w:highlight w:val="none"/>
              </w:rPr>
              <w:t>10≤X＜100</w:t>
            </w:r>
          </w:p>
        </w:tc>
        <w:tc>
          <w:tcPr>
            <w:tcW w:w="1009" w:type="dxa"/>
            <w:tcBorders>
              <w:top w:val="nil"/>
              <w:left w:val="nil"/>
              <w:bottom w:val="single" w:color="auto" w:sz="4" w:space="0"/>
              <w:right w:val="single" w:color="auto" w:sz="4" w:space="0"/>
            </w:tcBorders>
            <w:vAlign w:val="center"/>
          </w:tcPr>
          <w:p w14:paraId="7DF22B9B">
            <w:pPr>
              <w:widowControl/>
              <w:jc w:val="left"/>
              <w:rPr>
                <w:color w:val="auto"/>
                <w:szCs w:val="21"/>
                <w:highlight w:val="none"/>
              </w:rPr>
            </w:pPr>
            <w:r>
              <w:rPr>
                <w:rFonts w:hint="eastAsia"/>
                <w:color w:val="auto"/>
                <w:szCs w:val="21"/>
                <w:highlight w:val="none"/>
              </w:rPr>
              <w:t>X＜10</w:t>
            </w:r>
          </w:p>
        </w:tc>
      </w:tr>
    </w:tbl>
    <w:p w14:paraId="0BC15863">
      <w:pPr>
        <w:spacing w:line="360" w:lineRule="auto"/>
        <w:ind w:firstLine="525" w:firstLineChars="250"/>
        <w:rPr>
          <w:color w:val="auto"/>
          <w:szCs w:val="21"/>
          <w:highlight w:val="none"/>
        </w:rPr>
      </w:pPr>
      <w:r>
        <w:rPr>
          <w:rFonts w:hint="eastAsia"/>
          <w:color w:val="auto"/>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0FAE0DF6">
      <w:pPr>
        <w:spacing w:line="360" w:lineRule="auto"/>
        <w:rPr>
          <w:color w:val="auto"/>
          <w:sz w:val="28"/>
          <w:szCs w:val="28"/>
          <w:highlight w:val="none"/>
        </w:rPr>
      </w:pPr>
      <w:r>
        <w:rPr>
          <w:color w:val="auto"/>
          <w:szCs w:val="21"/>
          <w:highlight w:val="none"/>
        </w:rPr>
        <w:br w:type="page"/>
      </w:r>
      <w:bookmarkStart w:id="23" w:name="_Hlk132788258"/>
      <w:r>
        <w:rPr>
          <w:rFonts w:hint="eastAsia"/>
          <w:color w:val="auto"/>
          <w:sz w:val="28"/>
          <w:szCs w:val="28"/>
          <w:highlight w:val="none"/>
        </w:rPr>
        <w:t>附件2：</w:t>
      </w:r>
    </w:p>
    <w:p w14:paraId="4DB1B552">
      <w:pPr>
        <w:spacing w:line="360" w:lineRule="auto"/>
        <w:rPr>
          <w:color w:val="auto"/>
          <w:szCs w:val="21"/>
          <w:highlight w:val="none"/>
        </w:rPr>
        <w:sectPr>
          <w:footerReference r:id="rId7" w:type="first"/>
          <w:headerReference r:id="rId6" w:type="default"/>
          <w:pgSz w:w="11906" w:h="16838"/>
          <w:pgMar w:top="851" w:right="1133" w:bottom="1246" w:left="1418" w:header="851" w:footer="797" w:gutter="0"/>
          <w:cols w:space="720" w:num="1"/>
          <w:docGrid w:linePitch="312" w:charSpace="0"/>
        </w:sectPr>
      </w:pPr>
      <w:r>
        <w:rPr>
          <w:color w:val="auto"/>
          <w:highlight w:val="none"/>
        </w:rPr>
        <w:drawing>
          <wp:anchor distT="0" distB="0" distL="114300" distR="114300" simplePos="0" relativeHeight="251659264" behindDoc="0" locked="0" layoutInCell="1" allowOverlap="1">
            <wp:simplePos x="0" y="0"/>
            <wp:positionH relativeFrom="column">
              <wp:posOffset>1905</wp:posOffset>
            </wp:positionH>
            <wp:positionV relativeFrom="paragraph">
              <wp:posOffset>205105</wp:posOffset>
            </wp:positionV>
            <wp:extent cx="5573395" cy="8125460"/>
            <wp:effectExtent l="0" t="0" r="8255" b="8890"/>
            <wp:wrapSquare wrapText="bothSides"/>
            <wp:docPr id="1" name="图片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026"/>
                    <pic:cNvPicPr>
                      <a:picLocks noChangeAspect="1"/>
                    </pic:cNvPicPr>
                  </pic:nvPicPr>
                  <pic:blipFill>
                    <a:blip r:embed="rId21"/>
                    <a:stretch>
                      <a:fillRect/>
                    </a:stretch>
                  </pic:blipFill>
                  <pic:spPr>
                    <a:xfrm>
                      <a:off x="0" y="0"/>
                      <a:ext cx="5573395" cy="8125460"/>
                    </a:xfrm>
                    <a:prstGeom prst="rect">
                      <a:avLst/>
                    </a:prstGeom>
                    <a:noFill/>
                    <a:ln>
                      <a:noFill/>
                    </a:ln>
                  </pic:spPr>
                </pic:pic>
              </a:graphicData>
            </a:graphic>
          </wp:anchor>
        </w:drawing>
      </w:r>
      <w:bookmarkEnd w:id="23"/>
    </w:p>
    <w:bookmarkEnd w:id="19"/>
    <w:bookmarkEnd w:id="20"/>
    <w:p w14:paraId="3279E42E">
      <w:pPr>
        <w:spacing w:line="360" w:lineRule="auto"/>
        <w:rPr>
          <w:color w:val="auto"/>
          <w:sz w:val="28"/>
          <w:szCs w:val="28"/>
          <w:highlight w:val="none"/>
        </w:rPr>
      </w:pPr>
      <w:r>
        <w:rPr>
          <w:rFonts w:hint="eastAsia"/>
          <w:color w:val="auto"/>
          <w:sz w:val="28"/>
          <w:szCs w:val="28"/>
          <w:highlight w:val="none"/>
        </w:rPr>
        <w:t>附件3：</w:t>
      </w:r>
    </w:p>
    <w:p w14:paraId="71B07968">
      <w:pPr>
        <w:spacing w:line="528" w:lineRule="exact"/>
        <w:ind w:firstLine="280" w:firstLineChars="100"/>
        <w:jc w:val="center"/>
        <w:rPr>
          <w:color w:val="auto"/>
          <w:sz w:val="28"/>
          <w:szCs w:val="28"/>
          <w:highlight w:val="none"/>
        </w:rPr>
      </w:pPr>
      <w:r>
        <w:rPr>
          <w:rFonts w:hint="eastAsia"/>
          <w:color w:val="auto"/>
          <w:sz w:val="28"/>
          <w:szCs w:val="28"/>
          <w:highlight w:val="none"/>
        </w:rPr>
        <w:t>节能产品政府采购品目清单</w:t>
      </w:r>
    </w:p>
    <w:p w14:paraId="33A531B5">
      <w:pPr>
        <w:spacing w:line="151" w:lineRule="exact"/>
        <w:rPr>
          <w:color w:val="auto"/>
          <w:highlight w:val="none"/>
        </w:rPr>
      </w:pPr>
    </w:p>
    <w:tbl>
      <w:tblPr>
        <w:tblStyle w:val="249"/>
        <w:tblW w:w="84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8"/>
        <w:gridCol w:w="1166"/>
        <w:gridCol w:w="1799"/>
        <w:gridCol w:w="1914"/>
        <w:gridCol w:w="2969"/>
      </w:tblGrid>
      <w:tr w14:paraId="2180D2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trPr>
        <w:tc>
          <w:tcPr>
            <w:tcW w:w="578" w:type="dxa"/>
          </w:tcPr>
          <w:p w14:paraId="29D2D3D6">
            <w:pPr>
              <w:pStyle w:val="248"/>
              <w:spacing w:before="128" w:line="224" w:lineRule="auto"/>
              <w:ind w:left="91"/>
              <w:rPr>
                <w:color w:val="auto"/>
                <w:sz w:val="22"/>
                <w:szCs w:val="22"/>
                <w:highlight w:val="none"/>
              </w:rPr>
            </w:pPr>
            <w:r>
              <w:rPr>
                <w:b/>
                <w:bCs/>
                <w:color w:val="auto"/>
                <w:spacing w:val="-9"/>
                <w:sz w:val="22"/>
                <w:szCs w:val="22"/>
                <w:highlight w:val="none"/>
              </w:rPr>
              <w:t>品目</w:t>
            </w:r>
          </w:p>
          <w:p w14:paraId="559A788C">
            <w:pPr>
              <w:pStyle w:val="248"/>
              <w:spacing w:before="45" w:line="222" w:lineRule="auto"/>
              <w:ind w:left="72"/>
              <w:rPr>
                <w:color w:val="auto"/>
                <w:sz w:val="22"/>
                <w:szCs w:val="22"/>
                <w:highlight w:val="none"/>
              </w:rPr>
            </w:pPr>
            <w:r>
              <w:rPr>
                <w:b/>
                <w:bCs/>
                <w:color w:val="auto"/>
                <w:spacing w:val="-4"/>
                <w:sz w:val="22"/>
                <w:szCs w:val="22"/>
                <w:highlight w:val="none"/>
              </w:rPr>
              <w:t>序号</w:t>
            </w:r>
          </w:p>
        </w:tc>
        <w:tc>
          <w:tcPr>
            <w:tcW w:w="4879" w:type="dxa"/>
            <w:gridSpan w:val="3"/>
          </w:tcPr>
          <w:p w14:paraId="6E5EB155">
            <w:pPr>
              <w:pStyle w:val="248"/>
              <w:spacing w:before="285" w:line="223" w:lineRule="auto"/>
              <w:ind w:left="2226"/>
              <w:rPr>
                <w:color w:val="auto"/>
                <w:sz w:val="22"/>
                <w:szCs w:val="22"/>
                <w:highlight w:val="none"/>
              </w:rPr>
            </w:pPr>
            <w:r>
              <w:rPr>
                <w:b/>
                <w:bCs/>
                <w:color w:val="auto"/>
                <w:spacing w:val="-5"/>
                <w:sz w:val="22"/>
                <w:szCs w:val="22"/>
                <w:highlight w:val="none"/>
              </w:rPr>
              <w:t>名称</w:t>
            </w:r>
          </w:p>
        </w:tc>
        <w:tc>
          <w:tcPr>
            <w:tcW w:w="2969" w:type="dxa"/>
          </w:tcPr>
          <w:p w14:paraId="02A4F92E">
            <w:pPr>
              <w:pStyle w:val="248"/>
              <w:spacing w:before="285" w:line="220" w:lineRule="auto"/>
              <w:ind w:left="939"/>
              <w:rPr>
                <w:color w:val="auto"/>
                <w:sz w:val="22"/>
                <w:szCs w:val="22"/>
                <w:highlight w:val="none"/>
              </w:rPr>
            </w:pPr>
            <w:r>
              <w:rPr>
                <w:b/>
                <w:bCs/>
                <w:color w:val="auto"/>
                <w:spacing w:val="-4"/>
                <w:sz w:val="22"/>
                <w:szCs w:val="22"/>
                <w:highlight w:val="none"/>
              </w:rPr>
              <w:t>依据的标准</w:t>
            </w:r>
          </w:p>
        </w:tc>
      </w:tr>
      <w:tr w14:paraId="3F4A5D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5" w:hRule="atLeast"/>
        </w:trPr>
        <w:tc>
          <w:tcPr>
            <w:tcW w:w="578" w:type="dxa"/>
            <w:vMerge w:val="restart"/>
            <w:tcBorders>
              <w:bottom w:val="nil"/>
            </w:tcBorders>
          </w:tcPr>
          <w:p w14:paraId="4801790B">
            <w:pPr>
              <w:spacing w:line="246" w:lineRule="auto"/>
              <w:rPr>
                <w:rFonts w:ascii="Arial"/>
                <w:color w:val="auto"/>
                <w:highlight w:val="none"/>
              </w:rPr>
            </w:pPr>
          </w:p>
          <w:p w14:paraId="77BED9F5">
            <w:pPr>
              <w:spacing w:line="247" w:lineRule="auto"/>
              <w:rPr>
                <w:rFonts w:ascii="Arial"/>
                <w:color w:val="auto"/>
                <w:highlight w:val="none"/>
              </w:rPr>
            </w:pPr>
          </w:p>
          <w:p w14:paraId="099269C4">
            <w:pPr>
              <w:spacing w:line="247" w:lineRule="auto"/>
              <w:rPr>
                <w:rFonts w:ascii="Arial"/>
                <w:color w:val="auto"/>
                <w:highlight w:val="none"/>
              </w:rPr>
            </w:pPr>
          </w:p>
          <w:p w14:paraId="2EFD5CC4">
            <w:pPr>
              <w:spacing w:line="247" w:lineRule="auto"/>
              <w:rPr>
                <w:rFonts w:ascii="Arial"/>
                <w:color w:val="auto"/>
                <w:highlight w:val="none"/>
              </w:rPr>
            </w:pPr>
          </w:p>
          <w:p w14:paraId="7CDAF87A">
            <w:pPr>
              <w:pStyle w:val="248"/>
              <w:spacing w:before="62" w:line="258" w:lineRule="exact"/>
              <w:ind w:left="257"/>
              <w:rPr>
                <w:color w:val="auto"/>
                <w:highlight w:val="none"/>
              </w:rPr>
            </w:pPr>
            <w:r>
              <w:rPr>
                <w:color w:val="auto"/>
                <w:position w:val="1"/>
                <w:highlight w:val="none"/>
              </w:rPr>
              <w:t>1</w:t>
            </w:r>
          </w:p>
        </w:tc>
        <w:tc>
          <w:tcPr>
            <w:tcW w:w="1166" w:type="dxa"/>
            <w:vMerge w:val="restart"/>
            <w:tcBorders>
              <w:bottom w:val="nil"/>
            </w:tcBorders>
          </w:tcPr>
          <w:p w14:paraId="12AC0DAC">
            <w:pPr>
              <w:spacing w:line="277" w:lineRule="auto"/>
              <w:rPr>
                <w:rFonts w:ascii="Arial"/>
                <w:color w:val="auto"/>
                <w:highlight w:val="none"/>
              </w:rPr>
            </w:pPr>
          </w:p>
          <w:p w14:paraId="59CB838D">
            <w:pPr>
              <w:spacing w:line="277" w:lineRule="auto"/>
              <w:rPr>
                <w:rFonts w:ascii="Arial"/>
                <w:color w:val="auto"/>
                <w:highlight w:val="none"/>
              </w:rPr>
            </w:pPr>
          </w:p>
          <w:p w14:paraId="6023B804">
            <w:pPr>
              <w:spacing w:line="278" w:lineRule="auto"/>
              <w:rPr>
                <w:rFonts w:ascii="Arial"/>
                <w:color w:val="auto"/>
                <w:highlight w:val="none"/>
              </w:rPr>
            </w:pPr>
          </w:p>
          <w:p w14:paraId="46AE340F">
            <w:pPr>
              <w:pStyle w:val="248"/>
              <w:spacing w:before="62" w:line="304" w:lineRule="auto"/>
              <w:ind w:left="14" w:right="8" w:hanging="5"/>
              <w:rPr>
                <w:color w:val="auto"/>
                <w:highlight w:val="none"/>
              </w:rPr>
            </w:pPr>
            <w:r>
              <w:rPr>
                <w:color w:val="auto"/>
                <w:spacing w:val="5"/>
                <w:highlight w:val="none"/>
              </w:rPr>
              <w:t>A020101</w:t>
            </w:r>
            <w:r>
              <w:rPr>
                <w:color w:val="auto"/>
                <w:spacing w:val="-43"/>
                <w:highlight w:val="none"/>
              </w:rPr>
              <w:t xml:space="preserve"> </w:t>
            </w:r>
            <w:r>
              <w:rPr>
                <w:color w:val="auto"/>
                <w:spacing w:val="5"/>
                <w:highlight w:val="none"/>
              </w:rPr>
              <w:t>计算</w:t>
            </w:r>
            <w:r>
              <w:rPr>
                <w:color w:val="auto"/>
                <w:highlight w:val="none"/>
              </w:rPr>
              <w:t xml:space="preserve"> </w:t>
            </w:r>
            <w:r>
              <w:rPr>
                <w:color w:val="auto"/>
                <w:spacing w:val="6"/>
                <w:highlight w:val="none"/>
              </w:rPr>
              <w:t>机设备</w:t>
            </w:r>
          </w:p>
        </w:tc>
        <w:tc>
          <w:tcPr>
            <w:tcW w:w="1799" w:type="dxa"/>
          </w:tcPr>
          <w:p w14:paraId="575D007E">
            <w:pPr>
              <w:pStyle w:val="248"/>
              <w:spacing w:before="155" w:line="304" w:lineRule="auto"/>
              <w:ind w:left="17" w:right="10" w:firstLine="1"/>
              <w:rPr>
                <w:color w:val="auto"/>
                <w:highlight w:val="none"/>
              </w:rPr>
            </w:pPr>
            <w:r>
              <w:rPr>
                <w:color w:val="auto"/>
                <w:spacing w:val="3"/>
                <w:highlight w:val="none"/>
              </w:rPr>
              <w:t>★A02010104 台式计</w:t>
            </w:r>
            <w:r>
              <w:rPr>
                <w:color w:val="auto"/>
                <w:spacing w:val="12"/>
                <w:highlight w:val="none"/>
              </w:rPr>
              <w:t xml:space="preserve"> </w:t>
            </w:r>
            <w:r>
              <w:rPr>
                <w:color w:val="auto"/>
                <w:spacing w:val="4"/>
                <w:highlight w:val="none"/>
              </w:rPr>
              <w:t>算机</w:t>
            </w:r>
          </w:p>
        </w:tc>
        <w:tc>
          <w:tcPr>
            <w:tcW w:w="1914" w:type="dxa"/>
          </w:tcPr>
          <w:p w14:paraId="685ADEEA">
            <w:pPr>
              <w:rPr>
                <w:rFonts w:ascii="Arial"/>
                <w:color w:val="auto"/>
                <w:highlight w:val="none"/>
              </w:rPr>
            </w:pPr>
          </w:p>
        </w:tc>
        <w:tc>
          <w:tcPr>
            <w:tcW w:w="2969" w:type="dxa"/>
          </w:tcPr>
          <w:p w14:paraId="4AB09BA2">
            <w:pPr>
              <w:pStyle w:val="248"/>
              <w:spacing w:before="156" w:line="304" w:lineRule="auto"/>
              <w:ind w:left="19" w:right="11" w:firstLine="3"/>
              <w:rPr>
                <w:color w:val="auto"/>
                <w:highlight w:val="none"/>
                <w:lang w:eastAsia="zh-CN"/>
              </w:rPr>
            </w:pPr>
            <w:r>
              <w:rPr>
                <w:color w:val="auto"/>
                <w:spacing w:val="19"/>
                <w:highlight w:val="none"/>
                <w:lang w:eastAsia="zh-CN"/>
              </w:rPr>
              <w:t>《微型计算机能效限定值及能效</w:t>
            </w:r>
            <w:r>
              <w:rPr>
                <w:color w:val="auto"/>
                <w:spacing w:val="2"/>
                <w:highlight w:val="none"/>
                <w:lang w:eastAsia="zh-CN"/>
              </w:rPr>
              <w:t xml:space="preserve"> </w:t>
            </w:r>
            <w:r>
              <w:rPr>
                <w:color w:val="auto"/>
                <w:spacing w:val="6"/>
                <w:highlight w:val="none"/>
                <w:lang w:eastAsia="zh-CN"/>
              </w:rPr>
              <w:t>等级》（</w:t>
            </w:r>
            <w:r>
              <w:rPr>
                <w:color w:val="auto"/>
                <w:highlight w:val="none"/>
                <w:lang w:eastAsia="zh-CN"/>
              </w:rPr>
              <w:t>GB</w:t>
            </w:r>
            <w:r>
              <w:rPr>
                <w:color w:val="auto"/>
                <w:spacing w:val="6"/>
                <w:highlight w:val="none"/>
                <w:lang w:eastAsia="zh-CN"/>
              </w:rPr>
              <w:t xml:space="preserve"> 28380）</w:t>
            </w:r>
          </w:p>
        </w:tc>
      </w:tr>
      <w:tr w14:paraId="00B6CF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2" w:hRule="atLeast"/>
        </w:trPr>
        <w:tc>
          <w:tcPr>
            <w:tcW w:w="578" w:type="dxa"/>
            <w:vMerge w:val="continue"/>
            <w:tcBorders>
              <w:top w:val="nil"/>
              <w:bottom w:val="nil"/>
            </w:tcBorders>
          </w:tcPr>
          <w:p w14:paraId="3F68A287">
            <w:pPr>
              <w:rPr>
                <w:rFonts w:ascii="Arial"/>
                <w:color w:val="auto"/>
                <w:highlight w:val="none"/>
              </w:rPr>
            </w:pPr>
          </w:p>
        </w:tc>
        <w:tc>
          <w:tcPr>
            <w:tcW w:w="1166" w:type="dxa"/>
            <w:vMerge w:val="continue"/>
            <w:tcBorders>
              <w:top w:val="nil"/>
              <w:bottom w:val="nil"/>
            </w:tcBorders>
          </w:tcPr>
          <w:p w14:paraId="1C12CA7E">
            <w:pPr>
              <w:rPr>
                <w:rFonts w:ascii="Arial"/>
                <w:color w:val="auto"/>
                <w:highlight w:val="none"/>
              </w:rPr>
            </w:pPr>
          </w:p>
        </w:tc>
        <w:tc>
          <w:tcPr>
            <w:tcW w:w="1799" w:type="dxa"/>
          </w:tcPr>
          <w:p w14:paraId="0F341878">
            <w:pPr>
              <w:pStyle w:val="248"/>
              <w:spacing w:before="108" w:line="293" w:lineRule="auto"/>
              <w:ind w:left="15" w:right="10" w:firstLine="3"/>
              <w:rPr>
                <w:color w:val="auto"/>
                <w:highlight w:val="none"/>
              </w:rPr>
            </w:pPr>
            <w:r>
              <w:rPr>
                <w:color w:val="auto"/>
                <w:spacing w:val="3"/>
                <w:highlight w:val="none"/>
              </w:rPr>
              <w:t>★A02010105 便携式</w:t>
            </w:r>
            <w:r>
              <w:rPr>
                <w:color w:val="auto"/>
                <w:spacing w:val="12"/>
                <w:highlight w:val="none"/>
              </w:rPr>
              <w:t xml:space="preserve"> </w:t>
            </w:r>
            <w:r>
              <w:rPr>
                <w:color w:val="auto"/>
                <w:spacing w:val="6"/>
                <w:highlight w:val="none"/>
              </w:rPr>
              <w:t>计算机</w:t>
            </w:r>
          </w:p>
        </w:tc>
        <w:tc>
          <w:tcPr>
            <w:tcW w:w="1914" w:type="dxa"/>
          </w:tcPr>
          <w:p w14:paraId="24B1AA8F">
            <w:pPr>
              <w:rPr>
                <w:rFonts w:ascii="Arial"/>
                <w:color w:val="auto"/>
                <w:highlight w:val="none"/>
              </w:rPr>
            </w:pPr>
          </w:p>
        </w:tc>
        <w:tc>
          <w:tcPr>
            <w:tcW w:w="2969" w:type="dxa"/>
          </w:tcPr>
          <w:p w14:paraId="171021BE">
            <w:pPr>
              <w:pStyle w:val="248"/>
              <w:spacing w:before="108" w:line="293" w:lineRule="auto"/>
              <w:ind w:left="19" w:right="11" w:firstLine="3"/>
              <w:rPr>
                <w:color w:val="auto"/>
                <w:highlight w:val="none"/>
                <w:lang w:eastAsia="zh-CN"/>
              </w:rPr>
            </w:pPr>
            <w:r>
              <w:rPr>
                <w:color w:val="auto"/>
                <w:spacing w:val="19"/>
                <w:highlight w:val="none"/>
                <w:lang w:eastAsia="zh-CN"/>
              </w:rPr>
              <w:t>《微型计算机能效限定值及能效</w:t>
            </w:r>
            <w:r>
              <w:rPr>
                <w:color w:val="auto"/>
                <w:spacing w:val="2"/>
                <w:highlight w:val="none"/>
                <w:lang w:eastAsia="zh-CN"/>
              </w:rPr>
              <w:t xml:space="preserve"> </w:t>
            </w:r>
            <w:r>
              <w:rPr>
                <w:color w:val="auto"/>
                <w:spacing w:val="6"/>
                <w:highlight w:val="none"/>
                <w:lang w:eastAsia="zh-CN"/>
              </w:rPr>
              <w:t>等级》（</w:t>
            </w:r>
            <w:r>
              <w:rPr>
                <w:color w:val="auto"/>
                <w:highlight w:val="none"/>
                <w:lang w:eastAsia="zh-CN"/>
              </w:rPr>
              <w:t>GB</w:t>
            </w:r>
            <w:r>
              <w:rPr>
                <w:color w:val="auto"/>
                <w:spacing w:val="6"/>
                <w:highlight w:val="none"/>
                <w:lang w:eastAsia="zh-CN"/>
              </w:rPr>
              <w:t xml:space="preserve"> 28380）</w:t>
            </w:r>
          </w:p>
        </w:tc>
      </w:tr>
      <w:tr w14:paraId="4110EA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8" w:hRule="atLeast"/>
        </w:trPr>
        <w:tc>
          <w:tcPr>
            <w:tcW w:w="578" w:type="dxa"/>
            <w:vMerge w:val="continue"/>
            <w:tcBorders>
              <w:top w:val="nil"/>
            </w:tcBorders>
          </w:tcPr>
          <w:p w14:paraId="3AFF76A5">
            <w:pPr>
              <w:rPr>
                <w:rFonts w:ascii="Arial"/>
                <w:color w:val="auto"/>
                <w:highlight w:val="none"/>
              </w:rPr>
            </w:pPr>
          </w:p>
        </w:tc>
        <w:tc>
          <w:tcPr>
            <w:tcW w:w="1166" w:type="dxa"/>
            <w:vMerge w:val="continue"/>
            <w:tcBorders>
              <w:top w:val="nil"/>
            </w:tcBorders>
          </w:tcPr>
          <w:p w14:paraId="26818EAA">
            <w:pPr>
              <w:rPr>
                <w:rFonts w:ascii="Arial"/>
                <w:color w:val="auto"/>
                <w:highlight w:val="none"/>
              </w:rPr>
            </w:pPr>
          </w:p>
        </w:tc>
        <w:tc>
          <w:tcPr>
            <w:tcW w:w="1799" w:type="dxa"/>
          </w:tcPr>
          <w:p w14:paraId="44DB3D7B">
            <w:pPr>
              <w:pStyle w:val="248"/>
              <w:spacing w:before="128" w:line="301" w:lineRule="auto"/>
              <w:ind w:left="15" w:right="10" w:firstLine="3"/>
              <w:rPr>
                <w:color w:val="auto"/>
                <w:highlight w:val="none"/>
                <w:lang w:eastAsia="zh-CN"/>
              </w:rPr>
            </w:pPr>
            <w:r>
              <w:rPr>
                <w:color w:val="auto"/>
                <w:spacing w:val="3"/>
                <w:highlight w:val="none"/>
                <w:lang w:eastAsia="zh-CN"/>
              </w:rPr>
              <w:t>★A02010107 平板式</w:t>
            </w:r>
            <w:r>
              <w:rPr>
                <w:color w:val="auto"/>
                <w:spacing w:val="12"/>
                <w:highlight w:val="none"/>
                <w:lang w:eastAsia="zh-CN"/>
              </w:rPr>
              <w:t xml:space="preserve"> </w:t>
            </w:r>
            <w:r>
              <w:rPr>
                <w:color w:val="auto"/>
                <w:spacing w:val="8"/>
                <w:highlight w:val="none"/>
                <w:lang w:eastAsia="zh-CN"/>
              </w:rPr>
              <w:t>微型计算机</w:t>
            </w:r>
          </w:p>
        </w:tc>
        <w:tc>
          <w:tcPr>
            <w:tcW w:w="1914" w:type="dxa"/>
          </w:tcPr>
          <w:p w14:paraId="12AE6F8E">
            <w:pPr>
              <w:rPr>
                <w:rFonts w:ascii="Arial"/>
                <w:color w:val="auto"/>
                <w:highlight w:val="none"/>
              </w:rPr>
            </w:pPr>
          </w:p>
        </w:tc>
        <w:tc>
          <w:tcPr>
            <w:tcW w:w="2969" w:type="dxa"/>
          </w:tcPr>
          <w:p w14:paraId="2C7DCB58">
            <w:pPr>
              <w:pStyle w:val="248"/>
              <w:spacing w:before="128" w:line="301" w:lineRule="auto"/>
              <w:ind w:left="19" w:right="11" w:firstLine="3"/>
              <w:rPr>
                <w:color w:val="auto"/>
                <w:highlight w:val="none"/>
                <w:lang w:eastAsia="zh-CN"/>
              </w:rPr>
            </w:pPr>
            <w:r>
              <w:rPr>
                <w:color w:val="auto"/>
                <w:spacing w:val="19"/>
                <w:highlight w:val="none"/>
                <w:lang w:eastAsia="zh-CN"/>
              </w:rPr>
              <w:t>《微型计算机能效限定值及能效</w:t>
            </w:r>
            <w:r>
              <w:rPr>
                <w:color w:val="auto"/>
                <w:spacing w:val="2"/>
                <w:highlight w:val="none"/>
                <w:lang w:eastAsia="zh-CN"/>
              </w:rPr>
              <w:t xml:space="preserve"> </w:t>
            </w:r>
            <w:r>
              <w:rPr>
                <w:color w:val="auto"/>
                <w:spacing w:val="6"/>
                <w:highlight w:val="none"/>
                <w:lang w:eastAsia="zh-CN"/>
              </w:rPr>
              <w:t>等级》（</w:t>
            </w:r>
            <w:r>
              <w:rPr>
                <w:color w:val="auto"/>
                <w:highlight w:val="none"/>
                <w:lang w:eastAsia="zh-CN"/>
              </w:rPr>
              <w:t>GB</w:t>
            </w:r>
            <w:r>
              <w:rPr>
                <w:color w:val="auto"/>
                <w:spacing w:val="6"/>
                <w:highlight w:val="none"/>
                <w:lang w:eastAsia="zh-CN"/>
              </w:rPr>
              <w:t xml:space="preserve"> 28380）</w:t>
            </w:r>
          </w:p>
        </w:tc>
      </w:tr>
      <w:tr w14:paraId="42DD41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trPr>
        <w:tc>
          <w:tcPr>
            <w:tcW w:w="578" w:type="dxa"/>
            <w:vMerge w:val="restart"/>
            <w:tcBorders>
              <w:bottom w:val="nil"/>
            </w:tcBorders>
          </w:tcPr>
          <w:p w14:paraId="696663BC">
            <w:pPr>
              <w:spacing w:line="250" w:lineRule="auto"/>
              <w:rPr>
                <w:rFonts w:ascii="Arial"/>
                <w:color w:val="auto"/>
                <w:highlight w:val="none"/>
              </w:rPr>
            </w:pPr>
          </w:p>
          <w:p w14:paraId="4E8F2BD6">
            <w:pPr>
              <w:spacing w:line="251" w:lineRule="auto"/>
              <w:rPr>
                <w:rFonts w:ascii="Arial"/>
                <w:color w:val="auto"/>
                <w:highlight w:val="none"/>
              </w:rPr>
            </w:pPr>
          </w:p>
          <w:p w14:paraId="68BC55DD">
            <w:pPr>
              <w:spacing w:line="251" w:lineRule="auto"/>
              <w:rPr>
                <w:rFonts w:ascii="Arial"/>
                <w:color w:val="auto"/>
                <w:highlight w:val="none"/>
              </w:rPr>
            </w:pPr>
          </w:p>
          <w:p w14:paraId="564AAA1D">
            <w:pPr>
              <w:spacing w:line="251" w:lineRule="auto"/>
              <w:rPr>
                <w:rFonts w:ascii="Arial"/>
                <w:color w:val="auto"/>
                <w:highlight w:val="none"/>
              </w:rPr>
            </w:pPr>
          </w:p>
          <w:p w14:paraId="76B42D51">
            <w:pPr>
              <w:spacing w:line="251" w:lineRule="auto"/>
              <w:rPr>
                <w:rFonts w:ascii="Arial"/>
                <w:color w:val="auto"/>
                <w:highlight w:val="none"/>
              </w:rPr>
            </w:pPr>
          </w:p>
          <w:p w14:paraId="79079498">
            <w:pPr>
              <w:spacing w:line="251" w:lineRule="auto"/>
              <w:rPr>
                <w:rFonts w:ascii="Arial"/>
                <w:color w:val="auto"/>
                <w:highlight w:val="none"/>
              </w:rPr>
            </w:pPr>
          </w:p>
          <w:p w14:paraId="44094CE7">
            <w:pPr>
              <w:spacing w:line="251" w:lineRule="auto"/>
              <w:rPr>
                <w:rFonts w:ascii="Arial"/>
                <w:color w:val="auto"/>
                <w:highlight w:val="none"/>
              </w:rPr>
            </w:pPr>
          </w:p>
          <w:p w14:paraId="7B2090B4">
            <w:pPr>
              <w:spacing w:line="251" w:lineRule="auto"/>
              <w:rPr>
                <w:rFonts w:ascii="Arial"/>
                <w:color w:val="auto"/>
                <w:highlight w:val="none"/>
              </w:rPr>
            </w:pPr>
          </w:p>
          <w:p w14:paraId="1766FBE3">
            <w:pPr>
              <w:pStyle w:val="248"/>
              <w:spacing w:before="61" w:line="258" w:lineRule="exact"/>
              <w:ind w:left="245"/>
              <w:rPr>
                <w:color w:val="auto"/>
                <w:highlight w:val="none"/>
              </w:rPr>
            </w:pPr>
            <w:r>
              <w:rPr>
                <w:color w:val="auto"/>
                <w:position w:val="1"/>
                <w:highlight w:val="none"/>
              </w:rPr>
              <w:t>2</w:t>
            </w:r>
          </w:p>
        </w:tc>
        <w:tc>
          <w:tcPr>
            <w:tcW w:w="1166" w:type="dxa"/>
            <w:vMerge w:val="restart"/>
            <w:tcBorders>
              <w:bottom w:val="nil"/>
            </w:tcBorders>
          </w:tcPr>
          <w:p w14:paraId="6469BE34">
            <w:pPr>
              <w:spacing w:line="264" w:lineRule="auto"/>
              <w:rPr>
                <w:rFonts w:ascii="Arial"/>
                <w:color w:val="auto"/>
                <w:highlight w:val="none"/>
              </w:rPr>
            </w:pPr>
          </w:p>
          <w:p w14:paraId="6A04E8B2">
            <w:pPr>
              <w:spacing w:line="264" w:lineRule="auto"/>
              <w:rPr>
                <w:rFonts w:ascii="Arial"/>
                <w:color w:val="auto"/>
                <w:highlight w:val="none"/>
              </w:rPr>
            </w:pPr>
          </w:p>
          <w:p w14:paraId="25F1B5AF">
            <w:pPr>
              <w:spacing w:line="264" w:lineRule="auto"/>
              <w:rPr>
                <w:rFonts w:ascii="Arial"/>
                <w:color w:val="auto"/>
                <w:highlight w:val="none"/>
              </w:rPr>
            </w:pPr>
          </w:p>
          <w:p w14:paraId="64789C2E">
            <w:pPr>
              <w:spacing w:line="265" w:lineRule="auto"/>
              <w:rPr>
                <w:rFonts w:ascii="Arial"/>
                <w:color w:val="auto"/>
                <w:highlight w:val="none"/>
              </w:rPr>
            </w:pPr>
          </w:p>
          <w:p w14:paraId="51E91782">
            <w:pPr>
              <w:spacing w:line="265" w:lineRule="auto"/>
              <w:rPr>
                <w:rFonts w:ascii="Arial"/>
                <w:color w:val="auto"/>
                <w:highlight w:val="none"/>
              </w:rPr>
            </w:pPr>
          </w:p>
          <w:p w14:paraId="0FEFFC64">
            <w:pPr>
              <w:spacing w:line="265" w:lineRule="auto"/>
              <w:rPr>
                <w:rFonts w:ascii="Arial"/>
                <w:color w:val="auto"/>
                <w:highlight w:val="none"/>
              </w:rPr>
            </w:pPr>
          </w:p>
          <w:p w14:paraId="09F47144">
            <w:pPr>
              <w:spacing w:line="265" w:lineRule="auto"/>
              <w:rPr>
                <w:rFonts w:ascii="Arial"/>
                <w:color w:val="auto"/>
                <w:highlight w:val="none"/>
              </w:rPr>
            </w:pPr>
          </w:p>
          <w:p w14:paraId="2D920A88">
            <w:pPr>
              <w:pStyle w:val="248"/>
              <w:spacing w:before="62" w:line="304" w:lineRule="auto"/>
              <w:ind w:left="14" w:right="8" w:hanging="5"/>
              <w:rPr>
                <w:color w:val="auto"/>
                <w:highlight w:val="none"/>
              </w:rPr>
            </w:pPr>
            <w:r>
              <w:rPr>
                <w:color w:val="auto"/>
                <w:spacing w:val="5"/>
                <w:highlight w:val="none"/>
              </w:rPr>
              <w:t>A020106</w:t>
            </w:r>
            <w:r>
              <w:rPr>
                <w:color w:val="auto"/>
                <w:spacing w:val="-43"/>
                <w:highlight w:val="none"/>
              </w:rPr>
              <w:t xml:space="preserve"> </w:t>
            </w:r>
            <w:r>
              <w:rPr>
                <w:color w:val="auto"/>
                <w:spacing w:val="5"/>
                <w:highlight w:val="none"/>
              </w:rPr>
              <w:t>输入</w:t>
            </w:r>
            <w:r>
              <w:rPr>
                <w:color w:val="auto"/>
                <w:highlight w:val="none"/>
              </w:rPr>
              <w:t xml:space="preserve"> </w:t>
            </w:r>
            <w:r>
              <w:rPr>
                <w:color w:val="auto"/>
                <w:spacing w:val="7"/>
                <w:highlight w:val="none"/>
              </w:rPr>
              <w:t>输出设备</w:t>
            </w:r>
          </w:p>
        </w:tc>
        <w:tc>
          <w:tcPr>
            <w:tcW w:w="1799" w:type="dxa"/>
            <w:vMerge w:val="restart"/>
            <w:tcBorders>
              <w:bottom w:val="nil"/>
            </w:tcBorders>
          </w:tcPr>
          <w:p w14:paraId="04B92560">
            <w:pPr>
              <w:spacing w:line="315" w:lineRule="auto"/>
              <w:rPr>
                <w:rFonts w:ascii="Arial"/>
                <w:color w:val="auto"/>
                <w:highlight w:val="none"/>
              </w:rPr>
            </w:pPr>
          </w:p>
          <w:p w14:paraId="0FEB41B3">
            <w:pPr>
              <w:spacing w:line="315" w:lineRule="auto"/>
              <w:rPr>
                <w:rFonts w:ascii="Arial"/>
                <w:color w:val="auto"/>
                <w:highlight w:val="none"/>
              </w:rPr>
            </w:pPr>
          </w:p>
          <w:p w14:paraId="39A5EC7E">
            <w:pPr>
              <w:spacing w:line="315" w:lineRule="auto"/>
              <w:rPr>
                <w:rFonts w:ascii="Arial"/>
                <w:color w:val="auto"/>
                <w:highlight w:val="none"/>
              </w:rPr>
            </w:pPr>
          </w:p>
          <w:p w14:paraId="7B0EC541">
            <w:pPr>
              <w:pStyle w:val="248"/>
              <w:spacing w:before="62" w:line="229" w:lineRule="auto"/>
              <w:ind w:left="9"/>
              <w:rPr>
                <w:color w:val="auto"/>
                <w:highlight w:val="none"/>
              </w:rPr>
            </w:pPr>
            <w:r>
              <w:rPr>
                <w:color w:val="auto"/>
                <w:spacing w:val="5"/>
                <w:highlight w:val="none"/>
              </w:rPr>
              <w:t>A02010601</w:t>
            </w:r>
            <w:r>
              <w:rPr>
                <w:color w:val="auto"/>
                <w:spacing w:val="-28"/>
                <w:highlight w:val="none"/>
              </w:rPr>
              <w:t xml:space="preserve"> </w:t>
            </w:r>
            <w:r>
              <w:rPr>
                <w:color w:val="auto"/>
                <w:spacing w:val="5"/>
                <w:highlight w:val="none"/>
              </w:rPr>
              <w:t>打印设备</w:t>
            </w:r>
          </w:p>
        </w:tc>
        <w:tc>
          <w:tcPr>
            <w:tcW w:w="1914" w:type="dxa"/>
          </w:tcPr>
          <w:p w14:paraId="352311E9">
            <w:pPr>
              <w:pStyle w:val="248"/>
              <w:spacing w:before="114" w:line="297" w:lineRule="auto"/>
              <w:ind w:left="31" w:right="8" w:hanging="21"/>
              <w:rPr>
                <w:color w:val="auto"/>
                <w:highlight w:val="none"/>
              </w:rPr>
            </w:pPr>
            <w:r>
              <w:rPr>
                <w:color w:val="auto"/>
                <w:spacing w:val="3"/>
                <w:highlight w:val="none"/>
              </w:rPr>
              <w:t>A0201060101</w:t>
            </w:r>
            <w:r>
              <w:rPr>
                <w:color w:val="auto"/>
                <w:spacing w:val="50"/>
                <w:highlight w:val="none"/>
              </w:rPr>
              <w:t xml:space="preserve"> </w:t>
            </w:r>
            <w:r>
              <w:rPr>
                <w:color w:val="auto"/>
                <w:spacing w:val="3"/>
                <w:highlight w:val="none"/>
              </w:rPr>
              <w:t>喷</w:t>
            </w:r>
            <w:r>
              <w:rPr>
                <w:color w:val="auto"/>
                <w:spacing w:val="-51"/>
                <w:highlight w:val="none"/>
              </w:rPr>
              <w:t xml:space="preserve"> </w:t>
            </w:r>
            <w:r>
              <w:rPr>
                <w:color w:val="auto"/>
                <w:spacing w:val="3"/>
                <w:highlight w:val="none"/>
              </w:rPr>
              <w:t>墨</w:t>
            </w:r>
            <w:r>
              <w:rPr>
                <w:color w:val="auto"/>
                <w:spacing w:val="-53"/>
                <w:highlight w:val="none"/>
              </w:rPr>
              <w:t xml:space="preserve"> </w:t>
            </w:r>
            <w:r>
              <w:rPr>
                <w:color w:val="auto"/>
                <w:spacing w:val="3"/>
                <w:highlight w:val="none"/>
              </w:rPr>
              <w:t>打</w:t>
            </w:r>
            <w:r>
              <w:rPr>
                <w:color w:val="auto"/>
                <w:highlight w:val="none"/>
              </w:rPr>
              <w:t xml:space="preserve"> </w:t>
            </w:r>
            <w:r>
              <w:rPr>
                <w:color w:val="auto"/>
                <w:spacing w:val="-2"/>
                <w:highlight w:val="none"/>
              </w:rPr>
              <w:t>印机</w:t>
            </w:r>
          </w:p>
        </w:tc>
        <w:tc>
          <w:tcPr>
            <w:tcW w:w="2969" w:type="dxa"/>
          </w:tcPr>
          <w:p w14:paraId="2C887AF6">
            <w:pPr>
              <w:pStyle w:val="248"/>
              <w:spacing w:before="114" w:line="297" w:lineRule="auto"/>
              <w:ind w:left="22" w:right="13"/>
              <w:rPr>
                <w:color w:val="auto"/>
                <w:highlight w:val="none"/>
                <w:lang w:eastAsia="zh-CN"/>
              </w:rPr>
            </w:pPr>
            <w:r>
              <w:rPr>
                <w:color w:val="auto"/>
                <w:spacing w:val="5"/>
                <w:highlight w:val="none"/>
                <w:lang w:eastAsia="zh-CN"/>
              </w:rPr>
              <w:t>《复印机、打印机和传真机能效限</w:t>
            </w:r>
            <w:r>
              <w:rPr>
                <w:color w:val="auto"/>
                <w:highlight w:val="none"/>
                <w:lang w:eastAsia="zh-CN"/>
              </w:rPr>
              <w:t xml:space="preserve"> </w:t>
            </w:r>
            <w:r>
              <w:rPr>
                <w:color w:val="auto"/>
                <w:spacing w:val="7"/>
                <w:highlight w:val="none"/>
                <w:lang w:eastAsia="zh-CN"/>
              </w:rPr>
              <w:t>定值及能效等级》（</w:t>
            </w:r>
            <w:r>
              <w:rPr>
                <w:color w:val="auto"/>
                <w:highlight w:val="none"/>
                <w:lang w:eastAsia="zh-CN"/>
              </w:rPr>
              <w:t>GB</w:t>
            </w:r>
            <w:r>
              <w:rPr>
                <w:color w:val="auto"/>
                <w:spacing w:val="7"/>
                <w:highlight w:val="none"/>
                <w:lang w:eastAsia="zh-CN"/>
              </w:rPr>
              <w:t xml:space="preserve"> 21521）</w:t>
            </w:r>
          </w:p>
        </w:tc>
      </w:tr>
      <w:tr w14:paraId="525C04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trPr>
        <w:tc>
          <w:tcPr>
            <w:tcW w:w="578" w:type="dxa"/>
            <w:vMerge w:val="continue"/>
            <w:tcBorders>
              <w:top w:val="nil"/>
              <w:bottom w:val="nil"/>
            </w:tcBorders>
          </w:tcPr>
          <w:p w14:paraId="440D4D7A">
            <w:pPr>
              <w:rPr>
                <w:rFonts w:ascii="Arial"/>
                <w:color w:val="auto"/>
                <w:highlight w:val="none"/>
              </w:rPr>
            </w:pPr>
          </w:p>
        </w:tc>
        <w:tc>
          <w:tcPr>
            <w:tcW w:w="1166" w:type="dxa"/>
            <w:vMerge w:val="continue"/>
            <w:tcBorders>
              <w:top w:val="nil"/>
              <w:bottom w:val="nil"/>
            </w:tcBorders>
          </w:tcPr>
          <w:p w14:paraId="67BC370A">
            <w:pPr>
              <w:rPr>
                <w:rFonts w:ascii="Arial"/>
                <w:color w:val="auto"/>
                <w:highlight w:val="none"/>
              </w:rPr>
            </w:pPr>
          </w:p>
        </w:tc>
        <w:tc>
          <w:tcPr>
            <w:tcW w:w="1799" w:type="dxa"/>
            <w:vMerge w:val="continue"/>
            <w:tcBorders>
              <w:top w:val="nil"/>
              <w:bottom w:val="nil"/>
            </w:tcBorders>
          </w:tcPr>
          <w:p w14:paraId="5DDC1121">
            <w:pPr>
              <w:rPr>
                <w:rFonts w:ascii="Arial"/>
                <w:color w:val="auto"/>
                <w:highlight w:val="none"/>
              </w:rPr>
            </w:pPr>
          </w:p>
        </w:tc>
        <w:tc>
          <w:tcPr>
            <w:tcW w:w="1914" w:type="dxa"/>
          </w:tcPr>
          <w:p w14:paraId="5266A041">
            <w:pPr>
              <w:pStyle w:val="248"/>
              <w:spacing w:before="116" w:line="296" w:lineRule="auto"/>
              <w:ind w:left="19" w:right="8"/>
              <w:rPr>
                <w:color w:val="auto"/>
                <w:highlight w:val="none"/>
              </w:rPr>
            </w:pPr>
            <w:r>
              <w:rPr>
                <w:color w:val="auto"/>
                <w:spacing w:val="3"/>
                <w:highlight w:val="none"/>
              </w:rPr>
              <w:t>★</w:t>
            </w:r>
            <w:r>
              <w:rPr>
                <w:color w:val="auto"/>
                <w:spacing w:val="-50"/>
                <w:highlight w:val="none"/>
              </w:rPr>
              <w:t xml:space="preserve"> </w:t>
            </w:r>
            <w:r>
              <w:rPr>
                <w:color w:val="auto"/>
                <w:spacing w:val="3"/>
                <w:highlight w:val="none"/>
              </w:rPr>
              <w:t>A0201060102</w:t>
            </w:r>
            <w:r>
              <w:rPr>
                <w:color w:val="auto"/>
                <w:spacing w:val="41"/>
                <w:highlight w:val="none"/>
              </w:rPr>
              <w:t xml:space="preserve"> </w:t>
            </w:r>
            <w:r>
              <w:rPr>
                <w:color w:val="auto"/>
                <w:spacing w:val="3"/>
                <w:highlight w:val="none"/>
              </w:rPr>
              <w:t>激</w:t>
            </w:r>
            <w:r>
              <w:rPr>
                <w:color w:val="auto"/>
                <w:spacing w:val="-54"/>
                <w:highlight w:val="none"/>
              </w:rPr>
              <w:t xml:space="preserve"> </w:t>
            </w:r>
            <w:r>
              <w:rPr>
                <w:color w:val="auto"/>
                <w:spacing w:val="3"/>
                <w:highlight w:val="none"/>
              </w:rPr>
              <w:t>光</w:t>
            </w:r>
            <w:r>
              <w:rPr>
                <w:color w:val="auto"/>
                <w:highlight w:val="none"/>
              </w:rPr>
              <w:t xml:space="preserve"> </w:t>
            </w:r>
            <w:r>
              <w:rPr>
                <w:color w:val="auto"/>
                <w:spacing w:val="5"/>
                <w:highlight w:val="none"/>
              </w:rPr>
              <w:t>打印机</w:t>
            </w:r>
          </w:p>
        </w:tc>
        <w:tc>
          <w:tcPr>
            <w:tcW w:w="2969" w:type="dxa"/>
          </w:tcPr>
          <w:p w14:paraId="66E11007">
            <w:pPr>
              <w:pStyle w:val="248"/>
              <w:spacing w:before="116" w:line="296" w:lineRule="auto"/>
              <w:ind w:left="22" w:right="13"/>
              <w:rPr>
                <w:color w:val="auto"/>
                <w:highlight w:val="none"/>
                <w:lang w:eastAsia="zh-CN"/>
              </w:rPr>
            </w:pPr>
            <w:r>
              <w:rPr>
                <w:color w:val="auto"/>
                <w:spacing w:val="5"/>
                <w:highlight w:val="none"/>
                <w:lang w:eastAsia="zh-CN"/>
              </w:rPr>
              <w:t>《复印机、打印机和传真机能效限</w:t>
            </w:r>
            <w:r>
              <w:rPr>
                <w:color w:val="auto"/>
                <w:highlight w:val="none"/>
                <w:lang w:eastAsia="zh-CN"/>
              </w:rPr>
              <w:t xml:space="preserve"> </w:t>
            </w:r>
            <w:r>
              <w:rPr>
                <w:color w:val="auto"/>
                <w:spacing w:val="7"/>
                <w:highlight w:val="none"/>
                <w:lang w:eastAsia="zh-CN"/>
              </w:rPr>
              <w:t>定值及能效等级》（</w:t>
            </w:r>
            <w:r>
              <w:rPr>
                <w:color w:val="auto"/>
                <w:highlight w:val="none"/>
                <w:lang w:eastAsia="zh-CN"/>
              </w:rPr>
              <w:t>GB</w:t>
            </w:r>
            <w:r>
              <w:rPr>
                <w:color w:val="auto"/>
                <w:spacing w:val="7"/>
                <w:highlight w:val="none"/>
                <w:lang w:eastAsia="zh-CN"/>
              </w:rPr>
              <w:t xml:space="preserve"> 21521）</w:t>
            </w:r>
          </w:p>
        </w:tc>
      </w:tr>
      <w:tr w14:paraId="6BDF6C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trPr>
        <w:tc>
          <w:tcPr>
            <w:tcW w:w="578" w:type="dxa"/>
            <w:vMerge w:val="continue"/>
            <w:tcBorders>
              <w:top w:val="nil"/>
              <w:bottom w:val="nil"/>
            </w:tcBorders>
          </w:tcPr>
          <w:p w14:paraId="060EEF93">
            <w:pPr>
              <w:rPr>
                <w:rFonts w:ascii="Arial"/>
                <w:color w:val="auto"/>
                <w:highlight w:val="none"/>
              </w:rPr>
            </w:pPr>
          </w:p>
        </w:tc>
        <w:tc>
          <w:tcPr>
            <w:tcW w:w="1166" w:type="dxa"/>
            <w:vMerge w:val="continue"/>
            <w:tcBorders>
              <w:top w:val="nil"/>
              <w:bottom w:val="nil"/>
            </w:tcBorders>
          </w:tcPr>
          <w:p w14:paraId="394C054E">
            <w:pPr>
              <w:rPr>
                <w:rFonts w:ascii="Arial"/>
                <w:color w:val="auto"/>
                <w:highlight w:val="none"/>
              </w:rPr>
            </w:pPr>
          </w:p>
        </w:tc>
        <w:tc>
          <w:tcPr>
            <w:tcW w:w="1799" w:type="dxa"/>
            <w:vMerge w:val="continue"/>
            <w:tcBorders>
              <w:top w:val="nil"/>
            </w:tcBorders>
          </w:tcPr>
          <w:p w14:paraId="61B606C1">
            <w:pPr>
              <w:rPr>
                <w:rFonts w:ascii="Arial"/>
                <w:color w:val="auto"/>
                <w:highlight w:val="none"/>
              </w:rPr>
            </w:pPr>
          </w:p>
        </w:tc>
        <w:tc>
          <w:tcPr>
            <w:tcW w:w="1914" w:type="dxa"/>
          </w:tcPr>
          <w:p w14:paraId="3C9EB35A">
            <w:pPr>
              <w:pStyle w:val="248"/>
              <w:spacing w:before="116" w:line="296" w:lineRule="auto"/>
              <w:ind w:left="19" w:right="8"/>
              <w:rPr>
                <w:color w:val="auto"/>
                <w:highlight w:val="none"/>
              </w:rPr>
            </w:pPr>
            <w:r>
              <w:rPr>
                <w:color w:val="auto"/>
                <w:spacing w:val="3"/>
                <w:highlight w:val="none"/>
              </w:rPr>
              <w:t>★</w:t>
            </w:r>
            <w:r>
              <w:rPr>
                <w:color w:val="auto"/>
                <w:spacing w:val="-54"/>
                <w:highlight w:val="none"/>
              </w:rPr>
              <w:t xml:space="preserve"> </w:t>
            </w:r>
            <w:r>
              <w:rPr>
                <w:color w:val="auto"/>
                <w:spacing w:val="3"/>
                <w:highlight w:val="none"/>
              </w:rPr>
              <w:t>A0201060104</w:t>
            </w:r>
            <w:r>
              <w:rPr>
                <w:color w:val="auto"/>
                <w:spacing w:val="43"/>
                <w:highlight w:val="none"/>
              </w:rPr>
              <w:t xml:space="preserve"> </w:t>
            </w:r>
            <w:r>
              <w:rPr>
                <w:color w:val="auto"/>
                <w:spacing w:val="3"/>
                <w:highlight w:val="none"/>
              </w:rPr>
              <w:t>针</w:t>
            </w:r>
            <w:r>
              <w:rPr>
                <w:color w:val="auto"/>
                <w:spacing w:val="-52"/>
                <w:highlight w:val="none"/>
              </w:rPr>
              <w:t xml:space="preserve"> </w:t>
            </w:r>
            <w:r>
              <w:rPr>
                <w:color w:val="auto"/>
                <w:spacing w:val="3"/>
                <w:highlight w:val="none"/>
              </w:rPr>
              <w:t>式</w:t>
            </w:r>
            <w:r>
              <w:rPr>
                <w:color w:val="auto"/>
                <w:highlight w:val="none"/>
              </w:rPr>
              <w:t xml:space="preserve"> </w:t>
            </w:r>
            <w:r>
              <w:rPr>
                <w:color w:val="auto"/>
                <w:spacing w:val="5"/>
                <w:highlight w:val="none"/>
              </w:rPr>
              <w:t>打印机</w:t>
            </w:r>
          </w:p>
        </w:tc>
        <w:tc>
          <w:tcPr>
            <w:tcW w:w="2969" w:type="dxa"/>
          </w:tcPr>
          <w:p w14:paraId="24172A9A">
            <w:pPr>
              <w:pStyle w:val="248"/>
              <w:spacing w:before="116" w:line="296" w:lineRule="auto"/>
              <w:ind w:left="22" w:right="13"/>
              <w:rPr>
                <w:color w:val="auto"/>
                <w:highlight w:val="none"/>
                <w:lang w:eastAsia="zh-CN"/>
              </w:rPr>
            </w:pPr>
            <w:r>
              <w:rPr>
                <w:color w:val="auto"/>
                <w:spacing w:val="5"/>
                <w:highlight w:val="none"/>
                <w:lang w:eastAsia="zh-CN"/>
              </w:rPr>
              <w:t>《复印机、打印机和传真机能效限</w:t>
            </w:r>
            <w:r>
              <w:rPr>
                <w:color w:val="auto"/>
                <w:highlight w:val="none"/>
                <w:lang w:eastAsia="zh-CN"/>
              </w:rPr>
              <w:t xml:space="preserve"> </w:t>
            </w:r>
            <w:r>
              <w:rPr>
                <w:color w:val="auto"/>
                <w:spacing w:val="7"/>
                <w:highlight w:val="none"/>
                <w:lang w:eastAsia="zh-CN"/>
              </w:rPr>
              <w:t>定值及能效等级》（</w:t>
            </w:r>
            <w:r>
              <w:rPr>
                <w:color w:val="auto"/>
                <w:highlight w:val="none"/>
                <w:lang w:eastAsia="zh-CN"/>
              </w:rPr>
              <w:t>GB</w:t>
            </w:r>
            <w:r>
              <w:rPr>
                <w:color w:val="auto"/>
                <w:spacing w:val="7"/>
                <w:highlight w:val="none"/>
                <w:lang w:eastAsia="zh-CN"/>
              </w:rPr>
              <w:t xml:space="preserve"> 21521）</w:t>
            </w:r>
          </w:p>
        </w:tc>
      </w:tr>
      <w:tr w14:paraId="1E2570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7" w:hRule="atLeast"/>
        </w:trPr>
        <w:tc>
          <w:tcPr>
            <w:tcW w:w="578" w:type="dxa"/>
            <w:vMerge w:val="continue"/>
            <w:tcBorders>
              <w:top w:val="nil"/>
              <w:bottom w:val="nil"/>
            </w:tcBorders>
          </w:tcPr>
          <w:p w14:paraId="5FBC30B0">
            <w:pPr>
              <w:rPr>
                <w:rFonts w:ascii="Arial"/>
                <w:color w:val="auto"/>
                <w:highlight w:val="none"/>
              </w:rPr>
            </w:pPr>
          </w:p>
        </w:tc>
        <w:tc>
          <w:tcPr>
            <w:tcW w:w="1166" w:type="dxa"/>
            <w:vMerge w:val="continue"/>
            <w:tcBorders>
              <w:top w:val="nil"/>
              <w:bottom w:val="nil"/>
            </w:tcBorders>
          </w:tcPr>
          <w:p w14:paraId="7A2D87C0">
            <w:pPr>
              <w:rPr>
                <w:rFonts w:ascii="Arial"/>
                <w:color w:val="auto"/>
                <w:highlight w:val="none"/>
              </w:rPr>
            </w:pPr>
          </w:p>
        </w:tc>
        <w:tc>
          <w:tcPr>
            <w:tcW w:w="1799" w:type="dxa"/>
          </w:tcPr>
          <w:p w14:paraId="6CBACC16">
            <w:pPr>
              <w:pStyle w:val="248"/>
              <w:spacing w:before="290" w:line="230" w:lineRule="auto"/>
              <w:ind w:left="9"/>
              <w:rPr>
                <w:color w:val="auto"/>
                <w:highlight w:val="none"/>
              </w:rPr>
            </w:pPr>
            <w:r>
              <w:rPr>
                <w:color w:val="auto"/>
                <w:spacing w:val="5"/>
                <w:highlight w:val="none"/>
              </w:rPr>
              <w:t>A02010604</w:t>
            </w:r>
            <w:r>
              <w:rPr>
                <w:color w:val="auto"/>
                <w:spacing w:val="-28"/>
                <w:highlight w:val="none"/>
              </w:rPr>
              <w:t xml:space="preserve"> </w:t>
            </w:r>
            <w:r>
              <w:rPr>
                <w:color w:val="auto"/>
                <w:spacing w:val="5"/>
                <w:highlight w:val="none"/>
              </w:rPr>
              <w:t>显示设备</w:t>
            </w:r>
          </w:p>
        </w:tc>
        <w:tc>
          <w:tcPr>
            <w:tcW w:w="1914" w:type="dxa"/>
          </w:tcPr>
          <w:p w14:paraId="18877132">
            <w:pPr>
              <w:pStyle w:val="248"/>
              <w:spacing w:before="133" w:line="303" w:lineRule="auto"/>
              <w:ind w:left="20" w:right="8" w:hanging="1"/>
              <w:rPr>
                <w:color w:val="auto"/>
                <w:highlight w:val="none"/>
              </w:rPr>
            </w:pPr>
            <w:r>
              <w:rPr>
                <w:color w:val="auto"/>
                <w:spacing w:val="2"/>
                <w:highlight w:val="none"/>
              </w:rPr>
              <w:t>★</w:t>
            </w:r>
            <w:r>
              <w:rPr>
                <w:color w:val="auto"/>
                <w:spacing w:val="-54"/>
                <w:highlight w:val="none"/>
              </w:rPr>
              <w:t xml:space="preserve"> </w:t>
            </w:r>
            <w:r>
              <w:rPr>
                <w:color w:val="auto"/>
                <w:spacing w:val="2"/>
                <w:highlight w:val="none"/>
              </w:rPr>
              <w:t>A0201060401</w:t>
            </w:r>
            <w:r>
              <w:rPr>
                <w:color w:val="auto"/>
                <w:spacing w:val="44"/>
                <w:highlight w:val="none"/>
              </w:rPr>
              <w:t xml:space="preserve"> </w:t>
            </w:r>
            <w:r>
              <w:rPr>
                <w:color w:val="auto"/>
                <w:spacing w:val="2"/>
                <w:highlight w:val="none"/>
              </w:rPr>
              <w:t>液</w:t>
            </w:r>
            <w:r>
              <w:rPr>
                <w:color w:val="auto"/>
                <w:spacing w:val="-39"/>
                <w:highlight w:val="none"/>
              </w:rPr>
              <w:t xml:space="preserve"> </w:t>
            </w:r>
            <w:r>
              <w:rPr>
                <w:color w:val="auto"/>
                <w:spacing w:val="2"/>
                <w:highlight w:val="none"/>
              </w:rPr>
              <w:t>晶</w:t>
            </w:r>
            <w:r>
              <w:rPr>
                <w:color w:val="auto"/>
                <w:highlight w:val="none"/>
              </w:rPr>
              <w:t xml:space="preserve"> </w:t>
            </w:r>
            <w:r>
              <w:rPr>
                <w:color w:val="auto"/>
                <w:spacing w:val="5"/>
                <w:highlight w:val="none"/>
              </w:rPr>
              <w:t>显示器</w:t>
            </w:r>
          </w:p>
        </w:tc>
        <w:tc>
          <w:tcPr>
            <w:tcW w:w="2969" w:type="dxa"/>
          </w:tcPr>
          <w:p w14:paraId="6CA238DD">
            <w:pPr>
              <w:pStyle w:val="248"/>
              <w:spacing w:before="133" w:line="303" w:lineRule="auto"/>
              <w:ind w:left="22" w:right="11"/>
              <w:rPr>
                <w:color w:val="auto"/>
                <w:highlight w:val="none"/>
                <w:lang w:eastAsia="zh-CN"/>
              </w:rPr>
            </w:pPr>
            <w:r>
              <w:rPr>
                <w:color w:val="auto"/>
                <w:spacing w:val="19"/>
                <w:highlight w:val="none"/>
                <w:lang w:eastAsia="zh-CN"/>
              </w:rPr>
              <w:t>《计算机显示器能效限定值及能</w:t>
            </w:r>
            <w:r>
              <w:rPr>
                <w:color w:val="auto"/>
                <w:spacing w:val="2"/>
                <w:highlight w:val="none"/>
                <w:lang w:eastAsia="zh-CN"/>
              </w:rPr>
              <w:t xml:space="preserve"> </w:t>
            </w:r>
            <w:r>
              <w:rPr>
                <w:color w:val="auto"/>
                <w:spacing w:val="6"/>
                <w:highlight w:val="none"/>
                <w:lang w:eastAsia="zh-CN"/>
              </w:rPr>
              <w:t>效等级》（</w:t>
            </w:r>
            <w:r>
              <w:rPr>
                <w:color w:val="auto"/>
                <w:highlight w:val="none"/>
                <w:lang w:eastAsia="zh-CN"/>
              </w:rPr>
              <w:t>GB</w:t>
            </w:r>
            <w:r>
              <w:rPr>
                <w:color w:val="auto"/>
                <w:spacing w:val="6"/>
                <w:highlight w:val="none"/>
                <w:lang w:eastAsia="zh-CN"/>
              </w:rPr>
              <w:t xml:space="preserve"> 21520）</w:t>
            </w:r>
          </w:p>
        </w:tc>
      </w:tr>
      <w:tr w14:paraId="187C79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55" w:hRule="atLeast"/>
        </w:trPr>
        <w:tc>
          <w:tcPr>
            <w:tcW w:w="578" w:type="dxa"/>
            <w:vMerge w:val="continue"/>
            <w:tcBorders>
              <w:top w:val="nil"/>
            </w:tcBorders>
          </w:tcPr>
          <w:p w14:paraId="3583DA80">
            <w:pPr>
              <w:rPr>
                <w:rFonts w:ascii="Arial"/>
                <w:color w:val="auto"/>
                <w:highlight w:val="none"/>
              </w:rPr>
            </w:pPr>
          </w:p>
        </w:tc>
        <w:tc>
          <w:tcPr>
            <w:tcW w:w="1166" w:type="dxa"/>
            <w:vMerge w:val="continue"/>
            <w:tcBorders>
              <w:top w:val="nil"/>
            </w:tcBorders>
          </w:tcPr>
          <w:p w14:paraId="1759A49B">
            <w:pPr>
              <w:rPr>
                <w:rFonts w:ascii="Arial"/>
                <w:color w:val="auto"/>
                <w:highlight w:val="none"/>
              </w:rPr>
            </w:pPr>
          </w:p>
        </w:tc>
        <w:tc>
          <w:tcPr>
            <w:tcW w:w="1799" w:type="dxa"/>
          </w:tcPr>
          <w:p w14:paraId="08A61F2E">
            <w:pPr>
              <w:spacing w:line="364" w:lineRule="auto"/>
              <w:rPr>
                <w:rFonts w:ascii="Arial"/>
                <w:color w:val="auto"/>
                <w:highlight w:val="none"/>
              </w:rPr>
            </w:pPr>
          </w:p>
          <w:p w14:paraId="094F5378">
            <w:pPr>
              <w:pStyle w:val="248"/>
              <w:spacing w:before="62" w:line="304" w:lineRule="auto"/>
              <w:ind w:left="14" w:right="10" w:hanging="5"/>
              <w:rPr>
                <w:color w:val="auto"/>
                <w:highlight w:val="none"/>
              </w:rPr>
            </w:pPr>
            <w:r>
              <w:rPr>
                <w:color w:val="auto"/>
                <w:spacing w:val="4"/>
                <w:highlight w:val="none"/>
              </w:rPr>
              <w:t>A02010609 图形图像</w:t>
            </w:r>
            <w:r>
              <w:rPr>
                <w:color w:val="auto"/>
                <w:spacing w:val="7"/>
                <w:highlight w:val="none"/>
              </w:rPr>
              <w:t xml:space="preserve"> 输入设备</w:t>
            </w:r>
          </w:p>
        </w:tc>
        <w:tc>
          <w:tcPr>
            <w:tcW w:w="1914" w:type="dxa"/>
          </w:tcPr>
          <w:p w14:paraId="1B4F399C">
            <w:pPr>
              <w:spacing w:line="259" w:lineRule="auto"/>
              <w:rPr>
                <w:rFonts w:ascii="Arial"/>
                <w:color w:val="auto"/>
                <w:highlight w:val="none"/>
              </w:rPr>
            </w:pPr>
          </w:p>
          <w:p w14:paraId="607ED1FD">
            <w:pPr>
              <w:spacing w:line="260" w:lineRule="auto"/>
              <w:rPr>
                <w:rFonts w:ascii="Arial"/>
                <w:color w:val="auto"/>
                <w:highlight w:val="none"/>
              </w:rPr>
            </w:pPr>
          </w:p>
          <w:p w14:paraId="4359A981">
            <w:pPr>
              <w:pStyle w:val="248"/>
              <w:spacing w:before="61" w:line="229" w:lineRule="auto"/>
              <w:ind w:left="10"/>
              <w:rPr>
                <w:color w:val="auto"/>
                <w:highlight w:val="none"/>
              </w:rPr>
            </w:pPr>
            <w:r>
              <w:rPr>
                <w:color w:val="auto"/>
                <w:spacing w:val="5"/>
                <w:highlight w:val="none"/>
              </w:rPr>
              <w:t>A0201060901</w:t>
            </w:r>
            <w:r>
              <w:rPr>
                <w:color w:val="auto"/>
                <w:spacing w:val="-34"/>
                <w:highlight w:val="none"/>
              </w:rPr>
              <w:t xml:space="preserve"> </w:t>
            </w:r>
            <w:r>
              <w:rPr>
                <w:color w:val="auto"/>
                <w:spacing w:val="5"/>
                <w:highlight w:val="none"/>
              </w:rPr>
              <w:t>扫描仪</w:t>
            </w:r>
          </w:p>
        </w:tc>
        <w:tc>
          <w:tcPr>
            <w:tcW w:w="2969" w:type="dxa"/>
          </w:tcPr>
          <w:p w14:paraId="6240B841">
            <w:pPr>
              <w:pStyle w:val="248"/>
              <w:spacing w:before="114" w:line="299" w:lineRule="auto"/>
              <w:ind w:left="22" w:hanging="3"/>
              <w:rPr>
                <w:color w:val="auto"/>
                <w:highlight w:val="none"/>
                <w:lang w:eastAsia="zh-CN"/>
              </w:rPr>
            </w:pPr>
            <w:r>
              <w:rPr>
                <w:color w:val="auto"/>
                <w:highlight w:val="none"/>
                <w:lang w:eastAsia="zh-CN"/>
              </w:rPr>
              <w:t>参照《复印机、打印机和传真机能</w:t>
            </w:r>
            <w:r>
              <w:rPr>
                <w:color w:val="auto"/>
                <w:spacing w:val="3"/>
                <w:highlight w:val="none"/>
                <w:lang w:eastAsia="zh-CN"/>
              </w:rPr>
              <w:t xml:space="preserve">  </w:t>
            </w:r>
            <w:r>
              <w:rPr>
                <w:color w:val="auto"/>
                <w:spacing w:val="-4"/>
                <w:highlight w:val="none"/>
                <w:lang w:eastAsia="zh-CN"/>
              </w:rPr>
              <w:t>效限定值及能效等级》（GB</w:t>
            </w:r>
            <w:r>
              <w:rPr>
                <w:color w:val="auto"/>
                <w:spacing w:val="-24"/>
                <w:highlight w:val="none"/>
                <w:lang w:eastAsia="zh-CN"/>
              </w:rPr>
              <w:t xml:space="preserve"> </w:t>
            </w:r>
            <w:r>
              <w:rPr>
                <w:color w:val="auto"/>
                <w:spacing w:val="-4"/>
                <w:highlight w:val="none"/>
                <w:lang w:eastAsia="zh-CN"/>
              </w:rPr>
              <w:t>21521）</w:t>
            </w:r>
            <w:r>
              <w:rPr>
                <w:color w:val="auto"/>
                <w:highlight w:val="none"/>
                <w:lang w:eastAsia="zh-CN"/>
              </w:rPr>
              <w:t xml:space="preserve"> </w:t>
            </w:r>
            <w:r>
              <w:rPr>
                <w:color w:val="auto"/>
                <w:spacing w:val="4"/>
                <w:highlight w:val="none"/>
                <w:lang w:eastAsia="zh-CN"/>
              </w:rPr>
              <w:t>中打印速度为</w:t>
            </w:r>
            <w:r>
              <w:rPr>
                <w:color w:val="auto"/>
                <w:spacing w:val="38"/>
                <w:highlight w:val="none"/>
                <w:lang w:eastAsia="zh-CN"/>
              </w:rPr>
              <w:t xml:space="preserve"> </w:t>
            </w:r>
            <w:r>
              <w:rPr>
                <w:color w:val="auto"/>
                <w:spacing w:val="4"/>
                <w:highlight w:val="none"/>
                <w:lang w:eastAsia="zh-CN"/>
              </w:rPr>
              <w:t>15 页/分的针式打</w:t>
            </w:r>
            <w:r>
              <w:rPr>
                <w:color w:val="auto"/>
                <w:highlight w:val="none"/>
                <w:lang w:eastAsia="zh-CN"/>
              </w:rPr>
              <w:t xml:space="preserve">  </w:t>
            </w:r>
            <w:r>
              <w:rPr>
                <w:color w:val="auto"/>
                <w:spacing w:val="2"/>
                <w:highlight w:val="none"/>
                <w:lang w:eastAsia="zh-CN"/>
              </w:rPr>
              <w:t>印机相关要求</w:t>
            </w:r>
          </w:p>
        </w:tc>
      </w:tr>
      <w:tr w14:paraId="399052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9" w:hRule="atLeast"/>
        </w:trPr>
        <w:tc>
          <w:tcPr>
            <w:tcW w:w="578" w:type="dxa"/>
          </w:tcPr>
          <w:p w14:paraId="008F80F4">
            <w:pPr>
              <w:pStyle w:val="248"/>
              <w:spacing w:before="246" w:line="256" w:lineRule="exact"/>
              <w:ind w:left="246"/>
              <w:rPr>
                <w:color w:val="auto"/>
                <w:highlight w:val="none"/>
              </w:rPr>
            </w:pPr>
            <w:r>
              <w:rPr>
                <w:color w:val="auto"/>
                <w:position w:val="1"/>
                <w:highlight w:val="none"/>
              </w:rPr>
              <w:t>3</w:t>
            </w:r>
          </w:p>
        </w:tc>
        <w:tc>
          <w:tcPr>
            <w:tcW w:w="1166" w:type="dxa"/>
          </w:tcPr>
          <w:p w14:paraId="4C8A143B">
            <w:pPr>
              <w:pStyle w:val="248"/>
              <w:spacing w:before="90" w:line="281" w:lineRule="auto"/>
              <w:ind w:left="15" w:right="8" w:hanging="6"/>
              <w:rPr>
                <w:color w:val="auto"/>
                <w:highlight w:val="none"/>
              </w:rPr>
            </w:pPr>
            <w:r>
              <w:rPr>
                <w:color w:val="auto"/>
                <w:spacing w:val="4"/>
                <w:highlight w:val="none"/>
              </w:rPr>
              <w:t>A020202</w:t>
            </w:r>
            <w:r>
              <w:rPr>
                <w:color w:val="auto"/>
                <w:spacing w:val="-34"/>
                <w:highlight w:val="none"/>
              </w:rPr>
              <w:t xml:space="preserve"> </w:t>
            </w:r>
            <w:r>
              <w:rPr>
                <w:color w:val="auto"/>
                <w:spacing w:val="4"/>
                <w:highlight w:val="none"/>
              </w:rPr>
              <w:t>投影</w:t>
            </w:r>
            <w:r>
              <w:rPr>
                <w:color w:val="auto"/>
                <w:highlight w:val="none"/>
              </w:rPr>
              <w:t xml:space="preserve"> 仪</w:t>
            </w:r>
          </w:p>
        </w:tc>
        <w:tc>
          <w:tcPr>
            <w:tcW w:w="1799" w:type="dxa"/>
          </w:tcPr>
          <w:p w14:paraId="391C331B">
            <w:pPr>
              <w:rPr>
                <w:rFonts w:ascii="Arial"/>
                <w:color w:val="auto"/>
                <w:highlight w:val="none"/>
              </w:rPr>
            </w:pPr>
          </w:p>
        </w:tc>
        <w:tc>
          <w:tcPr>
            <w:tcW w:w="1914" w:type="dxa"/>
          </w:tcPr>
          <w:p w14:paraId="0097001C">
            <w:pPr>
              <w:rPr>
                <w:rFonts w:ascii="Arial"/>
                <w:color w:val="auto"/>
                <w:highlight w:val="none"/>
              </w:rPr>
            </w:pPr>
          </w:p>
        </w:tc>
        <w:tc>
          <w:tcPr>
            <w:tcW w:w="2969" w:type="dxa"/>
          </w:tcPr>
          <w:p w14:paraId="243F72D8">
            <w:pPr>
              <w:pStyle w:val="248"/>
              <w:spacing w:before="90" w:line="281" w:lineRule="auto"/>
              <w:ind w:left="27" w:hanging="4"/>
              <w:rPr>
                <w:color w:val="auto"/>
                <w:highlight w:val="none"/>
                <w:lang w:eastAsia="zh-CN"/>
              </w:rPr>
            </w:pPr>
            <w:r>
              <w:rPr>
                <w:color w:val="auto"/>
                <w:spacing w:val="6"/>
                <w:highlight w:val="none"/>
                <w:lang w:eastAsia="zh-CN"/>
              </w:rPr>
              <w:t>《投影机能效限定值及能效等级》</w:t>
            </w:r>
            <w:r>
              <w:rPr>
                <w:color w:val="auto"/>
                <w:highlight w:val="none"/>
                <w:lang w:eastAsia="zh-CN"/>
              </w:rPr>
              <w:t xml:space="preserve"> （GB</w:t>
            </w:r>
            <w:r>
              <w:rPr>
                <w:color w:val="auto"/>
                <w:spacing w:val="22"/>
                <w:highlight w:val="none"/>
                <w:lang w:eastAsia="zh-CN"/>
              </w:rPr>
              <w:t xml:space="preserve"> </w:t>
            </w:r>
            <w:r>
              <w:rPr>
                <w:color w:val="auto"/>
                <w:highlight w:val="none"/>
                <w:lang w:eastAsia="zh-CN"/>
              </w:rPr>
              <w:t>32028）</w:t>
            </w:r>
          </w:p>
        </w:tc>
      </w:tr>
      <w:tr w14:paraId="06D7C9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578" w:type="dxa"/>
          </w:tcPr>
          <w:p w14:paraId="492C25FD">
            <w:pPr>
              <w:pStyle w:val="248"/>
              <w:spacing w:before="289" w:line="258" w:lineRule="exact"/>
              <w:ind w:left="242"/>
              <w:rPr>
                <w:color w:val="auto"/>
                <w:highlight w:val="none"/>
              </w:rPr>
            </w:pPr>
            <w:r>
              <w:rPr>
                <w:color w:val="auto"/>
                <w:position w:val="1"/>
                <w:highlight w:val="none"/>
              </w:rPr>
              <w:t>4</w:t>
            </w:r>
          </w:p>
        </w:tc>
        <w:tc>
          <w:tcPr>
            <w:tcW w:w="1166" w:type="dxa"/>
          </w:tcPr>
          <w:p w14:paraId="33A25A16">
            <w:pPr>
              <w:pStyle w:val="248"/>
              <w:spacing w:before="134" w:line="230" w:lineRule="auto"/>
              <w:ind w:left="9"/>
              <w:rPr>
                <w:color w:val="auto"/>
                <w:highlight w:val="none"/>
              </w:rPr>
            </w:pPr>
            <w:r>
              <w:rPr>
                <w:color w:val="auto"/>
                <w:spacing w:val="4"/>
                <w:highlight w:val="none"/>
              </w:rPr>
              <w:t>A020204</w:t>
            </w:r>
            <w:r>
              <w:rPr>
                <w:color w:val="auto"/>
                <w:spacing w:val="-34"/>
                <w:highlight w:val="none"/>
              </w:rPr>
              <w:t xml:space="preserve"> </w:t>
            </w:r>
            <w:r>
              <w:rPr>
                <w:color w:val="auto"/>
                <w:spacing w:val="4"/>
                <w:highlight w:val="none"/>
              </w:rPr>
              <w:t>多功</w:t>
            </w:r>
          </w:p>
          <w:p w14:paraId="2437051F">
            <w:pPr>
              <w:pStyle w:val="248"/>
              <w:spacing w:before="75" w:line="228" w:lineRule="auto"/>
              <w:ind w:left="23"/>
              <w:rPr>
                <w:color w:val="auto"/>
                <w:highlight w:val="none"/>
              </w:rPr>
            </w:pPr>
            <w:r>
              <w:rPr>
                <w:color w:val="auto"/>
                <w:spacing w:val="5"/>
                <w:highlight w:val="none"/>
              </w:rPr>
              <w:t>能一体机</w:t>
            </w:r>
          </w:p>
        </w:tc>
        <w:tc>
          <w:tcPr>
            <w:tcW w:w="1799" w:type="dxa"/>
          </w:tcPr>
          <w:p w14:paraId="0F1D7EB5">
            <w:pPr>
              <w:rPr>
                <w:rFonts w:ascii="Arial"/>
                <w:color w:val="auto"/>
                <w:highlight w:val="none"/>
              </w:rPr>
            </w:pPr>
          </w:p>
        </w:tc>
        <w:tc>
          <w:tcPr>
            <w:tcW w:w="1914" w:type="dxa"/>
          </w:tcPr>
          <w:p w14:paraId="2B0E2051">
            <w:pPr>
              <w:rPr>
                <w:rFonts w:ascii="Arial"/>
                <w:color w:val="auto"/>
                <w:highlight w:val="none"/>
              </w:rPr>
            </w:pPr>
          </w:p>
        </w:tc>
        <w:tc>
          <w:tcPr>
            <w:tcW w:w="2969" w:type="dxa"/>
          </w:tcPr>
          <w:p w14:paraId="1FED44EF">
            <w:pPr>
              <w:pStyle w:val="248"/>
              <w:spacing w:before="133" w:line="302" w:lineRule="auto"/>
              <w:ind w:left="22" w:right="13"/>
              <w:rPr>
                <w:color w:val="auto"/>
                <w:highlight w:val="none"/>
                <w:lang w:eastAsia="zh-CN"/>
              </w:rPr>
            </w:pPr>
            <w:r>
              <w:rPr>
                <w:color w:val="auto"/>
                <w:spacing w:val="5"/>
                <w:highlight w:val="none"/>
                <w:lang w:eastAsia="zh-CN"/>
              </w:rPr>
              <w:t>《复印机、打印机和传真机能效限</w:t>
            </w:r>
            <w:r>
              <w:rPr>
                <w:color w:val="auto"/>
                <w:highlight w:val="none"/>
                <w:lang w:eastAsia="zh-CN"/>
              </w:rPr>
              <w:t xml:space="preserve"> </w:t>
            </w:r>
            <w:r>
              <w:rPr>
                <w:color w:val="auto"/>
                <w:spacing w:val="7"/>
                <w:highlight w:val="none"/>
                <w:lang w:eastAsia="zh-CN"/>
              </w:rPr>
              <w:t>定值及能效等级》（</w:t>
            </w:r>
            <w:r>
              <w:rPr>
                <w:color w:val="auto"/>
                <w:highlight w:val="none"/>
                <w:lang w:eastAsia="zh-CN"/>
              </w:rPr>
              <w:t>GB</w:t>
            </w:r>
            <w:r>
              <w:rPr>
                <w:color w:val="auto"/>
                <w:spacing w:val="7"/>
                <w:highlight w:val="none"/>
                <w:lang w:eastAsia="zh-CN"/>
              </w:rPr>
              <w:t xml:space="preserve"> 21521）</w:t>
            </w:r>
          </w:p>
        </w:tc>
      </w:tr>
      <w:tr w14:paraId="6054C1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0" w:hRule="atLeast"/>
        </w:trPr>
        <w:tc>
          <w:tcPr>
            <w:tcW w:w="578" w:type="dxa"/>
          </w:tcPr>
          <w:p w14:paraId="17FA8D27">
            <w:pPr>
              <w:pStyle w:val="248"/>
              <w:spacing w:before="227" w:line="256" w:lineRule="exact"/>
              <w:ind w:left="246"/>
              <w:rPr>
                <w:color w:val="auto"/>
                <w:highlight w:val="none"/>
              </w:rPr>
            </w:pPr>
            <w:r>
              <w:rPr>
                <w:color w:val="auto"/>
                <w:position w:val="1"/>
                <w:highlight w:val="none"/>
              </w:rPr>
              <w:t>5</w:t>
            </w:r>
          </w:p>
        </w:tc>
        <w:tc>
          <w:tcPr>
            <w:tcW w:w="1166" w:type="dxa"/>
          </w:tcPr>
          <w:p w14:paraId="014FD50E">
            <w:pPr>
              <w:pStyle w:val="248"/>
              <w:spacing w:before="227" w:line="229" w:lineRule="auto"/>
              <w:ind w:left="9"/>
              <w:rPr>
                <w:color w:val="auto"/>
                <w:highlight w:val="none"/>
              </w:rPr>
            </w:pPr>
            <w:r>
              <w:rPr>
                <w:color w:val="auto"/>
                <w:spacing w:val="4"/>
                <w:highlight w:val="none"/>
              </w:rPr>
              <w:t>A020519</w:t>
            </w:r>
            <w:r>
              <w:rPr>
                <w:color w:val="auto"/>
                <w:spacing w:val="-32"/>
                <w:highlight w:val="none"/>
              </w:rPr>
              <w:t xml:space="preserve"> </w:t>
            </w:r>
            <w:r>
              <w:rPr>
                <w:color w:val="auto"/>
                <w:spacing w:val="4"/>
                <w:highlight w:val="none"/>
              </w:rPr>
              <w:t>泵</w:t>
            </w:r>
          </w:p>
        </w:tc>
        <w:tc>
          <w:tcPr>
            <w:tcW w:w="1799" w:type="dxa"/>
          </w:tcPr>
          <w:p w14:paraId="0BC88D82">
            <w:pPr>
              <w:pStyle w:val="248"/>
              <w:spacing w:before="227" w:line="229" w:lineRule="auto"/>
              <w:ind w:left="9"/>
              <w:rPr>
                <w:color w:val="auto"/>
                <w:highlight w:val="none"/>
              </w:rPr>
            </w:pPr>
            <w:r>
              <w:rPr>
                <w:color w:val="auto"/>
                <w:spacing w:val="5"/>
                <w:highlight w:val="none"/>
              </w:rPr>
              <w:t>A02051901</w:t>
            </w:r>
            <w:r>
              <w:rPr>
                <w:color w:val="auto"/>
                <w:spacing w:val="-33"/>
                <w:highlight w:val="none"/>
              </w:rPr>
              <w:t xml:space="preserve"> </w:t>
            </w:r>
            <w:r>
              <w:rPr>
                <w:color w:val="auto"/>
                <w:spacing w:val="5"/>
                <w:highlight w:val="none"/>
              </w:rPr>
              <w:t>离心泵</w:t>
            </w:r>
          </w:p>
        </w:tc>
        <w:tc>
          <w:tcPr>
            <w:tcW w:w="1914" w:type="dxa"/>
          </w:tcPr>
          <w:p w14:paraId="4A83BEDA">
            <w:pPr>
              <w:rPr>
                <w:rFonts w:ascii="Arial"/>
                <w:color w:val="auto"/>
                <w:highlight w:val="none"/>
              </w:rPr>
            </w:pPr>
          </w:p>
        </w:tc>
        <w:tc>
          <w:tcPr>
            <w:tcW w:w="2969" w:type="dxa"/>
          </w:tcPr>
          <w:p w14:paraId="481958C7">
            <w:pPr>
              <w:pStyle w:val="248"/>
              <w:spacing w:before="72" w:line="271" w:lineRule="auto"/>
              <w:ind w:left="17" w:right="11" w:firstLine="6"/>
              <w:rPr>
                <w:color w:val="auto"/>
                <w:highlight w:val="none"/>
                <w:lang w:eastAsia="zh-CN"/>
              </w:rPr>
            </w:pPr>
            <w:r>
              <w:rPr>
                <w:color w:val="auto"/>
                <w:spacing w:val="19"/>
                <w:highlight w:val="none"/>
                <w:lang w:eastAsia="zh-CN"/>
              </w:rPr>
              <w:t>《清水离心泵能效限定值及节能</w:t>
            </w:r>
            <w:r>
              <w:rPr>
                <w:color w:val="auto"/>
                <w:spacing w:val="2"/>
                <w:highlight w:val="none"/>
                <w:lang w:eastAsia="zh-CN"/>
              </w:rPr>
              <w:t xml:space="preserve"> </w:t>
            </w:r>
            <w:r>
              <w:rPr>
                <w:color w:val="auto"/>
                <w:spacing w:val="4"/>
                <w:highlight w:val="none"/>
                <w:lang w:eastAsia="zh-CN"/>
              </w:rPr>
              <w:t>评价值》（</w:t>
            </w:r>
            <w:r>
              <w:rPr>
                <w:color w:val="auto"/>
                <w:highlight w:val="none"/>
                <w:lang w:eastAsia="zh-CN"/>
              </w:rPr>
              <w:t>GB</w:t>
            </w:r>
            <w:r>
              <w:rPr>
                <w:color w:val="auto"/>
                <w:spacing w:val="39"/>
                <w:highlight w:val="none"/>
                <w:lang w:eastAsia="zh-CN"/>
              </w:rPr>
              <w:t xml:space="preserve"> </w:t>
            </w:r>
            <w:r>
              <w:rPr>
                <w:color w:val="auto"/>
                <w:spacing w:val="4"/>
                <w:highlight w:val="none"/>
                <w:lang w:eastAsia="zh-CN"/>
              </w:rPr>
              <w:t>19762）</w:t>
            </w:r>
          </w:p>
        </w:tc>
      </w:tr>
      <w:tr w14:paraId="123782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17" w:hRule="atLeast"/>
        </w:trPr>
        <w:tc>
          <w:tcPr>
            <w:tcW w:w="578" w:type="dxa"/>
            <w:vMerge w:val="restart"/>
            <w:tcBorders>
              <w:bottom w:val="nil"/>
            </w:tcBorders>
          </w:tcPr>
          <w:p w14:paraId="003E9270">
            <w:pPr>
              <w:spacing w:line="290" w:lineRule="auto"/>
              <w:rPr>
                <w:rFonts w:ascii="Arial"/>
                <w:color w:val="auto"/>
                <w:highlight w:val="none"/>
              </w:rPr>
            </w:pPr>
          </w:p>
          <w:p w14:paraId="6730EC94">
            <w:pPr>
              <w:spacing w:line="290" w:lineRule="auto"/>
              <w:rPr>
                <w:rFonts w:ascii="Arial"/>
                <w:color w:val="auto"/>
                <w:highlight w:val="none"/>
              </w:rPr>
            </w:pPr>
          </w:p>
          <w:p w14:paraId="554923AE">
            <w:pPr>
              <w:spacing w:line="291" w:lineRule="auto"/>
              <w:rPr>
                <w:rFonts w:ascii="Arial"/>
                <w:color w:val="auto"/>
                <w:highlight w:val="none"/>
              </w:rPr>
            </w:pPr>
          </w:p>
          <w:p w14:paraId="3612E2DE">
            <w:pPr>
              <w:pStyle w:val="248"/>
              <w:spacing w:before="62" w:line="256" w:lineRule="exact"/>
              <w:ind w:left="244"/>
              <w:rPr>
                <w:color w:val="auto"/>
                <w:highlight w:val="none"/>
              </w:rPr>
            </w:pPr>
            <w:r>
              <w:rPr>
                <w:color w:val="auto"/>
                <w:position w:val="1"/>
                <w:highlight w:val="none"/>
              </w:rPr>
              <w:t>6</w:t>
            </w:r>
          </w:p>
        </w:tc>
        <w:tc>
          <w:tcPr>
            <w:tcW w:w="1166" w:type="dxa"/>
            <w:vMerge w:val="restart"/>
            <w:tcBorders>
              <w:bottom w:val="nil"/>
            </w:tcBorders>
          </w:tcPr>
          <w:p w14:paraId="688716B5">
            <w:pPr>
              <w:spacing w:line="358" w:lineRule="auto"/>
              <w:rPr>
                <w:rFonts w:ascii="Arial"/>
                <w:color w:val="auto"/>
                <w:highlight w:val="none"/>
              </w:rPr>
            </w:pPr>
          </w:p>
          <w:p w14:paraId="63F437BF">
            <w:pPr>
              <w:spacing w:line="358" w:lineRule="auto"/>
              <w:rPr>
                <w:rFonts w:ascii="Arial"/>
                <w:color w:val="auto"/>
                <w:highlight w:val="none"/>
              </w:rPr>
            </w:pPr>
          </w:p>
          <w:p w14:paraId="18E9B49E">
            <w:pPr>
              <w:pStyle w:val="248"/>
              <w:spacing w:before="61" w:line="230" w:lineRule="auto"/>
              <w:ind w:left="9"/>
              <w:rPr>
                <w:color w:val="auto"/>
                <w:highlight w:val="none"/>
              </w:rPr>
            </w:pPr>
            <w:r>
              <w:rPr>
                <w:color w:val="auto"/>
                <w:spacing w:val="5"/>
                <w:highlight w:val="none"/>
              </w:rPr>
              <w:t>A020523</w:t>
            </w:r>
            <w:r>
              <w:rPr>
                <w:color w:val="auto"/>
                <w:spacing w:val="-43"/>
                <w:highlight w:val="none"/>
              </w:rPr>
              <w:t xml:space="preserve"> </w:t>
            </w:r>
            <w:r>
              <w:rPr>
                <w:color w:val="auto"/>
                <w:spacing w:val="5"/>
                <w:highlight w:val="none"/>
              </w:rPr>
              <w:t>制冷</w:t>
            </w:r>
          </w:p>
          <w:p w14:paraId="45AA98B2">
            <w:pPr>
              <w:pStyle w:val="248"/>
              <w:spacing w:before="75" w:line="230" w:lineRule="auto"/>
              <w:ind w:left="21"/>
              <w:rPr>
                <w:color w:val="auto"/>
                <w:highlight w:val="none"/>
              </w:rPr>
            </w:pPr>
            <w:r>
              <w:rPr>
                <w:color w:val="auto"/>
                <w:spacing w:val="5"/>
                <w:highlight w:val="none"/>
              </w:rPr>
              <w:t>空调设备</w:t>
            </w:r>
          </w:p>
        </w:tc>
        <w:tc>
          <w:tcPr>
            <w:tcW w:w="1799" w:type="dxa"/>
            <w:vMerge w:val="restart"/>
            <w:tcBorders>
              <w:bottom w:val="nil"/>
            </w:tcBorders>
          </w:tcPr>
          <w:p w14:paraId="13580301">
            <w:pPr>
              <w:spacing w:line="358" w:lineRule="auto"/>
              <w:rPr>
                <w:rFonts w:ascii="Arial"/>
                <w:color w:val="auto"/>
                <w:highlight w:val="none"/>
              </w:rPr>
            </w:pPr>
          </w:p>
          <w:p w14:paraId="36621FE9">
            <w:pPr>
              <w:spacing w:line="358" w:lineRule="auto"/>
              <w:rPr>
                <w:rFonts w:ascii="Arial"/>
                <w:color w:val="auto"/>
                <w:highlight w:val="none"/>
              </w:rPr>
            </w:pPr>
          </w:p>
          <w:p w14:paraId="6E4C3728">
            <w:pPr>
              <w:pStyle w:val="248"/>
              <w:spacing w:before="62" w:line="304" w:lineRule="auto"/>
              <w:ind w:left="15" w:right="10" w:firstLine="3"/>
              <w:rPr>
                <w:color w:val="auto"/>
                <w:highlight w:val="none"/>
              </w:rPr>
            </w:pPr>
            <w:r>
              <w:rPr>
                <w:color w:val="auto"/>
                <w:spacing w:val="3"/>
                <w:highlight w:val="none"/>
              </w:rPr>
              <w:t>★A02052301 制冷压</w:t>
            </w:r>
            <w:r>
              <w:rPr>
                <w:color w:val="auto"/>
                <w:spacing w:val="12"/>
                <w:highlight w:val="none"/>
              </w:rPr>
              <w:t xml:space="preserve"> </w:t>
            </w:r>
            <w:r>
              <w:rPr>
                <w:color w:val="auto"/>
                <w:spacing w:val="5"/>
                <w:highlight w:val="none"/>
              </w:rPr>
              <w:t>缩机</w:t>
            </w:r>
          </w:p>
        </w:tc>
        <w:tc>
          <w:tcPr>
            <w:tcW w:w="1914" w:type="dxa"/>
          </w:tcPr>
          <w:p w14:paraId="2AE11F1C">
            <w:pPr>
              <w:spacing w:line="251" w:lineRule="auto"/>
              <w:rPr>
                <w:rFonts w:ascii="Arial"/>
                <w:color w:val="auto"/>
                <w:highlight w:val="none"/>
              </w:rPr>
            </w:pPr>
          </w:p>
          <w:p w14:paraId="3A25A749">
            <w:pPr>
              <w:spacing w:line="251" w:lineRule="auto"/>
              <w:rPr>
                <w:rFonts w:ascii="Arial"/>
                <w:color w:val="auto"/>
                <w:highlight w:val="none"/>
              </w:rPr>
            </w:pPr>
          </w:p>
          <w:p w14:paraId="2B30E1FC">
            <w:pPr>
              <w:pStyle w:val="248"/>
              <w:spacing w:before="61" w:line="228" w:lineRule="auto"/>
              <w:ind w:left="18"/>
              <w:rPr>
                <w:color w:val="auto"/>
                <w:highlight w:val="none"/>
              </w:rPr>
            </w:pPr>
            <w:r>
              <w:rPr>
                <w:color w:val="auto"/>
                <w:spacing w:val="6"/>
                <w:highlight w:val="none"/>
              </w:rPr>
              <w:t>冷水机组</w:t>
            </w:r>
          </w:p>
        </w:tc>
        <w:tc>
          <w:tcPr>
            <w:tcW w:w="2969" w:type="dxa"/>
          </w:tcPr>
          <w:p w14:paraId="7A41338B">
            <w:pPr>
              <w:pStyle w:val="248"/>
              <w:spacing w:before="96" w:line="294" w:lineRule="auto"/>
              <w:ind w:left="17" w:right="11" w:firstLine="5"/>
              <w:rPr>
                <w:color w:val="auto"/>
                <w:highlight w:val="none"/>
                <w:lang w:eastAsia="zh-CN"/>
              </w:rPr>
            </w:pPr>
            <w:r>
              <w:rPr>
                <w:color w:val="auto"/>
                <w:spacing w:val="19"/>
                <w:highlight w:val="none"/>
                <w:lang w:eastAsia="zh-CN"/>
              </w:rPr>
              <w:t>《冷水机组能效限定值及能效等</w:t>
            </w:r>
            <w:r>
              <w:rPr>
                <w:color w:val="auto"/>
                <w:spacing w:val="2"/>
                <w:highlight w:val="none"/>
                <w:lang w:eastAsia="zh-CN"/>
              </w:rPr>
              <w:t xml:space="preserve"> </w:t>
            </w:r>
            <w:r>
              <w:rPr>
                <w:color w:val="auto"/>
                <w:spacing w:val="6"/>
                <w:highlight w:val="none"/>
                <w:lang w:eastAsia="zh-CN"/>
              </w:rPr>
              <w:t>级》（</w:t>
            </w:r>
            <w:r>
              <w:rPr>
                <w:color w:val="auto"/>
                <w:highlight w:val="none"/>
                <w:lang w:eastAsia="zh-CN"/>
              </w:rPr>
              <w:t>GB</w:t>
            </w:r>
            <w:r>
              <w:rPr>
                <w:color w:val="auto"/>
                <w:spacing w:val="-21"/>
                <w:highlight w:val="none"/>
                <w:lang w:eastAsia="zh-CN"/>
              </w:rPr>
              <w:t xml:space="preserve"> </w:t>
            </w:r>
            <w:r>
              <w:rPr>
                <w:color w:val="auto"/>
                <w:spacing w:val="6"/>
                <w:highlight w:val="none"/>
                <w:lang w:eastAsia="zh-CN"/>
              </w:rPr>
              <w:t>19577</w:t>
            </w:r>
            <w:r>
              <w:rPr>
                <w:color w:val="auto"/>
                <w:spacing w:val="9"/>
                <w:highlight w:val="none"/>
                <w:lang w:eastAsia="zh-CN"/>
              </w:rPr>
              <w:t>），</w:t>
            </w:r>
            <w:r>
              <w:rPr>
                <w:color w:val="auto"/>
                <w:spacing w:val="6"/>
                <w:highlight w:val="none"/>
                <w:lang w:eastAsia="zh-CN"/>
              </w:rPr>
              <w:t>《低环境温度</w:t>
            </w:r>
            <w:r>
              <w:rPr>
                <w:color w:val="auto"/>
                <w:highlight w:val="none"/>
                <w:lang w:eastAsia="zh-CN"/>
              </w:rPr>
              <w:t xml:space="preserve"> </w:t>
            </w:r>
            <w:r>
              <w:rPr>
                <w:color w:val="auto"/>
                <w:spacing w:val="5"/>
                <w:highlight w:val="none"/>
                <w:lang w:eastAsia="zh-CN"/>
              </w:rPr>
              <w:t>空气源热泵（冷水）机组能效限定</w:t>
            </w:r>
            <w:r>
              <w:rPr>
                <w:color w:val="auto"/>
                <w:spacing w:val="6"/>
                <w:highlight w:val="none"/>
                <w:lang w:eastAsia="zh-CN"/>
              </w:rPr>
              <w:t xml:space="preserve"> </w:t>
            </w:r>
            <w:r>
              <w:rPr>
                <w:color w:val="auto"/>
                <w:spacing w:val="7"/>
                <w:highlight w:val="none"/>
                <w:lang w:eastAsia="zh-CN"/>
              </w:rPr>
              <w:t>值及能效等级》（</w:t>
            </w:r>
            <w:r>
              <w:rPr>
                <w:color w:val="auto"/>
                <w:highlight w:val="none"/>
                <w:lang w:eastAsia="zh-CN"/>
              </w:rPr>
              <w:t>GB</w:t>
            </w:r>
            <w:r>
              <w:rPr>
                <w:color w:val="auto"/>
                <w:spacing w:val="7"/>
                <w:highlight w:val="none"/>
                <w:lang w:eastAsia="zh-CN"/>
              </w:rPr>
              <w:t xml:space="preserve"> 37480）</w:t>
            </w:r>
          </w:p>
        </w:tc>
      </w:tr>
      <w:tr w14:paraId="69D3F8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4" w:hRule="atLeast"/>
        </w:trPr>
        <w:tc>
          <w:tcPr>
            <w:tcW w:w="578" w:type="dxa"/>
            <w:vMerge w:val="continue"/>
            <w:tcBorders>
              <w:top w:val="nil"/>
            </w:tcBorders>
          </w:tcPr>
          <w:p w14:paraId="38DD1014">
            <w:pPr>
              <w:rPr>
                <w:rFonts w:ascii="Arial"/>
                <w:color w:val="auto"/>
                <w:highlight w:val="none"/>
              </w:rPr>
            </w:pPr>
          </w:p>
        </w:tc>
        <w:tc>
          <w:tcPr>
            <w:tcW w:w="1166" w:type="dxa"/>
            <w:vMerge w:val="continue"/>
            <w:tcBorders>
              <w:top w:val="nil"/>
            </w:tcBorders>
          </w:tcPr>
          <w:p w14:paraId="7D466D14">
            <w:pPr>
              <w:rPr>
                <w:rFonts w:ascii="Arial"/>
                <w:color w:val="auto"/>
                <w:highlight w:val="none"/>
              </w:rPr>
            </w:pPr>
          </w:p>
        </w:tc>
        <w:tc>
          <w:tcPr>
            <w:tcW w:w="1799" w:type="dxa"/>
            <w:vMerge w:val="continue"/>
            <w:tcBorders>
              <w:top w:val="nil"/>
            </w:tcBorders>
          </w:tcPr>
          <w:p w14:paraId="4CC0CA92">
            <w:pPr>
              <w:rPr>
                <w:rFonts w:ascii="Arial"/>
                <w:color w:val="auto"/>
                <w:highlight w:val="none"/>
              </w:rPr>
            </w:pPr>
          </w:p>
        </w:tc>
        <w:tc>
          <w:tcPr>
            <w:tcW w:w="1914" w:type="dxa"/>
          </w:tcPr>
          <w:p w14:paraId="2CAE4FD2">
            <w:pPr>
              <w:pStyle w:val="248"/>
              <w:spacing w:before="276" w:line="228" w:lineRule="auto"/>
              <w:ind w:left="19"/>
              <w:rPr>
                <w:color w:val="auto"/>
                <w:highlight w:val="none"/>
              </w:rPr>
            </w:pPr>
            <w:r>
              <w:rPr>
                <w:color w:val="auto"/>
                <w:spacing w:val="7"/>
                <w:highlight w:val="none"/>
              </w:rPr>
              <w:t>水源热泵机组</w:t>
            </w:r>
          </w:p>
        </w:tc>
        <w:tc>
          <w:tcPr>
            <w:tcW w:w="2969" w:type="dxa"/>
          </w:tcPr>
          <w:p w14:paraId="56480AD2">
            <w:pPr>
              <w:pStyle w:val="248"/>
              <w:spacing w:before="120" w:line="298" w:lineRule="auto"/>
              <w:ind w:left="17" w:right="13" w:firstLine="6"/>
              <w:rPr>
                <w:color w:val="auto"/>
                <w:highlight w:val="none"/>
                <w:lang w:eastAsia="zh-CN"/>
              </w:rPr>
            </w:pPr>
            <w:r>
              <w:rPr>
                <w:color w:val="auto"/>
                <w:spacing w:val="5"/>
                <w:highlight w:val="none"/>
                <w:lang w:eastAsia="zh-CN"/>
              </w:rPr>
              <w:t>《水（地）源热泵机组能效限定值</w:t>
            </w:r>
            <w:r>
              <w:rPr>
                <w:color w:val="auto"/>
                <w:highlight w:val="none"/>
                <w:lang w:eastAsia="zh-CN"/>
              </w:rPr>
              <w:t xml:space="preserve"> </w:t>
            </w:r>
            <w:r>
              <w:rPr>
                <w:color w:val="auto"/>
                <w:spacing w:val="7"/>
                <w:highlight w:val="none"/>
                <w:lang w:eastAsia="zh-CN"/>
              </w:rPr>
              <w:t>及能效等级》（</w:t>
            </w:r>
            <w:r>
              <w:rPr>
                <w:color w:val="auto"/>
                <w:highlight w:val="none"/>
                <w:lang w:eastAsia="zh-CN"/>
              </w:rPr>
              <w:t>GB</w:t>
            </w:r>
            <w:r>
              <w:rPr>
                <w:color w:val="auto"/>
                <w:spacing w:val="7"/>
                <w:highlight w:val="none"/>
                <w:lang w:eastAsia="zh-CN"/>
              </w:rPr>
              <w:t xml:space="preserve"> 30721）</w:t>
            </w:r>
          </w:p>
        </w:tc>
      </w:tr>
    </w:tbl>
    <w:p w14:paraId="282BC0D2">
      <w:pPr>
        <w:rPr>
          <w:rFonts w:ascii="Arial"/>
          <w:color w:val="auto"/>
          <w:highlight w:val="none"/>
        </w:rPr>
      </w:pPr>
    </w:p>
    <w:p w14:paraId="5B844AEA">
      <w:pPr>
        <w:rPr>
          <w:rFonts w:ascii="Arial" w:hAnsi="Arial" w:eastAsia="Arial" w:cs="Arial"/>
          <w:color w:val="auto"/>
          <w:szCs w:val="21"/>
          <w:highlight w:val="none"/>
        </w:rPr>
        <w:sectPr>
          <w:pgSz w:w="11906" w:h="16838"/>
          <w:pgMar w:top="1431" w:right="1691" w:bottom="0" w:left="1783" w:header="0" w:footer="0" w:gutter="0"/>
          <w:cols w:space="720" w:num="1"/>
        </w:sectPr>
      </w:pPr>
    </w:p>
    <w:p w14:paraId="602BCD88">
      <w:pPr>
        <w:spacing w:line="91" w:lineRule="auto"/>
        <w:rPr>
          <w:rFonts w:ascii="Arial"/>
          <w:color w:val="auto"/>
          <w:sz w:val="2"/>
          <w:highlight w:val="none"/>
        </w:rPr>
      </w:pPr>
    </w:p>
    <w:tbl>
      <w:tblPr>
        <w:tblStyle w:val="249"/>
        <w:tblW w:w="84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8"/>
        <w:gridCol w:w="1166"/>
        <w:gridCol w:w="1799"/>
        <w:gridCol w:w="1914"/>
        <w:gridCol w:w="2969"/>
      </w:tblGrid>
      <w:tr w14:paraId="39B30B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3" w:hRule="atLeast"/>
        </w:trPr>
        <w:tc>
          <w:tcPr>
            <w:tcW w:w="578" w:type="dxa"/>
            <w:vMerge w:val="restart"/>
            <w:tcBorders>
              <w:bottom w:val="nil"/>
            </w:tcBorders>
          </w:tcPr>
          <w:p w14:paraId="4E3E2887">
            <w:pPr>
              <w:rPr>
                <w:rFonts w:ascii="Arial"/>
                <w:color w:val="auto"/>
                <w:highlight w:val="none"/>
              </w:rPr>
            </w:pPr>
          </w:p>
        </w:tc>
        <w:tc>
          <w:tcPr>
            <w:tcW w:w="1166" w:type="dxa"/>
            <w:vMerge w:val="restart"/>
            <w:tcBorders>
              <w:bottom w:val="nil"/>
            </w:tcBorders>
          </w:tcPr>
          <w:p w14:paraId="1EEA33E3">
            <w:pPr>
              <w:rPr>
                <w:rFonts w:ascii="Arial"/>
                <w:color w:val="auto"/>
                <w:highlight w:val="none"/>
              </w:rPr>
            </w:pPr>
          </w:p>
        </w:tc>
        <w:tc>
          <w:tcPr>
            <w:tcW w:w="1799" w:type="dxa"/>
          </w:tcPr>
          <w:p w14:paraId="5236F854">
            <w:pPr>
              <w:rPr>
                <w:rFonts w:ascii="Arial"/>
                <w:color w:val="auto"/>
                <w:highlight w:val="none"/>
              </w:rPr>
            </w:pPr>
          </w:p>
        </w:tc>
        <w:tc>
          <w:tcPr>
            <w:tcW w:w="1914" w:type="dxa"/>
          </w:tcPr>
          <w:p w14:paraId="4F187957">
            <w:pPr>
              <w:pStyle w:val="248"/>
              <w:spacing w:before="159" w:line="310" w:lineRule="auto"/>
              <w:ind w:left="19" w:right="11" w:firstLine="1"/>
              <w:rPr>
                <w:color w:val="auto"/>
                <w:highlight w:val="none"/>
                <w:lang w:eastAsia="zh-CN"/>
              </w:rPr>
            </w:pPr>
            <w:r>
              <w:rPr>
                <w:color w:val="auto"/>
                <w:spacing w:val="18"/>
                <w:highlight w:val="none"/>
                <w:lang w:eastAsia="zh-CN"/>
              </w:rPr>
              <w:t>溴化锂吸收式冷水机</w:t>
            </w:r>
            <w:r>
              <w:rPr>
                <w:color w:val="auto"/>
                <w:spacing w:val="4"/>
                <w:highlight w:val="none"/>
                <w:lang w:eastAsia="zh-CN"/>
              </w:rPr>
              <w:t xml:space="preserve"> </w:t>
            </w:r>
            <w:r>
              <w:rPr>
                <w:color w:val="auto"/>
                <w:highlight w:val="none"/>
                <w:lang w:eastAsia="zh-CN"/>
              </w:rPr>
              <w:t>组</w:t>
            </w:r>
          </w:p>
        </w:tc>
        <w:tc>
          <w:tcPr>
            <w:tcW w:w="2969" w:type="dxa"/>
          </w:tcPr>
          <w:p w14:paraId="56FD43BF">
            <w:pPr>
              <w:pStyle w:val="248"/>
              <w:spacing w:before="160" w:line="304" w:lineRule="auto"/>
              <w:ind w:left="22" w:right="11"/>
              <w:rPr>
                <w:color w:val="auto"/>
                <w:highlight w:val="none"/>
                <w:lang w:eastAsia="zh-CN"/>
              </w:rPr>
            </w:pPr>
            <w:r>
              <w:rPr>
                <w:color w:val="auto"/>
                <w:spacing w:val="19"/>
                <w:highlight w:val="none"/>
                <w:lang w:eastAsia="zh-CN"/>
              </w:rPr>
              <w:t>《溴化锂吸收式冷水机组能效限</w:t>
            </w:r>
            <w:r>
              <w:rPr>
                <w:color w:val="auto"/>
                <w:spacing w:val="2"/>
                <w:highlight w:val="none"/>
                <w:lang w:eastAsia="zh-CN"/>
              </w:rPr>
              <w:t xml:space="preserve"> </w:t>
            </w:r>
            <w:r>
              <w:rPr>
                <w:color w:val="auto"/>
                <w:spacing w:val="7"/>
                <w:highlight w:val="none"/>
                <w:lang w:eastAsia="zh-CN"/>
              </w:rPr>
              <w:t>定值及能效等级》（</w:t>
            </w:r>
            <w:r>
              <w:rPr>
                <w:color w:val="auto"/>
                <w:highlight w:val="none"/>
                <w:lang w:eastAsia="zh-CN"/>
              </w:rPr>
              <w:t>GB</w:t>
            </w:r>
            <w:r>
              <w:rPr>
                <w:color w:val="auto"/>
                <w:spacing w:val="7"/>
                <w:highlight w:val="none"/>
                <w:lang w:eastAsia="zh-CN"/>
              </w:rPr>
              <w:t xml:space="preserve"> 29540）</w:t>
            </w:r>
          </w:p>
        </w:tc>
      </w:tr>
      <w:tr w14:paraId="13F3DE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2" w:hRule="atLeast"/>
        </w:trPr>
        <w:tc>
          <w:tcPr>
            <w:tcW w:w="578" w:type="dxa"/>
            <w:vMerge w:val="continue"/>
            <w:tcBorders>
              <w:top w:val="nil"/>
              <w:bottom w:val="nil"/>
            </w:tcBorders>
          </w:tcPr>
          <w:p w14:paraId="6B163518">
            <w:pPr>
              <w:rPr>
                <w:rFonts w:ascii="Arial"/>
                <w:color w:val="auto"/>
                <w:highlight w:val="none"/>
              </w:rPr>
            </w:pPr>
          </w:p>
        </w:tc>
        <w:tc>
          <w:tcPr>
            <w:tcW w:w="1166" w:type="dxa"/>
            <w:vMerge w:val="continue"/>
            <w:tcBorders>
              <w:top w:val="nil"/>
              <w:bottom w:val="nil"/>
            </w:tcBorders>
          </w:tcPr>
          <w:p w14:paraId="02EC1A1F">
            <w:pPr>
              <w:rPr>
                <w:rFonts w:ascii="Arial"/>
                <w:color w:val="auto"/>
                <w:highlight w:val="none"/>
              </w:rPr>
            </w:pPr>
          </w:p>
        </w:tc>
        <w:tc>
          <w:tcPr>
            <w:tcW w:w="1799" w:type="dxa"/>
            <w:vMerge w:val="restart"/>
            <w:tcBorders>
              <w:bottom w:val="nil"/>
            </w:tcBorders>
          </w:tcPr>
          <w:p w14:paraId="76079449">
            <w:pPr>
              <w:spacing w:line="265" w:lineRule="auto"/>
              <w:rPr>
                <w:rFonts w:ascii="Arial"/>
                <w:color w:val="auto"/>
                <w:highlight w:val="none"/>
              </w:rPr>
            </w:pPr>
          </w:p>
          <w:p w14:paraId="02EAE502">
            <w:pPr>
              <w:spacing w:line="265" w:lineRule="auto"/>
              <w:rPr>
                <w:rFonts w:ascii="Arial"/>
                <w:color w:val="auto"/>
                <w:highlight w:val="none"/>
              </w:rPr>
            </w:pPr>
          </w:p>
          <w:p w14:paraId="5897BDC5">
            <w:pPr>
              <w:spacing w:line="266" w:lineRule="auto"/>
              <w:rPr>
                <w:rFonts w:ascii="Arial"/>
                <w:color w:val="auto"/>
                <w:highlight w:val="none"/>
              </w:rPr>
            </w:pPr>
          </w:p>
          <w:p w14:paraId="4DB058CD">
            <w:pPr>
              <w:pStyle w:val="248"/>
              <w:spacing w:before="62" w:line="310" w:lineRule="auto"/>
              <w:ind w:left="17" w:right="10"/>
              <w:rPr>
                <w:color w:val="auto"/>
                <w:highlight w:val="none"/>
              </w:rPr>
            </w:pPr>
            <w:r>
              <w:rPr>
                <w:color w:val="auto"/>
                <w:spacing w:val="3"/>
                <w:highlight w:val="none"/>
              </w:rPr>
              <w:t>★A02052305 空调机</w:t>
            </w:r>
            <w:r>
              <w:rPr>
                <w:color w:val="auto"/>
                <w:spacing w:val="12"/>
                <w:highlight w:val="none"/>
              </w:rPr>
              <w:t xml:space="preserve"> </w:t>
            </w:r>
            <w:r>
              <w:rPr>
                <w:color w:val="auto"/>
                <w:highlight w:val="none"/>
              </w:rPr>
              <w:t>组</w:t>
            </w:r>
          </w:p>
        </w:tc>
        <w:tc>
          <w:tcPr>
            <w:tcW w:w="1914" w:type="dxa"/>
          </w:tcPr>
          <w:p w14:paraId="553AAD03">
            <w:pPr>
              <w:pStyle w:val="248"/>
              <w:spacing w:before="65" w:line="284" w:lineRule="auto"/>
              <w:ind w:left="15" w:right="11" w:firstLine="10"/>
              <w:rPr>
                <w:color w:val="auto"/>
                <w:highlight w:val="none"/>
                <w:lang w:eastAsia="zh-CN"/>
              </w:rPr>
            </w:pPr>
            <w:r>
              <w:rPr>
                <w:color w:val="auto"/>
                <w:spacing w:val="15"/>
                <w:highlight w:val="none"/>
                <w:lang w:eastAsia="zh-CN"/>
              </w:rPr>
              <w:t>多联式空调（热泵）</w:t>
            </w:r>
            <w:r>
              <w:rPr>
                <w:color w:val="auto"/>
                <w:spacing w:val="7"/>
                <w:highlight w:val="none"/>
                <w:lang w:eastAsia="zh-CN"/>
              </w:rPr>
              <w:t xml:space="preserve"> </w:t>
            </w:r>
            <w:r>
              <w:rPr>
                <w:color w:val="auto"/>
                <w:spacing w:val="-8"/>
                <w:highlight w:val="none"/>
                <w:lang w:eastAsia="zh-CN"/>
              </w:rPr>
              <w:t>机</w:t>
            </w:r>
            <w:r>
              <w:rPr>
                <w:color w:val="auto"/>
                <w:spacing w:val="34"/>
                <w:highlight w:val="none"/>
                <w:lang w:eastAsia="zh-CN"/>
              </w:rPr>
              <w:t xml:space="preserve">  </w:t>
            </w:r>
            <w:r>
              <w:rPr>
                <w:color w:val="auto"/>
                <w:spacing w:val="-8"/>
                <w:highlight w:val="none"/>
                <w:lang w:eastAsia="zh-CN"/>
              </w:rPr>
              <w:t>组</w:t>
            </w:r>
            <w:r>
              <w:rPr>
                <w:color w:val="auto"/>
                <w:spacing w:val="2"/>
                <w:highlight w:val="none"/>
                <w:lang w:eastAsia="zh-CN"/>
              </w:rPr>
              <w:t xml:space="preserve">   </w:t>
            </w:r>
            <w:r>
              <w:rPr>
                <w:color w:val="auto"/>
                <w:spacing w:val="-8"/>
                <w:highlight w:val="none"/>
                <w:lang w:eastAsia="zh-CN"/>
              </w:rPr>
              <w:t>(</w:t>
            </w:r>
            <w:r>
              <w:rPr>
                <w:color w:val="auto"/>
                <w:spacing w:val="33"/>
                <w:highlight w:val="none"/>
                <w:lang w:eastAsia="zh-CN"/>
              </w:rPr>
              <w:t xml:space="preserve">  </w:t>
            </w:r>
            <w:r>
              <w:rPr>
                <w:color w:val="auto"/>
                <w:spacing w:val="-8"/>
                <w:highlight w:val="none"/>
                <w:lang w:eastAsia="zh-CN"/>
              </w:rPr>
              <w:t>制</w:t>
            </w:r>
            <w:r>
              <w:rPr>
                <w:color w:val="auto"/>
                <w:spacing w:val="35"/>
                <w:highlight w:val="none"/>
                <w:lang w:eastAsia="zh-CN"/>
              </w:rPr>
              <w:t xml:space="preserve">  </w:t>
            </w:r>
            <w:r>
              <w:rPr>
                <w:color w:val="auto"/>
                <w:spacing w:val="-8"/>
                <w:highlight w:val="none"/>
                <w:lang w:eastAsia="zh-CN"/>
              </w:rPr>
              <w:t>冷</w:t>
            </w:r>
            <w:r>
              <w:rPr>
                <w:color w:val="auto"/>
                <w:highlight w:val="none"/>
                <w:lang w:eastAsia="zh-CN"/>
              </w:rPr>
              <w:t xml:space="preserve"> </w:t>
            </w:r>
            <w:r>
              <w:rPr>
                <w:color w:val="auto"/>
                <w:spacing w:val="5"/>
                <w:highlight w:val="none"/>
                <w:lang w:eastAsia="zh-CN"/>
              </w:rPr>
              <w:t>量&gt;14000W)</w:t>
            </w:r>
          </w:p>
        </w:tc>
        <w:tc>
          <w:tcPr>
            <w:tcW w:w="2969" w:type="dxa"/>
          </w:tcPr>
          <w:p w14:paraId="1008D246">
            <w:pPr>
              <w:pStyle w:val="248"/>
              <w:spacing w:before="221" w:line="305" w:lineRule="auto"/>
              <w:ind w:left="22"/>
              <w:rPr>
                <w:color w:val="auto"/>
                <w:highlight w:val="none"/>
                <w:lang w:eastAsia="zh-CN"/>
              </w:rPr>
            </w:pPr>
            <w:r>
              <w:rPr>
                <w:color w:val="auto"/>
                <w:highlight w:val="none"/>
                <w:lang w:eastAsia="zh-CN"/>
              </w:rPr>
              <w:t>《多联式空调（热泵）机组能效限</w:t>
            </w:r>
            <w:r>
              <w:rPr>
                <w:color w:val="auto"/>
                <w:spacing w:val="2"/>
                <w:highlight w:val="none"/>
                <w:lang w:eastAsia="zh-CN"/>
              </w:rPr>
              <w:t xml:space="preserve">  </w:t>
            </w:r>
            <w:r>
              <w:rPr>
                <w:color w:val="auto"/>
                <w:spacing w:val="-4"/>
                <w:highlight w:val="none"/>
                <w:lang w:eastAsia="zh-CN"/>
              </w:rPr>
              <w:t>定值及能源效率等级》（GB</w:t>
            </w:r>
            <w:r>
              <w:rPr>
                <w:color w:val="auto"/>
                <w:spacing w:val="-24"/>
                <w:highlight w:val="none"/>
                <w:lang w:eastAsia="zh-CN"/>
              </w:rPr>
              <w:t xml:space="preserve"> </w:t>
            </w:r>
            <w:r>
              <w:rPr>
                <w:color w:val="auto"/>
                <w:spacing w:val="-4"/>
                <w:highlight w:val="none"/>
                <w:lang w:eastAsia="zh-CN"/>
              </w:rPr>
              <w:t>21454）</w:t>
            </w:r>
          </w:p>
        </w:tc>
      </w:tr>
      <w:tr w14:paraId="1449FC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76" w:hRule="atLeast"/>
        </w:trPr>
        <w:tc>
          <w:tcPr>
            <w:tcW w:w="578" w:type="dxa"/>
            <w:vMerge w:val="continue"/>
            <w:tcBorders>
              <w:top w:val="nil"/>
              <w:bottom w:val="nil"/>
            </w:tcBorders>
          </w:tcPr>
          <w:p w14:paraId="191A4BFF">
            <w:pPr>
              <w:rPr>
                <w:rFonts w:ascii="Arial"/>
                <w:color w:val="auto"/>
                <w:highlight w:val="none"/>
              </w:rPr>
            </w:pPr>
          </w:p>
        </w:tc>
        <w:tc>
          <w:tcPr>
            <w:tcW w:w="1166" w:type="dxa"/>
            <w:vMerge w:val="continue"/>
            <w:tcBorders>
              <w:top w:val="nil"/>
              <w:bottom w:val="nil"/>
            </w:tcBorders>
          </w:tcPr>
          <w:p w14:paraId="73C7F1F5">
            <w:pPr>
              <w:rPr>
                <w:rFonts w:ascii="Arial"/>
                <w:color w:val="auto"/>
                <w:highlight w:val="none"/>
              </w:rPr>
            </w:pPr>
          </w:p>
        </w:tc>
        <w:tc>
          <w:tcPr>
            <w:tcW w:w="1799" w:type="dxa"/>
            <w:vMerge w:val="continue"/>
            <w:tcBorders>
              <w:top w:val="nil"/>
            </w:tcBorders>
          </w:tcPr>
          <w:p w14:paraId="53FA2452">
            <w:pPr>
              <w:rPr>
                <w:rFonts w:ascii="Arial"/>
                <w:color w:val="auto"/>
                <w:highlight w:val="none"/>
              </w:rPr>
            </w:pPr>
          </w:p>
        </w:tc>
        <w:tc>
          <w:tcPr>
            <w:tcW w:w="1914" w:type="dxa"/>
          </w:tcPr>
          <w:p w14:paraId="5FC6BAC2">
            <w:pPr>
              <w:spacing w:line="319" w:lineRule="auto"/>
              <w:rPr>
                <w:rFonts w:ascii="Arial"/>
                <w:color w:val="auto"/>
                <w:highlight w:val="none"/>
              </w:rPr>
            </w:pPr>
          </w:p>
          <w:p w14:paraId="7DB596F8">
            <w:pPr>
              <w:pStyle w:val="248"/>
              <w:spacing w:before="62" w:line="305" w:lineRule="auto"/>
              <w:ind w:left="51" w:right="11" w:hanging="33"/>
              <w:rPr>
                <w:color w:val="auto"/>
                <w:highlight w:val="none"/>
                <w:lang w:eastAsia="zh-CN"/>
              </w:rPr>
            </w:pPr>
            <w:r>
              <w:rPr>
                <w:color w:val="auto"/>
                <w:spacing w:val="44"/>
                <w:highlight w:val="none"/>
                <w:lang w:eastAsia="zh-CN"/>
              </w:rPr>
              <w:t>单元式空气调节机</w:t>
            </w:r>
            <w:r>
              <w:rPr>
                <w:color w:val="auto"/>
                <w:spacing w:val="6"/>
                <w:highlight w:val="none"/>
                <w:lang w:eastAsia="zh-CN"/>
              </w:rPr>
              <w:t xml:space="preserve"> </w:t>
            </w:r>
            <w:r>
              <w:rPr>
                <w:color w:val="auto"/>
                <w:spacing w:val="2"/>
                <w:highlight w:val="none"/>
                <w:lang w:eastAsia="zh-CN"/>
              </w:rPr>
              <w:t>(制冷量&gt;14000W)</w:t>
            </w:r>
          </w:p>
        </w:tc>
        <w:tc>
          <w:tcPr>
            <w:tcW w:w="2969" w:type="dxa"/>
          </w:tcPr>
          <w:p w14:paraId="0C9C54ED">
            <w:pPr>
              <w:pStyle w:val="248"/>
              <w:spacing w:before="72" w:line="290" w:lineRule="auto"/>
              <w:ind w:left="16" w:right="11" w:firstLine="6"/>
              <w:rPr>
                <w:color w:val="auto"/>
                <w:highlight w:val="none"/>
                <w:lang w:eastAsia="zh-CN"/>
              </w:rPr>
            </w:pPr>
            <w:r>
              <w:rPr>
                <w:color w:val="auto"/>
                <w:spacing w:val="19"/>
                <w:highlight w:val="none"/>
                <w:lang w:eastAsia="zh-CN"/>
              </w:rPr>
              <w:t>《单元式空气调节机能效限定值</w:t>
            </w:r>
            <w:r>
              <w:rPr>
                <w:color w:val="auto"/>
                <w:spacing w:val="2"/>
                <w:highlight w:val="none"/>
                <w:lang w:eastAsia="zh-CN"/>
              </w:rPr>
              <w:t xml:space="preserve"> </w:t>
            </w:r>
            <w:r>
              <w:rPr>
                <w:color w:val="auto"/>
                <w:spacing w:val="6"/>
                <w:highlight w:val="none"/>
                <w:lang w:eastAsia="zh-CN"/>
              </w:rPr>
              <w:t>及能效等级》（</w:t>
            </w:r>
            <w:r>
              <w:rPr>
                <w:color w:val="auto"/>
                <w:highlight w:val="none"/>
                <w:lang w:eastAsia="zh-CN"/>
              </w:rPr>
              <w:t>GB</w:t>
            </w:r>
            <w:r>
              <w:rPr>
                <w:color w:val="auto"/>
                <w:spacing w:val="-13"/>
                <w:highlight w:val="none"/>
                <w:lang w:eastAsia="zh-CN"/>
              </w:rPr>
              <w:t xml:space="preserve"> </w:t>
            </w:r>
            <w:r>
              <w:rPr>
                <w:color w:val="auto"/>
                <w:spacing w:val="6"/>
                <w:highlight w:val="none"/>
                <w:lang w:eastAsia="zh-CN"/>
              </w:rPr>
              <w:t>19576）《风管</w:t>
            </w:r>
            <w:r>
              <w:rPr>
                <w:color w:val="auto"/>
                <w:highlight w:val="none"/>
                <w:lang w:eastAsia="zh-CN"/>
              </w:rPr>
              <w:t xml:space="preserve"> </w:t>
            </w:r>
            <w:r>
              <w:rPr>
                <w:color w:val="auto"/>
                <w:spacing w:val="19"/>
                <w:highlight w:val="none"/>
                <w:lang w:eastAsia="zh-CN"/>
              </w:rPr>
              <w:t>送风式空调机组能效限定值及能</w:t>
            </w:r>
            <w:r>
              <w:rPr>
                <w:color w:val="auto"/>
                <w:spacing w:val="9"/>
                <w:highlight w:val="none"/>
                <w:lang w:eastAsia="zh-CN"/>
              </w:rPr>
              <w:t xml:space="preserve"> </w:t>
            </w:r>
            <w:r>
              <w:rPr>
                <w:color w:val="auto"/>
                <w:spacing w:val="7"/>
                <w:highlight w:val="none"/>
                <w:lang w:eastAsia="zh-CN"/>
              </w:rPr>
              <w:t>效等级》（</w:t>
            </w:r>
            <w:r>
              <w:rPr>
                <w:color w:val="auto"/>
                <w:highlight w:val="none"/>
                <w:lang w:eastAsia="zh-CN"/>
              </w:rPr>
              <w:t>GB</w:t>
            </w:r>
            <w:r>
              <w:rPr>
                <w:color w:val="auto"/>
                <w:spacing w:val="7"/>
                <w:highlight w:val="none"/>
                <w:lang w:eastAsia="zh-CN"/>
              </w:rPr>
              <w:t xml:space="preserve"> 37479）</w:t>
            </w:r>
          </w:p>
        </w:tc>
      </w:tr>
      <w:tr w14:paraId="55DA94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6" w:hRule="atLeast"/>
        </w:trPr>
        <w:tc>
          <w:tcPr>
            <w:tcW w:w="578" w:type="dxa"/>
            <w:vMerge w:val="continue"/>
            <w:tcBorders>
              <w:top w:val="nil"/>
              <w:bottom w:val="nil"/>
            </w:tcBorders>
          </w:tcPr>
          <w:p w14:paraId="4E88D51E">
            <w:pPr>
              <w:rPr>
                <w:rFonts w:ascii="Arial"/>
                <w:color w:val="auto"/>
                <w:highlight w:val="none"/>
              </w:rPr>
            </w:pPr>
          </w:p>
        </w:tc>
        <w:tc>
          <w:tcPr>
            <w:tcW w:w="1166" w:type="dxa"/>
            <w:vMerge w:val="continue"/>
            <w:tcBorders>
              <w:top w:val="nil"/>
              <w:bottom w:val="nil"/>
            </w:tcBorders>
          </w:tcPr>
          <w:p w14:paraId="25733341">
            <w:pPr>
              <w:rPr>
                <w:rFonts w:ascii="Arial"/>
                <w:color w:val="auto"/>
                <w:highlight w:val="none"/>
              </w:rPr>
            </w:pPr>
          </w:p>
        </w:tc>
        <w:tc>
          <w:tcPr>
            <w:tcW w:w="1799" w:type="dxa"/>
          </w:tcPr>
          <w:p w14:paraId="363DD9C5">
            <w:pPr>
              <w:pStyle w:val="248"/>
              <w:spacing w:before="146" w:line="303" w:lineRule="auto"/>
              <w:ind w:left="17" w:right="10" w:firstLine="1"/>
              <w:rPr>
                <w:color w:val="auto"/>
                <w:highlight w:val="none"/>
                <w:lang w:eastAsia="zh-CN"/>
              </w:rPr>
            </w:pPr>
            <w:r>
              <w:rPr>
                <w:color w:val="auto"/>
                <w:spacing w:val="3"/>
                <w:highlight w:val="none"/>
                <w:lang w:eastAsia="zh-CN"/>
              </w:rPr>
              <w:t>★A02052309 专用制</w:t>
            </w:r>
            <w:r>
              <w:rPr>
                <w:color w:val="auto"/>
                <w:spacing w:val="12"/>
                <w:highlight w:val="none"/>
                <w:lang w:eastAsia="zh-CN"/>
              </w:rPr>
              <w:t xml:space="preserve"> </w:t>
            </w:r>
            <w:r>
              <w:rPr>
                <w:color w:val="auto"/>
                <w:spacing w:val="8"/>
                <w:highlight w:val="none"/>
                <w:lang w:eastAsia="zh-CN"/>
              </w:rPr>
              <w:t>冷、空调设备</w:t>
            </w:r>
          </w:p>
        </w:tc>
        <w:tc>
          <w:tcPr>
            <w:tcW w:w="1914" w:type="dxa"/>
          </w:tcPr>
          <w:p w14:paraId="46E12FA1">
            <w:pPr>
              <w:pStyle w:val="248"/>
              <w:spacing w:before="300" w:line="228" w:lineRule="auto"/>
              <w:ind w:left="15"/>
              <w:rPr>
                <w:color w:val="auto"/>
                <w:highlight w:val="none"/>
              </w:rPr>
            </w:pPr>
            <w:r>
              <w:rPr>
                <w:color w:val="auto"/>
                <w:spacing w:val="7"/>
                <w:highlight w:val="none"/>
              </w:rPr>
              <w:t>机房空调</w:t>
            </w:r>
          </w:p>
        </w:tc>
        <w:tc>
          <w:tcPr>
            <w:tcW w:w="2969" w:type="dxa"/>
          </w:tcPr>
          <w:p w14:paraId="0C6C5718">
            <w:pPr>
              <w:pStyle w:val="248"/>
              <w:spacing w:before="146" w:line="302" w:lineRule="auto"/>
              <w:ind w:left="17" w:right="11" w:firstLine="6"/>
              <w:rPr>
                <w:color w:val="auto"/>
                <w:highlight w:val="none"/>
                <w:lang w:eastAsia="zh-CN"/>
              </w:rPr>
            </w:pPr>
            <w:r>
              <w:rPr>
                <w:color w:val="auto"/>
                <w:spacing w:val="19"/>
                <w:highlight w:val="none"/>
                <w:lang w:eastAsia="zh-CN"/>
              </w:rPr>
              <w:t>《单元式空气调节机能效限定值</w:t>
            </w:r>
            <w:r>
              <w:rPr>
                <w:color w:val="auto"/>
                <w:spacing w:val="2"/>
                <w:highlight w:val="none"/>
                <w:lang w:eastAsia="zh-CN"/>
              </w:rPr>
              <w:t xml:space="preserve"> </w:t>
            </w:r>
            <w:r>
              <w:rPr>
                <w:color w:val="auto"/>
                <w:spacing w:val="5"/>
                <w:highlight w:val="none"/>
                <w:lang w:eastAsia="zh-CN"/>
              </w:rPr>
              <w:t>及能效等级》（</w:t>
            </w:r>
            <w:r>
              <w:rPr>
                <w:color w:val="auto"/>
                <w:highlight w:val="none"/>
                <w:lang w:eastAsia="zh-CN"/>
              </w:rPr>
              <w:t>GB</w:t>
            </w:r>
            <w:r>
              <w:rPr>
                <w:color w:val="auto"/>
                <w:spacing w:val="39"/>
                <w:highlight w:val="none"/>
                <w:lang w:eastAsia="zh-CN"/>
              </w:rPr>
              <w:t xml:space="preserve"> </w:t>
            </w:r>
            <w:r>
              <w:rPr>
                <w:color w:val="auto"/>
                <w:spacing w:val="5"/>
                <w:highlight w:val="none"/>
                <w:lang w:eastAsia="zh-CN"/>
              </w:rPr>
              <w:t>19576）</w:t>
            </w:r>
          </w:p>
        </w:tc>
      </w:tr>
      <w:tr w14:paraId="153161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96" w:hRule="atLeast"/>
        </w:trPr>
        <w:tc>
          <w:tcPr>
            <w:tcW w:w="578" w:type="dxa"/>
            <w:vMerge w:val="continue"/>
            <w:tcBorders>
              <w:top w:val="nil"/>
            </w:tcBorders>
          </w:tcPr>
          <w:p w14:paraId="45B5DD4A">
            <w:pPr>
              <w:rPr>
                <w:rFonts w:ascii="Arial"/>
                <w:color w:val="auto"/>
                <w:highlight w:val="none"/>
              </w:rPr>
            </w:pPr>
          </w:p>
        </w:tc>
        <w:tc>
          <w:tcPr>
            <w:tcW w:w="1166" w:type="dxa"/>
            <w:vMerge w:val="continue"/>
            <w:tcBorders>
              <w:top w:val="nil"/>
            </w:tcBorders>
          </w:tcPr>
          <w:p w14:paraId="744D581B">
            <w:pPr>
              <w:rPr>
                <w:rFonts w:ascii="Arial"/>
                <w:color w:val="auto"/>
                <w:highlight w:val="none"/>
              </w:rPr>
            </w:pPr>
          </w:p>
        </w:tc>
        <w:tc>
          <w:tcPr>
            <w:tcW w:w="1799" w:type="dxa"/>
          </w:tcPr>
          <w:p w14:paraId="121A9DCA">
            <w:pPr>
              <w:spacing w:line="265" w:lineRule="auto"/>
              <w:rPr>
                <w:rFonts w:ascii="Arial"/>
                <w:color w:val="auto"/>
                <w:highlight w:val="none"/>
              </w:rPr>
            </w:pPr>
          </w:p>
          <w:p w14:paraId="5D3C5CAC">
            <w:pPr>
              <w:spacing w:line="265" w:lineRule="auto"/>
              <w:rPr>
                <w:rFonts w:ascii="Arial"/>
                <w:color w:val="auto"/>
                <w:highlight w:val="none"/>
              </w:rPr>
            </w:pPr>
          </w:p>
          <w:p w14:paraId="25C265D3">
            <w:pPr>
              <w:pStyle w:val="248"/>
              <w:spacing w:before="62" w:line="230" w:lineRule="auto"/>
              <w:ind w:left="9"/>
              <w:rPr>
                <w:color w:val="auto"/>
                <w:highlight w:val="none"/>
              </w:rPr>
            </w:pPr>
            <w:r>
              <w:rPr>
                <w:color w:val="auto"/>
                <w:spacing w:val="4"/>
                <w:highlight w:val="none"/>
              </w:rPr>
              <w:t>A02052399 其他制冷</w:t>
            </w:r>
          </w:p>
          <w:p w14:paraId="731A22C0">
            <w:pPr>
              <w:pStyle w:val="248"/>
              <w:spacing w:before="75" w:line="230" w:lineRule="auto"/>
              <w:ind w:left="21"/>
              <w:rPr>
                <w:color w:val="auto"/>
                <w:highlight w:val="none"/>
              </w:rPr>
            </w:pPr>
            <w:r>
              <w:rPr>
                <w:color w:val="auto"/>
                <w:spacing w:val="5"/>
                <w:highlight w:val="none"/>
              </w:rPr>
              <w:t>空调设备</w:t>
            </w:r>
          </w:p>
        </w:tc>
        <w:tc>
          <w:tcPr>
            <w:tcW w:w="1914" w:type="dxa"/>
          </w:tcPr>
          <w:p w14:paraId="496E0DD7">
            <w:pPr>
              <w:spacing w:line="343" w:lineRule="auto"/>
              <w:rPr>
                <w:rFonts w:ascii="Arial"/>
                <w:color w:val="auto"/>
                <w:highlight w:val="none"/>
              </w:rPr>
            </w:pPr>
          </w:p>
          <w:p w14:paraId="3441C4FA">
            <w:pPr>
              <w:spacing w:line="343" w:lineRule="auto"/>
              <w:rPr>
                <w:rFonts w:ascii="Arial"/>
                <w:color w:val="auto"/>
                <w:highlight w:val="none"/>
              </w:rPr>
            </w:pPr>
          </w:p>
          <w:p w14:paraId="716F771C">
            <w:pPr>
              <w:pStyle w:val="248"/>
              <w:spacing w:before="62" w:line="231" w:lineRule="auto"/>
              <w:ind w:left="18"/>
              <w:rPr>
                <w:color w:val="auto"/>
                <w:highlight w:val="none"/>
              </w:rPr>
            </w:pPr>
            <w:r>
              <w:rPr>
                <w:color w:val="auto"/>
                <w:spacing w:val="6"/>
                <w:highlight w:val="none"/>
              </w:rPr>
              <w:t>冷却塔</w:t>
            </w:r>
          </w:p>
        </w:tc>
        <w:tc>
          <w:tcPr>
            <w:tcW w:w="2969" w:type="dxa"/>
          </w:tcPr>
          <w:p w14:paraId="38132DDE">
            <w:pPr>
              <w:pStyle w:val="248"/>
              <w:spacing w:before="284" w:line="304" w:lineRule="auto"/>
              <w:ind w:left="23"/>
              <w:rPr>
                <w:color w:val="auto"/>
                <w:highlight w:val="none"/>
                <w:lang w:eastAsia="zh-CN"/>
              </w:rPr>
            </w:pPr>
            <w:r>
              <w:rPr>
                <w:color w:val="auto"/>
                <w:spacing w:val="2"/>
                <w:highlight w:val="none"/>
                <w:lang w:eastAsia="zh-CN"/>
              </w:rPr>
              <w:t>《机械通风冷却塔 第 1 部分：中</w:t>
            </w:r>
            <w:r>
              <w:rPr>
                <w:color w:val="auto"/>
                <w:spacing w:val="3"/>
                <w:highlight w:val="none"/>
                <w:lang w:eastAsia="zh-CN"/>
              </w:rPr>
              <w:t xml:space="preserve"> </w:t>
            </w:r>
            <w:r>
              <w:rPr>
                <w:color w:val="auto"/>
                <w:spacing w:val="-6"/>
                <w:highlight w:val="none"/>
                <w:lang w:eastAsia="zh-CN"/>
              </w:rPr>
              <w:t>小型开式冷却塔》（GB</w:t>
            </w:r>
            <w:r>
              <w:rPr>
                <w:color w:val="auto"/>
                <w:spacing w:val="-36"/>
                <w:highlight w:val="none"/>
                <w:lang w:eastAsia="zh-CN"/>
              </w:rPr>
              <w:t xml:space="preserve"> </w:t>
            </w:r>
            <w:r>
              <w:rPr>
                <w:color w:val="auto"/>
                <w:spacing w:val="-6"/>
                <w:highlight w:val="none"/>
                <w:lang w:eastAsia="zh-CN"/>
              </w:rPr>
              <w:t>/T</w:t>
            </w:r>
            <w:r>
              <w:rPr>
                <w:color w:val="auto"/>
                <w:spacing w:val="-31"/>
                <w:highlight w:val="none"/>
                <w:lang w:eastAsia="zh-CN"/>
              </w:rPr>
              <w:t xml:space="preserve"> </w:t>
            </w:r>
            <w:r>
              <w:rPr>
                <w:color w:val="auto"/>
                <w:spacing w:val="-6"/>
                <w:highlight w:val="none"/>
                <w:lang w:eastAsia="zh-CN"/>
              </w:rPr>
              <w:t>7190.1</w:t>
            </w:r>
            <w:r>
              <w:rPr>
                <w:color w:val="auto"/>
                <w:spacing w:val="-49"/>
                <w:w w:val="97"/>
                <w:highlight w:val="none"/>
                <w:lang w:eastAsia="zh-CN"/>
              </w:rPr>
              <w:t>）；</w:t>
            </w:r>
            <w:r>
              <w:rPr>
                <w:color w:val="auto"/>
                <w:highlight w:val="none"/>
                <w:lang w:eastAsia="zh-CN"/>
              </w:rPr>
              <w:t xml:space="preserve"> </w:t>
            </w:r>
            <w:r>
              <w:rPr>
                <w:color w:val="auto"/>
                <w:spacing w:val="2"/>
                <w:highlight w:val="none"/>
                <w:lang w:eastAsia="zh-CN"/>
              </w:rPr>
              <w:t>《机械通风冷却塔 第 2 部分：大</w:t>
            </w:r>
            <w:r>
              <w:rPr>
                <w:color w:val="auto"/>
                <w:spacing w:val="3"/>
                <w:highlight w:val="none"/>
                <w:lang w:eastAsia="zh-CN"/>
              </w:rPr>
              <w:t xml:space="preserve"> </w:t>
            </w:r>
            <w:r>
              <w:rPr>
                <w:color w:val="auto"/>
                <w:spacing w:val="4"/>
                <w:highlight w:val="none"/>
                <w:lang w:eastAsia="zh-CN"/>
              </w:rPr>
              <w:t>型开式冷却塔》（</w:t>
            </w:r>
            <w:r>
              <w:rPr>
                <w:color w:val="auto"/>
                <w:highlight w:val="none"/>
                <w:lang w:eastAsia="zh-CN"/>
              </w:rPr>
              <w:t>GB</w:t>
            </w:r>
            <w:r>
              <w:rPr>
                <w:color w:val="auto"/>
                <w:spacing w:val="4"/>
                <w:highlight w:val="none"/>
                <w:lang w:eastAsia="zh-CN"/>
              </w:rPr>
              <w:t xml:space="preserve"> /T 7190.2）</w:t>
            </w:r>
          </w:p>
        </w:tc>
      </w:tr>
      <w:tr w14:paraId="494D57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trPr>
        <w:tc>
          <w:tcPr>
            <w:tcW w:w="578" w:type="dxa"/>
          </w:tcPr>
          <w:p w14:paraId="62C484C4">
            <w:pPr>
              <w:pStyle w:val="248"/>
              <w:spacing w:before="272" w:line="257" w:lineRule="exact"/>
              <w:ind w:left="247"/>
              <w:rPr>
                <w:color w:val="auto"/>
                <w:highlight w:val="none"/>
              </w:rPr>
            </w:pPr>
            <w:r>
              <w:rPr>
                <w:color w:val="auto"/>
                <w:position w:val="1"/>
                <w:highlight w:val="none"/>
              </w:rPr>
              <w:t>7</w:t>
            </w:r>
          </w:p>
        </w:tc>
        <w:tc>
          <w:tcPr>
            <w:tcW w:w="1166" w:type="dxa"/>
          </w:tcPr>
          <w:p w14:paraId="6C9A2B4C">
            <w:pPr>
              <w:pStyle w:val="248"/>
              <w:spacing w:before="273" w:line="228" w:lineRule="auto"/>
              <w:ind w:left="9"/>
              <w:rPr>
                <w:color w:val="auto"/>
                <w:highlight w:val="none"/>
              </w:rPr>
            </w:pPr>
            <w:r>
              <w:rPr>
                <w:color w:val="auto"/>
                <w:spacing w:val="3"/>
                <w:highlight w:val="none"/>
              </w:rPr>
              <w:t>A020601</w:t>
            </w:r>
            <w:r>
              <w:rPr>
                <w:color w:val="auto"/>
                <w:spacing w:val="-19"/>
                <w:highlight w:val="none"/>
              </w:rPr>
              <w:t xml:space="preserve"> </w:t>
            </w:r>
            <w:r>
              <w:rPr>
                <w:color w:val="auto"/>
                <w:spacing w:val="3"/>
                <w:highlight w:val="none"/>
              </w:rPr>
              <w:t>电机</w:t>
            </w:r>
          </w:p>
        </w:tc>
        <w:tc>
          <w:tcPr>
            <w:tcW w:w="1799" w:type="dxa"/>
          </w:tcPr>
          <w:p w14:paraId="767CD45C">
            <w:pPr>
              <w:rPr>
                <w:rFonts w:ascii="Arial"/>
                <w:color w:val="auto"/>
                <w:highlight w:val="none"/>
              </w:rPr>
            </w:pPr>
          </w:p>
        </w:tc>
        <w:tc>
          <w:tcPr>
            <w:tcW w:w="1914" w:type="dxa"/>
          </w:tcPr>
          <w:p w14:paraId="1C60EB07">
            <w:pPr>
              <w:rPr>
                <w:rFonts w:ascii="Arial"/>
                <w:color w:val="auto"/>
                <w:highlight w:val="none"/>
              </w:rPr>
            </w:pPr>
          </w:p>
        </w:tc>
        <w:tc>
          <w:tcPr>
            <w:tcW w:w="2969" w:type="dxa"/>
          </w:tcPr>
          <w:p w14:paraId="0F70B50D">
            <w:pPr>
              <w:pStyle w:val="248"/>
              <w:spacing w:before="116" w:line="296" w:lineRule="auto"/>
              <w:ind w:left="22" w:right="11"/>
              <w:rPr>
                <w:color w:val="auto"/>
                <w:highlight w:val="none"/>
                <w:lang w:eastAsia="zh-CN"/>
              </w:rPr>
            </w:pPr>
            <w:r>
              <w:rPr>
                <w:color w:val="auto"/>
                <w:spacing w:val="19"/>
                <w:highlight w:val="none"/>
                <w:lang w:eastAsia="zh-CN"/>
              </w:rPr>
              <w:t>《中小型三相异步电动机能效限</w:t>
            </w:r>
            <w:r>
              <w:rPr>
                <w:color w:val="auto"/>
                <w:spacing w:val="2"/>
                <w:highlight w:val="none"/>
                <w:lang w:eastAsia="zh-CN"/>
              </w:rPr>
              <w:t xml:space="preserve"> </w:t>
            </w:r>
            <w:r>
              <w:rPr>
                <w:color w:val="auto"/>
                <w:spacing w:val="5"/>
                <w:highlight w:val="none"/>
                <w:lang w:eastAsia="zh-CN"/>
              </w:rPr>
              <w:t>定值及能效等级》（</w:t>
            </w:r>
            <w:r>
              <w:rPr>
                <w:color w:val="auto"/>
                <w:highlight w:val="none"/>
                <w:lang w:eastAsia="zh-CN"/>
              </w:rPr>
              <w:t>GB</w:t>
            </w:r>
            <w:r>
              <w:rPr>
                <w:color w:val="auto"/>
                <w:spacing w:val="42"/>
                <w:highlight w:val="none"/>
                <w:lang w:eastAsia="zh-CN"/>
              </w:rPr>
              <w:t xml:space="preserve"> </w:t>
            </w:r>
            <w:r>
              <w:rPr>
                <w:color w:val="auto"/>
                <w:spacing w:val="5"/>
                <w:highlight w:val="none"/>
                <w:lang w:eastAsia="zh-CN"/>
              </w:rPr>
              <w:t>18613）</w:t>
            </w:r>
          </w:p>
        </w:tc>
      </w:tr>
      <w:tr w14:paraId="0C55DC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3" w:hRule="atLeast"/>
        </w:trPr>
        <w:tc>
          <w:tcPr>
            <w:tcW w:w="578" w:type="dxa"/>
          </w:tcPr>
          <w:p w14:paraId="24F22187">
            <w:pPr>
              <w:pStyle w:val="248"/>
              <w:spacing w:before="251" w:line="257" w:lineRule="exact"/>
              <w:ind w:left="243"/>
              <w:rPr>
                <w:color w:val="auto"/>
                <w:highlight w:val="none"/>
              </w:rPr>
            </w:pPr>
            <w:r>
              <w:rPr>
                <w:color w:val="auto"/>
                <w:position w:val="1"/>
                <w:highlight w:val="none"/>
              </w:rPr>
              <w:t>8</w:t>
            </w:r>
          </w:p>
        </w:tc>
        <w:tc>
          <w:tcPr>
            <w:tcW w:w="1166" w:type="dxa"/>
          </w:tcPr>
          <w:p w14:paraId="5C65672B">
            <w:pPr>
              <w:pStyle w:val="248"/>
              <w:spacing w:before="96" w:line="285" w:lineRule="auto"/>
              <w:ind w:left="15" w:right="8" w:hanging="6"/>
              <w:rPr>
                <w:color w:val="auto"/>
                <w:highlight w:val="none"/>
              </w:rPr>
            </w:pPr>
            <w:r>
              <w:rPr>
                <w:color w:val="auto"/>
                <w:spacing w:val="5"/>
                <w:highlight w:val="none"/>
              </w:rPr>
              <w:t>A020602</w:t>
            </w:r>
            <w:r>
              <w:rPr>
                <w:color w:val="auto"/>
                <w:spacing w:val="-43"/>
                <w:highlight w:val="none"/>
              </w:rPr>
              <w:t xml:space="preserve"> </w:t>
            </w:r>
            <w:r>
              <w:rPr>
                <w:color w:val="auto"/>
                <w:spacing w:val="5"/>
                <w:highlight w:val="none"/>
              </w:rPr>
              <w:t>变压</w:t>
            </w:r>
            <w:r>
              <w:rPr>
                <w:color w:val="auto"/>
                <w:highlight w:val="none"/>
              </w:rPr>
              <w:t xml:space="preserve"> </w:t>
            </w:r>
            <w:r>
              <w:rPr>
                <w:color w:val="auto"/>
                <w:spacing w:val="1"/>
                <w:highlight w:val="none"/>
              </w:rPr>
              <w:t>器</w:t>
            </w:r>
          </w:p>
        </w:tc>
        <w:tc>
          <w:tcPr>
            <w:tcW w:w="1799" w:type="dxa"/>
          </w:tcPr>
          <w:p w14:paraId="12307619">
            <w:pPr>
              <w:pStyle w:val="248"/>
              <w:spacing w:before="252" w:line="230" w:lineRule="auto"/>
              <w:ind w:left="15"/>
              <w:rPr>
                <w:color w:val="auto"/>
                <w:highlight w:val="none"/>
              </w:rPr>
            </w:pPr>
            <w:r>
              <w:rPr>
                <w:color w:val="auto"/>
                <w:spacing w:val="8"/>
                <w:highlight w:val="none"/>
              </w:rPr>
              <w:t>配电变压器</w:t>
            </w:r>
          </w:p>
        </w:tc>
        <w:tc>
          <w:tcPr>
            <w:tcW w:w="1914" w:type="dxa"/>
          </w:tcPr>
          <w:p w14:paraId="09C385C1">
            <w:pPr>
              <w:rPr>
                <w:rFonts w:ascii="Arial"/>
                <w:color w:val="auto"/>
                <w:highlight w:val="none"/>
              </w:rPr>
            </w:pPr>
          </w:p>
        </w:tc>
        <w:tc>
          <w:tcPr>
            <w:tcW w:w="2969" w:type="dxa"/>
          </w:tcPr>
          <w:p w14:paraId="2C920352">
            <w:pPr>
              <w:pStyle w:val="248"/>
              <w:spacing w:before="96" w:line="285" w:lineRule="auto"/>
              <w:ind w:left="25" w:right="11" w:hanging="2"/>
              <w:rPr>
                <w:color w:val="auto"/>
                <w:highlight w:val="none"/>
                <w:lang w:eastAsia="zh-CN"/>
              </w:rPr>
            </w:pPr>
            <w:r>
              <w:rPr>
                <w:color w:val="auto"/>
                <w:spacing w:val="19"/>
                <w:highlight w:val="none"/>
                <w:lang w:eastAsia="zh-CN"/>
              </w:rPr>
              <w:t>《三相配电变压器能效限定值及</w:t>
            </w:r>
            <w:r>
              <w:rPr>
                <w:color w:val="auto"/>
                <w:spacing w:val="2"/>
                <w:highlight w:val="none"/>
                <w:lang w:eastAsia="zh-CN"/>
              </w:rPr>
              <w:t xml:space="preserve"> </w:t>
            </w:r>
            <w:r>
              <w:rPr>
                <w:color w:val="auto"/>
                <w:spacing w:val="6"/>
                <w:highlight w:val="none"/>
                <w:lang w:eastAsia="zh-CN"/>
              </w:rPr>
              <w:t>能效等级》（</w:t>
            </w:r>
            <w:r>
              <w:rPr>
                <w:color w:val="auto"/>
                <w:highlight w:val="none"/>
                <w:lang w:eastAsia="zh-CN"/>
              </w:rPr>
              <w:t>GB</w:t>
            </w:r>
            <w:r>
              <w:rPr>
                <w:color w:val="auto"/>
                <w:spacing w:val="6"/>
                <w:highlight w:val="none"/>
                <w:lang w:eastAsia="zh-CN"/>
              </w:rPr>
              <w:t xml:space="preserve"> 20052）</w:t>
            </w:r>
          </w:p>
        </w:tc>
      </w:tr>
      <w:tr w14:paraId="61270B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5" w:hRule="atLeast"/>
        </w:trPr>
        <w:tc>
          <w:tcPr>
            <w:tcW w:w="578" w:type="dxa"/>
          </w:tcPr>
          <w:p w14:paraId="6FB91647">
            <w:pPr>
              <w:spacing w:line="284" w:lineRule="auto"/>
              <w:rPr>
                <w:rFonts w:ascii="Arial"/>
                <w:color w:val="auto"/>
                <w:highlight w:val="none"/>
              </w:rPr>
            </w:pPr>
          </w:p>
          <w:p w14:paraId="3BC242A5">
            <w:pPr>
              <w:pStyle w:val="248"/>
              <w:spacing w:before="62" w:line="256" w:lineRule="exact"/>
              <w:ind w:left="243"/>
              <w:rPr>
                <w:color w:val="auto"/>
                <w:highlight w:val="none"/>
              </w:rPr>
            </w:pPr>
            <w:r>
              <w:rPr>
                <w:color w:val="auto"/>
                <w:position w:val="1"/>
                <w:highlight w:val="none"/>
              </w:rPr>
              <w:t>9</w:t>
            </w:r>
          </w:p>
        </w:tc>
        <w:tc>
          <w:tcPr>
            <w:tcW w:w="1166" w:type="dxa"/>
          </w:tcPr>
          <w:p w14:paraId="36B8880A">
            <w:pPr>
              <w:pStyle w:val="248"/>
              <w:spacing w:before="192" w:line="306" w:lineRule="auto"/>
              <w:ind w:left="16" w:right="8" w:firstLine="2"/>
              <w:rPr>
                <w:color w:val="auto"/>
                <w:highlight w:val="none"/>
              </w:rPr>
            </w:pPr>
            <w:r>
              <w:rPr>
                <w:color w:val="auto"/>
                <w:spacing w:val="4"/>
                <w:highlight w:val="none"/>
              </w:rPr>
              <w:t>★A020609</w:t>
            </w:r>
            <w:r>
              <w:rPr>
                <w:color w:val="auto"/>
                <w:spacing w:val="-43"/>
                <w:highlight w:val="none"/>
              </w:rPr>
              <w:t xml:space="preserve"> </w:t>
            </w:r>
            <w:r>
              <w:rPr>
                <w:color w:val="auto"/>
                <w:spacing w:val="4"/>
                <w:highlight w:val="none"/>
              </w:rPr>
              <w:t>镇</w:t>
            </w:r>
            <w:r>
              <w:rPr>
                <w:color w:val="auto"/>
                <w:highlight w:val="none"/>
              </w:rPr>
              <w:t xml:space="preserve"> </w:t>
            </w:r>
            <w:r>
              <w:rPr>
                <w:color w:val="auto"/>
                <w:spacing w:val="4"/>
                <w:highlight w:val="none"/>
              </w:rPr>
              <w:t>流器</w:t>
            </w:r>
          </w:p>
        </w:tc>
        <w:tc>
          <w:tcPr>
            <w:tcW w:w="1799" w:type="dxa"/>
          </w:tcPr>
          <w:p w14:paraId="20E22ECE">
            <w:pPr>
              <w:spacing w:line="284" w:lineRule="auto"/>
              <w:rPr>
                <w:rFonts w:ascii="Arial"/>
                <w:color w:val="auto"/>
                <w:highlight w:val="none"/>
              </w:rPr>
            </w:pPr>
          </w:p>
          <w:p w14:paraId="7DBC3678">
            <w:pPr>
              <w:pStyle w:val="248"/>
              <w:spacing w:before="62" w:line="229" w:lineRule="auto"/>
              <w:ind w:left="19"/>
              <w:rPr>
                <w:color w:val="auto"/>
                <w:highlight w:val="none"/>
              </w:rPr>
            </w:pPr>
            <w:r>
              <w:rPr>
                <w:color w:val="auto"/>
                <w:spacing w:val="8"/>
                <w:highlight w:val="none"/>
              </w:rPr>
              <w:t>管型荧光灯镇流器</w:t>
            </w:r>
          </w:p>
        </w:tc>
        <w:tc>
          <w:tcPr>
            <w:tcW w:w="1914" w:type="dxa"/>
          </w:tcPr>
          <w:p w14:paraId="760D75F9">
            <w:pPr>
              <w:rPr>
                <w:rFonts w:ascii="Arial"/>
                <w:color w:val="auto"/>
                <w:highlight w:val="none"/>
              </w:rPr>
            </w:pPr>
          </w:p>
        </w:tc>
        <w:tc>
          <w:tcPr>
            <w:tcW w:w="2969" w:type="dxa"/>
          </w:tcPr>
          <w:p w14:paraId="4BCFEC0E">
            <w:pPr>
              <w:pStyle w:val="248"/>
              <w:spacing w:before="192" w:line="304" w:lineRule="auto"/>
              <w:ind w:left="17" w:right="11" w:firstLine="6"/>
              <w:rPr>
                <w:color w:val="auto"/>
                <w:highlight w:val="none"/>
                <w:lang w:eastAsia="zh-CN"/>
              </w:rPr>
            </w:pPr>
            <w:r>
              <w:rPr>
                <w:color w:val="auto"/>
                <w:spacing w:val="19"/>
                <w:highlight w:val="none"/>
                <w:lang w:eastAsia="zh-CN"/>
              </w:rPr>
              <w:t>《管形荧光灯镇流器能效限定值</w:t>
            </w:r>
            <w:r>
              <w:rPr>
                <w:color w:val="auto"/>
                <w:spacing w:val="2"/>
                <w:highlight w:val="none"/>
                <w:lang w:eastAsia="zh-CN"/>
              </w:rPr>
              <w:t xml:space="preserve"> </w:t>
            </w:r>
            <w:r>
              <w:rPr>
                <w:color w:val="auto"/>
                <w:spacing w:val="5"/>
                <w:highlight w:val="none"/>
                <w:lang w:eastAsia="zh-CN"/>
              </w:rPr>
              <w:t>及能效等级》（</w:t>
            </w:r>
            <w:r>
              <w:rPr>
                <w:color w:val="auto"/>
                <w:highlight w:val="none"/>
                <w:lang w:eastAsia="zh-CN"/>
              </w:rPr>
              <w:t>GB</w:t>
            </w:r>
            <w:r>
              <w:rPr>
                <w:color w:val="auto"/>
                <w:spacing w:val="39"/>
                <w:highlight w:val="none"/>
                <w:lang w:eastAsia="zh-CN"/>
              </w:rPr>
              <w:t xml:space="preserve"> </w:t>
            </w:r>
            <w:r>
              <w:rPr>
                <w:color w:val="auto"/>
                <w:spacing w:val="5"/>
                <w:highlight w:val="none"/>
                <w:lang w:eastAsia="zh-CN"/>
              </w:rPr>
              <w:t>17896）</w:t>
            </w:r>
          </w:p>
        </w:tc>
      </w:tr>
      <w:tr w14:paraId="6F51EE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9" w:hRule="atLeast"/>
        </w:trPr>
        <w:tc>
          <w:tcPr>
            <w:tcW w:w="578" w:type="dxa"/>
            <w:vMerge w:val="restart"/>
            <w:tcBorders>
              <w:bottom w:val="nil"/>
            </w:tcBorders>
          </w:tcPr>
          <w:p w14:paraId="5297AF78">
            <w:pPr>
              <w:spacing w:line="258" w:lineRule="auto"/>
              <w:rPr>
                <w:rFonts w:ascii="Arial"/>
                <w:color w:val="auto"/>
                <w:highlight w:val="none"/>
              </w:rPr>
            </w:pPr>
          </w:p>
          <w:p w14:paraId="56E29F30">
            <w:pPr>
              <w:spacing w:line="258" w:lineRule="auto"/>
              <w:rPr>
                <w:rFonts w:ascii="Arial"/>
                <w:color w:val="auto"/>
                <w:highlight w:val="none"/>
              </w:rPr>
            </w:pPr>
          </w:p>
          <w:p w14:paraId="61A53F1C">
            <w:pPr>
              <w:spacing w:line="258" w:lineRule="auto"/>
              <w:rPr>
                <w:rFonts w:ascii="Arial"/>
                <w:color w:val="auto"/>
                <w:highlight w:val="none"/>
              </w:rPr>
            </w:pPr>
          </w:p>
          <w:p w14:paraId="3E07061F">
            <w:pPr>
              <w:spacing w:line="258" w:lineRule="auto"/>
              <w:rPr>
                <w:rFonts w:ascii="Arial"/>
                <w:color w:val="auto"/>
                <w:highlight w:val="none"/>
              </w:rPr>
            </w:pPr>
          </w:p>
          <w:p w14:paraId="052CB564">
            <w:pPr>
              <w:spacing w:line="258" w:lineRule="auto"/>
              <w:rPr>
                <w:rFonts w:ascii="Arial"/>
                <w:color w:val="auto"/>
                <w:highlight w:val="none"/>
              </w:rPr>
            </w:pPr>
          </w:p>
          <w:p w14:paraId="43CC0E84">
            <w:pPr>
              <w:spacing w:line="258" w:lineRule="auto"/>
              <w:rPr>
                <w:rFonts w:ascii="Arial"/>
                <w:color w:val="auto"/>
                <w:highlight w:val="none"/>
              </w:rPr>
            </w:pPr>
          </w:p>
          <w:p w14:paraId="6CEA72AC">
            <w:pPr>
              <w:spacing w:line="259" w:lineRule="auto"/>
              <w:rPr>
                <w:rFonts w:ascii="Arial"/>
                <w:color w:val="auto"/>
                <w:highlight w:val="none"/>
              </w:rPr>
            </w:pPr>
          </w:p>
          <w:p w14:paraId="3ADE8AFE">
            <w:pPr>
              <w:spacing w:line="259" w:lineRule="auto"/>
              <w:rPr>
                <w:rFonts w:ascii="Arial"/>
                <w:color w:val="auto"/>
                <w:highlight w:val="none"/>
              </w:rPr>
            </w:pPr>
          </w:p>
          <w:p w14:paraId="6638A625">
            <w:pPr>
              <w:spacing w:line="259" w:lineRule="auto"/>
              <w:rPr>
                <w:rFonts w:ascii="Arial"/>
                <w:color w:val="auto"/>
                <w:highlight w:val="none"/>
              </w:rPr>
            </w:pPr>
          </w:p>
          <w:p w14:paraId="577FD231">
            <w:pPr>
              <w:spacing w:line="259" w:lineRule="auto"/>
              <w:rPr>
                <w:rFonts w:ascii="Arial"/>
                <w:color w:val="auto"/>
                <w:highlight w:val="none"/>
              </w:rPr>
            </w:pPr>
          </w:p>
          <w:p w14:paraId="642566CD">
            <w:pPr>
              <w:pStyle w:val="248"/>
              <w:spacing w:before="62" w:line="256" w:lineRule="exact"/>
              <w:ind w:left="209"/>
              <w:rPr>
                <w:color w:val="auto"/>
                <w:highlight w:val="none"/>
              </w:rPr>
            </w:pPr>
            <w:r>
              <w:rPr>
                <w:color w:val="auto"/>
                <w:spacing w:val="-7"/>
                <w:position w:val="1"/>
                <w:highlight w:val="none"/>
              </w:rPr>
              <w:t>10</w:t>
            </w:r>
          </w:p>
        </w:tc>
        <w:tc>
          <w:tcPr>
            <w:tcW w:w="1166" w:type="dxa"/>
            <w:vMerge w:val="restart"/>
            <w:tcBorders>
              <w:bottom w:val="nil"/>
            </w:tcBorders>
          </w:tcPr>
          <w:p w14:paraId="40C0DBB8">
            <w:pPr>
              <w:spacing w:line="242" w:lineRule="auto"/>
              <w:rPr>
                <w:rFonts w:ascii="Arial"/>
                <w:color w:val="auto"/>
                <w:highlight w:val="none"/>
              </w:rPr>
            </w:pPr>
          </w:p>
          <w:p w14:paraId="216F0D96">
            <w:pPr>
              <w:spacing w:line="243" w:lineRule="auto"/>
              <w:rPr>
                <w:rFonts w:ascii="Arial"/>
                <w:color w:val="auto"/>
                <w:highlight w:val="none"/>
              </w:rPr>
            </w:pPr>
          </w:p>
          <w:p w14:paraId="665E821B">
            <w:pPr>
              <w:spacing w:line="243" w:lineRule="auto"/>
              <w:rPr>
                <w:rFonts w:ascii="Arial"/>
                <w:color w:val="auto"/>
                <w:highlight w:val="none"/>
              </w:rPr>
            </w:pPr>
          </w:p>
          <w:p w14:paraId="4E930BDA">
            <w:pPr>
              <w:spacing w:line="243" w:lineRule="auto"/>
              <w:rPr>
                <w:rFonts w:ascii="Arial"/>
                <w:color w:val="auto"/>
                <w:highlight w:val="none"/>
              </w:rPr>
            </w:pPr>
          </w:p>
          <w:p w14:paraId="2D23CEF8">
            <w:pPr>
              <w:spacing w:line="243" w:lineRule="auto"/>
              <w:rPr>
                <w:rFonts w:ascii="Arial"/>
                <w:color w:val="auto"/>
                <w:highlight w:val="none"/>
              </w:rPr>
            </w:pPr>
          </w:p>
          <w:p w14:paraId="0AA3A2BD">
            <w:pPr>
              <w:spacing w:line="243" w:lineRule="auto"/>
              <w:rPr>
                <w:rFonts w:ascii="Arial"/>
                <w:color w:val="auto"/>
                <w:highlight w:val="none"/>
              </w:rPr>
            </w:pPr>
          </w:p>
          <w:p w14:paraId="4380AFE8">
            <w:pPr>
              <w:spacing w:line="243" w:lineRule="auto"/>
              <w:rPr>
                <w:rFonts w:ascii="Arial"/>
                <w:color w:val="auto"/>
                <w:highlight w:val="none"/>
              </w:rPr>
            </w:pPr>
          </w:p>
          <w:p w14:paraId="09380C5E">
            <w:pPr>
              <w:spacing w:line="243" w:lineRule="auto"/>
              <w:rPr>
                <w:rFonts w:ascii="Arial"/>
                <w:color w:val="auto"/>
                <w:highlight w:val="none"/>
              </w:rPr>
            </w:pPr>
          </w:p>
          <w:p w14:paraId="5092F413">
            <w:pPr>
              <w:spacing w:line="243" w:lineRule="auto"/>
              <w:rPr>
                <w:rFonts w:ascii="Arial"/>
                <w:color w:val="auto"/>
                <w:highlight w:val="none"/>
              </w:rPr>
            </w:pPr>
          </w:p>
          <w:p w14:paraId="4A6465C1">
            <w:pPr>
              <w:spacing w:line="243" w:lineRule="auto"/>
              <w:rPr>
                <w:rFonts w:ascii="Arial"/>
                <w:color w:val="auto"/>
                <w:highlight w:val="none"/>
              </w:rPr>
            </w:pPr>
          </w:p>
          <w:p w14:paraId="7D202C64">
            <w:pPr>
              <w:pStyle w:val="248"/>
              <w:spacing w:before="62" w:line="305" w:lineRule="auto"/>
              <w:ind w:left="16" w:right="8" w:hanging="7"/>
              <w:rPr>
                <w:color w:val="auto"/>
                <w:highlight w:val="none"/>
              </w:rPr>
            </w:pPr>
            <w:r>
              <w:rPr>
                <w:color w:val="auto"/>
                <w:spacing w:val="4"/>
                <w:highlight w:val="none"/>
              </w:rPr>
              <w:t>A020618</w:t>
            </w:r>
            <w:r>
              <w:rPr>
                <w:color w:val="auto"/>
                <w:spacing w:val="-34"/>
                <w:highlight w:val="none"/>
              </w:rPr>
              <w:t xml:space="preserve"> </w:t>
            </w:r>
            <w:r>
              <w:rPr>
                <w:color w:val="auto"/>
                <w:spacing w:val="4"/>
                <w:highlight w:val="none"/>
              </w:rPr>
              <w:t>生活</w:t>
            </w:r>
            <w:r>
              <w:rPr>
                <w:color w:val="auto"/>
                <w:highlight w:val="none"/>
              </w:rPr>
              <w:t xml:space="preserve"> </w:t>
            </w:r>
            <w:r>
              <w:rPr>
                <w:color w:val="auto"/>
                <w:spacing w:val="6"/>
                <w:highlight w:val="none"/>
              </w:rPr>
              <w:t>用电器</w:t>
            </w:r>
          </w:p>
        </w:tc>
        <w:tc>
          <w:tcPr>
            <w:tcW w:w="1799" w:type="dxa"/>
          </w:tcPr>
          <w:p w14:paraId="6153591D">
            <w:pPr>
              <w:pStyle w:val="248"/>
              <w:spacing w:before="276" w:line="230" w:lineRule="auto"/>
              <w:ind w:left="9"/>
              <w:rPr>
                <w:color w:val="auto"/>
                <w:highlight w:val="none"/>
              </w:rPr>
            </w:pPr>
            <w:r>
              <w:rPr>
                <w:color w:val="auto"/>
                <w:spacing w:val="3"/>
                <w:highlight w:val="none"/>
              </w:rPr>
              <w:t>A0206180101</w:t>
            </w:r>
            <w:r>
              <w:rPr>
                <w:color w:val="auto"/>
                <w:spacing w:val="-4"/>
                <w:highlight w:val="none"/>
              </w:rPr>
              <w:t xml:space="preserve"> </w:t>
            </w:r>
            <w:r>
              <w:rPr>
                <w:color w:val="auto"/>
                <w:spacing w:val="3"/>
                <w:highlight w:val="none"/>
              </w:rPr>
              <w:t>电冰箱</w:t>
            </w:r>
          </w:p>
        </w:tc>
        <w:tc>
          <w:tcPr>
            <w:tcW w:w="1914" w:type="dxa"/>
          </w:tcPr>
          <w:p w14:paraId="7F49B9FA">
            <w:pPr>
              <w:rPr>
                <w:rFonts w:ascii="Arial"/>
                <w:color w:val="auto"/>
                <w:highlight w:val="none"/>
              </w:rPr>
            </w:pPr>
          </w:p>
        </w:tc>
        <w:tc>
          <w:tcPr>
            <w:tcW w:w="2969" w:type="dxa"/>
          </w:tcPr>
          <w:p w14:paraId="3459734E">
            <w:pPr>
              <w:pStyle w:val="248"/>
              <w:spacing w:before="119" w:line="296" w:lineRule="auto"/>
              <w:ind w:left="22" w:right="11"/>
              <w:rPr>
                <w:color w:val="auto"/>
                <w:highlight w:val="none"/>
                <w:lang w:eastAsia="zh-CN"/>
              </w:rPr>
            </w:pPr>
            <w:r>
              <w:rPr>
                <w:color w:val="auto"/>
                <w:spacing w:val="19"/>
                <w:highlight w:val="none"/>
                <w:lang w:eastAsia="zh-CN"/>
              </w:rPr>
              <w:t>《家用电冰箱耗电量限定值及能</w:t>
            </w:r>
            <w:r>
              <w:rPr>
                <w:color w:val="auto"/>
                <w:spacing w:val="2"/>
                <w:highlight w:val="none"/>
                <w:lang w:eastAsia="zh-CN"/>
              </w:rPr>
              <w:t xml:space="preserve"> </w:t>
            </w:r>
            <w:r>
              <w:rPr>
                <w:color w:val="auto"/>
                <w:spacing w:val="4"/>
                <w:highlight w:val="none"/>
                <w:lang w:eastAsia="zh-CN"/>
              </w:rPr>
              <w:t>效等级》（</w:t>
            </w:r>
            <w:r>
              <w:rPr>
                <w:color w:val="auto"/>
                <w:highlight w:val="none"/>
                <w:lang w:eastAsia="zh-CN"/>
              </w:rPr>
              <w:t>GB</w:t>
            </w:r>
            <w:r>
              <w:rPr>
                <w:color w:val="auto"/>
                <w:spacing w:val="20"/>
                <w:highlight w:val="none"/>
                <w:lang w:eastAsia="zh-CN"/>
              </w:rPr>
              <w:t xml:space="preserve">  </w:t>
            </w:r>
            <w:r>
              <w:rPr>
                <w:color w:val="auto"/>
                <w:spacing w:val="4"/>
                <w:highlight w:val="none"/>
                <w:lang w:eastAsia="zh-CN"/>
              </w:rPr>
              <w:t>12021.2）</w:t>
            </w:r>
          </w:p>
        </w:tc>
      </w:tr>
      <w:tr w14:paraId="08C85F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88" w:hRule="atLeast"/>
        </w:trPr>
        <w:tc>
          <w:tcPr>
            <w:tcW w:w="578" w:type="dxa"/>
            <w:vMerge w:val="continue"/>
            <w:tcBorders>
              <w:top w:val="nil"/>
              <w:bottom w:val="nil"/>
            </w:tcBorders>
          </w:tcPr>
          <w:p w14:paraId="3FEA66A5">
            <w:pPr>
              <w:rPr>
                <w:rFonts w:ascii="Arial"/>
                <w:color w:val="auto"/>
                <w:highlight w:val="none"/>
              </w:rPr>
            </w:pPr>
          </w:p>
        </w:tc>
        <w:tc>
          <w:tcPr>
            <w:tcW w:w="1166" w:type="dxa"/>
            <w:vMerge w:val="continue"/>
            <w:tcBorders>
              <w:top w:val="nil"/>
              <w:bottom w:val="nil"/>
            </w:tcBorders>
          </w:tcPr>
          <w:p w14:paraId="5E8FDF91">
            <w:pPr>
              <w:rPr>
                <w:rFonts w:ascii="Arial"/>
                <w:color w:val="auto"/>
                <w:highlight w:val="none"/>
              </w:rPr>
            </w:pPr>
          </w:p>
        </w:tc>
        <w:tc>
          <w:tcPr>
            <w:tcW w:w="1799" w:type="dxa"/>
            <w:vMerge w:val="restart"/>
            <w:tcBorders>
              <w:bottom w:val="nil"/>
            </w:tcBorders>
          </w:tcPr>
          <w:p w14:paraId="2BF33C86">
            <w:pPr>
              <w:spacing w:line="247" w:lineRule="auto"/>
              <w:rPr>
                <w:rFonts w:ascii="Arial"/>
                <w:color w:val="auto"/>
                <w:highlight w:val="none"/>
              </w:rPr>
            </w:pPr>
          </w:p>
          <w:p w14:paraId="73067CF4">
            <w:pPr>
              <w:spacing w:line="248" w:lineRule="auto"/>
              <w:rPr>
                <w:rFonts w:ascii="Arial"/>
                <w:color w:val="auto"/>
                <w:highlight w:val="none"/>
              </w:rPr>
            </w:pPr>
          </w:p>
          <w:p w14:paraId="25299A83">
            <w:pPr>
              <w:spacing w:line="248" w:lineRule="auto"/>
              <w:rPr>
                <w:rFonts w:ascii="Arial"/>
                <w:color w:val="auto"/>
                <w:highlight w:val="none"/>
              </w:rPr>
            </w:pPr>
          </w:p>
          <w:p w14:paraId="4E4E5811">
            <w:pPr>
              <w:spacing w:line="248" w:lineRule="auto"/>
              <w:rPr>
                <w:rFonts w:ascii="Arial"/>
                <w:color w:val="auto"/>
                <w:highlight w:val="none"/>
              </w:rPr>
            </w:pPr>
          </w:p>
          <w:p w14:paraId="539E6E83">
            <w:pPr>
              <w:spacing w:line="248" w:lineRule="auto"/>
              <w:rPr>
                <w:rFonts w:ascii="Arial"/>
                <w:color w:val="auto"/>
                <w:highlight w:val="none"/>
              </w:rPr>
            </w:pPr>
          </w:p>
          <w:p w14:paraId="71756E70">
            <w:pPr>
              <w:spacing w:line="248" w:lineRule="auto"/>
              <w:rPr>
                <w:rFonts w:ascii="Arial"/>
                <w:color w:val="auto"/>
                <w:highlight w:val="none"/>
              </w:rPr>
            </w:pPr>
          </w:p>
          <w:p w14:paraId="7252EBDF">
            <w:pPr>
              <w:spacing w:line="248" w:lineRule="auto"/>
              <w:rPr>
                <w:rFonts w:ascii="Arial"/>
                <w:color w:val="auto"/>
                <w:highlight w:val="none"/>
              </w:rPr>
            </w:pPr>
          </w:p>
          <w:p w14:paraId="08C12DD1">
            <w:pPr>
              <w:pStyle w:val="248"/>
              <w:spacing w:before="62" w:line="304" w:lineRule="auto"/>
              <w:ind w:left="14" w:right="10" w:firstLine="3"/>
              <w:rPr>
                <w:color w:val="auto"/>
                <w:highlight w:val="none"/>
              </w:rPr>
            </w:pPr>
            <w:r>
              <w:rPr>
                <w:color w:val="auto"/>
                <w:spacing w:val="3"/>
                <w:highlight w:val="none"/>
              </w:rPr>
              <w:t>★A0206180203 空调</w:t>
            </w:r>
            <w:r>
              <w:rPr>
                <w:color w:val="auto"/>
                <w:spacing w:val="9"/>
                <w:highlight w:val="none"/>
              </w:rPr>
              <w:t xml:space="preserve"> </w:t>
            </w:r>
            <w:r>
              <w:rPr>
                <w:color w:val="auto"/>
                <w:spacing w:val="2"/>
                <w:highlight w:val="none"/>
              </w:rPr>
              <w:t>机</w:t>
            </w:r>
          </w:p>
        </w:tc>
        <w:tc>
          <w:tcPr>
            <w:tcW w:w="1914" w:type="dxa"/>
          </w:tcPr>
          <w:p w14:paraId="1D59DFB8">
            <w:pPr>
              <w:spacing w:line="261" w:lineRule="auto"/>
              <w:rPr>
                <w:rFonts w:ascii="Arial"/>
                <w:color w:val="auto"/>
                <w:highlight w:val="none"/>
              </w:rPr>
            </w:pPr>
          </w:p>
          <w:p w14:paraId="1BC4BC2A">
            <w:pPr>
              <w:spacing w:line="261" w:lineRule="auto"/>
              <w:rPr>
                <w:rFonts w:ascii="Arial"/>
                <w:color w:val="auto"/>
                <w:highlight w:val="none"/>
              </w:rPr>
            </w:pPr>
          </w:p>
          <w:p w14:paraId="0456EE04">
            <w:pPr>
              <w:spacing w:line="261" w:lineRule="auto"/>
              <w:rPr>
                <w:rFonts w:ascii="Arial"/>
                <w:color w:val="auto"/>
                <w:highlight w:val="none"/>
              </w:rPr>
            </w:pPr>
          </w:p>
          <w:p w14:paraId="6A4B4D81">
            <w:pPr>
              <w:pStyle w:val="248"/>
              <w:spacing w:before="62" w:line="230" w:lineRule="auto"/>
              <w:ind w:left="17"/>
              <w:rPr>
                <w:color w:val="auto"/>
                <w:highlight w:val="none"/>
              </w:rPr>
            </w:pPr>
            <w:r>
              <w:rPr>
                <w:color w:val="auto"/>
                <w:spacing w:val="8"/>
                <w:highlight w:val="none"/>
              </w:rPr>
              <w:t>房间空气调节器</w:t>
            </w:r>
          </w:p>
        </w:tc>
        <w:tc>
          <w:tcPr>
            <w:tcW w:w="2969" w:type="dxa"/>
          </w:tcPr>
          <w:p w14:paraId="2B64A811">
            <w:pPr>
              <w:pStyle w:val="248"/>
              <w:spacing w:before="68" w:line="293" w:lineRule="auto"/>
              <w:ind w:left="17" w:firstLine="5"/>
              <w:rPr>
                <w:color w:val="auto"/>
                <w:highlight w:val="none"/>
                <w:lang w:eastAsia="zh-CN"/>
              </w:rPr>
            </w:pPr>
            <w:r>
              <w:rPr>
                <w:color w:val="auto"/>
                <w:spacing w:val="14"/>
                <w:highlight w:val="none"/>
                <w:lang w:eastAsia="zh-CN"/>
              </w:rPr>
              <w:t>《转速可控型房间空气调节器能</w:t>
            </w:r>
            <w:r>
              <w:rPr>
                <w:color w:val="auto"/>
                <w:highlight w:val="none"/>
                <w:lang w:eastAsia="zh-CN"/>
              </w:rPr>
              <w:t xml:space="preserve">  </w:t>
            </w:r>
            <w:r>
              <w:rPr>
                <w:color w:val="auto"/>
                <w:spacing w:val="-9"/>
                <w:highlight w:val="none"/>
                <w:lang w:eastAsia="zh-CN"/>
              </w:rPr>
              <w:t>效</w:t>
            </w:r>
            <w:r>
              <w:rPr>
                <w:color w:val="auto"/>
                <w:spacing w:val="-19"/>
                <w:highlight w:val="none"/>
                <w:lang w:eastAsia="zh-CN"/>
              </w:rPr>
              <w:t xml:space="preserve"> </w:t>
            </w:r>
            <w:r>
              <w:rPr>
                <w:color w:val="auto"/>
                <w:spacing w:val="-9"/>
                <w:highlight w:val="none"/>
                <w:lang w:eastAsia="zh-CN"/>
              </w:rPr>
              <w:t>限</w:t>
            </w:r>
            <w:r>
              <w:rPr>
                <w:color w:val="auto"/>
                <w:spacing w:val="-33"/>
                <w:highlight w:val="none"/>
                <w:lang w:eastAsia="zh-CN"/>
              </w:rPr>
              <w:t xml:space="preserve"> </w:t>
            </w:r>
            <w:r>
              <w:rPr>
                <w:color w:val="auto"/>
                <w:spacing w:val="-9"/>
                <w:highlight w:val="none"/>
                <w:lang w:eastAsia="zh-CN"/>
              </w:rPr>
              <w:t>定</w:t>
            </w:r>
            <w:r>
              <w:rPr>
                <w:color w:val="auto"/>
                <w:spacing w:val="-38"/>
                <w:highlight w:val="none"/>
                <w:lang w:eastAsia="zh-CN"/>
              </w:rPr>
              <w:t xml:space="preserve"> </w:t>
            </w:r>
            <w:r>
              <w:rPr>
                <w:color w:val="auto"/>
                <w:spacing w:val="-9"/>
                <w:highlight w:val="none"/>
                <w:lang w:eastAsia="zh-CN"/>
              </w:rPr>
              <w:t>值</w:t>
            </w:r>
            <w:r>
              <w:rPr>
                <w:color w:val="auto"/>
                <w:spacing w:val="-39"/>
                <w:highlight w:val="none"/>
                <w:lang w:eastAsia="zh-CN"/>
              </w:rPr>
              <w:t xml:space="preserve"> </w:t>
            </w:r>
            <w:r>
              <w:rPr>
                <w:color w:val="auto"/>
                <w:spacing w:val="-9"/>
                <w:highlight w:val="none"/>
                <w:lang w:eastAsia="zh-CN"/>
              </w:rPr>
              <w:t>及</w:t>
            </w:r>
            <w:r>
              <w:rPr>
                <w:color w:val="auto"/>
                <w:spacing w:val="-31"/>
                <w:highlight w:val="none"/>
                <w:lang w:eastAsia="zh-CN"/>
              </w:rPr>
              <w:t xml:space="preserve"> </w:t>
            </w:r>
            <w:r>
              <w:rPr>
                <w:color w:val="auto"/>
                <w:spacing w:val="-9"/>
                <w:highlight w:val="none"/>
                <w:lang w:eastAsia="zh-CN"/>
              </w:rPr>
              <w:t>能</w:t>
            </w:r>
            <w:r>
              <w:rPr>
                <w:color w:val="auto"/>
                <w:spacing w:val="-34"/>
                <w:highlight w:val="none"/>
                <w:lang w:eastAsia="zh-CN"/>
              </w:rPr>
              <w:t xml:space="preserve"> </w:t>
            </w:r>
            <w:r>
              <w:rPr>
                <w:color w:val="auto"/>
                <w:spacing w:val="-9"/>
                <w:highlight w:val="none"/>
                <w:lang w:eastAsia="zh-CN"/>
              </w:rPr>
              <w:t>效</w:t>
            </w:r>
            <w:r>
              <w:rPr>
                <w:color w:val="auto"/>
                <w:spacing w:val="-36"/>
                <w:highlight w:val="none"/>
                <w:lang w:eastAsia="zh-CN"/>
              </w:rPr>
              <w:t xml:space="preserve"> </w:t>
            </w:r>
            <w:r>
              <w:rPr>
                <w:color w:val="auto"/>
                <w:spacing w:val="-9"/>
                <w:highlight w:val="none"/>
                <w:lang w:eastAsia="zh-CN"/>
              </w:rPr>
              <w:t>等</w:t>
            </w:r>
            <w:r>
              <w:rPr>
                <w:color w:val="auto"/>
                <w:spacing w:val="-36"/>
                <w:highlight w:val="none"/>
                <w:lang w:eastAsia="zh-CN"/>
              </w:rPr>
              <w:t xml:space="preserve"> </w:t>
            </w:r>
            <w:r>
              <w:rPr>
                <w:color w:val="auto"/>
                <w:spacing w:val="-9"/>
                <w:highlight w:val="none"/>
                <w:lang w:eastAsia="zh-CN"/>
              </w:rPr>
              <w:t>级</w:t>
            </w:r>
            <w:r>
              <w:rPr>
                <w:color w:val="auto"/>
                <w:spacing w:val="-29"/>
                <w:highlight w:val="none"/>
                <w:lang w:eastAsia="zh-CN"/>
              </w:rPr>
              <w:t xml:space="preserve"> </w:t>
            </w:r>
            <w:r>
              <w:rPr>
                <w:color w:val="auto"/>
                <w:spacing w:val="-9"/>
                <w:highlight w:val="none"/>
                <w:lang w:eastAsia="zh-CN"/>
              </w:rPr>
              <w:t>》</w:t>
            </w:r>
            <w:r>
              <w:rPr>
                <w:color w:val="auto"/>
                <w:spacing w:val="-41"/>
                <w:highlight w:val="none"/>
                <w:lang w:eastAsia="zh-CN"/>
              </w:rPr>
              <w:t xml:space="preserve"> </w:t>
            </w:r>
            <w:r>
              <w:rPr>
                <w:color w:val="auto"/>
                <w:spacing w:val="-9"/>
                <w:highlight w:val="none"/>
                <w:lang w:eastAsia="zh-CN"/>
              </w:rPr>
              <w:t>（ GB</w:t>
            </w:r>
            <w:r>
              <w:rPr>
                <w:color w:val="auto"/>
                <w:highlight w:val="none"/>
                <w:lang w:eastAsia="zh-CN"/>
              </w:rPr>
              <w:t xml:space="preserve">  21455-2013</w:t>
            </w:r>
            <w:r>
              <w:rPr>
                <w:color w:val="auto"/>
                <w:spacing w:val="12"/>
                <w:highlight w:val="none"/>
                <w:lang w:eastAsia="zh-CN"/>
              </w:rPr>
              <w:t>），</w:t>
            </w:r>
            <w:r>
              <w:rPr>
                <w:color w:val="auto"/>
                <w:highlight w:val="none"/>
                <w:lang w:eastAsia="zh-CN"/>
              </w:rPr>
              <w:t>待 2019</w:t>
            </w:r>
            <w:r>
              <w:rPr>
                <w:color w:val="auto"/>
                <w:spacing w:val="-15"/>
                <w:highlight w:val="none"/>
                <w:lang w:eastAsia="zh-CN"/>
              </w:rPr>
              <w:t xml:space="preserve"> </w:t>
            </w:r>
            <w:r>
              <w:rPr>
                <w:color w:val="auto"/>
                <w:highlight w:val="none"/>
                <w:lang w:eastAsia="zh-CN"/>
              </w:rPr>
              <w:t>年修订发  布后，按《房间空气调节器能效限</w:t>
            </w:r>
            <w:r>
              <w:rPr>
                <w:color w:val="auto"/>
                <w:spacing w:val="4"/>
                <w:highlight w:val="none"/>
                <w:lang w:eastAsia="zh-CN"/>
              </w:rPr>
              <w:t xml:space="preserve">  </w:t>
            </w:r>
            <w:r>
              <w:rPr>
                <w:color w:val="auto"/>
                <w:spacing w:val="-5"/>
                <w:highlight w:val="none"/>
                <w:lang w:eastAsia="zh-CN"/>
              </w:rPr>
              <w:t>定值及能效等级》（GB21455-2019）</w:t>
            </w:r>
            <w:r>
              <w:rPr>
                <w:color w:val="auto"/>
                <w:spacing w:val="15"/>
                <w:highlight w:val="none"/>
                <w:lang w:eastAsia="zh-CN"/>
              </w:rPr>
              <w:t xml:space="preserve"> </w:t>
            </w:r>
            <w:r>
              <w:rPr>
                <w:color w:val="auto"/>
                <w:highlight w:val="none"/>
                <w:lang w:eastAsia="zh-CN"/>
              </w:rPr>
              <w:t>实施。</w:t>
            </w:r>
          </w:p>
        </w:tc>
      </w:tr>
      <w:tr w14:paraId="56DB2F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2" w:hRule="atLeast"/>
        </w:trPr>
        <w:tc>
          <w:tcPr>
            <w:tcW w:w="578" w:type="dxa"/>
            <w:vMerge w:val="continue"/>
            <w:tcBorders>
              <w:top w:val="nil"/>
              <w:bottom w:val="nil"/>
            </w:tcBorders>
          </w:tcPr>
          <w:p w14:paraId="57474E4D">
            <w:pPr>
              <w:rPr>
                <w:rFonts w:ascii="Arial"/>
                <w:color w:val="auto"/>
                <w:highlight w:val="none"/>
              </w:rPr>
            </w:pPr>
          </w:p>
        </w:tc>
        <w:tc>
          <w:tcPr>
            <w:tcW w:w="1166" w:type="dxa"/>
            <w:vMerge w:val="continue"/>
            <w:tcBorders>
              <w:top w:val="nil"/>
              <w:bottom w:val="nil"/>
            </w:tcBorders>
          </w:tcPr>
          <w:p w14:paraId="480152FA">
            <w:pPr>
              <w:rPr>
                <w:rFonts w:ascii="Arial"/>
                <w:color w:val="auto"/>
                <w:highlight w:val="none"/>
              </w:rPr>
            </w:pPr>
          </w:p>
        </w:tc>
        <w:tc>
          <w:tcPr>
            <w:tcW w:w="1799" w:type="dxa"/>
            <w:vMerge w:val="continue"/>
            <w:tcBorders>
              <w:top w:val="nil"/>
              <w:bottom w:val="nil"/>
            </w:tcBorders>
          </w:tcPr>
          <w:p w14:paraId="74C4A355">
            <w:pPr>
              <w:rPr>
                <w:rFonts w:ascii="Arial"/>
                <w:color w:val="auto"/>
                <w:highlight w:val="none"/>
              </w:rPr>
            </w:pPr>
          </w:p>
        </w:tc>
        <w:tc>
          <w:tcPr>
            <w:tcW w:w="1914" w:type="dxa"/>
          </w:tcPr>
          <w:p w14:paraId="4235FA24">
            <w:pPr>
              <w:pStyle w:val="248"/>
              <w:spacing w:before="71" w:line="282" w:lineRule="auto"/>
              <w:ind w:left="15" w:right="11" w:firstLine="10"/>
              <w:rPr>
                <w:color w:val="auto"/>
                <w:highlight w:val="none"/>
                <w:lang w:eastAsia="zh-CN"/>
              </w:rPr>
            </w:pPr>
            <w:r>
              <w:rPr>
                <w:color w:val="auto"/>
                <w:spacing w:val="15"/>
                <w:highlight w:val="none"/>
                <w:lang w:eastAsia="zh-CN"/>
              </w:rPr>
              <w:t>多联式空调（热泵）</w:t>
            </w:r>
            <w:r>
              <w:rPr>
                <w:color w:val="auto"/>
                <w:spacing w:val="7"/>
                <w:highlight w:val="none"/>
                <w:lang w:eastAsia="zh-CN"/>
              </w:rPr>
              <w:t xml:space="preserve"> </w:t>
            </w:r>
            <w:r>
              <w:rPr>
                <w:color w:val="auto"/>
                <w:spacing w:val="-4"/>
                <w:highlight w:val="none"/>
                <w:lang w:eastAsia="zh-CN"/>
              </w:rPr>
              <w:t>机 组 （</w:t>
            </w:r>
            <w:r>
              <w:rPr>
                <w:color w:val="auto"/>
                <w:spacing w:val="28"/>
                <w:highlight w:val="none"/>
                <w:lang w:eastAsia="zh-CN"/>
              </w:rPr>
              <w:t xml:space="preserve"> </w:t>
            </w:r>
            <w:r>
              <w:rPr>
                <w:color w:val="auto"/>
                <w:spacing w:val="-4"/>
                <w:highlight w:val="none"/>
                <w:lang w:eastAsia="zh-CN"/>
              </w:rPr>
              <w:t>制 冷 量 ≤</w:t>
            </w:r>
            <w:r>
              <w:rPr>
                <w:color w:val="auto"/>
                <w:highlight w:val="none"/>
                <w:lang w:eastAsia="zh-CN"/>
              </w:rPr>
              <w:t xml:space="preserve"> </w:t>
            </w:r>
            <w:r>
              <w:rPr>
                <w:color w:val="auto"/>
                <w:spacing w:val="3"/>
                <w:highlight w:val="none"/>
                <w:lang w:eastAsia="zh-CN"/>
              </w:rPr>
              <w:t>14000W）</w:t>
            </w:r>
          </w:p>
        </w:tc>
        <w:tc>
          <w:tcPr>
            <w:tcW w:w="2969" w:type="dxa"/>
          </w:tcPr>
          <w:p w14:paraId="34DDC44F">
            <w:pPr>
              <w:pStyle w:val="248"/>
              <w:spacing w:before="225" w:line="305" w:lineRule="auto"/>
              <w:ind w:left="22"/>
              <w:rPr>
                <w:color w:val="auto"/>
                <w:highlight w:val="none"/>
                <w:lang w:eastAsia="zh-CN"/>
              </w:rPr>
            </w:pPr>
            <w:r>
              <w:rPr>
                <w:color w:val="auto"/>
                <w:highlight w:val="none"/>
                <w:lang w:eastAsia="zh-CN"/>
              </w:rPr>
              <w:t>《多联式空调（热泵）机组能效限</w:t>
            </w:r>
            <w:r>
              <w:rPr>
                <w:color w:val="auto"/>
                <w:spacing w:val="2"/>
                <w:highlight w:val="none"/>
                <w:lang w:eastAsia="zh-CN"/>
              </w:rPr>
              <w:t xml:space="preserve">  </w:t>
            </w:r>
            <w:r>
              <w:rPr>
                <w:color w:val="auto"/>
                <w:spacing w:val="-4"/>
                <w:highlight w:val="none"/>
                <w:lang w:eastAsia="zh-CN"/>
              </w:rPr>
              <w:t>定值及能源效率等级》（GB</w:t>
            </w:r>
            <w:r>
              <w:rPr>
                <w:color w:val="auto"/>
                <w:spacing w:val="-24"/>
                <w:highlight w:val="none"/>
                <w:lang w:eastAsia="zh-CN"/>
              </w:rPr>
              <w:t xml:space="preserve"> </w:t>
            </w:r>
            <w:r>
              <w:rPr>
                <w:color w:val="auto"/>
                <w:spacing w:val="-4"/>
                <w:highlight w:val="none"/>
                <w:lang w:eastAsia="zh-CN"/>
              </w:rPr>
              <w:t>21454）</w:t>
            </w:r>
          </w:p>
        </w:tc>
      </w:tr>
      <w:tr w14:paraId="22A171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4" w:hRule="atLeast"/>
        </w:trPr>
        <w:tc>
          <w:tcPr>
            <w:tcW w:w="578" w:type="dxa"/>
            <w:vMerge w:val="continue"/>
            <w:tcBorders>
              <w:top w:val="nil"/>
              <w:bottom w:val="nil"/>
            </w:tcBorders>
          </w:tcPr>
          <w:p w14:paraId="1538365B">
            <w:pPr>
              <w:rPr>
                <w:rFonts w:ascii="Arial"/>
                <w:color w:val="auto"/>
                <w:highlight w:val="none"/>
              </w:rPr>
            </w:pPr>
          </w:p>
        </w:tc>
        <w:tc>
          <w:tcPr>
            <w:tcW w:w="1166" w:type="dxa"/>
            <w:vMerge w:val="continue"/>
            <w:tcBorders>
              <w:top w:val="nil"/>
              <w:bottom w:val="nil"/>
            </w:tcBorders>
          </w:tcPr>
          <w:p w14:paraId="4D9D468E">
            <w:pPr>
              <w:rPr>
                <w:rFonts w:ascii="Arial"/>
                <w:color w:val="auto"/>
                <w:highlight w:val="none"/>
              </w:rPr>
            </w:pPr>
          </w:p>
        </w:tc>
        <w:tc>
          <w:tcPr>
            <w:tcW w:w="1799" w:type="dxa"/>
            <w:vMerge w:val="continue"/>
            <w:tcBorders>
              <w:top w:val="nil"/>
            </w:tcBorders>
          </w:tcPr>
          <w:p w14:paraId="3A61114A">
            <w:pPr>
              <w:rPr>
                <w:rFonts w:ascii="Arial"/>
                <w:color w:val="auto"/>
                <w:highlight w:val="none"/>
              </w:rPr>
            </w:pPr>
          </w:p>
        </w:tc>
        <w:tc>
          <w:tcPr>
            <w:tcW w:w="1914" w:type="dxa"/>
          </w:tcPr>
          <w:p w14:paraId="5D49791C">
            <w:pPr>
              <w:spacing w:line="319" w:lineRule="auto"/>
              <w:rPr>
                <w:rFonts w:ascii="Arial"/>
                <w:color w:val="auto"/>
                <w:highlight w:val="none"/>
              </w:rPr>
            </w:pPr>
          </w:p>
          <w:p w14:paraId="187D1DDC">
            <w:pPr>
              <w:pStyle w:val="248"/>
              <w:spacing w:before="61" w:line="305" w:lineRule="auto"/>
              <w:ind w:left="51" w:right="11" w:hanging="33"/>
              <w:rPr>
                <w:color w:val="auto"/>
                <w:highlight w:val="none"/>
                <w:lang w:eastAsia="zh-CN"/>
              </w:rPr>
            </w:pPr>
            <w:r>
              <w:rPr>
                <w:color w:val="auto"/>
                <w:spacing w:val="44"/>
                <w:highlight w:val="none"/>
                <w:lang w:eastAsia="zh-CN"/>
              </w:rPr>
              <w:t>单元式空气调节机</w:t>
            </w:r>
            <w:r>
              <w:rPr>
                <w:color w:val="auto"/>
                <w:spacing w:val="6"/>
                <w:highlight w:val="none"/>
                <w:lang w:eastAsia="zh-CN"/>
              </w:rPr>
              <w:t xml:space="preserve"> </w:t>
            </w:r>
            <w:r>
              <w:rPr>
                <w:color w:val="auto"/>
                <w:spacing w:val="3"/>
                <w:highlight w:val="none"/>
                <w:lang w:eastAsia="zh-CN"/>
              </w:rPr>
              <w:t>(制冷量≤14000W)</w:t>
            </w:r>
          </w:p>
        </w:tc>
        <w:tc>
          <w:tcPr>
            <w:tcW w:w="2969" w:type="dxa"/>
          </w:tcPr>
          <w:p w14:paraId="591201D5">
            <w:pPr>
              <w:pStyle w:val="248"/>
              <w:spacing w:before="72" w:line="287" w:lineRule="auto"/>
              <w:ind w:left="17" w:right="11" w:firstLine="6"/>
              <w:rPr>
                <w:color w:val="auto"/>
                <w:highlight w:val="none"/>
                <w:lang w:eastAsia="zh-CN"/>
              </w:rPr>
            </w:pPr>
            <w:r>
              <w:rPr>
                <w:color w:val="auto"/>
                <w:spacing w:val="19"/>
                <w:highlight w:val="none"/>
                <w:lang w:eastAsia="zh-CN"/>
              </w:rPr>
              <w:t>《单元式空气调节机能效限定值</w:t>
            </w:r>
            <w:r>
              <w:rPr>
                <w:color w:val="auto"/>
                <w:spacing w:val="2"/>
                <w:highlight w:val="none"/>
                <w:lang w:eastAsia="zh-CN"/>
              </w:rPr>
              <w:t xml:space="preserve"> </w:t>
            </w:r>
            <w:r>
              <w:rPr>
                <w:color w:val="auto"/>
                <w:spacing w:val="-5"/>
                <w:highlight w:val="none"/>
                <w:lang w:eastAsia="zh-CN"/>
              </w:rPr>
              <w:t>及能源效率等级》（GB</w:t>
            </w:r>
            <w:r>
              <w:rPr>
                <w:color w:val="auto"/>
                <w:spacing w:val="-13"/>
                <w:highlight w:val="none"/>
                <w:lang w:eastAsia="zh-CN"/>
              </w:rPr>
              <w:t xml:space="preserve"> </w:t>
            </w:r>
            <w:r>
              <w:rPr>
                <w:color w:val="auto"/>
                <w:spacing w:val="-5"/>
                <w:highlight w:val="none"/>
                <w:lang w:eastAsia="zh-CN"/>
              </w:rPr>
              <w:t>19576）《风</w:t>
            </w:r>
            <w:r>
              <w:rPr>
                <w:color w:val="auto"/>
                <w:highlight w:val="none"/>
                <w:lang w:eastAsia="zh-CN"/>
              </w:rPr>
              <w:t xml:space="preserve"> </w:t>
            </w:r>
            <w:r>
              <w:rPr>
                <w:color w:val="auto"/>
                <w:spacing w:val="19"/>
                <w:highlight w:val="none"/>
                <w:lang w:eastAsia="zh-CN"/>
              </w:rPr>
              <w:t>管送风式空调机组能效限定值及</w:t>
            </w:r>
            <w:r>
              <w:rPr>
                <w:color w:val="auto"/>
                <w:spacing w:val="8"/>
                <w:highlight w:val="none"/>
                <w:lang w:eastAsia="zh-CN"/>
              </w:rPr>
              <w:t xml:space="preserve"> </w:t>
            </w:r>
            <w:r>
              <w:rPr>
                <w:color w:val="auto"/>
                <w:spacing w:val="7"/>
                <w:highlight w:val="none"/>
                <w:lang w:eastAsia="zh-CN"/>
              </w:rPr>
              <w:t>能效等级》（</w:t>
            </w:r>
            <w:r>
              <w:rPr>
                <w:color w:val="auto"/>
                <w:highlight w:val="none"/>
                <w:lang w:eastAsia="zh-CN"/>
              </w:rPr>
              <w:t>GB</w:t>
            </w:r>
            <w:r>
              <w:rPr>
                <w:color w:val="auto"/>
                <w:spacing w:val="7"/>
                <w:highlight w:val="none"/>
                <w:lang w:eastAsia="zh-CN"/>
              </w:rPr>
              <w:t xml:space="preserve"> 37479）</w:t>
            </w:r>
          </w:p>
        </w:tc>
      </w:tr>
      <w:tr w14:paraId="3F190D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578" w:type="dxa"/>
            <w:vMerge w:val="continue"/>
            <w:tcBorders>
              <w:top w:val="nil"/>
            </w:tcBorders>
          </w:tcPr>
          <w:p w14:paraId="143FAE70">
            <w:pPr>
              <w:rPr>
                <w:rFonts w:ascii="Arial"/>
                <w:color w:val="auto"/>
                <w:highlight w:val="none"/>
              </w:rPr>
            </w:pPr>
          </w:p>
        </w:tc>
        <w:tc>
          <w:tcPr>
            <w:tcW w:w="1166" w:type="dxa"/>
            <w:vMerge w:val="continue"/>
            <w:tcBorders>
              <w:top w:val="nil"/>
            </w:tcBorders>
          </w:tcPr>
          <w:p w14:paraId="2C1E93E6">
            <w:pPr>
              <w:rPr>
                <w:rFonts w:ascii="Arial"/>
                <w:color w:val="auto"/>
                <w:highlight w:val="none"/>
              </w:rPr>
            </w:pPr>
          </w:p>
        </w:tc>
        <w:tc>
          <w:tcPr>
            <w:tcW w:w="1799" w:type="dxa"/>
          </w:tcPr>
          <w:p w14:paraId="5A8F5492">
            <w:pPr>
              <w:pStyle w:val="248"/>
              <w:spacing w:before="230" w:line="228" w:lineRule="auto"/>
              <w:ind w:left="9"/>
              <w:rPr>
                <w:color w:val="auto"/>
                <w:highlight w:val="none"/>
              </w:rPr>
            </w:pPr>
            <w:r>
              <w:rPr>
                <w:color w:val="auto"/>
                <w:spacing w:val="5"/>
                <w:highlight w:val="none"/>
              </w:rPr>
              <w:t>A0206180301</w:t>
            </w:r>
            <w:r>
              <w:rPr>
                <w:color w:val="auto"/>
                <w:spacing w:val="-33"/>
                <w:highlight w:val="none"/>
              </w:rPr>
              <w:t xml:space="preserve"> </w:t>
            </w:r>
            <w:r>
              <w:rPr>
                <w:color w:val="auto"/>
                <w:spacing w:val="5"/>
                <w:highlight w:val="none"/>
              </w:rPr>
              <w:t>洗衣机</w:t>
            </w:r>
          </w:p>
        </w:tc>
        <w:tc>
          <w:tcPr>
            <w:tcW w:w="1914" w:type="dxa"/>
          </w:tcPr>
          <w:p w14:paraId="6074D806">
            <w:pPr>
              <w:rPr>
                <w:rFonts w:ascii="Arial"/>
                <w:color w:val="auto"/>
                <w:highlight w:val="none"/>
              </w:rPr>
            </w:pPr>
          </w:p>
        </w:tc>
        <w:tc>
          <w:tcPr>
            <w:tcW w:w="2969" w:type="dxa"/>
          </w:tcPr>
          <w:p w14:paraId="568D6190">
            <w:pPr>
              <w:pStyle w:val="248"/>
              <w:spacing w:before="74" w:line="276" w:lineRule="auto"/>
              <w:ind w:left="19" w:right="11" w:firstLine="3"/>
              <w:rPr>
                <w:color w:val="auto"/>
                <w:highlight w:val="none"/>
                <w:lang w:eastAsia="zh-CN"/>
              </w:rPr>
            </w:pPr>
            <w:r>
              <w:rPr>
                <w:color w:val="auto"/>
                <w:spacing w:val="19"/>
                <w:highlight w:val="none"/>
                <w:lang w:eastAsia="zh-CN"/>
              </w:rPr>
              <w:t>《电动洗衣机能效水效限定值及</w:t>
            </w:r>
            <w:r>
              <w:rPr>
                <w:color w:val="auto"/>
                <w:spacing w:val="2"/>
                <w:highlight w:val="none"/>
                <w:lang w:eastAsia="zh-CN"/>
              </w:rPr>
              <w:t xml:space="preserve"> </w:t>
            </w:r>
            <w:r>
              <w:rPr>
                <w:color w:val="auto"/>
                <w:spacing w:val="4"/>
                <w:highlight w:val="none"/>
                <w:lang w:eastAsia="zh-CN"/>
              </w:rPr>
              <w:t>等级》（</w:t>
            </w:r>
            <w:r>
              <w:rPr>
                <w:color w:val="auto"/>
                <w:highlight w:val="none"/>
                <w:lang w:eastAsia="zh-CN"/>
              </w:rPr>
              <w:t>GB</w:t>
            </w:r>
            <w:r>
              <w:rPr>
                <w:color w:val="auto"/>
                <w:spacing w:val="33"/>
                <w:highlight w:val="none"/>
                <w:lang w:eastAsia="zh-CN"/>
              </w:rPr>
              <w:t xml:space="preserve"> </w:t>
            </w:r>
            <w:r>
              <w:rPr>
                <w:color w:val="auto"/>
                <w:spacing w:val="4"/>
                <w:highlight w:val="none"/>
                <w:lang w:eastAsia="zh-CN"/>
              </w:rPr>
              <w:t>12021.4）</w:t>
            </w:r>
          </w:p>
        </w:tc>
      </w:tr>
    </w:tbl>
    <w:p w14:paraId="1906D5AA">
      <w:pPr>
        <w:rPr>
          <w:rFonts w:ascii="Arial"/>
          <w:color w:val="auto"/>
          <w:highlight w:val="none"/>
        </w:rPr>
      </w:pPr>
    </w:p>
    <w:p w14:paraId="71A1EEB9">
      <w:pPr>
        <w:rPr>
          <w:rFonts w:ascii="Arial" w:hAnsi="Arial" w:eastAsia="Arial" w:cs="Arial"/>
          <w:color w:val="auto"/>
          <w:szCs w:val="21"/>
          <w:highlight w:val="none"/>
        </w:rPr>
        <w:sectPr>
          <w:pgSz w:w="11906" w:h="16838"/>
          <w:pgMar w:top="1431" w:right="1691" w:bottom="0" w:left="1783" w:header="0" w:footer="0" w:gutter="0"/>
          <w:cols w:space="720" w:num="1"/>
        </w:sectPr>
      </w:pPr>
    </w:p>
    <w:p w14:paraId="1F0C0DF6">
      <w:pPr>
        <w:spacing w:line="91" w:lineRule="auto"/>
        <w:rPr>
          <w:rFonts w:ascii="Arial"/>
          <w:color w:val="auto"/>
          <w:sz w:val="2"/>
          <w:highlight w:val="none"/>
        </w:rPr>
      </w:pPr>
    </w:p>
    <w:tbl>
      <w:tblPr>
        <w:tblStyle w:val="249"/>
        <w:tblW w:w="84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8"/>
        <w:gridCol w:w="1166"/>
        <w:gridCol w:w="1799"/>
        <w:gridCol w:w="1914"/>
        <w:gridCol w:w="2969"/>
      </w:tblGrid>
      <w:tr w14:paraId="03CCA3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trPr>
        <w:tc>
          <w:tcPr>
            <w:tcW w:w="578" w:type="dxa"/>
            <w:vMerge w:val="restart"/>
            <w:tcBorders>
              <w:bottom w:val="nil"/>
            </w:tcBorders>
          </w:tcPr>
          <w:p w14:paraId="1E2A4349">
            <w:pPr>
              <w:rPr>
                <w:rFonts w:ascii="Arial"/>
                <w:color w:val="auto"/>
                <w:highlight w:val="none"/>
              </w:rPr>
            </w:pPr>
          </w:p>
        </w:tc>
        <w:tc>
          <w:tcPr>
            <w:tcW w:w="1166" w:type="dxa"/>
            <w:vMerge w:val="restart"/>
            <w:tcBorders>
              <w:bottom w:val="nil"/>
            </w:tcBorders>
          </w:tcPr>
          <w:p w14:paraId="579A611E">
            <w:pPr>
              <w:rPr>
                <w:rFonts w:ascii="Arial"/>
                <w:color w:val="auto"/>
                <w:highlight w:val="none"/>
              </w:rPr>
            </w:pPr>
          </w:p>
        </w:tc>
        <w:tc>
          <w:tcPr>
            <w:tcW w:w="1799" w:type="dxa"/>
            <w:vMerge w:val="restart"/>
            <w:tcBorders>
              <w:bottom w:val="nil"/>
            </w:tcBorders>
          </w:tcPr>
          <w:p w14:paraId="27193EAB">
            <w:pPr>
              <w:spacing w:line="244" w:lineRule="auto"/>
              <w:rPr>
                <w:rFonts w:ascii="Arial"/>
                <w:color w:val="auto"/>
                <w:highlight w:val="none"/>
              </w:rPr>
            </w:pPr>
          </w:p>
          <w:p w14:paraId="3C0ADCAC">
            <w:pPr>
              <w:spacing w:line="244" w:lineRule="auto"/>
              <w:rPr>
                <w:rFonts w:ascii="Arial"/>
                <w:color w:val="auto"/>
                <w:highlight w:val="none"/>
              </w:rPr>
            </w:pPr>
          </w:p>
          <w:p w14:paraId="24290177">
            <w:pPr>
              <w:spacing w:line="244" w:lineRule="auto"/>
              <w:rPr>
                <w:rFonts w:ascii="Arial"/>
                <w:color w:val="auto"/>
                <w:highlight w:val="none"/>
              </w:rPr>
            </w:pPr>
          </w:p>
          <w:p w14:paraId="60071C8D">
            <w:pPr>
              <w:spacing w:line="244" w:lineRule="auto"/>
              <w:rPr>
                <w:rFonts w:ascii="Arial"/>
                <w:color w:val="auto"/>
                <w:highlight w:val="none"/>
              </w:rPr>
            </w:pPr>
          </w:p>
          <w:p w14:paraId="3F6B8696">
            <w:pPr>
              <w:spacing w:line="245" w:lineRule="auto"/>
              <w:rPr>
                <w:rFonts w:ascii="Arial"/>
                <w:color w:val="auto"/>
                <w:highlight w:val="none"/>
              </w:rPr>
            </w:pPr>
          </w:p>
          <w:p w14:paraId="44005F6C">
            <w:pPr>
              <w:spacing w:line="245" w:lineRule="auto"/>
              <w:rPr>
                <w:rFonts w:ascii="Arial"/>
                <w:color w:val="auto"/>
                <w:highlight w:val="none"/>
              </w:rPr>
            </w:pPr>
          </w:p>
          <w:p w14:paraId="2950C9DE">
            <w:pPr>
              <w:pStyle w:val="248"/>
              <w:spacing w:before="62" w:line="229" w:lineRule="auto"/>
              <w:ind w:left="9"/>
              <w:rPr>
                <w:color w:val="auto"/>
                <w:highlight w:val="none"/>
              </w:rPr>
            </w:pPr>
            <w:r>
              <w:rPr>
                <w:color w:val="auto"/>
                <w:spacing w:val="5"/>
                <w:highlight w:val="none"/>
              </w:rPr>
              <w:t>A02061808</w:t>
            </w:r>
            <w:r>
              <w:rPr>
                <w:color w:val="auto"/>
                <w:spacing w:val="-32"/>
                <w:highlight w:val="none"/>
              </w:rPr>
              <w:t xml:space="preserve"> </w:t>
            </w:r>
            <w:r>
              <w:rPr>
                <w:color w:val="auto"/>
                <w:spacing w:val="5"/>
                <w:highlight w:val="none"/>
              </w:rPr>
              <w:t>热水器</w:t>
            </w:r>
          </w:p>
        </w:tc>
        <w:tc>
          <w:tcPr>
            <w:tcW w:w="1914" w:type="dxa"/>
          </w:tcPr>
          <w:p w14:paraId="3E4BA80C">
            <w:pPr>
              <w:pStyle w:val="248"/>
              <w:spacing w:before="275" w:line="229" w:lineRule="auto"/>
              <w:ind w:left="19"/>
              <w:rPr>
                <w:color w:val="auto"/>
                <w:highlight w:val="none"/>
              </w:rPr>
            </w:pPr>
            <w:r>
              <w:rPr>
                <w:color w:val="auto"/>
                <w:spacing w:val="7"/>
                <w:highlight w:val="none"/>
              </w:rPr>
              <w:t>★电热水器</w:t>
            </w:r>
          </w:p>
        </w:tc>
        <w:tc>
          <w:tcPr>
            <w:tcW w:w="2969" w:type="dxa"/>
          </w:tcPr>
          <w:p w14:paraId="17729DEC">
            <w:pPr>
              <w:pStyle w:val="248"/>
              <w:spacing w:before="119" w:line="297" w:lineRule="auto"/>
              <w:ind w:left="25" w:right="11" w:hanging="2"/>
              <w:rPr>
                <w:color w:val="auto"/>
                <w:highlight w:val="none"/>
                <w:lang w:eastAsia="zh-CN"/>
              </w:rPr>
            </w:pPr>
            <w:r>
              <w:rPr>
                <w:color w:val="auto"/>
                <w:spacing w:val="19"/>
                <w:highlight w:val="none"/>
                <w:lang w:eastAsia="zh-CN"/>
              </w:rPr>
              <w:t>《储水式电热水器能效限定值及</w:t>
            </w:r>
            <w:r>
              <w:rPr>
                <w:color w:val="auto"/>
                <w:spacing w:val="2"/>
                <w:highlight w:val="none"/>
                <w:lang w:eastAsia="zh-CN"/>
              </w:rPr>
              <w:t xml:space="preserve"> </w:t>
            </w:r>
            <w:r>
              <w:rPr>
                <w:color w:val="auto"/>
                <w:spacing w:val="6"/>
                <w:highlight w:val="none"/>
                <w:lang w:eastAsia="zh-CN"/>
              </w:rPr>
              <w:t>能效等级》（</w:t>
            </w:r>
            <w:r>
              <w:rPr>
                <w:color w:val="auto"/>
                <w:highlight w:val="none"/>
                <w:lang w:eastAsia="zh-CN"/>
              </w:rPr>
              <w:t>GB</w:t>
            </w:r>
            <w:r>
              <w:rPr>
                <w:color w:val="auto"/>
                <w:spacing w:val="6"/>
                <w:highlight w:val="none"/>
                <w:lang w:eastAsia="zh-CN"/>
              </w:rPr>
              <w:t xml:space="preserve">  21519）</w:t>
            </w:r>
          </w:p>
        </w:tc>
      </w:tr>
      <w:tr w14:paraId="1E94F9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2" w:hRule="atLeast"/>
        </w:trPr>
        <w:tc>
          <w:tcPr>
            <w:tcW w:w="578" w:type="dxa"/>
            <w:vMerge w:val="continue"/>
            <w:tcBorders>
              <w:top w:val="nil"/>
              <w:bottom w:val="nil"/>
            </w:tcBorders>
          </w:tcPr>
          <w:p w14:paraId="10E69BC0">
            <w:pPr>
              <w:rPr>
                <w:rFonts w:ascii="Arial"/>
                <w:color w:val="auto"/>
                <w:highlight w:val="none"/>
              </w:rPr>
            </w:pPr>
          </w:p>
        </w:tc>
        <w:tc>
          <w:tcPr>
            <w:tcW w:w="1166" w:type="dxa"/>
            <w:vMerge w:val="continue"/>
            <w:tcBorders>
              <w:top w:val="nil"/>
              <w:bottom w:val="nil"/>
            </w:tcBorders>
          </w:tcPr>
          <w:p w14:paraId="73C954A3">
            <w:pPr>
              <w:rPr>
                <w:rFonts w:ascii="Arial"/>
                <w:color w:val="auto"/>
                <w:highlight w:val="none"/>
              </w:rPr>
            </w:pPr>
          </w:p>
        </w:tc>
        <w:tc>
          <w:tcPr>
            <w:tcW w:w="1799" w:type="dxa"/>
            <w:vMerge w:val="continue"/>
            <w:tcBorders>
              <w:top w:val="nil"/>
              <w:bottom w:val="nil"/>
            </w:tcBorders>
          </w:tcPr>
          <w:p w14:paraId="44DB69FF">
            <w:pPr>
              <w:rPr>
                <w:rFonts w:ascii="Arial"/>
                <w:color w:val="auto"/>
                <w:highlight w:val="none"/>
              </w:rPr>
            </w:pPr>
          </w:p>
        </w:tc>
        <w:tc>
          <w:tcPr>
            <w:tcW w:w="1914" w:type="dxa"/>
          </w:tcPr>
          <w:p w14:paraId="515CFCB7">
            <w:pPr>
              <w:spacing w:line="315" w:lineRule="auto"/>
              <w:rPr>
                <w:rFonts w:ascii="Arial"/>
                <w:color w:val="auto"/>
                <w:highlight w:val="none"/>
              </w:rPr>
            </w:pPr>
          </w:p>
          <w:p w14:paraId="307D9FAC">
            <w:pPr>
              <w:pStyle w:val="248"/>
              <w:spacing w:before="61" w:line="229" w:lineRule="auto"/>
              <w:ind w:left="15"/>
              <w:rPr>
                <w:color w:val="auto"/>
                <w:highlight w:val="none"/>
              </w:rPr>
            </w:pPr>
            <w:r>
              <w:rPr>
                <w:color w:val="auto"/>
                <w:spacing w:val="8"/>
                <w:highlight w:val="none"/>
              </w:rPr>
              <w:t>燃气热水器</w:t>
            </w:r>
          </w:p>
        </w:tc>
        <w:tc>
          <w:tcPr>
            <w:tcW w:w="2969" w:type="dxa"/>
          </w:tcPr>
          <w:p w14:paraId="44D7CE78">
            <w:pPr>
              <w:pStyle w:val="248"/>
              <w:spacing w:before="68" w:line="283" w:lineRule="auto"/>
              <w:ind w:left="25" w:hanging="2"/>
              <w:rPr>
                <w:color w:val="auto"/>
                <w:highlight w:val="none"/>
                <w:lang w:eastAsia="zh-CN"/>
              </w:rPr>
            </w:pPr>
            <w:r>
              <w:rPr>
                <w:color w:val="auto"/>
                <w:spacing w:val="17"/>
                <w:highlight w:val="none"/>
                <w:lang w:eastAsia="zh-CN"/>
              </w:rPr>
              <w:t>《家用燃气快速热水器和燃气采</w:t>
            </w:r>
            <w:r>
              <w:rPr>
                <w:color w:val="auto"/>
                <w:highlight w:val="none"/>
                <w:lang w:eastAsia="zh-CN"/>
              </w:rPr>
              <w:t xml:space="preserve"> </w:t>
            </w:r>
            <w:r>
              <w:rPr>
                <w:color w:val="auto"/>
                <w:spacing w:val="5"/>
                <w:highlight w:val="none"/>
                <w:lang w:eastAsia="zh-CN"/>
              </w:rPr>
              <w:t>暖热水炉能效限定值及能效等级》</w:t>
            </w:r>
            <w:r>
              <w:rPr>
                <w:color w:val="auto"/>
                <w:spacing w:val="12"/>
                <w:highlight w:val="none"/>
                <w:lang w:eastAsia="zh-CN"/>
              </w:rPr>
              <w:t xml:space="preserve"> </w:t>
            </w:r>
            <w:r>
              <w:rPr>
                <w:color w:val="auto"/>
                <w:spacing w:val="1"/>
                <w:highlight w:val="none"/>
                <w:lang w:eastAsia="zh-CN"/>
              </w:rPr>
              <w:t>（</w:t>
            </w:r>
            <w:r>
              <w:rPr>
                <w:color w:val="auto"/>
                <w:highlight w:val="none"/>
                <w:lang w:eastAsia="zh-CN"/>
              </w:rPr>
              <w:t>GB</w:t>
            </w:r>
            <w:r>
              <w:rPr>
                <w:color w:val="auto"/>
                <w:spacing w:val="18"/>
                <w:highlight w:val="none"/>
                <w:lang w:eastAsia="zh-CN"/>
              </w:rPr>
              <w:t xml:space="preserve"> </w:t>
            </w:r>
            <w:r>
              <w:rPr>
                <w:color w:val="auto"/>
                <w:spacing w:val="1"/>
                <w:highlight w:val="none"/>
                <w:lang w:eastAsia="zh-CN"/>
              </w:rPr>
              <w:t>20665）</w:t>
            </w:r>
          </w:p>
        </w:tc>
      </w:tr>
      <w:tr w14:paraId="4FBE75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8" w:hRule="atLeast"/>
        </w:trPr>
        <w:tc>
          <w:tcPr>
            <w:tcW w:w="578" w:type="dxa"/>
            <w:vMerge w:val="continue"/>
            <w:tcBorders>
              <w:top w:val="nil"/>
              <w:bottom w:val="nil"/>
            </w:tcBorders>
          </w:tcPr>
          <w:p w14:paraId="7584125A">
            <w:pPr>
              <w:rPr>
                <w:rFonts w:ascii="Arial"/>
                <w:color w:val="auto"/>
                <w:highlight w:val="none"/>
              </w:rPr>
            </w:pPr>
          </w:p>
        </w:tc>
        <w:tc>
          <w:tcPr>
            <w:tcW w:w="1166" w:type="dxa"/>
            <w:vMerge w:val="continue"/>
            <w:tcBorders>
              <w:top w:val="nil"/>
              <w:bottom w:val="nil"/>
            </w:tcBorders>
          </w:tcPr>
          <w:p w14:paraId="595854DD">
            <w:pPr>
              <w:rPr>
                <w:rFonts w:ascii="Arial"/>
                <w:color w:val="auto"/>
                <w:highlight w:val="none"/>
              </w:rPr>
            </w:pPr>
          </w:p>
        </w:tc>
        <w:tc>
          <w:tcPr>
            <w:tcW w:w="1799" w:type="dxa"/>
            <w:vMerge w:val="continue"/>
            <w:tcBorders>
              <w:top w:val="nil"/>
              <w:bottom w:val="nil"/>
            </w:tcBorders>
          </w:tcPr>
          <w:p w14:paraId="67BD1736">
            <w:pPr>
              <w:rPr>
                <w:rFonts w:ascii="Arial"/>
                <w:color w:val="auto"/>
                <w:highlight w:val="none"/>
              </w:rPr>
            </w:pPr>
          </w:p>
        </w:tc>
        <w:tc>
          <w:tcPr>
            <w:tcW w:w="1914" w:type="dxa"/>
          </w:tcPr>
          <w:p w14:paraId="2F882F9C">
            <w:pPr>
              <w:spacing w:line="248" w:lineRule="auto"/>
              <w:rPr>
                <w:rFonts w:ascii="Arial"/>
                <w:color w:val="auto"/>
                <w:highlight w:val="none"/>
              </w:rPr>
            </w:pPr>
          </w:p>
          <w:p w14:paraId="54A3C379">
            <w:pPr>
              <w:pStyle w:val="248"/>
              <w:spacing w:before="62" w:line="229" w:lineRule="auto"/>
              <w:ind w:left="20"/>
              <w:rPr>
                <w:color w:val="auto"/>
                <w:highlight w:val="none"/>
              </w:rPr>
            </w:pPr>
            <w:r>
              <w:rPr>
                <w:color w:val="auto"/>
                <w:spacing w:val="7"/>
                <w:highlight w:val="none"/>
              </w:rPr>
              <w:t>热泵热水器</w:t>
            </w:r>
          </w:p>
        </w:tc>
        <w:tc>
          <w:tcPr>
            <w:tcW w:w="2969" w:type="dxa"/>
          </w:tcPr>
          <w:p w14:paraId="00C6AF7B">
            <w:pPr>
              <w:pStyle w:val="248"/>
              <w:spacing w:before="156" w:line="304" w:lineRule="auto"/>
              <w:ind w:left="25" w:right="13" w:hanging="2"/>
              <w:rPr>
                <w:color w:val="auto"/>
                <w:highlight w:val="none"/>
                <w:lang w:eastAsia="zh-CN"/>
              </w:rPr>
            </w:pPr>
            <w:r>
              <w:rPr>
                <w:color w:val="auto"/>
                <w:spacing w:val="5"/>
                <w:highlight w:val="none"/>
                <w:lang w:eastAsia="zh-CN"/>
              </w:rPr>
              <w:t>《热泵热水机（器）能效限定值及</w:t>
            </w:r>
            <w:r>
              <w:rPr>
                <w:color w:val="auto"/>
                <w:spacing w:val="1"/>
                <w:highlight w:val="none"/>
                <w:lang w:eastAsia="zh-CN"/>
              </w:rPr>
              <w:t xml:space="preserve"> </w:t>
            </w:r>
            <w:r>
              <w:rPr>
                <w:color w:val="auto"/>
                <w:spacing w:val="6"/>
                <w:highlight w:val="none"/>
                <w:lang w:eastAsia="zh-CN"/>
              </w:rPr>
              <w:t>能效等级》（</w:t>
            </w:r>
            <w:r>
              <w:rPr>
                <w:color w:val="auto"/>
                <w:highlight w:val="none"/>
                <w:lang w:eastAsia="zh-CN"/>
              </w:rPr>
              <w:t>GB</w:t>
            </w:r>
            <w:r>
              <w:rPr>
                <w:color w:val="auto"/>
                <w:spacing w:val="6"/>
                <w:highlight w:val="none"/>
                <w:lang w:eastAsia="zh-CN"/>
              </w:rPr>
              <w:t xml:space="preserve"> 29541）</w:t>
            </w:r>
          </w:p>
        </w:tc>
      </w:tr>
      <w:tr w14:paraId="6DD05C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trPr>
        <w:tc>
          <w:tcPr>
            <w:tcW w:w="578" w:type="dxa"/>
            <w:vMerge w:val="continue"/>
            <w:tcBorders>
              <w:top w:val="nil"/>
            </w:tcBorders>
          </w:tcPr>
          <w:p w14:paraId="6640C8CD">
            <w:pPr>
              <w:rPr>
                <w:rFonts w:ascii="Arial"/>
                <w:color w:val="auto"/>
                <w:highlight w:val="none"/>
              </w:rPr>
            </w:pPr>
          </w:p>
        </w:tc>
        <w:tc>
          <w:tcPr>
            <w:tcW w:w="1166" w:type="dxa"/>
            <w:vMerge w:val="continue"/>
            <w:tcBorders>
              <w:top w:val="nil"/>
            </w:tcBorders>
          </w:tcPr>
          <w:p w14:paraId="48EB9C40">
            <w:pPr>
              <w:rPr>
                <w:rFonts w:ascii="Arial"/>
                <w:color w:val="auto"/>
                <w:highlight w:val="none"/>
              </w:rPr>
            </w:pPr>
          </w:p>
        </w:tc>
        <w:tc>
          <w:tcPr>
            <w:tcW w:w="1799" w:type="dxa"/>
            <w:vMerge w:val="continue"/>
            <w:tcBorders>
              <w:top w:val="nil"/>
            </w:tcBorders>
          </w:tcPr>
          <w:p w14:paraId="77288E53">
            <w:pPr>
              <w:rPr>
                <w:rFonts w:ascii="Arial"/>
                <w:color w:val="auto"/>
                <w:highlight w:val="none"/>
              </w:rPr>
            </w:pPr>
          </w:p>
        </w:tc>
        <w:tc>
          <w:tcPr>
            <w:tcW w:w="1914" w:type="dxa"/>
          </w:tcPr>
          <w:p w14:paraId="26D55DD3">
            <w:pPr>
              <w:pStyle w:val="248"/>
              <w:spacing w:before="271" w:line="229" w:lineRule="auto"/>
              <w:ind w:left="16"/>
              <w:rPr>
                <w:color w:val="auto"/>
                <w:highlight w:val="none"/>
              </w:rPr>
            </w:pPr>
            <w:r>
              <w:rPr>
                <w:color w:val="auto"/>
                <w:spacing w:val="8"/>
                <w:highlight w:val="none"/>
              </w:rPr>
              <w:t>太阳能热水系统</w:t>
            </w:r>
          </w:p>
        </w:tc>
        <w:tc>
          <w:tcPr>
            <w:tcW w:w="2969" w:type="dxa"/>
          </w:tcPr>
          <w:p w14:paraId="0595553E">
            <w:pPr>
              <w:pStyle w:val="248"/>
              <w:spacing w:before="114" w:line="297" w:lineRule="auto"/>
              <w:ind w:left="17" w:right="11" w:firstLine="5"/>
              <w:rPr>
                <w:color w:val="auto"/>
                <w:highlight w:val="none"/>
                <w:lang w:eastAsia="zh-CN"/>
              </w:rPr>
            </w:pPr>
            <w:r>
              <w:rPr>
                <w:color w:val="auto"/>
                <w:spacing w:val="19"/>
                <w:highlight w:val="none"/>
                <w:lang w:eastAsia="zh-CN"/>
              </w:rPr>
              <w:t>《家用太阳能热水系统能效限定</w:t>
            </w:r>
            <w:r>
              <w:rPr>
                <w:color w:val="auto"/>
                <w:spacing w:val="2"/>
                <w:highlight w:val="none"/>
                <w:lang w:eastAsia="zh-CN"/>
              </w:rPr>
              <w:t xml:space="preserve"> </w:t>
            </w:r>
            <w:r>
              <w:rPr>
                <w:color w:val="auto"/>
                <w:spacing w:val="7"/>
                <w:highlight w:val="none"/>
                <w:lang w:eastAsia="zh-CN"/>
              </w:rPr>
              <w:t>值及能效等级》（</w:t>
            </w:r>
            <w:r>
              <w:rPr>
                <w:color w:val="auto"/>
                <w:highlight w:val="none"/>
                <w:lang w:eastAsia="zh-CN"/>
              </w:rPr>
              <w:t>GB</w:t>
            </w:r>
            <w:r>
              <w:rPr>
                <w:color w:val="auto"/>
                <w:spacing w:val="7"/>
                <w:highlight w:val="none"/>
                <w:lang w:eastAsia="zh-CN"/>
              </w:rPr>
              <w:t xml:space="preserve"> 26969）</w:t>
            </w:r>
          </w:p>
        </w:tc>
      </w:tr>
      <w:tr w14:paraId="0AB403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7" w:hRule="atLeast"/>
        </w:trPr>
        <w:tc>
          <w:tcPr>
            <w:tcW w:w="578" w:type="dxa"/>
            <w:vMerge w:val="restart"/>
            <w:tcBorders>
              <w:bottom w:val="nil"/>
            </w:tcBorders>
          </w:tcPr>
          <w:p w14:paraId="57ABFEB2">
            <w:pPr>
              <w:spacing w:line="269" w:lineRule="auto"/>
              <w:rPr>
                <w:rFonts w:ascii="Arial"/>
                <w:color w:val="auto"/>
                <w:highlight w:val="none"/>
              </w:rPr>
            </w:pPr>
          </w:p>
          <w:p w14:paraId="7F638936">
            <w:pPr>
              <w:spacing w:line="269" w:lineRule="auto"/>
              <w:rPr>
                <w:rFonts w:ascii="Arial"/>
                <w:color w:val="auto"/>
                <w:highlight w:val="none"/>
              </w:rPr>
            </w:pPr>
          </w:p>
          <w:p w14:paraId="464A050C">
            <w:pPr>
              <w:spacing w:line="269" w:lineRule="auto"/>
              <w:rPr>
                <w:rFonts w:ascii="Arial"/>
                <w:color w:val="auto"/>
                <w:highlight w:val="none"/>
              </w:rPr>
            </w:pPr>
          </w:p>
          <w:p w14:paraId="6F43CE51">
            <w:pPr>
              <w:spacing w:line="269" w:lineRule="auto"/>
              <w:rPr>
                <w:rFonts w:ascii="Arial"/>
                <w:color w:val="auto"/>
                <w:highlight w:val="none"/>
              </w:rPr>
            </w:pPr>
          </w:p>
          <w:p w14:paraId="5F0F7D2C">
            <w:pPr>
              <w:spacing w:line="269" w:lineRule="auto"/>
              <w:rPr>
                <w:rFonts w:ascii="Arial"/>
                <w:color w:val="auto"/>
                <w:highlight w:val="none"/>
              </w:rPr>
            </w:pPr>
          </w:p>
          <w:p w14:paraId="6770FDD5">
            <w:pPr>
              <w:spacing w:line="269" w:lineRule="auto"/>
              <w:rPr>
                <w:rFonts w:ascii="Arial"/>
                <w:color w:val="auto"/>
                <w:highlight w:val="none"/>
              </w:rPr>
            </w:pPr>
          </w:p>
          <w:p w14:paraId="1085AEA8">
            <w:pPr>
              <w:pStyle w:val="248"/>
              <w:spacing w:before="61" w:line="258" w:lineRule="exact"/>
              <w:ind w:left="209"/>
              <w:rPr>
                <w:color w:val="auto"/>
                <w:highlight w:val="none"/>
              </w:rPr>
            </w:pPr>
            <w:r>
              <w:rPr>
                <w:color w:val="auto"/>
                <w:spacing w:val="-7"/>
                <w:position w:val="1"/>
                <w:highlight w:val="none"/>
              </w:rPr>
              <w:t>11</w:t>
            </w:r>
          </w:p>
        </w:tc>
        <w:tc>
          <w:tcPr>
            <w:tcW w:w="1166" w:type="dxa"/>
            <w:vMerge w:val="restart"/>
            <w:tcBorders>
              <w:bottom w:val="nil"/>
            </w:tcBorders>
          </w:tcPr>
          <w:p w14:paraId="7EADDCCC">
            <w:pPr>
              <w:spacing w:line="243" w:lineRule="auto"/>
              <w:rPr>
                <w:rFonts w:ascii="Arial"/>
                <w:color w:val="auto"/>
                <w:highlight w:val="none"/>
              </w:rPr>
            </w:pPr>
          </w:p>
          <w:p w14:paraId="4DB2B84F">
            <w:pPr>
              <w:spacing w:line="243" w:lineRule="auto"/>
              <w:rPr>
                <w:rFonts w:ascii="Arial"/>
                <w:color w:val="auto"/>
                <w:highlight w:val="none"/>
              </w:rPr>
            </w:pPr>
          </w:p>
          <w:p w14:paraId="52CCE754">
            <w:pPr>
              <w:spacing w:line="243" w:lineRule="auto"/>
              <w:rPr>
                <w:rFonts w:ascii="Arial"/>
                <w:color w:val="auto"/>
                <w:highlight w:val="none"/>
              </w:rPr>
            </w:pPr>
          </w:p>
          <w:p w14:paraId="635EC101">
            <w:pPr>
              <w:spacing w:line="243" w:lineRule="auto"/>
              <w:rPr>
                <w:rFonts w:ascii="Arial"/>
                <w:color w:val="auto"/>
                <w:highlight w:val="none"/>
              </w:rPr>
            </w:pPr>
          </w:p>
          <w:p w14:paraId="4080DF1A">
            <w:pPr>
              <w:spacing w:line="243" w:lineRule="auto"/>
              <w:rPr>
                <w:rFonts w:ascii="Arial"/>
                <w:color w:val="auto"/>
                <w:highlight w:val="none"/>
              </w:rPr>
            </w:pPr>
          </w:p>
          <w:p w14:paraId="10FB1E87">
            <w:pPr>
              <w:spacing w:line="244" w:lineRule="auto"/>
              <w:rPr>
                <w:rFonts w:ascii="Arial"/>
                <w:color w:val="auto"/>
                <w:highlight w:val="none"/>
              </w:rPr>
            </w:pPr>
          </w:p>
          <w:p w14:paraId="39F37B41">
            <w:pPr>
              <w:pStyle w:val="248"/>
              <w:spacing w:before="61" w:line="305" w:lineRule="auto"/>
              <w:ind w:left="18" w:right="8" w:hanging="9"/>
              <w:rPr>
                <w:color w:val="auto"/>
                <w:highlight w:val="none"/>
              </w:rPr>
            </w:pPr>
            <w:r>
              <w:rPr>
                <w:color w:val="auto"/>
                <w:spacing w:val="5"/>
                <w:highlight w:val="none"/>
              </w:rPr>
              <w:t>A020619</w:t>
            </w:r>
            <w:r>
              <w:rPr>
                <w:color w:val="auto"/>
                <w:spacing w:val="-43"/>
                <w:highlight w:val="none"/>
              </w:rPr>
              <w:t xml:space="preserve"> </w:t>
            </w:r>
            <w:r>
              <w:rPr>
                <w:color w:val="auto"/>
                <w:spacing w:val="5"/>
                <w:highlight w:val="none"/>
              </w:rPr>
              <w:t>照明</w:t>
            </w:r>
            <w:r>
              <w:rPr>
                <w:color w:val="auto"/>
                <w:highlight w:val="none"/>
              </w:rPr>
              <w:t xml:space="preserve"> </w:t>
            </w:r>
            <w:r>
              <w:rPr>
                <w:color w:val="auto"/>
                <w:spacing w:val="3"/>
                <w:highlight w:val="none"/>
              </w:rPr>
              <w:t>设备</w:t>
            </w:r>
          </w:p>
        </w:tc>
        <w:tc>
          <w:tcPr>
            <w:tcW w:w="1799" w:type="dxa"/>
          </w:tcPr>
          <w:p w14:paraId="35F33D5C">
            <w:pPr>
              <w:pStyle w:val="248"/>
              <w:spacing w:before="198" w:line="304" w:lineRule="auto"/>
              <w:ind w:left="20" w:right="12" w:hanging="2"/>
              <w:rPr>
                <w:color w:val="auto"/>
                <w:highlight w:val="none"/>
                <w:lang w:eastAsia="zh-CN"/>
              </w:rPr>
            </w:pPr>
            <w:r>
              <w:rPr>
                <w:color w:val="auto"/>
                <w:spacing w:val="19"/>
                <w:highlight w:val="none"/>
                <w:lang w:eastAsia="zh-CN"/>
              </w:rPr>
              <w:t>★</w:t>
            </w:r>
            <w:r>
              <w:rPr>
                <w:color w:val="auto"/>
                <w:spacing w:val="-59"/>
                <w:highlight w:val="none"/>
                <w:lang w:eastAsia="zh-CN"/>
              </w:rPr>
              <w:t xml:space="preserve"> </w:t>
            </w:r>
            <w:r>
              <w:rPr>
                <w:color w:val="auto"/>
                <w:spacing w:val="19"/>
                <w:highlight w:val="none"/>
                <w:lang w:eastAsia="zh-CN"/>
              </w:rPr>
              <w:t>普通照</w:t>
            </w:r>
            <w:r>
              <w:rPr>
                <w:color w:val="auto"/>
                <w:spacing w:val="-42"/>
                <w:highlight w:val="none"/>
                <w:lang w:eastAsia="zh-CN"/>
              </w:rPr>
              <w:t xml:space="preserve"> </w:t>
            </w:r>
            <w:r>
              <w:rPr>
                <w:color w:val="auto"/>
                <w:spacing w:val="19"/>
                <w:highlight w:val="none"/>
                <w:lang w:eastAsia="zh-CN"/>
              </w:rPr>
              <w:t>明用双端</w:t>
            </w:r>
            <w:r>
              <w:rPr>
                <w:color w:val="auto"/>
                <w:highlight w:val="none"/>
                <w:lang w:eastAsia="zh-CN"/>
              </w:rPr>
              <w:t xml:space="preserve"> </w:t>
            </w:r>
            <w:r>
              <w:rPr>
                <w:color w:val="auto"/>
                <w:spacing w:val="4"/>
                <w:highlight w:val="none"/>
                <w:lang w:eastAsia="zh-CN"/>
              </w:rPr>
              <w:t>荧光灯</w:t>
            </w:r>
          </w:p>
        </w:tc>
        <w:tc>
          <w:tcPr>
            <w:tcW w:w="1914" w:type="dxa"/>
          </w:tcPr>
          <w:p w14:paraId="7D0C95BA">
            <w:pPr>
              <w:rPr>
                <w:rFonts w:ascii="Arial"/>
                <w:color w:val="auto"/>
                <w:highlight w:val="none"/>
              </w:rPr>
            </w:pPr>
          </w:p>
        </w:tc>
        <w:tc>
          <w:tcPr>
            <w:tcW w:w="2969" w:type="dxa"/>
          </w:tcPr>
          <w:p w14:paraId="7F7C8677">
            <w:pPr>
              <w:pStyle w:val="248"/>
              <w:spacing w:before="198" w:line="304" w:lineRule="auto"/>
              <w:ind w:left="22" w:right="11"/>
              <w:rPr>
                <w:color w:val="auto"/>
                <w:highlight w:val="none"/>
                <w:lang w:eastAsia="zh-CN"/>
              </w:rPr>
            </w:pPr>
            <w:r>
              <w:rPr>
                <w:color w:val="auto"/>
                <w:spacing w:val="19"/>
                <w:highlight w:val="none"/>
                <w:lang w:eastAsia="zh-CN"/>
              </w:rPr>
              <w:t>《普通照明用双端荧光灯能效限</w:t>
            </w:r>
            <w:r>
              <w:rPr>
                <w:color w:val="auto"/>
                <w:spacing w:val="2"/>
                <w:highlight w:val="none"/>
                <w:lang w:eastAsia="zh-CN"/>
              </w:rPr>
              <w:t xml:space="preserve"> </w:t>
            </w:r>
            <w:r>
              <w:rPr>
                <w:color w:val="auto"/>
                <w:spacing w:val="5"/>
                <w:highlight w:val="none"/>
                <w:lang w:eastAsia="zh-CN"/>
              </w:rPr>
              <w:t>定值及能效等级》（</w:t>
            </w:r>
            <w:r>
              <w:rPr>
                <w:color w:val="auto"/>
                <w:highlight w:val="none"/>
                <w:lang w:eastAsia="zh-CN"/>
              </w:rPr>
              <w:t>GB</w:t>
            </w:r>
            <w:r>
              <w:rPr>
                <w:color w:val="auto"/>
                <w:spacing w:val="42"/>
                <w:highlight w:val="none"/>
                <w:lang w:eastAsia="zh-CN"/>
              </w:rPr>
              <w:t xml:space="preserve"> </w:t>
            </w:r>
            <w:r>
              <w:rPr>
                <w:color w:val="auto"/>
                <w:spacing w:val="5"/>
                <w:highlight w:val="none"/>
                <w:lang w:eastAsia="zh-CN"/>
              </w:rPr>
              <w:t>19043）</w:t>
            </w:r>
          </w:p>
        </w:tc>
      </w:tr>
      <w:tr w14:paraId="210327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6" w:hRule="atLeast"/>
        </w:trPr>
        <w:tc>
          <w:tcPr>
            <w:tcW w:w="578" w:type="dxa"/>
            <w:vMerge w:val="continue"/>
            <w:tcBorders>
              <w:top w:val="nil"/>
              <w:bottom w:val="nil"/>
            </w:tcBorders>
          </w:tcPr>
          <w:p w14:paraId="5D54FF89">
            <w:pPr>
              <w:rPr>
                <w:rFonts w:ascii="Arial"/>
                <w:color w:val="auto"/>
                <w:highlight w:val="none"/>
              </w:rPr>
            </w:pPr>
          </w:p>
        </w:tc>
        <w:tc>
          <w:tcPr>
            <w:tcW w:w="1166" w:type="dxa"/>
            <w:vMerge w:val="continue"/>
            <w:tcBorders>
              <w:top w:val="nil"/>
              <w:bottom w:val="nil"/>
            </w:tcBorders>
          </w:tcPr>
          <w:p w14:paraId="17CB8795">
            <w:pPr>
              <w:rPr>
                <w:rFonts w:ascii="Arial"/>
                <w:color w:val="auto"/>
                <w:highlight w:val="none"/>
              </w:rPr>
            </w:pPr>
          </w:p>
        </w:tc>
        <w:tc>
          <w:tcPr>
            <w:tcW w:w="1799" w:type="dxa"/>
          </w:tcPr>
          <w:p w14:paraId="70999D75">
            <w:pPr>
              <w:pStyle w:val="248"/>
              <w:spacing w:before="156" w:line="305" w:lineRule="auto"/>
              <w:ind w:left="14" w:right="7" w:hanging="1"/>
              <w:rPr>
                <w:color w:val="auto"/>
                <w:highlight w:val="none"/>
              </w:rPr>
            </w:pPr>
            <w:r>
              <w:rPr>
                <w:color w:val="auto"/>
                <w:highlight w:val="none"/>
              </w:rPr>
              <w:t>LED</w:t>
            </w:r>
            <w:r>
              <w:rPr>
                <w:color w:val="auto"/>
                <w:spacing w:val="23"/>
                <w:highlight w:val="none"/>
              </w:rPr>
              <w:t xml:space="preserve"> </w:t>
            </w:r>
            <w:r>
              <w:rPr>
                <w:color w:val="auto"/>
                <w:spacing w:val="19"/>
                <w:highlight w:val="none"/>
              </w:rPr>
              <w:t>道路/隧道照明</w:t>
            </w:r>
            <w:r>
              <w:rPr>
                <w:color w:val="auto"/>
                <w:highlight w:val="none"/>
              </w:rPr>
              <w:t xml:space="preserve"> </w:t>
            </w:r>
            <w:r>
              <w:rPr>
                <w:color w:val="auto"/>
                <w:spacing w:val="5"/>
                <w:highlight w:val="none"/>
              </w:rPr>
              <w:t>产品</w:t>
            </w:r>
          </w:p>
        </w:tc>
        <w:tc>
          <w:tcPr>
            <w:tcW w:w="1914" w:type="dxa"/>
          </w:tcPr>
          <w:p w14:paraId="69D1A92D">
            <w:pPr>
              <w:rPr>
                <w:rFonts w:ascii="Arial"/>
                <w:color w:val="auto"/>
                <w:highlight w:val="none"/>
              </w:rPr>
            </w:pPr>
          </w:p>
        </w:tc>
        <w:tc>
          <w:tcPr>
            <w:tcW w:w="2969" w:type="dxa"/>
          </w:tcPr>
          <w:p w14:paraId="1B197D6A">
            <w:pPr>
              <w:pStyle w:val="248"/>
              <w:spacing w:before="156" w:line="305" w:lineRule="auto"/>
              <w:ind w:left="22"/>
              <w:rPr>
                <w:color w:val="auto"/>
                <w:highlight w:val="none"/>
              </w:rPr>
            </w:pPr>
            <w:r>
              <w:rPr>
                <w:color w:val="auto"/>
                <w:spacing w:val="7"/>
                <w:highlight w:val="none"/>
              </w:rPr>
              <w:t xml:space="preserve">《道路和隧道照明用 </w:t>
            </w:r>
            <w:r>
              <w:rPr>
                <w:color w:val="auto"/>
                <w:highlight w:val="none"/>
              </w:rPr>
              <w:t>LED</w:t>
            </w:r>
            <w:r>
              <w:rPr>
                <w:color w:val="auto"/>
                <w:spacing w:val="7"/>
                <w:highlight w:val="none"/>
              </w:rPr>
              <w:t xml:space="preserve"> 灯具能</w:t>
            </w:r>
            <w:r>
              <w:rPr>
                <w:color w:val="auto"/>
                <w:highlight w:val="none"/>
              </w:rPr>
              <w:t xml:space="preserve">  </w:t>
            </w:r>
            <w:r>
              <w:rPr>
                <w:color w:val="auto"/>
                <w:spacing w:val="-4"/>
                <w:highlight w:val="none"/>
              </w:rPr>
              <w:t>效限定值及能效等级》（GB</w:t>
            </w:r>
            <w:r>
              <w:rPr>
                <w:color w:val="auto"/>
                <w:spacing w:val="-24"/>
                <w:highlight w:val="none"/>
              </w:rPr>
              <w:t xml:space="preserve"> </w:t>
            </w:r>
            <w:r>
              <w:rPr>
                <w:color w:val="auto"/>
                <w:spacing w:val="-4"/>
                <w:highlight w:val="none"/>
              </w:rPr>
              <w:t>37478）</w:t>
            </w:r>
          </w:p>
        </w:tc>
      </w:tr>
      <w:tr w14:paraId="04CD32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9" w:hRule="atLeast"/>
        </w:trPr>
        <w:tc>
          <w:tcPr>
            <w:tcW w:w="578" w:type="dxa"/>
            <w:vMerge w:val="continue"/>
            <w:tcBorders>
              <w:top w:val="nil"/>
              <w:bottom w:val="nil"/>
            </w:tcBorders>
          </w:tcPr>
          <w:p w14:paraId="6EAB3F2B">
            <w:pPr>
              <w:rPr>
                <w:rFonts w:ascii="Arial"/>
                <w:color w:val="auto"/>
                <w:highlight w:val="none"/>
              </w:rPr>
            </w:pPr>
          </w:p>
        </w:tc>
        <w:tc>
          <w:tcPr>
            <w:tcW w:w="1166" w:type="dxa"/>
            <w:vMerge w:val="continue"/>
            <w:tcBorders>
              <w:top w:val="nil"/>
              <w:bottom w:val="nil"/>
            </w:tcBorders>
          </w:tcPr>
          <w:p w14:paraId="2E800B5C">
            <w:pPr>
              <w:rPr>
                <w:rFonts w:ascii="Arial"/>
                <w:color w:val="auto"/>
                <w:highlight w:val="none"/>
              </w:rPr>
            </w:pPr>
          </w:p>
        </w:tc>
        <w:tc>
          <w:tcPr>
            <w:tcW w:w="1799" w:type="dxa"/>
          </w:tcPr>
          <w:p w14:paraId="7E562B78">
            <w:pPr>
              <w:rPr>
                <w:rFonts w:ascii="Arial"/>
                <w:color w:val="auto"/>
                <w:highlight w:val="none"/>
              </w:rPr>
            </w:pPr>
          </w:p>
          <w:p w14:paraId="1E40599C">
            <w:pPr>
              <w:pStyle w:val="248"/>
              <w:spacing w:before="62" w:line="229" w:lineRule="auto"/>
              <w:ind w:left="13"/>
              <w:rPr>
                <w:color w:val="auto"/>
                <w:highlight w:val="none"/>
              </w:rPr>
            </w:pPr>
            <w:r>
              <w:rPr>
                <w:color w:val="auto"/>
                <w:highlight w:val="none"/>
              </w:rPr>
              <w:t>LED</w:t>
            </w:r>
            <w:r>
              <w:rPr>
                <w:color w:val="auto"/>
                <w:spacing w:val="-32"/>
                <w:highlight w:val="none"/>
              </w:rPr>
              <w:t xml:space="preserve"> </w:t>
            </w:r>
            <w:r>
              <w:rPr>
                <w:color w:val="auto"/>
                <w:spacing w:val="8"/>
                <w:highlight w:val="none"/>
              </w:rPr>
              <w:t>筒灯</w:t>
            </w:r>
          </w:p>
        </w:tc>
        <w:tc>
          <w:tcPr>
            <w:tcW w:w="1914" w:type="dxa"/>
          </w:tcPr>
          <w:p w14:paraId="4E142156">
            <w:pPr>
              <w:rPr>
                <w:rFonts w:ascii="Arial"/>
                <w:color w:val="auto"/>
                <w:highlight w:val="none"/>
              </w:rPr>
            </w:pPr>
          </w:p>
        </w:tc>
        <w:tc>
          <w:tcPr>
            <w:tcW w:w="2969" w:type="dxa"/>
          </w:tcPr>
          <w:p w14:paraId="0D5BF80C">
            <w:pPr>
              <w:pStyle w:val="248"/>
              <w:spacing w:before="148" w:line="304" w:lineRule="auto"/>
              <w:ind w:left="17" w:right="13" w:firstLine="5"/>
              <w:rPr>
                <w:color w:val="auto"/>
                <w:highlight w:val="none"/>
              </w:rPr>
            </w:pPr>
            <w:r>
              <w:rPr>
                <w:color w:val="auto"/>
                <w:spacing w:val="12"/>
                <w:highlight w:val="none"/>
              </w:rPr>
              <w:t xml:space="preserve">《室内照明用 </w:t>
            </w:r>
            <w:r>
              <w:rPr>
                <w:color w:val="auto"/>
                <w:highlight w:val="none"/>
              </w:rPr>
              <w:t>LED</w:t>
            </w:r>
            <w:r>
              <w:rPr>
                <w:color w:val="auto"/>
                <w:spacing w:val="12"/>
                <w:highlight w:val="none"/>
              </w:rPr>
              <w:t xml:space="preserve"> 产品能效限定</w:t>
            </w:r>
            <w:r>
              <w:rPr>
                <w:color w:val="auto"/>
                <w:spacing w:val="2"/>
                <w:highlight w:val="none"/>
              </w:rPr>
              <w:t xml:space="preserve"> </w:t>
            </w:r>
            <w:r>
              <w:rPr>
                <w:color w:val="auto"/>
                <w:spacing w:val="7"/>
                <w:highlight w:val="none"/>
              </w:rPr>
              <w:t>值及能效等级》（</w:t>
            </w:r>
            <w:r>
              <w:rPr>
                <w:color w:val="auto"/>
                <w:highlight w:val="none"/>
              </w:rPr>
              <w:t>GB</w:t>
            </w:r>
            <w:r>
              <w:rPr>
                <w:color w:val="auto"/>
                <w:spacing w:val="7"/>
                <w:highlight w:val="none"/>
              </w:rPr>
              <w:t xml:space="preserve"> 30255）</w:t>
            </w:r>
          </w:p>
        </w:tc>
      </w:tr>
      <w:tr w14:paraId="6FD69A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36" w:hRule="atLeast"/>
        </w:trPr>
        <w:tc>
          <w:tcPr>
            <w:tcW w:w="578" w:type="dxa"/>
            <w:vMerge w:val="continue"/>
            <w:tcBorders>
              <w:top w:val="nil"/>
            </w:tcBorders>
          </w:tcPr>
          <w:p w14:paraId="7E83E520">
            <w:pPr>
              <w:rPr>
                <w:rFonts w:ascii="Arial"/>
                <w:color w:val="auto"/>
                <w:highlight w:val="none"/>
              </w:rPr>
            </w:pPr>
          </w:p>
        </w:tc>
        <w:tc>
          <w:tcPr>
            <w:tcW w:w="1166" w:type="dxa"/>
            <w:vMerge w:val="continue"/>
            <w:tcBorders>
              <w:top w:val="nil"/>
            </w:tcBorders>
          </w:tcPr>
          <w:p w14:paraId="538139D3">
            <w:pPr>
              <w:rPr>
                <w:rFonts w:ascii="Arial"/>
                <w:color w:val="auto"/>
                <w:highlight w:val="none"/>
              </w:rPr>
            </w:pPr>
          </w:p>
        </w:tc>
        <w:tc>
          <w:tcPr>
            <w:tcW w:w="1799" w:type="dxa"/>
          </w:tcPr>
          <w:p w14:paraId="5B8942E0">
            <w:pPr>
              <w:pStyle w:val="248"/>
              <w:spacing w:before="265" w:line="304" w:lineRule="auto"/>
              <w:ind w:left="47" w:right="12" w:hanging="33"/>
              <w:rPr>
                <w:color w:val="auto"/>
                <w:highlight w:val="none"/>
              </w:rPr>
            </w:pPr>
            <w:r>
              <w:rPr>
                <w:color w:val="auto"/>
                <w:spacing w:val="30"/>
                <w:highlight w:val="none"/>
              </w:rPr>
              <w:t>普通照明用非定向</w:t>
            </w:r>
            <w:r>
              <w:rPr>
                <w:color w:val="auto"/>
                <w:spacing w:val="5"/>
                <w:highlight w:val="none"/>
              </w:rPr>
              <w:t xml:space="preserve"> </w:t>
            </w:r>
            <w:r>
              <w:rPr>
                <w:color w:val="auto"/>
                <w:spacing w:val="-1"/>
                <w:highlight w:val="none"/>
              </w:rPr>
              <w:t>自镇流</w:t>
            </w:r>
            <w:r>
              <w:rPr>
                <w:color w:val="auto"/>
                <w:spacing w:val="-33"/>
                <w:highlight w:val="none"/>
              </w:rPr>
              <w:t xml:space="preserve"> </w:t>
            </w:r>
            <w:r>
              <w:rPr>
                <w:color w:val="auto"/>
                <w:spacing w:val="-1"/>
                <w:highlight w:val="none"/>
              </w:rPr>
              <w:t>LED</w:t>
            </w:r>
            <w:r>
              <w:rPr>
                <w:color w:val="auto"/>
                <w:spacing w:val="-37"/>
                <w:highlight w:val="none"/>
              </w:rPr>
              <w:t xml:space="preserve"> </w:t>
            </w:r>
            <w:r>
              <w:rPr>
                <w:color w:val="auto"/>
                <w:spacing w:val="-1"/>
                <w:highlight w:val="none"/>
              </w:rPr>
              <w:t>灯</w:t>
            </w:r>
          </w:p>
        </w:tc>
        <w:tc>
          <w:tcPr>
            <w:tcW w:w="1914" w:type="dxa"/>
          </w:tcPr>
          <w:p w14:paraId="62A63BF4">
            <w:pPr>
              <w:rPr>
                <w:rFonts w:ascii="Arial"/>
                <w:color w:val="auto"/>
                <w:highlight w:val="none"/>
              </w:rPr>
            </w:pPr>
          </w:p>
        </w:tc>
        <w:tc>
          <w:tcPr>
            <w:tcW w:w="2969" w:type="dxa"/>
          </w:tcPr>
          <w:p w14:paraId="23AAA6D0">
            <w:pPr>
              <w:pStyle w:val="248"/>
              <w:spacing w:before="265" w:line="304" w:lineRule="auto"/>
              <w:ind w:left="17" w:right="13" w:firstLine="5"/>
              <w:rPr>
                <w:color w:val="auto"/>
                <w:highlight w:val="none"/>
              </w:rPr>
            </w:pPr>
            <w:r>
              <w:rPr>
                <w:color w:val="auto"/>
                <w:spacing w:val="12"/>
                <w:highlight w:val="none"/>
              </w:rPr>
              <w:t xml:space="preserve">《室内照明用 </w:t>
            </w:r>
            <w:r>
              <w:rPr>
                <w:color w:val="auto"/>
                <w:highlight w:val="none"/>
              </w:rPr>
              <w:t>LED</w:t>
            </w:r>
            <w:r>
              <w:rPr>
                <w:color w:val="auto"/>
                <w:spacing w:val="12"/>
                <w:highlight w:val="none"/>
              </w:rPr>
              <w:t xml:space="preserve"> 产品能效限定</w:t>
            </w:r>
            <w:r>
              <w:rPr>
                <w:color w:val="auto"/>
                <w:spacing w:val="2"/>
                <w:highlight w:val="none"/>
              </w:rPr>
              <w:t xml:space="preserve"> </w:t>
            </w:r>
            <w:r>
              <w:rPr>
                <w:color w:val="auto"/>
                <w:spacing w:val="7"/>
                <w:highlight w:val="none"/>
              </w:rPr>
              <w:t>值及能效等级》（</w:t>
            </w:r>
            <w:r>
              <w:rPr>
                <w:color w:val="auto"/>
                <w:highlight w:val="none"/>
              </w:rPr>
              <w:t>GB</w:t>
            </w:r>
            <w:r>
              <w:rPr>
                <w:color w:val="auto"/>
                <w:spacing w:val="7"/>
                <w:highlight w:val="none"/>
              </w:rPr>
              <w:t xml:space="preserve"> 30255）</w:t>
            </w:r>
          </w:p>
        </w:tc>
      </w:tr>
      <w:tr w14:paraId="2B4117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6" w:hRule="atLeast"/>
        </w:trPr>
        <w:tc>
          <w:tcPr>
            <w:tcW w:w="578" w:type="dxa"/>
          </w:tcPr>
          <w:p w14:paraId="0B92FF97">
            <w:pPr>
              <w:pStyle w:val="248"/>
              <w:spacing w:before="301" w:line="258" w:lineRule="exact"/>
              <w:ind w:left="209"/>
              <w:rPr>
                <w:color w:val="auto"/>
                <w:highlight w:val="none"/>
              </w:rPr>
            </w:pPr>
            <w:r>
              <w:rPr>
                <w:color w:val="auto"/>
                <w:spacing w:val="-7"/>
                <w:position w:val="1"/>
                <w:highlight w:val="none"/>
              </w:rPr>
              <w:t>12</w:t>
            </w:r>
          </w:p>
        </w:tc>
        <w:tc>
          <w:tcPr>
            <w:tcW w:w="1166" w:type="dxa"/>
          </w:tcPr>
          <w:p w14:paraId="7247B9D5">
            <w:pPr>
              <w:pStyle w:val="248"/>
              <w:spacing w:before="145" w:line="305" w:lineRule="auto"/>
              <w:ind w:left="14" w:right="8" w:firstLine="3"/>
              <w:rPr>
                <w:color w:val="auto"/>
                <w:highlight w:val="none"/>
              </w:rPr>
            </w:pPr>
            <w:r>
              <w:rPr>
                <w:color w:val="auto"/>
                <w:spacing w:val="1"/>
                <w:highlight w:val="none"/>
              </w:rPr>
              <w:t>★A020910</w:t>
            </w:r>
            <w:r>
              <w:rPr>
                <w:color w:val="auto"/>
                <w:spacing w:val="-17"/>
                <w:highlight w:val="none"/>
              </w:rPr>
              <w:t xml:space="preserve"> </w:t>
            </w:r>
            <w:r>
              <w:rPr>
                <w:color w:val="auto"/>
                <w:spacing w:val="1"/>
                <w:highlight w:val="none"/>
              </w:rPr>
              <w:t>电</w:t>
            </w:r>
            <w:r>
              <w:rPr>
                <w:color w:val="auto"/>
                <w:highlight w:val="none"/>
              </w:rPr>
              <w:t xml:space="preserve"> </w:t>
            </w:r>
            <w:r>
              <w:rPr>
                <w:color w:val="auto"/>
                <w:spacing w:val="6"/>
                <w:highlight w:val="none"/>
              </w:rPr>
              <w:t>视设备</w:t>
            </w:r>
          </w:p>
        </w:tc>
        <w:tc>
          <w:tcPr>
            <w:tcW w:w="1799" w:type="dxa"/>
          </w:tcPr>
          <w:p w14:paraId="58DA9342">
            <w:pPr>
              <w:pStyle w:val="248"/>
              <w:spacing w:before="145" w:line="304" w:lineRule="auto"/>
              <w:ind w:left="18" w:right="10" w:hanging="9"/>
              <w:rPr>
                <w:color w:val="auto"/>
                <w:highlight w:val="none"/>
                <w:lang w:eastAsia="zh-CN"/>
              </w:rPr>
            </w:pPr>
            <w:r>
              <w:rPr>
                <w:color w:val="auto"/>
                <w:spacing w:val="4"/>
                <w:highlight w:val="none"/>
                <w:lang w:eastAsia="zh-CN"/>
              </w:rPr>
              <w:t>A02091001 普通电视</w:t>
            </w:r>
            <w:r>
              <w:rPr>
                <w:color w:val="auto"/>
                <w:spacing w:val="7"/>
                <w:highlight w:val="none"/>
                <w:lang w:eastAsia="zh-CN"/>
              </w:rPr>
              <w:t xml:space="preserve"> </w:t>
            </w:r>
            <w:r>
              <w:rPr>
                <w:color w:val="auto"/>
                <w:spacing w:val="6"/>
                <w:highlight w:val="none"/>
                <w:lang w:eastAsia="zh-CN"/>
              </w:rPr>
              <w:t>设备（电视机）</w:t>
            </w:r>
          </w:p>
        </w:tc>
        <w:tc>
          <w:tcPr>
            <w:tcW w:w="1914" w:type="dxa"/>
          </w:tcPr>
          <w:p w14:paraId="3AEBCE60">
            <w:pPr>
              <w:rPr>
                <w:rFonts w:ascii="Arial"/>
                <w:color w:val="auto"/>
                <w:highlight w:val="none"/>
              </w:rPr>
            </w:pPr>
          </w:p>
        </w:tc>
        <w:tc>
          <w:tcPr>
            <w:tcW w:w="2969" w:type="dxa"/>
          </w:tcPr>
          <w:p w14:paraId="61F90924">
            <w:pPr>
              <w:pStyle w:val="248"/>
              <w:spacing w:before="146" w:line="305" w:lineRule="auto"/>
              <w:ind w:left="21" w:right="11" w:firstLine="2"/>
              <w:rPr>
                <w:color w:val="auto"/>
                <w:highlight w:val="none"/>
                <w:lang w:eastAsia="zh-CN"/>
              </w:rPr>
            </w:pPr>
            <w:r>
              <w:rPr>
                <w:color w:val="auto"/>
                <w:spacing w:val="19"/>
                <w:highlight w:val="none"/>
                <w:lang w:eastAsia="zh-CN"/>
              </w:rPr>
              <w:t>《平板电视能效限定值及能效等</w:t>
            </w:r>
            <w:r>
              <w:rPr>
                <w:color w:val="auto"/>
                <w:spacing w:val="2"/>
                <w:highlight w:val="none"/>
                <w:lang w:eastAsia="zh-CN"/>
              </w:rPr>
              <w:t xml:space="preserve"> </w:t>
            </w:r>
            <w:r>
              <w:rPr>
                <w:color w:val="auto"/>
                <w:spacing w:val="4"/>
                <w:highlight w:val="none"/>
                <w:lang w:eastAsia="zh-CN"/>
              </w:rPr>
              <w:t>级》（</w:t>
            </w:r>
            <w:r>
              <w:rPr>
                <w:color w:val="auto"/>
                <w:highlight w:val="none"/>
                <w:lang w:eastAsia="zh-CN"/>
              </w:rPr>
              <w:t>GB</w:t>
            </w:r>
            <w:r>
              <w:rPr>
                <w:color w:val="auto"/>
                <w:spacing w:val="23"/>
                <w:highlight w:val="none"/>
                <w:lang w:eastAsia="zh-CN"/>
              </w:rPr>
              <w:t xml:space="preserve"> </w:t>
            </w:r>
            <w:r>
              <w:rPr>
                <w:color w:val="auto"/>
                <w:spacing w:val="4"/>
                <w:highlight w:val="none"/>
                <w:lang w:eastAsia="zh-CN"/>
              </w:rPr>
              <w:t>24850）</w:t>
            </w:r>
          </w:p>
        </w:tc>
      </w:tr>
      <w:tr w14:paraId="73D8D5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6" w:hRule="atLeast"/>
        </w:trPr>
        <w:tc>
          <w:tcPr>
            <w:tcW w:w="578" w:type="dxa"/>
          </w:tcPr>
          <w:p w14:paraId="36B322CA">
            <w:pPr>
              <w:spacing w:line="268" w:lineRule="auto"/>
              <w:rPr>
                <w:rFonts w:ascii="Arial"/>
                <w:color w:val="auto"/>
                <w:highlight w:val="none"/>
              </w:rPr>
            </w:pPr>
          </w:p>
          <w:p w14:paraId="68C40CAF">
            <w:pPr>
              <w:spacing w:line="269" w:lineRule="auto"/>
              <w:rPr>
                <w:rFonts w:ascii="Arial"/>
                <w:color w:val="auto"/>
                <w:highlight w:val="none"/>
              </w:rPr>
            </w:pPr>
          </w:p>
          <w:p w14:paraId="67051B77">
            <w:pPr>
              <w:spacing w:line="269" w:lineRule="auto"/>
              <w:rPr>
                <w:rFonts w:ascii="Arial"/>
                <w:color w:val="auto"/>
                <w:highlight w:val="none"/>
              </w:rPr>
            </w:pPr>
          </w:p>
          <w:p w14:paraId="12A22673">
            <w:pPr>
              <w:pStyle w:val="248"/>
              <w:spacing w:before="62" w:line="256" w:lineRule="exact"/>
              <w:ind w:left="209"/>
              <w:rPr>
                <w:color w:val="auto"/>
                <w:highlight w:val="none"/>
              </w:rPr>
            </w:pPr>
            <w:r>
              <w:rPr>
                <w:color w:val="auto"/>
                <w:spacing w:val="-7"/>
                <w:position w:val="1"/>
                <w:highlight w:val="none"/>
              </w:rPr>
              <w:t>13</w:t>
            </w:r>
          </w:p>
        </w:tc>
        <w:tc>
          <w:tcPr>
            <w:tcW w:w="1166" w:type="dxa"/>
          </w:tcPr>
          <w:p w14:paraId="735CF110">
            <w:pPr>
              <w:spacing w:line="325" w:lineRule="auto"/>
              <w:rPr>
                <w:rFonts w:ascii="Arial"/>
                <w:color w:val="auto"/>
                <w:highlight w:val="none"/>
              </w:rPr>
            </w:pPr>
          </w:p>
          <w:p w14:paraId="33E4B9FC">
            <w:pPr>
              <w:spacing w:line="326" w:lineRule="auto"/>
              <w:rPr>
                <w:rFonts w:ascii="Arial"/>
                <w:color w:val="auto"/>
                <w:highlight w:val="none"/>
              </w:rPr>
            </w:pPr>
          </w:p>
          <w:p w14:paraId="68D26701">
            <w:pPr>
              <w:pStyle w:val="248"/>
              <w:spacing w:before="62" w:line="305" w:lineRule="auto"/>
              <w:ind w:left="16" w:right="8" w:firstLine="2"/>
              <w:rPr>
                <w:color w:val="auto"/>
                <w:highlight w:val="none"/>
              </w:rPr>
            </w:pPr>
            <w:r>
              <w:rPr>
                <w:color w:val="auto"/>
                <w:spacing w:val="4"/>
                <w:highlight w:val="none"/>
              </w:rPr>
              <w:t>★A020911</w:t>
            </w:r>
            <w:r>
              <w:rPr>
                <w:color w:val="auto"/>
                <w:spacing w:val="-44"/>
                <w:highlight w:val="none"/>
              </w:rPr>
              <w:t xml:space="preserve"> </w:t>
            </w:r>
            <w:r>
              <w:rPr>
                <w:color w:val="auto"/>
                <w:spacing w:val="4"/>
                <w:highlight w:val="none"/>
              </w:rPr>
              <w:t>视</w:t>
            </w:r>
            <w:r>
              <w:rPr>
                <w:color w:val="auto"/>
                <w:highlight w:val="none"/>
              </w:rPr>
              <w:t xml:space="preserve"> </w:t>
            </w:r>
            <w:r>
              <w:rPr>
                <w:color w:val="auto"/>
                <w:spacing w:val="6"/>
                <w:highlight w:val="none"/>
              </w:rPr>
              <w:t>频设备</w:t>
            </w:r>
          </w:p>
        </w:tc>
        <w:tc>
          <w:tcPr>
            <w:tcW w:w="1799" w:type="dxa"/>
          </w:tcPr>
          <w:p w14:paraId="5A57EEA7">
            <w:pPr>
              <w:spacing w:line="325" w:lineRule="auto"/>
              <w:rPr>
                <w:rFonts w:ascii="Arial"/>
                <w:color w:val="auto"/>
                <w:highlight w:val="none"/>
              </w:rPr>
            </w:pPr>
          </w:p>
          <w:p w14:paraId="7D23C347">
            <w:pPr>
              <w:spacing w:line="326" w:lineRule="auto"/>
              <w:rPr>
                <w:rFonts w:ascii="Arial"/>
                <w:color w:val="auto"/>
                <w:highlight w:val="none"/>
              </w:rPr>
            </w:pPr>
          </w:p>
          <w:p w14:paraId="14ADFC1A">
            <w:pPr>
              <w:pStyle w:val="248"/>
              <w:spacing w:before="62" w:line="305" w:lineRule="auto"/>
              <w:ind w:left="18" w:right="10" w:hanging="9"/>
              <w:rPr>
                <w:color w:val="auto"/>
                <w:highlight w:val="none"/>
              </w:rPr>
            </w:pPr>
            <w:r>
              <w:rPr>
                <w:color w:val="auto"/>
                <w:spacing w:val="4"/>
                <w:highlight w:val="none"/>
              </w:rPr>
              <w:t>A02091107 视频监控</w:t>
            </w:r>
            <w:r>
              <w:rPr>
                <w:color w:val="auto"/>
                <w:spacing w:val="7"/>
                <w:highlight w:val="none"/>
              </w:rPr>
              <w:t xml:space="preserve"> </w:t>
            </w:r>
            <w:r>
              <w:rPr>
                <w:color w:val="auto"/>
                <w:spacing w:val="3"/>
                <w:highlight w:val="none"/>
              </w:rPr>
              <w:t>设备</w:t>
            </w:r>
          </w:p>
        </w:tc>
        <w:tc>
          <w:tcPr>
            <w:tcW w:w="1914" w:type="dxa"/>
          </w:tcPr>
          <w:p w14:paraId="7D8A11ED">
            <w:pPr>
              <w:spacing w:line="268" w:lineRule="auto"/>
              <w:rPr>
                <w:rFonts w:ascii="Arial"/>
                <w:color w:val="auto"/>
                <w:highlight w:val="none"/>
              </w:rPr>
            </w:pPr>
          </w:p>
          <w:p w14:paraId="3D46471D">
            <w:pPr>
              <w:spacing w:line="269" w:lineRule="auto"/>
              <w:rPr>
                <w:rFonts w:ascii="Arial"/>
                <w:color w:val="auto"/>
                <w:highlight w:val="none"/>
              </w:rPr>
            </w:pPr>
          </w:p>
          <w:p w14:paraId="4FDA1DCA">
            <w:pPr>
              <w:spacing w:line="269" w:lineRule="auto"/>
              <w:rPr>
                <w:rFonts w:ascii="Arial"/>
                <w:color w:val="auto"/>
                <w:highlight w:val="none"/>
              </w:rPr>
            </w:pPr>
          </w:p>
          <w:p w14:paraId="443AE54E">
            <w:pPr>
              <w:pStyle w:val="248"/>
              <w:spacing w:before="62" w:line="230" w:lineRule="auto"/>
              <w:ind w:left="17"/>
              <w:rPr>
                <w:color w:val="auto"/>
                <w:highlight w:val="none"/>
              </w:rPr>
            </w:pPr>
            <w:r>
              <w:rPr>
                <w:color w:val="auto"/>
                <w:spacing w:val="6"/>
                <w:highlight w:val="none"/>
              </w:rPr>
              <w:t>监视器</w:t>
            </w:r>
          </w:p>
        </w:tc>
        <w:tc>
          <w:tcPr>
            <w:tcW w:w="2969" w:type="dxa"/>
          </w:tcPr>
          <w:p w14:paraId="6AB4D93C">
            <w:pPr>
              <w:pStyle w:val="248"/>
              <w:spacing w:before="93" w:line="303" w:lineRule="auto"/>
              <w:ind w:left="17" w:right="11" w:firstLine="23"/>
              <w:rPr>
                <w:color w:val="auto"/>
                <w:highlight w:val="none"/>
                <w:lang w:eastAsia="zh-CN"/>
              </w:rPr>
            </w:pPr>
            <w:r>
              <w:rPr>
                <w:color w:val="auto"/>
                <w:spacing w:val="18"/>
                <w:highlight w:val="none"/>
                <w:lang w:eastAsia="zh-CN"/>
              </w:rPr>
              <w:t>以射频信号为主要信号输入的监</w:t>
            </w:r>
            <w:r>
              <w:rPr>
                <w:color w:val="auto"/>
                <w:highlight w:val="none"/>
                <w:lang w:eastAsia="zh-CN"/>
              </w:rPr>
              <w:t xml:space="preserve"> </w:t>
            </w:r>
            <w:r>
              <w:rPr>
                <w:color w:val="auto"/>
                <w:spacing w:val="5"/>
                <w:highlight w:val="none"/>
                <w:lang w:eastAsia="zh-CN"/>
              </w:rPr>
              <w:t>视器应符合《平板电视能效限定值</w:t>
            </w:r>
            <w:r>
              <w:rPr>
                <w:color w:val="auto"/>
                <w:spacing w:val="7"/>
                <w:highlight w:val="none"/>
                <w:lang w:eastAsia="zh-CN"/>
              </w:rPr>
              <w:t xml:space="preserve"> </w:t>
            </w:r>
            <w:r>
              <w:rPr>
                <w:color w:val="auto"/>
                <w:spacing w:val="8"/>
                <w:highlight w:val="none"/>
                <w:lang w:eastAsia="zh-CN"/>
              </w:rPr>
              <w:t>及能效等级》（</w:t>
            </w:r>
            <w:r>
              <w:rPr>
                <w:color w:val="auto"/>
                <w:highlight w:val="none"/>
                <w:lang w:eastAsia="zh-CN"/>
              </w:rPr>
              <w:t>GB</w:t>
            </w:r>
            <w:r>
              <w:rPr>
                <w:color w:val="auto"/>
                <w:spacing w:val="8"/>
                <w:highlight w:val="none"/>
                <w:lang w:eastAsia="zh-CN"/>
              </w:rPr>
              <w:t xml:space="preserve"> 24850</w:t>
            </w:r>
            <w:r>
              <w:rPr>
                <w:color w:val="auto"/>
                <w:highlight w:val="none"/>
                <w:lang w:eastAsia="zh-CN"/>
              </w:rPr>
              <w:t>），</w:t>
            </w:r>
          </w:p>
          <w:p w14:paraId="163DC8B1">
            <w:pPr>
              <w:pStyle w:val="248"/>
              <w:spacing w:before="1" w:line="290" w:lineRule="auto"/>
              <w:ind w:left="17" w:right="11" w:firstLine="23"/>
              <w:rPr>
                <w:color w:val="auto"/>
                <w:highlight w:val="none"/>
                <w:lang w:eastAsia="zh-CN"/>
              </w:rPr>
            </w:pPr>
            <w:r>
              <w:rPr>
                <w:color w:val="auto"/>
                <w:spacing w:val="18"/>
                <w:highlight w:val="none"/>
                <w:lang w:eastAsia="zh-CN"/>
              </w:rPr>
              <w:t>以数字信号为主要信号输入的监</w:t>
            </w:r>
            <w:r>
              <w:rPr>
                <w:color w:val="auto"/>
                <w:highlight w:val="none"/>
                <w:lang w:eastAsia="zh-CN"/>
              </w:rPr>
              <w:t xml:space="preserve"> </w:t>
            </w:r>
            <w:r>
              <w:rPr>
                <w:color w:val="auto"/>
                <w:spacing w:val="5"/>
                <w:highlight w:val="none"/>
                <w:lang w:eastAsia="zh-CN"/>
              </w:rPr>
              <w:t>视器应符合《计算机显示器能效限</w:t>
            </w:r>
            <w:r>
              <w:rPr>
                <w:color w:val="auto"/>
                <w:spacing w:val="7"/>
                <w:highlight w:val="none"/>
                <w:lang w:eastAsia="zh-CN"/>
              </w:rPr>
              <w:t xml:space="preserve"> 定值及能效等级》（</w:t>
            </w:r>
            <w:r>
              <w:rPr>
                <w:color w:val="auto"/>
                <w:highlight w:val="none"/>
                <w:lang w:eastAsia="zh-CN"/>
              </w:rPr>
              <w:t>GB</w:t>
            </w:r>
            <w:r>
              <w:rPr>
                <w:color w:val="auto"/>
                <w:spacing w:val="7"/>
                <w:highlight w:val="none"/>
                <w:lang w:eastAsia="zh-CN"/>
              </w:rPr>
              <w:t xml:space="preserve"> 21520）</w:t>
            </w:r>
          </w:p>
        </w:tc>
      </w:tr>
      <w:tr w14:paraId="5F392B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trPr>
        <w:tc>
          <w:tcPr>
            <w:tcW w:w="578" w:type="dxa"/>
          </w:tcPr>
          <w:p w14:paraId="05498C54">
            <w:pPr>
              <w:pStyle w:val="248"/>
              <w:spacing w:before="298" w:line="258" w:lineRule="exact"/>
              <w:ind w:left="209"/>
              <w:rPr>
                <w:color w:val="auto"/>
                <w:highlight w:val="none"/>
              </w:rPr>
            </w:pPr>
            <w:r>
              <w:rPr>
                <w:color w:val="auto"/>
                <w:spacing w:val="-7"/>
                <w:position w:val="1"/>
                <w:highlight w:val="none"/>
              </w:rPr>
              <w:t>14</w:t>
            </w:r>
          </w:p>
        </w:tc>
        <w:tc>
          <w:tcPr>
            <w:tcW w:w="1166" w:type="dxa"/>
          </w:tcPr>
          <w:p w14:paraId="32335CC3">
            <w:pPr>
              <w:pStyle w:val="248"/>
              <w:spacing w:before="142" w:line="304" w:lineRule="auto"/>
              <w:ind w:left="15" w:right="8" w:hanging="6"/>
              <w:rPr>
                <w:color w:val="auto"/>
                <w:highlight w:val="none"/>
              </w:rPr>
            </w:pPr>
            <w:r>
              <w:rPr>
                <w:color w:val="auto"/>
                <w:spacing w:val="5"/>
                <w:highlight w:val="none"/>
              </w:rPr>
              <w:t>A031210</w:t>
            </w:r>
            <w:r>
              <w:rPr>
                <w:color w:val="auto"/>
                <w:spacing w:val="-43"/>
                <w:highlight w:val="none"/>
              </w:rPr>
              <w:t xml:space="preserve"> </w:t>
            </w:r>
            <w:r>
              <w:rPr>
                <w:color w:val="auto"/>
                <w:spacing w:val="5"/>
                <w:highlight w:val="none"/>
              </w:rPr>
              <w:t>饮食</w:t>
            </w:r>
            <w:r>
              <w:rPr>
                <w:color w:val="auto"/>
                <w:highlight w:val="none"/>
              </w:rPr>
              <w:t xml:space="preserve"> </w:t>
            </w:r>
            <w:r>
              <w:rPr>
                <w:color w:val="auto"/>
                <w:spacing w:val="7"/>
                <w:highlight w:val="none"/>
              </w:rPr>
              <w:t>炊事机械</w:t>
            </w:r>
          </w:p>
        </w:tc>
        <w:tc>
          <w:tcPr>
            <w:tcW w:w="1799" w:type="dxa"/>
          </w:tcPr>
          <w:p w14:paraId="586002FF">
            <w:pPr>
              <w:pStyle w:val="248"/>
              <w:spacing w:before="297" w:line="230" w:lineRule="auto"/>
              <w:ind w:left="19"/>
              <w:rPr>
                <w:color w:val="auto"/>
                <w:highlight w:val="none"/>
              </w:rPr>
            </w:pPr>
            <w:r>
              <w:rPr>
                <w:color w:val="auto"/>
                <w:spacing w:val="7"/>
                <w:highlight w:val="none"/>
              </w:rPr>
              <w:t>商用燃气灶具</w:t>
            </w:r>
          </w:p>
        </w:tc>
        <w:tc>
          <w:tcPr>
            <w:tcW w:w="1914" w:type="dxa"/>
          </w:tcPr>
          <w:p w14:paraId="25F2AE5D">
            <w:pPr>
              <w:rPr>
                <w:rFonts w:ascii="Arial"/>
                <w:color w:val="auto"/>
                <w:highlight w:val="none"/>
              </w:rPr>
            </w:pPr>
          </w:p>
        </w:tc>
        <w:tc>
          <w:tcPr>
            <w:tcW w:w="2969" w:type="dxa"/>
          </w:tcPr>
          <w:p w14:paraId="5F4C9F15">
            <w:pPr>
              <w:pStyle w:val="248"/>
              <w:spacing w:before="142" w:line="304" w:lineRule="auto"/>
              <w:ind w:left="22" w:right="11"/>
              <w:rPr>
                <w:color w:val="auto"/>
                <w:highlight w:val="none"/>
                <w:lang w:eastAsia="zh-CN"/>
              </w:rPr>
            </w:pPr>
            <w:r>
              <w:rPr>
                <w:color w:val="auto"/>
                <w:spacing w:val="19"/>
                <w:highlight w:val="none"/>
                <w:lang w:eastAsia="zh-CN"/>
              </w:rPr>
              <w:t>《商用燃气灶具能效限定值及能</w:t>
            </w:r>
            <w:r>
              <w:rPr>
                <w:color w:val="auto"/>
                <w:spacing w:val="2"/>
                <w:highlight w:val="none"/>
                <w:lang w:eastAsia="zh-CN"/>
              </w:rPr>
              <w:t xml:space="preserve"> </w:t>
            </w:r>
            <w:r>
              <w:rPr>
                <w:color w:val="auto"/>
                <w:spacing w:val="6"/>
                <w:highlight w:val="none"/>
                <w:lang w:eastAsia="zh-CN"/>
              </w:rPr>
              <w:t>效等级》（</w:t>
            </w:r>
            <w:r>
              <w:rPr>
                <w:color w:val="auto"/>
                <w:highlight w:val="none"/>
                <w:lang w:eastAsia="zh-CN"/>
              </w:rPr>
              <w:t>GB</w:t>
            </w:r>
            <w:r>
              <w:rPr>
                <w:color w:val="auto"/>
                <w:spacing w:val="6"/>
                <w:highlight w:val="none"/>
                <w:lang w:eastAsia="zh-CN"/>
              </w:rPr>
              <w:t xml:space="preserve"> 30531）</w:t>
            </w:r>
          </w:p>
        </w:tc>
      </w:tr>
      <w:tr w14:paraId="08D906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0" w:hRule="atLeast"/>
        </w:trPr>
        <w:tc>
          <w:tcPr>
            <w:tcW w:w="578" w:type="dxa"/>
            <w:vMerge w:val="restart"/>
            <w:tcBorders>
              <w:bottom w:val="nil"/>
            </w:tcBorders>
          </w:tcPr>
          <w:p w14:paraId="1B9A64E9">
            <w:pPr>
              <w:spacing w:line="290" w:lineRule="auto"/>
              <w:rPr>
                <w:rFonts w:ascii="Arial"/>
                <w:color w:val="auto"/>
                <w:highlight w:val="none"/>
              </w:rPr>
            </w:pPr>
          </w:p>
          <w:p w14:paraId="33DE5B5B">
            <w:pPr>
              <w:spacing w:line="290" w:lineRule="auto"/>
              <w:rPr>
                <w:rFonts w:ascii="Arial"/>
                <w:color w:val="auto"/>
                <w:highlight w:val="none"/>
              </w:rPr>
            </w:pPr>
          </w:p>
          <w:p w14:paraId="6E9F0E2F">
            <w:pPr>
              <w:spacing w:line="291" w:lineRule="auto"/>
              <w:rPr>
                <w:rFonts w:ascii="Arial"/>
                <w:color w:val="auto"/>
                <w:highlight w:val="none"/>
              </w:rPr>
            </w:pPr>
          </w:p>
          <w:p w14:paraId="11099385">
            <w:pPr>
              <w:spacing w:line="291" w:lineRule="auto"/>
              <w:rPr>
                <w:rFonts w:ascii="Arial"/>
                <w:color w:val="auto"/>
                <w:highlight w:val="none"/>
              </w:rPr>
            </w:pPr>
          </w:p>
          <w:p w14:paraId="3E63883B">
            <w:pPr>
              <w:pStyle w:val="248"/>
              <w:spacing w:before="62" w:line="257" w:lineRule="exact"/>
              <w:ind w:left="209"/>
              <w:rPr>
                <w:color w:val="auto"/>
                <w:highlight w:val="none"/>
              </w:rPr>
            </w:pPr>
            <w:r>
              <w:rPr>
                <w:color w:val="auto"/>
                <w:spacing w:val="-7"/>
                <w:position w:val="1"/>
                <w:highlight w:val="none"/>
              </w:rPr>
              <w:t>15</w:t>
            </w:r>
          </w:p>
        </w:tc>
        <w:tc>
          <w:tcPr>
            <w:tcW w:w="1166" w:type="dxa"/>
            <w:vMerge w:val="restart"/>
            <w:tcBorders>
              <w:bottom w:val="nil"/>
            </w:tcBorders>
          </w:tcPr>
          <w:p w14:paraId="5F150BBA">
            <w:pPr>
              <w:spacing w:line="251" w:lineRule="auto"/>
              <w:rPr>
                <w:rFonts w:ascii="Arial"/>
                <w:color w:val="auto"/>
                <w:highlight w:val="none"/>
              </w:rPr>
            </w:pPr>
          </w:p>
          <w:p w14:paraId="7AC98AC2">
            <w:pPr>
              <w:spacing w:line="251" w:lineRule="auto"/>
              <w:rPr>
                <w:rFonts w:ascii="Arial"/>
                <w:color w:val="auto"/>
                <w:highlight w:val="none"/>
              </w:rPr>
            </w:pPr>
          </w:p>
          <w:p w14:paraId="57407939">
            <w:pPr>
              <w:spacing w:line="252" w:lineRule="auto"/>
              <w:rPr>
                <w:rFonts w:ascii="Arial"/>
                <w:color w:val="auto"/>
                <w:highlight w:val="none"/>
              </w:rPr>
            </w:pPr>
          </w:p>
          <w:p w14:paraId="1E07C6E0">
            <w:pPr>
              <w:pStyle w:val="248"/>
              <w:spacing w:before="62" w:line="307" w:lineRule="auto"/>
              <w:ind w:left="15" w:right="8" w:firstLine="3"/>
              <w:rPr>
                <w:color w:val="auto"/>
                <w:highlight w:val="none"/>
              </w:rPr>
            </w:pPr>
            <w:r>
              <w:rPr>
                <w:color w:val="auto"/>
                <w:spacing w:val="3"/>
                <w:highlight w:val="none"/>
              </w:rPr>
              <w:t>★A060805</w:t>
            </w:r>
            <w:r>
              <w:rPr>
                <w:color w:val="auto"/>
                <w:spacing w:val="-35"/>
                <w:highlight w:val="none"/>
              </w:rPr>
              <w:t xml:space="preserve"> </w:t>
            </w:r>
            <w:r>
              <w:rPr>
                <w:color w:val="auto"/>
                <w:spacing w:val="3"/>
                <w:highlight w:val="none"/>
              </w:rPr>
              <w:t>便</w:t>
            </w:r>
            <w:r>
              <w:rPr>
                <w:color w:val="auto"/>
                <w:highlight w:val="none"/>
              </w:rPr>
              <w:t xml:space="preserve"> </w:t>
            </w:r>
            <w:r>
              <w:rPr>
                <w:color w:val="auto"/>
                <w:spacing w:val="1"/>
                <w:highlight w:val="none"/>
              </w:rPr>
              <w:t>器</w:t>
            </w:r>
          </w:p>
        </w:tc>
        <w:tc>
          <w:tcPr>
            <w:tcW w:w="1799" w:type="dxa"/>
          </w:tcPr>
          <w:p w14:paraId="67A5BDD4">
            <w:pPr>
              <w:spacing w:line="282" w:lineRule="auto"/>
              <w:rPr>
                <w:rFonts w:ascii="Arial"/>
                <w:color w:val="auto"/>
                <w:highlight w:val="none"/>
              </w:rPr>
            </w:pPr>
          </w:p>
          <w:p w14:paraId="73F1949F">
            <w:pPr>
              <w:pStyle w:val="248"/>
              <w:spacing w:before="62" w:line="229" w:lineRule="auto"/>
              <w:ind w:left="16"/>
              <w:rPr>
                <w:color w:val="auto"/>
                <w:highlight w:val="none"/>
              </w:rPr>
            </w:pPr>
            <w:r>
              <w:rPr>
                <w:color w:val="auto"/>
                <w:spacing w:val="6"/>
                <w:highlight w:val="none"/>
              </w:rPr>
              <w:t>坐便器</w:t>
            </w:r>
          </w:p>
        </w:tc>
        <w:tc>
          <w:tcPr>
            <w:tcW w:w="1914" w:type="dxa"/>
          </w:tcPr>
          <w:p w14:paraId="311AFFBB">
            <w:pPr>
              <w:rPr>
                <w:rFonts w:ascii="Arial"/>
                <w:color w:val="auto"/>
                <w:highlight w:val="none"/>
              </w:rPr>
            </w:pPr>
          </w:p>
        </w:tc>
        <w:tc>
          <w:tcPr>
            <w:tcW w:w="2969" w:type="dxa"/>
          </w:tcPr>
          <w:p w14:paraId="47C6A49A">
            <w:pPr>
              <w:pStyle w:val="248"/>
              <w:spacing w:before="189" w:line="311" w:lineRule="auto"/>
              <w:ind w:left="27" w:hanging="4"/>
              <w:rPr>
                <w:color w:val="auto"/>
                <w:highlight w:val="none"/>
                <w:lang w:eastAsia="zh-CN"/>
              </w:rPr>
            </w:pPr>
            <w:r>
              <w:rPr>
                <w:color w:val="auto"/>
                <w:spacing w:val="6"/>
                <w:highlight w:val="none"/>
                <w:lang w:eastAsia="zh-CN"/>
              </w:rPr>
              <w:t>《坐便器水效限定值及水效等级》</w:t>
            </w:r>
            <w:r>
              <w:rPr>
                <w:color w:val="auto"/>
                <w:highlight w:val="none"/>
                <w:lang w:eastAsia="zh-CN"/>
              </w:rPr>
              <w:t xml:space="preserve"> </w:t>
            </w:r>
            <w:r>
              <w:rPr>
                <w:color w:val="auto"/>
                <w:spacing w:val="1"/>
                <w:highlight w:val="none"/>
                <w:lang w:eastAsia="zh-CN"/>
              </w:rPr>
              <w:t>（</w:t>
            </w:r>
            <w:r>
              <w:rPr>
                <w:color w:val="auto"/>
                <w:highlight w:val="none"/>
                <w:lang w:eastAsia="zh-CN"/>
              </w:rPr>
              <w:t>GB</w:t>
            </w:r>
            <w:r>
              <w:rPr>
                <w:color w:val="auto"/>
                <w:spacing w:val="15"/>
                <w:highlight w:val="none"/>
                <w:lang w:eastAsia="zh-CN"/>
              </w:rPr>
              <w:t xml:space="preserve"> </w:t>
            </w:r>
            <w:r>
              <w:rPr>
                <w:color w:val="auto"/>
                <w:spacing w:val="1"/>
                <w:highlight w:val="none"/>
                <w:lang w:eastAsia="zh-CN"/>
              </w:rPr>
              <w:t>25502）</w:t>
            </w:r>
          </w:p>
        </w:tc>
      </w:tr>
      <w:tr w14:paraId="2AA28E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0" w:hRule="atLeast"/>
        </w:trPr>
        <w:tc>
          <w:tcPr>
            <w:tcW w:w="578" w:type="dxa"/>
            <w:vMerge w:val="continue"/>
            <w:tcBorders>
              <w:top w:val="nil"/>
              <w:bottom w:val="nil"/>
            </w:tcBorders>
          </w:tcPr>
          <w:p w14:paraId="50BD3F8C">
            <w:pPr>
              <w:rPr>
                <w:rFonts w:ascii="Arial"/>
                <w:color w:val="auto"/>
                <w:highlight w:val="none"/>
              </w:rPr>
            </w:pPr>
          </w:p>
        </w:tc>
        <w:tc>
          <w:tcPr>
            <w:tcW w:w="1166" w:type="dxa"/>
            <w:vMerge w:val="continue"/>
            <w:tcBorders>
              <w:top w:val="nil"/>
              <w:bottom w:val="nil"/>
            </w:tcBorders>
          </w:tcPr>
          <w:p w14:paraId="74B8E595">
            <w:pPr>
              <w:rPr>
                <w:rFonts w:ascii="Arial"/>
                <w:color w:val="auto"/>
                <w:highlight w:val="none"/>
              </w:rPr>
            </w:pPr>
          </w:p>
        </w:tc>
        <w:tc>
          <w:tcPr>
            <w:tcW w:w="1799" w:type="dxa"/>
          </w:tcPr>
          <w:p w14:paraId="06FC25D2">
            <w:pPr>
              <w:spacing w:line="283" w:lineRule="auto"/>
              <w:rPr>
                <w:rFonts w:ascii="Arial"/>
                <w:color w:val="auto"/>
                <w:highlight w:val="none"/>
              </w:rPr>
            </w:pPr>
          </w:p>
          <w:p w14:paraId="2345EE11">
            <w:pPr>
              <w:pStyle w:val="248"/>
              <w:spacing w:before="62" w:line="229" w:lineRule="auto"/>
              <w:ind w:left="14"/>
              <w:rPr>
                <w:color w:val="auto"/>
                <w:highlight w:val="none"/>
              </w:rPr>
            </w:pPr>
            <w:r>
              <w:rPr>
                <w:color w:val="auto"/>
                <w:spacing w:val="6"/>
                <w:highlight w:val="none"/>
              </w:rPr>
              <w:t>蹲便器</w:t>
            </w:r>
          </w:p>
        </w:tc>
        <w:tc>
          <w:tcPr>
            <w:tcW w:w="1914" w:type="dxa"/>
          </w:tcPr>
          <w:p w14:paraId="30723FFA">
            <w:pPr>
              <w:rPr>
                <w:rFonts w:ascii="Arial"/>
                <w:color w:val="auto"/>
                <w:highlight w:val="none"/>
              </w:rPr>
            </w:pPr>
          </w:p>
        </w:tc>
        <w:tc>
          <w:tcPr>
            <w:tcW w:w="2969" w:type="dxa"/>
          </w:tcPr>
          <w:p w14:paraId="70F93C0F">
            <w:pPr>
              <w:pStyle w:val="248"/>
              <w:spacing w:before="191" w:line="304" w:lineRule="auto"/>
              <w:ind w:left="22" w:right="11"/>
              <w:rPr>
                <w:color w:val="auto"/>
                <w:highlight w:val="none"/>
                <w:lang w:eastAsia="zh-CN"/>
              </w:rPr>
            </w:pPr>
            <w:r>
              <w:rPr>
                <w:color w:val="auto"/>
                <w:spacing w:val="19"/>
                <w:highlight w:val="none"/>
                <w:lang w:eastAsia="zh-CN"/>
              </w:rPr>
              <w:t>《蹲便器用水效率限定值及用水</w:t>
            </w:r>
            <w:r>
              <w:rPr>
                <w:color w:val="auto"/>
                <w:spacing w:val="2"/>
                <w:highlight w:val="none"/>
                <w:lang w:eastAsia="zh-CN"/>
              </w:rPr>
              <w:t xml:space="preserve"> </w:t>
            </w:r>
            <w:r>
              <w:rPr>
                <w:color w:val="auto"/>
                <w:spacing w:val="6"/>
                <w:highlight w:val="none"/>
                <w:lang w:eastAsia="zh-CN"/>
              </w:rPr>
              <w:t>效率等级》（</w:t>
            </w:r>
            <w:r>
              <w:rPr>
                <w:color w:val="auto"/>
                <w:highlight w:val="none"/>
                <w:lang w:eastAsia="zh-CN"/>
              </w:rPr>
              <w:t>GB</w:t>
            </w:r>
            <w:r>
              <w:rPr>
                <w:color w:val="auto"/>
                <w:spacing w:val="6"/>
                <w:highlight w:val="none"/>
                <w:lang w:eastAsia="zh-CN"/>
              </w:rPr>
              <w:t xml:space="preserve"> 30717）</w:t>
            </w:r>
          </w:p>
        </w:tc>
      </w:tr>
      <w:tr w14:paraId="03407C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8" w:hRule="atLeast"/>
        </w:trPr>
        <w:tc>
          <w:tcPr>
            <w:tcW w:w="578" w:type="dxa"/>
            <w:vMerge w:val="continue"/>
            <w:tcBorders>
              <w:top w:val="nil"/>
            </w:tcBorders>
          </w:tcPr>
          <w:p w14:paraId="0170677D">
            <w:pPr>
              <w:rPr>
                <w:rFonts w:ascii="Arial"/>
                <w:color w:val="auto"/>
                <w:highlight w:val="none"/>
              </w:rPr>
            </w:pPr>
          </w:p>
        </w:tc>
        <w:tc>
          <w:tcPr>
            <w:tcW w:w="1166" w:type="dxa"/>
            <w:vMerge w:val="continue"/>
            <w:tcBorders>
              <w:top w:val="nil"/>
            </w:tcBorders>
          </w:tcPr>
          <w:p w14:paraId="07AE02C7">
            <w:pPr>
              <w:rPr>
                <w:rFonts w:ascii="Arial"/>
                <w:color w:val="auto"/>
                <w:highlight w:val="none"/>
              </w:rPr>
            </w:pPr>
          </w:p>
        </w:tc>
        <w:tc>
          <w:tcPr>
            <w:tcW w:w="1799" w:type="dxa"/>
          </w:tcPr>
          <w:p w14:paraId="421F55EF">
            <w:pPr>
              <w:spacing w:line="284" w:lineRule="auto"/>
              <w:rPr>
                <w:rFonts w:ascii="Arial"/>
                <w:color w:val="auto"/>
                <w:highlight w:val="none"/>
              </w:rPr>
            </w:pPr>
          </w:p>
          <w:p w14:paraId="10985AC4">
            <w:pPr>
              <w:pStyle w:val="248"/>
              <w:spacing w:before="61" w:line="229" w:lineRule="auto"/>
              <w:ind w:left="20"/>
              <w:rPr>
                <w:color w:val="auto"/>
                <w:highlight w:val="none"/>
              </w:rPr>
            </w:pPr>
            <w:r>
              <w:rPr>
                <w:color w:val="auto"/>
                <w:spacing w:val="4"/>
                <w:highlight w:val="none"/>
              </w:rPr>
              <w:t>小便器</w:t>
            </w:r>
          </w:p>
        </w:tc>
        <w:tc>
          <w:tcPr>
            <w:tcW w:w="1914" w:type="dxa"/>
          </w:tcPr>
          <w:p w14:paraId="4C47E5B5">
            <w:pPr>
              <w:rPr>
                <w:rFonts w:ascii="Arial"/>
                <w:color w:val="auto"/>
                <w:highlight w:val="none"/>
              </w:rPr>
            </w:pPr>
          </w:p>
        </w:tc>
        <w:tc>
          <w:tcPr>
            <w:tcW w:w="2969" w:type="dxa"/>
          </w:tcPr>
          <w:p w14:paraId="381CC5B3">
            <w:pPr>
              <w:pStyle w:val="248"/>
              <w:spacing w:before="192" w:line="304" w:lineRule="auto"/>
              <w:ind w:left="22" w:right="11"/>
              <w:rPr>
                <w:color w:val="auto"/>
                <w:highlight w:val="none"/>
                <w:lang w:eastAsia="zh-CN"/>
              </w:rPr>
            </w:pPr>
            <w:r>
              <w:rPr>
                <w:color w:val="auto"/>
                <w:spacing w:val="19"/>
                <w:highlight w:val="none"/>
                <w:lang w:eastAsia="zh-CN"/>
              </w:rPr>
              <w:t>《小便器用水效率限定值及用水</w:t>
            </w:r>
            <w:r>
              <w:rPr>
                <w:color w:val="auto"/>
                <w:spacing w:val="2"/>
                <w:highlight w:val="none"/>
                <w:lang w:eastAsia="zh-CN"/>
              </w:rPr>
              <w:t xml:space="preserve"> </w:t>
            </w:r>
            <w:r>
              <w:rPr>
                <w:color w:val="auto"/>
                <w:spacing w:val="6"/>
                <w:highlight w:val="none"/>
                <w:lang w:eastAsia="zh-CN"/>
              </w:rPr>
              <w:t>效率等级》（</w:t>
            </w:r>
            <w:r>
              <w:rPr>
                <w:color w:val="auto"/>
                <w:highlight w:val="none"/>
                <w:lang w:eastAsia="zh-CN"/>
              </w:rPr>
              <w:t>GB</w:t>
            </w:r>
            <w:r>
              <w:rPr>
                <w:color w:val="auto"/>
                <w:spacing w:val="6"/>
                <w:highlight w:val="none"/>
                <w:lang w:eastAsia="zh-CN"/>
              </w:rPr>
              <w:t xml:space="preserve"> 28377）</w:t>
            </w:r>
          </w:p>
        </w:tc>
      </w:tr>
    </w:tbl>
    <w:p w14:paraId="7F642622">
      <w:pPr>
        <w:rPr>
          <w:rFonts w:ascii="Arial"/>
          <w:color w:val="auto"/>
          <w:highlight w:val="none"/>
        </w:rPr>
      </w:pPr>
    </w:p>
    <w:p w14:paraId="0F247AA7">
      <w:pPr>
        <w:rPr>
          <w:rFonts w:ascii="Arial" w:hAnsi="Arial" w:eastAsia="Arial" w:cs="Arial"/>
          <w:color w:val="auto"/>
          <w:szCs w:val="21"/>
          <w:highlight w:val="none"/>
        </w:rPr>
        <w:sectPr>
          <w:pgSz w:w="11906" w:h="16838"/>
          <w:pgMar w:top="1431" w:right="1691" w:bottom="0" w:left="1783" w:header="0" w:footer="0" w:gutter="0"/>
          <w:cols w:space="720" w:num="1"/>
        </w:sectPr>
      </w:pPr>
    </w:p>
    <w:p w14:paraId="5B3481CA">
      <w:pPr>
        <w:spacing w:line="91" w:lineRule="auto"/>
        <w:rPr>
          <w:rFonts w:ascii="Arial"/>
          <w:color w:val="auto"/>
          <w:sz w:val="2"/>
          <w:highlight w:val="none"/>
        </w:rPr>
      </w:pPr>
    </w:p>
    <w:tbl>
      <w:tblPr>
        <w:tblStyle w:val="249"/>
        <w:tblW w:w="84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8"/>
        <w:gridCol w:w="1166"/>
        <w:gridCol w:w="1799"/>
        <w:gridCol w:w="1914"/>
        <w:gridCol w:w="2969"/>
      </w:tblGrid>
      <w:tr w14:paraId="07CFDF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trPr>
        <w:tc>
          <w:tcPr>
            <w:tcW w:w="578" w:type="dxa"/>
          </w:tcPr>
          <w:p w14:paraId="3C90626A">
            <w:pPr>
              <w:spacing w:line="312" w:lineRule="auto"/>
              <w:rPr>
                <w:rFonts w:ascii="Arial"/>
                <w:color w:val="auto"/>
                <w:highlight w:val="none"/>
              </w:rPr>
            </w:pPr>
          </w:p>
          <w:p w14:paraId="58CEEB84">
            <w:pPr>
              <w:pStyle w:val="248"/>
              <w:spacing w:before="61" w:line="257" w:lineRule="exact"/>
              <w:ind w:left="209"/>
              <w:rPr>
                <w:color w:val="auto"/>
                <w:highlight w:val="none"/>
              </w:rPr>
            </w:pPr>
            <w:r>
              <w:rPr>
                <w:color w:val="auto"/>
                <w:spacing w:val="-7"/>
                <w:position w:val="1"/>
                <w:highlight w:val="none"/>
              </w:rPr>
              <w:t>16</w:t>
            </w:r>
          </w:p>
        </w:tc>
        <w:tc>
          <w:tcPr>
            <w:tcW w:w="1166" w:type="dxa"/>
          </w:tcPr>
          <w:p w14:paraId="4804FEC0">
            <w:pPr>
              <w:pStyle w:val="248"/>
              <w:spacing w:before="220" w:line="304" w:lineRule="auto"/>
              <w:ind w:left="22" w:right="8" w:hanging="4"/>
              <w:rPr>
                <w:color w:val="auto"/>
                <w:highlight w:val="none"/>
              </w:rPr>
            </w:pPr>
            <w:r>
              <w:rPr>
                <w:color w:val="auto"/>
                <w:spacing w:val="3"/>
                <w:highlight w:val="none"/>
              </w:rPr>
              <w:t>★A060806</w:t>
            </w:r>
            <w:r>
              <w:rPr>
                <w:color w:val="auto"/>
                <w:spacing w:val="-35"/>
                <w:highlight w:val="none"/>
              </w:rPr>
              <w:t xml:space="preserve"> </w:t>
            </w:r>
            <w:r>
              <w:rPr>
                <w:color w:val="auto"/>
                <w:spacing w:val="3"/>
                <w:highlight w:val="none"/>
              </w:rPr>
              <w:t>水</w:t>
            </w:r>
            <w:r>
              <w:rPr>
                <w:color w:val="auto"/>
                <w:highlight w:val="none"/>
              </w:rPr>
              <w:t xml:space="preserve"> 嘴</w:t>
            </w:r>
          </w:p>
        </w:tc>
        <w:tc>
          <w:tcPr>
            <w:tcW w:w="1799" w:type="dxa"/>
          </w:tcPr>
          <w:p w14:paraId="0D010816">
            <w:pPr>
              <w:rPr>
                <w:rFonts w:ascii="Arial"/>
                <w:color w:val="auto"/>
                <w:highlight w:val="none"/>
              </w:rPr>
            </w:pPr>
          </w:p>
        </w:tc>
        <w:tc>
          <w:tcPr>
            <w:tcW w:w="1914" w:type="dxa"/>
          </w:tcPr>
          <w:p w14:paraId="5C172F91">
            <w:pPr>
              <w:rPr>
                <w:rFonts w:ascii="Arial"/>
                <w:color w:val="auto"/>
                <w:highlight w:val="none"/>
              </w:rPr>
            </w:pPr>
          </w:p>
        </w:tc>
        <w:tc>
          <w:tcPr>
            <w:tcW w:w="2969" w:type="dxa"/>
          </w:tcPr>
          <w:p w14:paraId="7EE80661">
            <w:pPr>
              <w:pStyle w:val="248"/>
              <w:spacing w:before="220" w:line="304" w:lineRule="auto"/>
              <w:ind w:left="19" w:right="11" w:firstLine="3"/>
              <w:rPr>
                <w:color w:val="auto"/>
                <w:highlight w:val="none"/>
                <w:lang w:eastAsia="zh-CN"/>
              </w:rPr>
            </w:pPr>
            <w:r>
              <w:rPr>
                <w:color w:val="auto"/>
                <w:spacing w:val="19"/>
                <w:highlight w:val="none"/>
                <w:lang w:eastAsia="zh-CN"/>
              </w:rPr>
              <w:t>《水嘴用水效率限定值及用水效</w:t>
            </w:r>
            <w:r>
              <w:rPr>
                <w:color w:val="auto"/>
                <w:spacing w:val="2"/>
                <w:highlight w:val="none"/>
                <w:lang w:eastAsia="zh-CN"/>
              </w:rPr>
              <w:t xml:space="preserve"> </w:t>
            </w:r>
            <w:r>
              <w:rPr>
                <w:color w:val="auto"/>
                <w:spacing w:val="6"/>
                <w:highlight w:val="none"/>
                <w:lang w:eastAsia="zh-CN"/>
              </w:rPr>
              <w:t>率等级》（</w:t>
            </w:r>
            <w:r>
              <w:rPr>
                <w:color w:val="auto"/>
                <w:highlight w:val="none"/>
                <w:lang w:eastAsia="zh-CN"/>
              </w:rPr>
              <w:t>GB</w:t>
            </w:r>
            <w:r>
              <w:rPr>
                <w:color w:val="auto"/>
                <w:spacing w:val="6"/>
                <w:highlight w:val="none"/>
                <w:lang w:eastAsia="zh-CN"/>
              </w:rPr>
              <w:t xml:space="preserve"> 25501）</w:t>
            </w:r>
          </w:p>
        </w:tc>
      </w:tr>
      <w:tr w14:paraId="6FD2AB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5" w:hRule="atLeast"/>
        </w:trPr>
        <w:tc>
          <w:tcPr>
            <w:tcW w:w="578" w:type="dxa"/>
          </w:tcPr>
          <w:p w14:paraId="299FBA67">
            <w:pPr>
              <w:spacing w:line="268" w:lineRule="auto"/>
              <w:rPr>
                <w:rFonts w:ascii="Arial"/>
                <w:color w:val="auto"/>
                <w:highlight w:val="none"/>
              </w:rPr>
            </w:pPr>
          </w:p>
          <w:p w14:paraId="2CF55FBE">
            <w:pPr>
              <w:pStyle w:val="248"/>
              <w:spacing w:before="62" w:line="257" w:lineRule="exact"/>
              <w:ind w:left="209"/>
              <w:rPr>
                <w:color w:val="auto"/>
                <w:highlight w:val="none"/>
              </w:rPr>
            </w:pPr>
            <w:r>
              <w:rPr>
                <w:color w:val="auto"/>
                <w:spacing w:val="-7"/>
                <w:position w:val="1"/>
                <w:highlight w:val="none"/>
              </w:rPr>
              <w:t>17</w:t>
            </w:r>
          </w:p>
        </w:tc>
        <w:tc>
          <w:tcPr>
            <w:tcW w:w="1166" w:type="dxa"/>
          </w:tcPr>
          <w:p w14:paraId="377C935E">
            <w:pPr>
              <w:pStyle w:val="248"/>
              <w:spacing w:before="176" w:line="305" w:lineRule="auto"/>
              <w:ind w:left="15" w:right="8" w:hanging="6"/>
              <w:rPr>
                <w:color w:val="auto"/>
                <w:highlight w:val="none"/>
              </w:rPr>
            </w:pPr>
            <w:r>
              <w:rPr>
                <w:color w:val="auto"/>
                <w:spacing w:val="5"/>
                <w:highlight w:val="none"/>
              </w:rPr>
              <w:t>A060807</w:t>
            </w:r>
            <w:r>
              <w:rPr>
                <w:color w:val="auto"/>
                <w:spacing w:val="-43"/>
                <w:highlight w:val="none"/>
              </w:rPr>
              <w:t xml:space="preserve"> </w:t>
            </w:r>
            <w:r>
              <w:rPr>
                <w:color w:val="auto"/>
                <w:spacing w:val="5"/>
                <w:highlight w:val="none"/>
              </w:rPr>
              <w:t>便器</w:t>
            </w:r>
            <w:r>
              <w:rPr>
                <w:color w:val="auto"/>
                <w:highlight w:val="none"/>
              </w:rPr>
              <w:t xml:space="preserve"> </w:t>
            </w:r>
            <w:r>
              <w:rPr>
                <w:color w:val="auto"/>
                <w:spacing w:val="6"/>
                <w:highlight w:val="none"/>
              </w:rPr>
              <w:t>冲洗阀</w:t>
            </w:r>
          </w:p>
        </w:tc>
        <w:tc>
          <w:tcPr>
            <w:tcW w:w="1799" w:type="dxa"/>
          </w:tcPr>
          <w:p w14:paraId="6272B92B">
            <w:pPr>
              <w:rPr>
                <w:rFonts w:ascii="Arial"/>
                <w:color w:val="auto"/>
                <w:highlight w:val="none"/>
              </w:rPr>
            </w:pPr>
          </w:p>
        </w:tc>
        <w:tc>
          <w:tcPr>
            <w:tcW w:w="1914" w:type="dxa"/>
          </w:tcPr>
          <w:p w14:paraId="5DB1FF1E">
            <w:pPr>
              <w:rPr>
                <w:rFonts w:ascii="Arial"/>
                <w:color w:val="auto"/>
                <w:highlight w:val="none"/>
              </w:rPr>
            </w:pPr>
          </w:p>
        </w:tc>
        <w:tc>
          <w:tcPr>
            <w:tcW w:w="2969" w:type="dxa"/>
          </w:tcPr>
          <w:p w14:paraId="57645CAC">
            <w:pPr>
              <w:pStyle w:val="248"/>
              <w:spacing w:before="177" w:line="304" w:lineRule="auto"/>
              <w:ind w:left="19" w:right="11" w:firstLine="3"/>
              <w:rPr>
                <w:color w:val="auto"/>
                <w:highlight w:val="none"/>
                <w:lang w:eastAsia="zh-CN"/>
              </w:rPr>
            </w:pPr>
            <w:r>
              <w:rPr>
                <w:color w:val="auto"/>
                <w:spacing w:val="19"/>
                <w:highlight w:val="none"/>
                <w:lang w:eastAsia="zh-CN"/>
              </w:rPr>
              <w:t>《便器冲洗阀用水效率限定值及</w:t>
            </w:r>
            <w:r>
              <w:rPr>
                <w:color w:val="auto"/>
                <w:spacing w:val="2"/>
                <w:highlight w:val="none"/>
                <w:lang w:eastAsia="zh-CN"/>
              </w:rPr>
              <w:t xml:space="preserve"> </w:t>
            </w:r>
            <w:r>
              <w:rPr>
                <w:color w:val="auto"/>
                <w:spacing w:val="7"/>
                <w:highlight w:val="none"/>
                <w:lang w:eastAsia="zh-CN"/>
              </w:rPr>
              <w:t>用水效率等级》（</w:t>
            </w:r>
            <w:r>
              <w:rPr>
                <w:color w:val="auto"/>
                <w:highlight w:val="none"/>
                <w:lang w:eastAsia="zh-CN"/>
              </w:rPr>
              <w:t>GB</w:t>
            </w:r>
            <w:r>
              <w:rPr>
                <w:color w:val="auto"/>
                <w:spacing w:val="7"/>
                <w:highlight w:val="none"/>
                <w:lang w:eastAsia="zh-CN"/>
              </w:rPr>
              <w:t xml:space="preserve"> 28379）</w:t>
            </w:r>
          </w:p>
        </w:tc>
      </w:tr>
      <w:tr w14:paraId="7C0C56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0" w:hRule="atLeast"/>
        </w:trPr>
        <w:tc>
          <w:tcPr>
            <w:tcW w:w="578" w:type="dxa"/>
          </w:tcPr>
          <w:p w14:paraId="190EE2A7">
            <w:pPr>
              <w:spacing w:line="289" w:lineRule="auto"/>
              <w:rPr>
                <w:rFonts w:ascii="Arial"/>
                <w:color w:val="auto"/>
                <w:highlight w:val="none"/>
              </w:rPr>
            </w:pPr>
          </w:p>
          <w:p w14:paraId="2EFABA65">
            <w:pPr>
              <w:pStyle w:val="248"/>
              <w:spacing w:before="62" w:line="256" w:lineRule="exact"/>
              <w:ind w:left="209"/>
              <w:rPr>
                <w:color w:val="auto"/>
                <w:highlight w:val="none"/>
              </w:rPr>
            </w:pPr>
            <w:r>
              <w:rPr>
                <w:color w:val="auto"/>
                <w:spacing w:val="-7"/>
                <w:position w:val="1"/>
                <w:highlight w:val="none"/>
              </w:rPr>
              <w:t>18</w:t>
            </w:r>
          </w:p>
        </w:tc>
        <w:tc>
          <w:tcPr>
            <w:tcW w:w="1166" w:type="dxa"/>
          </w:tcPr>
          <w:p w14:paraId="4F6DA822">
            <w:pPr>
              <w:pStyle w:val="248"/>
              <w:spacing w:before="196" w:line="307" w:lineRule="auto"/>
              <w:ind w:left="15" w:right="8" w:hanging="6"/>
              <w:rPr>
                <w:color w:val="auto"/>
                <w:highlight w:val="none"/>
              </w:rPr>
            </w:pPr>
            <w:r>
              <w:rPr>
                <w:color w:val="auto"/>
                <w:spacing w:val="4"/>
                <w:highlight w:val="none"/>
              </w:rPr>
              <w:t>A060810</w:t>
            </w:r>
            <w:r>
              <w:rPr>
                <w:color w:val="auto"/>
                <w:spacing w:val="-34"/>
                <w:highlight w:val="none"/>
              </w:rPr>
              <w:t xml:space="preserve"> </w:t>
            </w:r>
            <w:r>
              <w:rPr>
                <w:color w:val="auto"/>
                <w:spacing w:val="4"/>
                <w:highlight w:val="none"/>
              </w:rPr>
              <w:t>淋浴</w:t>
            </w:r>
            <w:r>
              <w:rPr>
                <w:color w:val="auto"/>
                <w:highlight w:val="none"/>
              </w:rPr>
              <w:t xml:space="preserve"> </w:t>
            </w:r>
            <w:r>
              <w:rPr>
                <w:color w:val="auto"/>
                <w:spacing w:val="1"/>
                <w:highlight w:val="none"/>
              </w:rPr>
              <w:t>器</w:t>
            </w:r>
          </w:p>
        </w:tc>
        <w:tc>
          <w:tcPr>
            <w:tcW w:w="1799" w:type="dxa"/>
          </w:tcPr>
          <w:p w14:paraId="4C754FC3">
            <w:pPr>
              <w:rPr>
                <w:rFonts w:ascii="Arial"/>
                <w:color w:val="auto"/>
                <w:highlight w:val="none"/>
              </w:rPr>
            </w:pPr>
          </w:p>
        </w:tc>
        <w:tc>
          <w:tcPr>
            <w:tcW w:w="1914" w:type="dxa"/>
          </w:tcPr>
          <w:p w14:paraId="0E9DE57D">
            <w:pPr>
              <w:rPr>
                <w:rFonts w:ascii="Arial"/>
                <w:color w:val="auto"/>
                <w:highlight w:val="none"/>
              </w:rPr>
            </w:pPr>
          </w:p>
        </w:tc>
        <w:tc>
          <w:tcPr>
            <w:tcW w:w="2969" w:type="dxa"/>
          </w:tcPr>
          <w:p w14:paraId="4D3D9AB7">
            <w:pPr>
              <w:pStyle w:val="248"/>
              <w:spacing w:before="197" w:line="304" w:lineRule="auto"/>
              <w:ind w:left="22" w:right="11"/>
              <w:rPr>
                <w:color w:val="auto"/>
                <w:highlight w:val="none"/>
                <w:lang w:eastAsia="zh-CN"/>
              </w:rPr>
            </w:pPr>
            <w:r>
              <w:rPr>
                <w:color w:val="auto"/>
                <w:spacing w:val="19"/>
                <w:highlight w:val="none"/>
                <w:lang w:eastAsia="zh-CN"/>
              </w:rPr>
              <w:t>《淋浴器用水效率限定值及用水</w:t>
            </w:r>
            <w:r>
              <w:rPr>
                <w:color w:val="auto"/>
                <w:spacing w:val="2"/>
                <w:highlight w:val="none"/>
                <w:lang w:eastAsia="zh-CN"/>
              </w:rPr>
              <w:t xml:space="preserve"> </w:t>
            </w:r>
            <w:r>
              <w:rPr>
                <w:color w:val="auto"/>
                <w:spacing w:val="6"/>
                <w:highlight w:val="none"/>
                <w:lang w:eastAsia="zh-CN"/>
              </w:rPr>
              <w:t>效率等级》（</w:t>
            </w:r>
            <w:r>
              <w:rPr>
                <w:color w:val="auto"/>
                <w:highlight w:val="none"/>
                <w:lang w:eastAsia="zh-CN"/>
              </w:rPr>
              <w:t>GB</w:t>
            </w:r>
            <w:r>
              <w:rPr>
                <w:color w:val="auto"/>
                <w:spacing w:val="6"/>
                <w:highlight w:val="none"/>
                <w:lang w:eastAsia="zh-CN"/>
              </w:rPr>
              <w:t xml:space="preserve"> 28378）</w:t>
            </w:r>
          </w:p>
        </w:tc>
      </w:tr>
    </w:tbl>
    <w:p w14:paraId="240952D3">
      <w:pPr>
        <w:spacing w:after="120" w:line="360" w:lineRule="auto"/>
        <w:rPr>
          <w:rFonts w:ascii="宋体" w:hAnsi="宋体"/>
          <w:color w:val="auto"/>
          <w:szCs w:val="21"/>
          <w:highlight w:val="none"/>
        </w:rPr>
      </w:pPr>
      <w:r>
        <w:rPr>
          <w:rFonts w:hint="eastAsia" w:ascii="宋体" w:hAnsi="宋体"/>
          <w:color w:val="auto"/>
          <w:spacing w:val="-3"/>
          <w:szCs w:val="21"/>
          <w:highlight w:val="none"/>
        </w:rPr>
        <w:t>注：1.节能产品认证应依据相关国家标准的最新版本。</w:t>
      </w:r>
    </w:p>
    <w:p w14:paraId="46572C56">
      <w:pPr>
        <w:spacing w:after="120" w:line="360" w:lineRule="auto"/>
        <w:ind w:firstLine="465"/>
        <w:rPr>
          <w:color w:val="auto"/>
          <w:highlight w:val="none"/>
        </w:rPr>
        <w:sectPr>
          <w:headerReference r:id="rId9" w:type="first"/>
          <w:headerReference r:id="rId8" w:type="default"/>
          <w:pgSz w:w="11906" w:h="16838"/>
          <w:pgMar w:top="993" w:right="1133" w:bottom="1246" w:left="1418" w:header="851" w:footer="992" w:gutter="0"/>
          <w:cols w:space="720" w:num="1"/>
          <w:titlePg/>
          <w:docGrid w:linePitch="312" w:charSpace="0"/>
        </w:sectPr>
      </w:pPr>
      <w:r>
        <w:rPr>
          <w:rFonts w:hint="eastAsia" w:ascii="宋体" w:hAnsi="宋体"/>
          <w:color w:val="auto"/>
          <w:szCs w:val="21"/>
          <w:highlight w:val="none"/>
        </w:rPr>
        <w:t>2.以“★”标注的为政府强制采购产品。</w:t>
      </w:r>
    </w:p>
    <w:p w14:paraId="17DEC7D1">
      <w:pPr>
        <w:spacing w:line="528" w:lineRule="exact"/>
        <w:jc w:val="left"/>
        <w:rPr>
          <w:color w:val="auto"/>
          <w:sz w:val="28"/>
          <w:szCs w:val="28"/>
          <w:highlight w:val="none"/>
        </w:rPr>
      </w:pPr>
      <w:r>
        <w:rPr>
          <w:rFonts w:hint="eastAsia"/>
          <w:color w:val="auto"/>
          <w:sz w:val="28"/>
          <w:szCs w:val="28"/>
          <w:highlight w:val="none"/>
        </w:rPr>
        <w:t>附件4：</w:t>
      </w:r>
    </w:p>
    <w:p w14:paraId="1F088BFD">
      <w:pPr>
        <w:spacing w:line="528" w:lineRule="exact"/>
        <w:ind w:firstLine="280" w:firstLineChars="100"/>
        <w:jc w:val="center"/>
        <w:rPr>
          <w:color w:val="auto"/>
          <w:sz w:val="28"/>
          <w:szCs w:val="28"/>
          <w:highlight w:val="none"/>
        </w:rPr>
      </w:pPr>
      <w:r>
        <w:rPr>
          <w:rFonts w:hint="eastAsia"/>
          <w:color w:val="auto"/>
          <w:sz w:val="28"/>
          <w:szCs w:val="28"/>
          <w:highlight w:val="none"/>
        </w:rPr>
        <w:t>环境标志产品政府采购品目清单</w:t>
      </w:r>
    </w:p>
    <w:p w14:paraId="38ABA733">
      <w:pPr>
        <w:spacing w:before="41"/>
        <w:rPr>
          <w:color w:val="auto"/>
          <w:highlight w:val="none"/>
        </w:rPr>
      </w:pPr>
    </w:p>
    <w:p w14:paraId="53FE1BA5">
      <w:pPr>
        <w:spacing w:before="41"/>
        <w:rPr>
          <w:color w:val="auto"/>
          <w:highlight w:val="none"/>
        </w:rPr>
      </w:pPr>
    </w:p>
    <w:tbl>
      <w:tblPr>
        <w:tblStyle w:val="249"/>
        <w:tblW w:w="1058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83"/>
        <w:gridCol w:w="1542"/>
        <w:gridCol w:w="2672"/>
        <w:gridCol w:w="2248"/>
        <w:gridCol w:w="3543"/>
      </w:tblGrid>
      <w:tr w14:paraId="7FE2BB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583" w:type="dxa"/>
          </w:tcPr>
          <w:p w14:paraId="279A54E3">
            <w:pPr>
              <w:pStyle w:val="248"/>
              <w:spacing w:before="70" w:line="223" w:lineRule="auto"/>
              <w:ind w:left="129"/>
              <w:rPr>
                <w:color w:val="auto"/>
                <w:highlight w:val="none"/>
              </w:rPr>
            </w:pPr>
            <w:r>
              <w:rPr>
                <w:b/>
                <w:bCs/>
                <w:color w:val="auto"/>
                <w:spacing w:val="-12"/>
                <w:highlight w:val="none"/>
              </w:rPr>
              <w:t>品目</w:t>
            </w:r>
          </w:p>
          <w:p w14:paraId="1E90E150">
            <w:pPr>
              <w:pStyle w:val="248"/>
              <w:spacing w:before="91" w:line="222" w:lineRule="auto"/>
              <w:ind w:left="114"/>
              <w:rPr>
                <w:color w:val="auto"/>
                <w:highlight w:val="none"/>
              </w:rPr>
            </w:pPr>
            <w:r>
              <w:rPr>
                <w:b/>
                <w:bCs/>
                <w:color w:val="auto"/>
                <w:spacing w:val="-4"/>
                <w:highlight w:val="none"/>
              </w:rPr>
              <w:t>序号</w:t>
            </w:r>
          </w:p>
        </w:tc>
        <w:tc>
          <w:tcPr>
            <w:tcW w:w="6462" w:type="dxa"/>
            <w:gridSpan w:val="3"/>
          </w:tcPr>
          <w:p w14:paraId="46755581">
            <w:pPr>
              <w:pStyle w:val="248"/>
              <w:spacing w:before="224" w:line="222" w:lineRule="auto"/>
              <w:ind w:left="3054"/>
              <w:rPr>
                <w:color w:val="auto"/>
                <w:highlight w:val="none"/>
              </w:rPr>
            </w:pPr>
            <w:r>
              <w:rPr>
                <w:b/>
                <w:bCs/>
                <w:color w:val="auto"/>
                <w:spacing w:val="-6"/>
                <w:highlight w:val="none"/>
              </w:rPr>
              <w:t>名称</w:t>
            </w:r>
          </w:p>
        </w:tc>
        <w:tc>
          <w:tcPr>
            <w:tcW w:w="3543" w:type="dxa"/>
          </w:tcPr>
          <w:p w14:paraId="7F04C3F2">
            <w:pPr>
              <w:pStyle w:val="248"/>
              <w:spacing w:before="224" w:line="219" w:lineRule="auto"/>
              <w:ind w:left="1325"/>
              <w:rPr>
                <w:color w:val="auto"/>
                <w:highlight w:val="none"/>
              </w:rPr>
            </w:pPr>
            <w:r>
              <w:rPr>
                <w:b/>
                <w:bCs/>
                <w:color w:val="auto"/>
                <w:spacing w:val="-4"/>
                <w:highlight w:val="none"/>
              </w:rPr>
              <w:t>依据的标准</w:t>
            </w:r>
          </w:p>
        </w:tc>
      </w:tr>
      <w:tr w14:paraId="22ABD4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583" w:type="dxa"/>
            <w:vMerge w:val="restart"/>
            <w:tcBorders>
              <w:bottom w:val="nil"/>
            </w:tcBorders>
          </w:tcPr>
          <w:p w14:paraId="7E50EE28">
            <w:pPr>
              <w:pStyle w:val="248"/>
              <w:spacing w:before="66" w:line="242" w:lineRule="auto"/>
              <w:ind w:left="128"/>
              <w:rPr>
                <w:color w:val="auto"/>
                <w:highlight w:val="none"/>
              </w:rPr>
            </w:pPr>
            <w:r>
              <w:rPr>
                <w:color w:val="auto"/>
                <w:highlight w:val="none"/>
              </w:rPr>
              <w:t>1</w:t>
            </w:r>
          </w:p>
        </w:tc>
        <w:tc>
          <w:tcPr>
            <w:tcW w:w="1542" w:type="dxa"/>
            <w:vMerge w:val="restart"/>
            <w:tcBorders>
              <w:bottom w:val="nil"/>
            </w:tcBorders>
          </w:tcPr>
          <w:p w14:paraId="25DDB254">
            <w:pPr>
              <w:pStyle w:val="248"/>
              <w:spacing w:before="65" w:line="323" w:lineRule="auto"/>
              <w:ind w:left="110" w:right="108" w:hanging="8"/>
              <w:rPr>
                <w:color w:val="auto"/>
                <w:highlight w:val="none"/>
              </w:rPr>
            </w:pPr>
            <w:r>
              <w:rPr>
                <w:color w:val="auto"/>
                <w:spacing w:val="3"/>
                <w:highlight w:val="none"/>
              </w:rPr>
              <w:t>A020101</w:t>
            </w:r>
            <w:r>
              <w:rPr>
                <w:color w:val="auto"/>
                <w:spacing w:val="34"/>
                <w:highlight w:val="none"/>
              </w:rPr>
              <w:t xml:space="preserve"> </w:t>
            </w:r>
            <w:r>
              <w:rPr>
                <w:color w:val="auto"/>
                <w:spacing w:val="3"/>
                <w:highlight w:val="none"/>
              </w:rPr>
              <w:t>计算机</w:t>
            </w:r>
            <w:r>
              <w:rPr>
                <w:color w:val="auto"/>
                <w:highlight w:val="none"/>
              </w:rPr>
              <w:t xml:space="preserve"> </w:t>
            </w:r>
            <w:r>
              <w:rPr>
                <w:color w:val="auto"/>
                <w:spacing w:val="-3"/>
                <w:highlight w:val="none"/>
              </w:rPr>
              <w:t>设备</w:t>
            </w:r>
          </w:p>
        </w:tc>
        <w:tc>
          <w:tcPr>
            <w:tcW w:w="2672" w:type="dxa"/>
          </w:tcPr>
          <w:p w14:paraId="2675FB07">
            <w:pPr>
              <w:pStyle w:val="248"/>
              <w:spacing w:before="66" w:line="220" w:lineRule="auto"/>
              <w:ind w:left="103"/>
              <w:rPr>
                <w:color w:val="auto"/>
                <w:highlight w:val="none"/>
              </w:rPr>
            </w:pPr>
            <w:r>
              <w:rPr>
                <w:color w:val="auto"/>
                <w:spacing w:val="-1"/>
                <w:highlight w:val="none"/>
              </w:rPr>
              <w:t>A02010103</w:t>
            </w:r>
            <w:r>
              <w:rPr>
                <w:color w:val="auto"/>
                <w:spacing w:val="-32"/>
                <w:highlight w:val="none"/>
              </w:rPr>
              <w:t xml:space="preserve"> </w:t>
            </w:r>
            <w:r>
              <w:rPr>
                <w:color w:val="auto"/>
                <w:spacing w:val="-1"/>
                <w:highlight w:val="none"/>
              </w:rPr>
              <w:t>服务器</w:t>
            </w:r>
          </w:p>
        </w:tc>
        <w:tc>
          <w:tcPr>
            <w:tcW w:w="2248" w:type="dxa"/>
          </w:tcPr>
          <w:p w14:paraId="4FBD92B1">
            <w:pPr>
              <w:rPr>
                <w:rFonts w:ascii="Arial"/>
                <w:color w:val="auto"/>
                <w:highlight w:val="none"/>
              </w:rPr>
            </w:pPr>
          </w:p>
        </w:tc>
        <w:tc>
          <w:tcPr>
            <w:tcW w:w="3543" w:type="dxa"/>
          </w:tcPr>
          <w:p w14:paraId="448A6BA8">
            <w:pPr>
              <w:pStyle w:val="248"/>
              <w:spacing w:before="66" w:line="219" w:lineRule="auto"/>
              <w:ind w:left="109"/>
              <w:rPr>
                <w:color w:val="auto"/>
                <w:highlight w:val="none"/>
              </w:rPr>
            </w:pPr>
            <w:r>
              <w:rPr>
                <w:color w:val="auto"/>
                <w:spacing w:val="-2"/>
                <w:highlight w:val="none"/>
              </w:rPr>
              <w:t>HJ2507</w:t>
            </w:r>
            <w:r>
              <w:rPr>
                <w:color w:val="auto"/>
                <w:spacing w:val="-20"/>
                <w:highlight w:val="none"/>
              </w:rPr>
              <w:t xml:space="preserve"> </w:t>
            </w:r>
            <w:r>
              <w:rPr>
                <w:color w:val="auto"/>
                <w:spacing w:val="-2"/>
                <w:highlight w:val="none"/>
              </w:rPr>
              <w:t>网络服务器</w:t>
            </w:r>
          </w:p>
        </w:tc>
      </w:tr>
      <w:tr w14:paraId="277958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continue"/>
            <w:tcBorders>
              <w:top w:val="nil"/>
              <w:bottom w:val="nil"/>
            </w:tcBorders>
          </w:tcPr>
          <w:p w14:paraId="35C14829">
            <w:pPr>
              <w:rPr>
                <w:rFonts w:ascii="Arial"/>
                <w:color w:val="auto"/>
                <w:highlight w:val="none"/>
              </w:rPr>
            </w:pPr>
          </w:p>
        </w:tc>
        <w:tc>
          <w:tcPr>
            <w:tcW w:w="1542" w:type="dxa"/>
            <w:vMerge w:val="continue"/>
            <w:tcBorders>
              <w:top w:val="nil"/>
              <w:bottom w:val="nil"/>
            </w:tcBorders>
          </w:tcPr>
          <w:p w14:paraId="406B6CD1">
            <w:pPr>
              <w:rPr>
                <w:rFonts w:ascii="Arial"/>
                <w:color w:val="auto"/>
                <w:highlight w:val="none"/>
              </w:rPr>
            </w:pPr>
          </w:p>
        </w:tc>
        <w:tc>
          <w:tcPr>
            <w:tcW w:w="2672" w:type="dxa"/>
          </w:tcPr>
          <w:p w14:paraId="3D02EB62">
            <w:pPr>
              <w:pStyle w:val="248"/>
              <w:spacing w:before="65" w:line="219" w:lineRule="auto"/>
              <w:ind w:left="103"/>
              <w:rPr>
                <w:color w:val="auto"/>
                <w:highlight w:val="none"/>
              </w:rPr>
            </w:pPr>
            <w:r>
              <w:rPr>
                <w:color w:val="auto"/>
                <w:spacing w:val="-2"/>
                <w:highlight w:val="none"/>
              </w:rPr>
              <w:t>A02010104</w:t>
            </w:r>
            <w:r>
              <w:rPr>
                <w:color w:val="auto"/>
                <w:spacing w:val="-14"/>
                <w:highlight w:val="none"/>
              </w:rPr>
              <w:t xml:space="preserve"> </w:t>
            </w:r>
            <w:r>
              <w:rPr>
                <w:color w:val="auto"/>
                <w:spacing w:val="-2"/>
                <w:highlight w:val="none"/>
              </w:rPr>
              <w:t>台式计算机</w:t>
            </w:r>
          </w:p>
        </w:tc>
        <w:tc>
          <w:tcPr>
            <w:tcW w:w="2248" w:type="dxa"/>
          </w:tcPr>
          <w:p w14:paraId="53483ABA">
            <w:pPr>
              <w:rPr>
                <w:rFonts w:ascii="Arial"/>
                <w:color w:val="auto"/>
                <w:highlight w:val="none"/>
              </w:rPr>
            </w:pPr>
          </w:p>
        </w:tc>
        <w:tc>
          <w:tcPr>
            <w:tcW w:w="3543" w:type="dxa"/>
          </w:tcPr>
          <w:p w14:paraId="4677C2C9">
            <w:pPr>
              <w:pStyle w:val="248"/>
              <w:spacing w:before="64" w:line="219" w:lineRule="auto"/>
              <w:ind w:left="109"/>
              <w:rPr>
                <w:color w:val="auto"/>
                <w:highlight w:val="none"/>
                <w:lang w:eastAsia="zh-CN"/>
              </w:rPr>
            </w:pPr>
            <w:r>
              <w:rPr>
                <w:color w:val="auto"/>
                <w:spacing w:val="-1"/>
                <w:highlight w:val="none"/>
                <w:lang w:eastAsia="zh-CN"/>
              </w:rPr>
              <w:t>HJ2536</w:t>
            </w:r>
            <w:r>
              <w:rPr>
                <w:color w:val="auto"/>
                <w:spacing w:val="-28"/>
                <w:highlight w:val="none"/>
                <w:lang w:eastAsia="zh-CN"/>
              </w:rPr>
              <w:t xml:space="preserve"> </w:t>
            </w:r>
            <w:r>
              <w:rPr>
                <w:color w:val="auto"/>
                <w:spacing w:val="-1"/>
                <w:highlight w:val="none"/>
                <w:lang w:eastAsia="zh-CN"/>
              </w:rPr>
              <w:t>微型计算机、显示器</w:t>
            </w:r>
          </w:p>
        </w:tc>
      </w:tr>
      <w:tr w14:paraId="0DDCA9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continue"/>
            <w:tcBorders>
              <w:top w:val="nil"/>
              <w:bottom w:val="nil"/>
            </w:tcBorders>
          </w:tcPr>
          <w:p w14:paraId="0A394750">
            <w:pPr>
              <w:rPr>
                <w:rFonts w:ascii="Arial"/>
                <w:color w:val="auto"/>
                <w:highlight w:val="none"/>
              </w:rPr>
            </w:pPr>
          </w:p>
        </w:tc>
        <w:tc>
          <w:tcPr>
            <w:tcW w:w="1542" w:type="dxa"/>
            <w:vMerge w:val="continue"/>
            <w:tcBorders>
              <w:top w:val="nil"/>
              <w:bottom w:val="nil"/>
            </w:tcBorders>
          </w:tcPr>
          <w:p w14:paraId="6908B778">
            <w:pPr>
              <w:rPr>
                <w:rFonts w:ascii="Arial"/>
                <w:color w:val="auto"/>
                <w:highlight w:val="none"/>
              </w:rPr>
            </w:pPr>
          </w:p>
        </w:tc>
        <w:tc>
          <w:tcPr>
            <w:tcW w:w="2672" w:type="dxa"/>
          </w:tcPr>
          <w:p w14:paraId="228241A1">
            <w:pPr>
              <w:pStyle w:val="248"/>
              <w:spacing w:before="64" w:line="219" w:lineRule="auto"/>
              <w:ind w:left="103"/>
              <w:rPr>
                <w:color w:val="auto"/>
                <w:highlight w:val="none"/>
              </w:rPr>
            </w:pPr>
            <w:r>
              <w:rPr>
                <w:color w:val="auto"/>
                <w:spacing w:val="-1"/>
                <w:highlight w:val="none"/>
              </w:rPr>
              <w:t>A02010105</w:t>
            </w:r>
            <w:r>
              <w:rPr>
                <w:color w:val="auto"/>
                <w:spacing w:val="-30"/>
                <w:highlight w:val="none"/>
              </w:rPr>
              <w:t xml:space="preserve"> </w:t>
            </w:r>
            <w:r>
              <w:rPr>
                <w:color w:val="auto"/>
                <w:spacing w:val="-1"/>
                <w:highlight w:val="none"/>
              </w:rPr>
              <w:t>便携式计算机</w:t>
            </w:r>
          </w:p>
        </w:tc>
        <w:tc>
          <w:tcPr>
            <w:tcW w:w="2248" w:type="dxa"/>
          </w:tcPr>
          <w:p w14:paraId="53D97C88">
            <w:pPr>
              <w:rPr>
                <w:rFonts w:ascii="Arial"/>
                <w:color w:val="auto"/>
                <w:highlight w:val="none"/>
              </w:rPr>
            </w:pPr>
          </w:p>
        </w:tc>
        <w:tc>
          <w:tcPr>
            <w:tcW w:w="3543" w:type="dxa"/>
          </w:tcPr>
          <w:p w14:paraId="5F0A18AD">
            <w:pPr>
              <w:pStyle w:val="248"/>
              <w:spacing w:before="64" w:line="219" w:lineRule="auto"/>
              <w:ind w:left="109"/>
              <w:rPr>
                <w:color w:val="auto"/>
                <w:highlight w:val="none"/>
                <w:lang w:eastAsia="zh-CN"/>
              </w:rPr>
            </w:pPr>
            <w:r>
              <w:rPr>
                <w:color w:val="auto"/>
                <w:spacing w:val="-1"/>
                <w:highlight w:val="none"/>
                <w:lang w:eastAsia="zh-CN"/>
              </w:rPr>
              <w:t>HJ2536</w:t>
            </w:r>
            <w:r>
              <w:rPr>
                <w:color w:val="auto"/>
                <w:spacing w:val="-28"/>
                <w:highlight w:val="none"/>
                <w:lang w:eastAsia="zh-CN"/>
              </w:rPr>
              <w:t xml:space="preserve"> </w:t>
            </w:r>
            <w:r>
              <w:rPr>
                <w:color w:val="auto"/>
                <w:spacing w:val="-1"/>
                <w:highlight w:val="none"/>
                <w:lang w:eastAsia="zh-CN"/>
              </w:rPr>
              <w:t>微型计算机、显示器</w:t>
            </w:r>
          </w:p>
        </w:tc>
      </w:tr>
      <w:tr w14:paraId="645D64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583" w:type="dxa"/>
            <w:vMerge w:val="continue"/>
            <w:tcBorders>
              <w:top w:val="nil"/>
              <w:bottom w:val="nil"/>
            </w:tcBorders>
          </w:tcPr>
          <w:p w14:paraId="2D84BCB7">
            <w:pPr>
              <w:rPr>
                <w:rFonts w:ascii="Arial"/>
                <w:color w:val="auto"/>
                <w:highlight w:val="none"/>
              </w:rPr>
            </w:pPr>
          </w:p>
        </w:tc>
        <w:tc>
          <w:tcPr>
            <w:tcW w:w="1542" w:type="dxa"/>
            <w:vMerge w:val="continue"/>
            <w:tcBorders>
              <w:top w:val="nil"/>
              <w:bottom w:val="nil"/>
            </w:tcBorders>
          </w:tcPr>
          <w:p w14:paraId="7A876A93">
            <w:pPr>
              <w:rPr>
                <w:rFonts w:ascii="Arial"/>
                <w:color w:val="auto"/>
                <w:highlight w:val="none"/>
              </w:rPr>
            </w:pPr>
          </w:p>
        </w:tc>
        <w:tc>
          <w:tcPr>
            <w:tcW w:w="2672" w:type="dxa"/>
          </w:tcPr>
          <w:p w14:paraId="7191845D">
            <w:pPr>
              <w:pStyle w:val="248"/>
              <w:spacing w:before="64" w:line="219" w:lineRule="auto"/>
              <w:ind w:left="103"/>
              <w:rPr>
                <w:color w:val="auto"/>
                <w:highlight w:val="none"/>
              </w:rPr>
            </w:pPr>
            <w:r>
              <w:rPr>
                <w:color w:val="auto"/>
                <w:spacing w:val="-1"/>
                <w:highlight w:val="none"/>
              </w:rPr>
              <w:t>A02010107</w:t>
            </w:r>
            <w:r>
              <w:rPr>
                <w:color w:val="auto"/>
                <w:spacing w:val="-28"/>
                <w:highlight w:val="none"/>
              </w:rPr>
              <w:t xml:space="preserve"> </w:t>
            </w:r>
            <w:r>
              <w:rPr>
                <w:color w:val="auto"/>
                <w:spacing w:val="-1"/>
                <w:highlight w:val="none"/>
              </w:rPr>
              <w:t>平板式微型计算机</w:t>
            </w:r>
          </w:p>
        </w:tc>
        <w:tc>
          <w:tcPr>
            <w:tcW w:w="2248" w:type="dxa"/>
          </w:tcPr>
          <w:p w14:paraId="1CBF3ED1">
            <w:pPr>
              <w:rPr>
                <w:rFonts w:ascii="Arial"/>
                <w:color w:val="auto"/>
                <w:highlight w:val="none"/>
              </w:rPr>
            </w:pPr>
          </w:p>
        </w:tc>
        <w:tc>
          <w:tcPr>
            <w:tcW w:w="3543" w:type="dxa"/>
          </w:tcPr>
          <w:p w14:paraId="5203631D">
            <w:pPr>
              <w:pStyle w:val="248"/>
              <w:spacing w:before="63" w:line="219" w:lineRule="auto"/>
              <w:ind w:left="109"/>
              <w:rPr>
                <w:color w:val="auto"/>
                <w:highlight w:val="none"/>
                <w:lang w:eastAsia="zh-CN"/>
              </w:rPr>
            </w:pPr>
            <w:r>
              <w:rPr>
                <w:color w:val="auto"/>
                <w:spacing w:val="-1"/>
                <w:highlight w:val="none"/>
                <w:lang w:eastAsia="zh-CN"/>
              </w:rPr>
              <w:t>HJ2536</w:t>
            </w:r>
            <w:r>
              <w:rPr>
                <w:color w:val="auto"/>
                <w:spacing w:val="-28"/>
                <w:highlight w:val="none"/>
                <w:lang w:eastAsia="zh-CN"/>
              </w:rPr>
              <w:t xml:space="preserve"> </w:t>
            </w:r>
            <w:r>
              <w:rPr>
                <w:color w:val="auto"/>
                <w:spacing w:val="-1"/>
                <w:highlight w:val="none"/>
                <w:lang w:eastAsia="zh-CN"/>
              </w:rPr>
              <w:t>微型计算机、显示器</w:t>
            </w:r>
          </w:p>
        </w:tc>
      </w:tr>
      <w:tr w14:paraId="28E1F0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continue"/>
            <w:tcBorders>
              <w:top w:val="nil"/>
              <w:bottom w:val="nil"/>
            </w:tcBorders>
          </w:tcPr>
          <w:p w14:paraId="3CF616A8">
            <w:pPr>
              <w:rPr>
                <w:rFonts w:ascii="Arial"/>
                <w:color w:val="auto"/>
                <w:highlight w:val="none"/>
              </w:rPr>
            </w:pPr>
          </w:p>
        </w:tc>
        <w:tc>
          <w:tcPr>
            <w:tcW w:w="1542" w:type="dxa"/>
            <w:vMerge w:val="continue"/>
            <w:tcBorders>
              <w:top w:val="nil"/>
              <w:bottom w:val="nil"/>
            </w:tcBorders>
          </w:tcPr>
          <w:p w14:paraId="7B4B890D">
            <w:pPr>
              <w:rPr>
                <w:rFonts w:ascii="Arial"/>
                <w:color w:val="auto"/>
                <w:highlight w:val="none"/>
              </w:rPr>
            </w:pPr>
          </w:p>
        </w:tc>
        <w:tc>
          <w:tcPr>
            <w:tcW w:w="2672" w:type="dxa"/>
          </w:tcPr>
          <w:p w14:paraId="3B392FB5">
            <w:pPr>
              <w:pStyle w:val="248"/>
              <w:spacing w:before="65" w:line="219" w:lineRule="auto"/>
              <w:ind w:left="103"/>
              <w:rPr>
                <w:color w:val="auto"/>
                <w:highlight w:val="none"/>
              </w:rPr>
            </w:pPr>
            <w:r>
              <w:rPr>
                <w:color w:val="auto"/>
                <w:spacing w:val="-2"/>
                <w:highlight w:val="none"/>
              </w:rPr>
              <w:t>A02010108</w:t>
            </w:r>
            <w:r>
              <w:rPr>
                <w:color w:val="auto"/>
                <w:spacing w:val="32"/>
                <w:highlight w:val="none"/>
              </w:rPr>
              <w:t xml:space="preserve"> </w:t>
            </w:r>
            <w:r>
              <w:rPr>
                <w:color w:val="auto"/>
                <w:spacing w:val="-2"/>
                <w:highlight w:val="none"/>
              </w:rPr>
              <w:t>网络计算机</w:t>
            </w:r>
          </w:p>
        </w:tc>
        <w:tc>
          <w:tcPr>
            <w:tcW w:w="2248" w:type="dxa"/>
          </w:tcPr>
          <w:p w14:paraId="36C884ED">
            <w:pPr>
              <w:rPr>
                <w:rFonts w:ascii="Arial"/>
                <w:color w:val="auto"/>
                <w:highlight w:val="none"/>
              </w:rPr>
            </w:pPr>
          </w:p>
        </w:tc>
        <w:tc>
          <w:tcPr>
            <w:tcW w:w="3543" w:type="dxa"/>
          </w:tcPr>
          <w:p w14:paraId="4B3F46BA">
            <w:pPr>
              <w:pStyle w:val="248"/>
              <w:spacing w:before="64" w:line="219" w:lineRule="auto"/>
              <w:ind w:left="109"/>
              <w:rPr>
                <w:color w:val="auto"/>
                <w:highlight w:val="none"/>
                <w:lang w:eastAsia="zh-CN"/>
              </w:rPr>
            </w:pPr>
            <w:r>
              <w:rPr>
                <w:color w:val="auto"/>
                <w:spacing w:val="-1"/>
                <w:highlight w:val="none"/>
                <w:lang w:eastAsia="zh-CN"/>
              </w:rPr>
              <w:t>HJ2536</w:t>
            </w:r>
            <w:r>
              <w:rPr>
                <w:color w:val="auto"/>
                <w:spacing w:val="-28"/>
                <w:highlight w:val="none"/>
                <w:lang w:eastAsia="zh-CN"/>
              </w:rPr>
              <w:t xml:space="preserve"> </w:t>
            </w:r>
            <w:r>
              <w:rPr>
                <w:color w:val="auto"/>
                <w:spacing w:val="-1"/>
                <w:highlight w:val="none"/>
                <w:lang w:eastAsia="zh-CN"/>
              </w:rPr>
              <w:t>微型计算机、显示器</w:t>
            </w:r>
          </w:p>
        </w:tc>
      </w:tr>
      <w:tr w14:paraId="510EBC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continue"/>
            <w:tcBorders>
              <w:top w:val="nil"/>
              <w:bottom w:val="nil"/>
            </w:tcBorders>
          </w:tcPr>
          <w:p w14:paraId="59488902">
            <w:pPr>
              <w:rPr>
                <w:rFonts w:ascii="Arial"/>
                <w:color w:val="auto"/>
                <w:highlight w:val="none"/>
              </w:rPr>
            </w:pPr>
          </w:p>
        </w:tc>
        <w:tc>
          <w:tcPr>
            <w:tcW w:w="1542" w:type="dxa"/>
            <w:vMerge w:val="continue"/>
            <w:tcBorders>
              <w:top w:val="nil"/>
              <w:bottom w:val="nil"/>
            </w:tcBorders>
          </w:tcPr>
          <w:p w14:paraId="08ADCA95">
            <w:pPr>
              <w:rPr>
                <w:rFonts w:ascii="Arial"/>
                <w:color w:val="auto"/>
                <w:highlight w:val="none"/>
              </w:rPr>
            </w:pPr>
          </w:p>
        </w:tc>
        <w:tc>
          <w:tcPr>
            <w:tcW w:w="2672" w:type="dxa"/>
          </w:tcPr>
          <w:p w14:paraId="5C941FE1">
            <w:pPr>
              <w:pStyle w:val="248"/>
              <w:spacing w:before="64" w:line="219" w:lineRule="auto"/>
              <w:ind w:left="103"/>
              <w:rPr>
                <w:color w:val="auto"/>
                <w:highlight w:val="none"/>
              </w:rPr>
            </w:pPr>
            <w:r>
              <w:rPr>
                <w:color w:val="auto"/>
                <w:highlight w:val="none"/>
              </w:rPr>
              <w:t>A02010109 计算机工作站</w:t>
            </w:r>
          </w:p>
        </w:tc>
        <w:tc>
          <w:tcPr>
            <w:tcW w:w="2248" w:type="dxa"/>
          </w:tcPr>
          <w:p w14:paraId="3B7E7674">
            <w:pPr>
              <w:rPr>
                <w:rFonts w:ascii="Arial"/>
                <w:color w:val="auto"/>
                <w:highlight w:val="none"/>
              </w:rPr>
            </w:pPr>
          </w:p>
        </w:tc>
        <w:tc>
          <w:tcPr>
            <w:tcW w:w="3543" w:type="dxa"/>
          </w:tcPr>
          <w:p w14:paraId="66C4F4D9">
            <w:pPr>
              <w:pStyle w:val="248"/>
              <w:spacing w:before="64" w:line="219" w:lineRule="auto"/>
              <w:ind w:left="109"/>
              <w:rPr>
                <w:color w:val="auto"/>
                <w:highlight w:val="none"/>
                <w:lang w:eastAsia="zh-CN"/>
              </w:rPr>
            </w:pPr>
            <w:r>
              <w:rPr>
                <w:color w:val="auto"/>
                <w:spacing w:val="-1"/>
                <w:highlight w:val="none"/>
                <w:lang w:eastAsia="zh-CN"/>
              </w:rPr>
              <w:t>HJ2536</w:t>
            </w:r>
            <w:r>
              <w:rPr>
                <w:color w:val="auto"/>
                <w:spacing w:val="-28"/>
                <w:highlight w:val="none"/>
                <w:lang w:eastAsia="zh-CN"/>
              </w:rPr>
              <w:t xml:space="preserve"> </w:t>
            </w:r>
            <w:r>
              <w:rPr>
                <w:color w:val="auto"/>
                <w:spacing w:val="-1"/>
                <w:highlight w:val="none"/>
                <w:lang w:eastAsia="zh-CN"/>
              </w:rPr>
              <w:t>微型计算机、显示器</w:t>
            </w:r>
          </w:p>
        </w:tc>
      </w:tr>
      <w:tr w14:paraId="7A467D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583" w:type="dxa"/>
            <w:vMerge w:val="continue"/>
            <w:tcBorders>
              <w:top w:val="nil"/>
            </w:tcBorders>
          </w:tcPr>
          <w:p w14:paraId="6E32B5E8">
            <w:pPr>
              <w:rPr>
                <w:rFonts w:ascii="Arial"/>
                <w:color w:val="auto"/>
                <w:highlight w:val="none"/>
              </w:rPr>
            </w:pPr>
          </w:p>
        </w:tc>
        <w:tc>
          <w:tcPr>
            <w:tcW w:w="1542" w:type="dxa"/>
            <w:vMerge w:val="continue"/>
            <w:tcBorders>
              <w:top w:val="nil"/>
            </w:tcBorders>
          </w:tcPr>
          <w:p w14:paraId="4903EE97">
            <w:pPr>
              <w:rPr>
                <w:rFonts w:ascii="Arial"/>
                <w:color w:val="auto"/>
                <w:highlight w:val="none"/>
              </w:rPr>
            </w:pPr>
          </w:p>
        </w:tc>
        <w:tc>
          <w:tcPr>
            <w:tcW w:w="2672" w:type="dxa"/>
          </w:tcPr>
          <w:p w14:paraId="1D805A07">
            <w:pPr>
              <w:pStyle w:val="248"/>
              <w:spacing w:before="64" w:line="219" w:lineRule="auto"/>
              <w:ind w:left="103"/>
              <w:rPr>
                <w:color w:val="auto"/>
                <w:highlight w:val="none"/>
              </w:rPr>
            </w:pPr>
            <w:r>
              <w:rPr>
                <w:color w:val="auto"/>
                <w:spacing w:val="-1"/>
                <w:highlight w:val="none"/>
              </w:rPr>
              <w:t>A02010199</w:t>
            </w:r>
            <w:r>
              <w:rPr>
                <w:color w:val="auto"/>
                <w:spacing w:val="-29"/>
                <w:highlight w:val="none"/>
              </w:rPr>
              <w:t xml:space="preserve"> </w:t>
            </w:r>
            <w:r>
              <w:rPr>
                <w:color w:val="auto"/>
                <w:spacing w:val="-1"/>
                <w:highlight w:val="none"/>
              </w:rPr>
              <w:t>其他计算机设备</w:t>
            </w:r>
          </w:p>
        </w:tc>
        <w:tc>
          <w:tcPr>
            <w:tcW w:w="2248" w:type="dxa"/>
          </w:tcPr>
          <w:p w14:paraId="62F6E729">
            <w:pPr>
              <w:rPr>
                <w:rFonts w:ascii="Arial"/>
                <w:color w:val="auto"/>
                <w:highlight w:val="none"/>
              </w:rPr>
            </w:pPr>
          </w:p>
        </w:tc>
        <w:tc>
          <w:tcPr>
            <w:tcW w:w="3543" w:type="dxa"/>
          </w:tcPr>
          <w:p w14:paraId="1A567B9D">
            <w:pPr>
              <w:pStyle w:val="248"/>
              <w:spacing w:before="64" w:line="219" w:lineRule="auto"/>
              <w:ind w:left="109"/>
              <w:rPr>
                <w:color w:val="auto"/>
                <w:highlight w:val="none"/>
                <w:lang w:eastAsia="zh-CN"/>
              </w:rPr>
            </w:pPr>
            <w:r>
              <w:rPr>
                <w:color w:val="auto"/>
                <w:spacing w:val="-1"/>
                <w:highlight w:val="none"/>
                <w:lang w:eastAsia="zh-CN"/>
              </w:rPr>
              <w:t>HJ2536</w:t>
            </w:r>
            <w:r>
              <w:rPr>
                <w:color w:val="auto"/>
                <w:spacing w:val="-28"/>
                <w:highlight w:val="none"/>
                <w:lang w:eastAsia="zh-CN"/>
              </w:rPr>
              <w:t xml:space="preserve"> </w:t>
            </w:r>
            <w:r>
              <w:rPr>
                <w:color w:val="auto"/>
                <w:spacing w:val="-1"/>
                <w:highlight w:val="none"/>
                <w:lang w:eastAsia="zh-CN"/>
              </w:rPr>
              <w:t>微型计算机、显示器</w:t>
            </w:r>
          </w:p>
        </w:tc>
      </w:tr>
      <w:tr w14:paraId="56B8BE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restart"/>
            <w:tcBorders>
              <w:bottom w:val="nil"/>
            </w:tcBorders>
          </w:tcPr>
          <w:p w14:paraId="09587807">
            <w:pPr>
              <w:pStyle w:val="248"/>
              <w:spacing w:before="64" w:line="242" w:lineRule="auto"/>
              <w:ind w:left="116"/>
              <w:rPr>
                <w:color w:val="auto"/>
                <w:highlight w:val="none"/>
              </w:rPr>
            </w:pPr>
            <w:r>
              <w:rPr>
                <w:color w:val="auto"/>
                <w:highlight w:val="none"/>
              </w:rPr>
              <w:t>2</w:t>
            </w:r>
          </w:p>
        </w:tc>
        <w:tc>
          <w:tcPr>
            <w:tcW w:w="1542" w:type="dxa"/>
            <w:vMerge w:val="restart"/>
            <w:tcBorders>
              <w:bottom w:val="nil"/>
            </w:tcBorders>
          </w:tcPr>
          <w:p w14:paraId="7561F963">
            <w:pPr>
              <w:pStyle w:val="248"/>
              <w:spacing w:before="64" w:line="323" w:lineRule="auto"/>
              <w:ind w:left="123" w:right="108" w:hanging="21"/>
              <w:rPr>
                <w:color w:val="auto"/>
                <w:highlight w:val="none"/>
              </w:rPr>
            </w:pPr>
            <w:r>
              <w:rPr>
                <w:color w:val="auto"/>
                <w:spacing w:val="3"/>
                <w:highlight w:val="none"/>
              </w:rPr>
              <w:t>A020106</w:t>
            </w:r>
            <w:r>
              <w:rPr>
                <w:color w:val="auto"/>
                <w:spacing w:val="34"/>
                <w:highlight w:val="none"/>
              </w:rPr>
              <w:t xml:space="preserve"> </w:t>
            </w:r>
            <w:r>
              <w:rPr>
                <w:color w:val="auto"/>
                <w:spacing w:val="3"/>
                <w:highlight w:val="none"/>
              </w:rPr>
              <w:t>输入输</w:t>
            </w:r>
            <w:r>
              <w:rPr>
                <w:color w:val="auto"/>
                <w:highlight w:val="none"/>
              </w:rPr>
              <w:t xml:space="preserve"> </w:t>
            </w:r>
            <w:r>
              <w:rPr>
                <w:color w:val="auto"/>
                <w:spacing w:val="-5"/>
                <w:highlight w:val="none"/>
              </w:rPr>
              <w:t>出设备</w:t>
            </w:r>
          </w:p>
        </w:tc>
        <w:tc>
          <w:tcPr>
            <w:tcW w:w="2672" w:type="dxa"/>
            <w:vMerge w:val="restart"/>
            <w:tcBorders>
              <w:bottom w:val="nil"/>
            </w:tcBorders>
          </w:tcPr>
          <w:p w14:paraId="0DB6460D">
            <w:pPr>
              <w:pStyle w:val="248"/>
              <w:spacing w:before="64" w:line="220" w:lineRule="auto"/>
              <w:ind w:left="103"/>
              <w:rPr>
                <w:color w:val="auto"/>
                <w:highlight w:val="none"/>
              </w:rPr>
            </w:pPr>
            <w:r>
              <w:rPr>
                <w:color w:val="auto"/>
                <w:spacing w:val="-1"/>
                <w:highlight w:val="none"/>
              </w:rPr>
              <w:t>A02010601</w:t>
            </w:r>
            <w:r>
              <w:rPr>
                <w:color w:val="auto"/>
                <w:spacing w:val="-31"/>
                <w:highlight w:val="none"/>
              </w:rPr>
              <w:t xml:space="preserve"> </w:t>
            </w:r>
            <w:r>
              <w:rPr>
                <w:color w:val="auto"/>
                <w:spacing w:val="-1"/>
                <w:highlight w:val="none"/>
              </w:rPr>
              <w:t>打印设备</w:t>
            </w:r>
          </w:p>
        </w:tc>
        <w:tc>
          <w:tcPr>
            <w:tcW w:w="2248" w:type="dxa"/>
          </w:tcPr>
          <w:p w14:paraId="3E5C0348">
            <w:pPr>
              <w:pStyle w:val="248"/>
              <w:spacing w:before="65" w:line="219" w:lineRule="auto"/>
              <w:ind w:left="105"/>
              <w:rPr>
                <w:color w:val="auto"/>
                <w:highlight w:val="none"/>
              </w:rPr>
            </w:pPr>
            <w:r>
              <w:rPr>
                <w:color w:val="auto"/>
                <w:highlight w:val="none"/>
              </w:rPr>
              <w:t>A0201060101 喷墨打印机</w:t>
            </w:r>
          </w:p>
        </w:tc>
        <w:tc>
          <w:tcPr>
            <w:tcW w:w="3543" w:type="dxa"/>
          </w:tcPr>
          <w:p w14:paraId="30AA73A7">
            <w:pPr>
              <w:pStyle w:val="248"/>
              <w:spacing w:before="64" w:line="219" w:lineRule="auto"/>
              <w:ind w:left="109"/>
              <w:rPr>
                <w:color w:val="auto"/>
                <w:highlight w:val="none"/>
                <w:lang w:eastAsia="zh-CN"/>
              </w:rPr>
            </w:pPr>
            <w:r>
              <w:rPr>
                <w:color w:val="auto"/>
                <w:spacing w:val="-1"/>
                <w:highlight w:val="none"/>
                <w:lang w:eastAsia="zh-CN"/>
              </w:rPr>
              <w:t>HJ2512</w:t>
            </w:r>
            <w:r>
              <w:rPr>
                <w:color w:val="auto"/>
                <w:spacing w:val="-29"/>
                <w:highlight w:val="none"/>
                <w:lang w:eastAsia="zh-CN"/>
              </w:rPr>
              <w:t xml:space="preserve"> </w:t>
            </w:r>
            <w:r>
              <w:rPr>
                <w:color w:val="auto"/>
                <w:spacing w:val="-1"/>
                <w:highlight w:val="none"/>
                <w:lang w:eastAsia="zh-CN"/>
              </w:rPr>
              <w:t>打印机、传真机及多功能一体机</w:t>
            </w:r>
          </w:p>
        </w:tc>
      </w:tr>
      <w:tr w14:paraId="0AC94A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continue"/>
            <w:tcBorders>
              <w:top w:val="nil"/>
              <w:bottom w:val="nil"/>
            </w:tcBorders>
          </w:tcPr>
          <w:p w14:paraId="590CB909">
            <w:pPr>
              <w:rPr>
                <w:rFonts w:ascii="Arial"/>
                <w:color w:val="auto"/>
                <w:highlight w:val="none"/>
              </w:rPr>
            </w:pPr>
          </w:p>
        </w:tc>
        <w:tc>
          <w:tcPr>
            <w:tcW w:w="1542" w:type="dxa"/>
            <w:vMerge w:val="continue"/>
            <w:tcBorders>
              <w:top w:val="nil"/>
              <w:bottom w:val="nil"/>
            </w:tcBorders>
          </w:tcPr>
          <w:p w14:paraId="662622DA">
            <w:pPr>
              <w:rPr>
                <w:rFonts w:ascii="Arial"/>
                <w:color w:val="auto"/>
                <w:highlight w:val="none"/>
              </w:rPr>
            </w:pPr>
          </w:p>
        </w:tc>
        <w:tc>
          <w:tcPr>
            <w:tcW w:w="2672" w:type="dxa"/>
            <w:vMerge w:val="continue"/>
            <w:tcBorders>
              <w:top w:val="nil"/>
              <w:bottom w:val="nil"/>
            </w:tcBorders>
          </w:tcPr>
          <w:p w14:paraId="162291CF">
            <w:pPr>
              <w:rPr>
                <w:rFonts w:ascii="Arial"/>
                <w:color w:val="auto"/>
                <w:highlight w:val="none"/>
              </w:rPr>
            </w:pPr>
          </w:p>
        </w:tc>
        <w:tc>
          <w:tcPr>
            <w:tcW w:w="2248" w:type="dxa"/>
          </w:tcPr>
          <w:p w14:paraId="007CADF6">
            <w:pPr>
              <w:pStyle w:val="248"/>
              <w:spacing w:before="64" w:line="219" w:lineRule="auto"/>
              <w:ind w:left="105"/>
              <w:rPr>
                <w:color w:val="auto"/>
                <w:highlight w:val="none"/>
              </w:rPr>
            </w:pPr>
            <w:r>
              <w:rPr>
                <w:color w:val="auto"/>
                <w:highlight w:val="none"/>
              </w:rPr>
              <w:t>A0201060102 激光打印机</w:t>
            </w:r>
          </w:p>
        </w:tc>
        <w:tc>
          <w:tcPr>
            <w:tcW w:w="3543" w:type="dxa"/>
          </w:tcPr>
          <w:p w14:paraId="6C44C9CB">
            <w:pPr>
              <w:pStyle w:val="248"/>
              <w:spacing w:before="64" w:line="219" w:lineRule="auto"/>
              <w:ind w:left="109"/>
              <w:rPr>
                <w:color w:val="auto"/>
                <w:highlight w:val="none"/>
                <w:lang w:eastAsia="zh-CN"/>
              </w:rPr>
            </w:pPr>
            <w:r>
              <w:rPr>
                <w:color w:val="auto"/>
                <w:spacing w:val="-1"/>
                <w:highlight w:val="none"/>
                <w:lang w:eastAsia="zh-CN"/>
              </w:rPr>
              <w:t>HJ2512</w:t>
            </w:r>
            <w:r>
              <w:rPr>
                <w:color w:val="auto"/>
                <w:spacing w:val="-29"/>
                <w:highlight w:val="none"/>
                <w:lang w:eastAsia="zh-CN"/>
              </w:rPr>
              <w:t xml:space="preserve"> </w:t>
            </w:r>
            <w:r>
              <w:rPr>
                <w:color w:val="auto"/>
                <w:spacing w:val="-1"/>
                <w:highlight w:val="none"/>
                <w:lang w:eastAsia="zh-CN"/>
              </w:rPr>
              <w:t>打印机、传真机及多功能一体机</w:t>
            </w:r>
          </w:p>
        </w:tc>
      </w:tr>
      <w:tr w14:paraId="7FC0FD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583" w:type="dxa"/>
            <w:vMerge w:val="continue"/>
            <w:tcBorders>
              <w:top w:val="nil"/>
              <w:bottom w:val="nil"/>
            </w:tcBorders>
          </w:tcPr>
          <w:p w14:paraId="5CCCAB50">
            <w:pPr>
              <w:rPr>
                <w:rFonts w:ascii="Arial"/>
                <w:color w:val="auto"/>
                <w:highlight w:val="none"/>
              </w:rPr>
            </w:pPr>
          </w:p>
        </w:tc>
        <w:tc>
          <w:tcPr>
            <w:tcW w:w="1542" w:type="dxa"/>
            <w:vMerge w:val="continue"/>
            <w:tcBorders>
              <w:top w:val="nil"/>
              <w:bottom w:val="nil"/>
            </w:tcBorders>
          </w:tcPr>
          <w:p w14:paraId="05445913">
            <w:pPr>
              <w:rPr>
                <w:rFonts w:ascii="Arial"/>
                <w:color w:val="auto"/>
                <w:highlight w:val="none"/>
              </w:rPr>
            </w:pPr>
          </w:p>
        </w:tc>
        <w:tc>
          <w:tcPr>
            <w:tcW w:w="2672" w:type="dxa"/>
            <w:vMerge w:val="continue"/>
            <w:tcBorders>
              <w:top w:val="nil"/>
              <w:bottom w:val="nil"/>
            </w:tcBorders>
          </w:tcPr>
          <w:p w14:paraId="03D46E0F">
            <w:pPr>
              <w:rPr>
                <w:rFonts w:ascii="Arial"/>
                <w:color w:val="auto"/>
                <w:highlight w:val="none"/>
              </w:rPr>
            </w:pPr>
          </w:p>
        </w:tc>
        <w:tc>
          <w:tcPr>
            <w:tcW w:w="2248" w:type="dxa"/>
          </w:tcPr>
          <w:p w14:paraId="1BE7554C">
            <w:pPr>
              <w:pStyle w:val="248"/>
              <w:spacing w:before="64" w:line="219" w:lineRule="auto"/>
              <w:ind w:left="105"/>
              <w:rPr>
                <w:color w:val="auto"/>
                <w:highlight w:val="none"/>
              </w:rPr>
            </w:pPr>
            <w:r>
              <w:rPr>
                <w:color w:val="auto"/>
                <w:highlight w:val="none"/>
              </w:rPr>
              <w:t>A0201060103 热式打印机</w:t>
            </w:r>
          </w:p>
        </w:tc>
        <w:tc>
          <w:tcPr>
            <w:tcW w:w="3543" w:type="dxa"/>
          </w:tcPr>
          <w:p w14:paraId="7A01D9E2">
            <w:pPr>
              <w:pStyle w:val="248"/>
              <w:spacing w:before="64" w:line="219" w:lineRule="auto"/>
              <w:ind w:left="109"/>
              <w:rPr>
                <w:color w:val="auto"/>
                <w:highlight w:val="none"/>
                <w:lang w:eastAsia="zh-CN"/>
              </w:rPr>
            </w:pPr>
            <w:r>
              <w:rPr>
                <w:color w:val="auto"/>
                <w:spacing w:val="-1"/>
                <w:highlight w:val="none"/>
                <w:lang w:eastAsia="zh-CN"/>
              </w:rPr>
              <w:t>HJ2512</w:t>
            </w:r>
            <w:r>
              <w:rPr>
                <w:color w:val="auto"/>
                <w:spacing w:val="-29"/>
                <w:highlight w:val="none"/>
                <w:lang w:eastAsia="zh-CN"/>
              </w:rPr>
              <w:t xml:space="preserve"> </w:t>
            </w:r>
            <w:r>
              <w:rPr>
                <w:color w:val="auto"/>
                <w:spacing w:val="-1"/>
                <w:highlight w:val="none"/>
                <w:lang w:eastAsia="zh-CN"/>
              </w:rPr>
              <w:t>打印机、传真机及多功能一体机</w:t>
            </w:r>
          </w:p>
        </w:tc>
      </w:tr>
      <w:tr w14:paraId="0855EB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continue"/>
            <w:tcBorders>
              <w:top w:val="nil"/>
              <w:bottom w:val="nil"/>
            </w:tcBorders>
          </w:tcPr>
          <w:p w14:paraId="43621CB6">
            <w:pPr>
              <w:rPr>
                <w:rFonts w:ascii="Arial"/>
                <w:color w:val="auto"/>
                <w:highlight w:val="none"/>
              </w:rPr>
            </w:pPr>
          </w:p>
        </w:tc>
        <w:tc>
          <w:tcPr>
            <w:tcW w:w="1542" w:type="dxa"/>
            <w:vMerge w:val="continue"/>
            <w:tcBorders>
              <w:top w:val="nil"/>
              <w:bottom w:val="nil"/>
            </w:tcBorders>
          </w:tcPr>
          <w:p w14:paraId="6B99F39D">
            <w:pPr>
              <w:rPr>
                <w:rFonts w:ascii="Arial"/>
                <w:color w:val="auto"/>
                <w:highlight w:val="none"/>
              </w:rPr>
            </w:pPr>
          </w:p>
        </w:tc>
        <w:tc>
          <w:tcPr>
            <w:tcW w:w="2672" w:type="dxa"/>
            <w:vMerge w:val="continue"/>
            <w:tcBorders>
              <w:top w:val="nil"/>
            </w:tcBorders>
          </w:tcPr>
          <w:p w14:paraId="45C18EFB">
            <w:pPr>
              <w:rPr>
                <w:rFonts w:ascii="Arial"/>
                <w:color w:val="auto"/>
                <w:highlight w:val="none"/>
              </w:rPr>
            </w:pPr>
          </w:p>
        </w:tc>
        <w:tc>
          <w:tcPr>
            <w:tcW w:w="2248" w:type="dxa"/>
          </w:tcPr>
          <w:p w14:paraId="3DFD7412">
            <w:pPr>
              <w:pStyle w:val="248"/>
              <w:spacing w:before="65" w:line="219" w:lineRule="auto"/>
              <w:ind w:left="105"/>
              <w:rPr>
                <w:color w:val="auto"/>
                <w:highlight w:val="none"/>
              </w:rPr>
            </w:pPr>
            <w:r>
              <w:rPr>
                <w:color w:val="auto"/>
                <w:highlight w:val="none"/>
              </w:rPr>
              <w:t>A0201060104 针式打印机</w:t>
            </w:r>
          </w:p>
        </w:tc>
        <w:tc>
          <w:tcPr>
            <w:tcW w:w="3543" w:type="dxa"/>
          </w:tcPr>
          <w:p w14:paraId="2EBDC14D">
            <w:pPr>
              <w:pStyle w:val="248"/>
              <w:spacing w:before="64" w:line="219" w:lineRule="auto"/>
              <w:ind w:left="109"/>
              <w:rPr>
                <w:color w:val="auto"/>
                <w:highlight w:val="none"/>
                <w:lang w:eastAsia="zh-CN"/>
              </w:rPr>
            </w:pPr>
            <w:r>
              <w:rPr>
                <w:color w:val="auto"/>
                <w:spacing w:val="-1"/>
                <w:highlight w:val="none"/>
                <w:lang w:eastAsia="zh-CN"/>
              </w:rPr>
              <w:t>HJ2512</w:t>
            </w:r>
            <w:r>
              <w:rPr>
                <w:color w:val="auto"/>
                <w:spacing w:val="-29"/>
                <w:highlight w:val="none"/>
                <w:lang w:eastAsia="zh-CN"/>
              </w:rPr>
              <w:t xml:space="preserve"> </w:t>
            </w:r>
            <w:r>
              <w:rPr>
                <w:color w:val="auto"/>
                <w:spacing w:val="-1"/>
                <w:highlight w:val="none"/>
                <w:lang w:eastAsia="zh-CN"/>
              </w:rPr>
              <w:t>打印机、传真机及多功能一体机</w:t>
            </w:r>
          </w:p>
        </w:tc>
      </w:tr>
      <w:tr w14:paraId="53E968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continue"/>
            <w:tcBorders>
              <w:top w:val="nil"/>
              <w:bottom w:val="nil"/>
            </w:tcBorders>
          </w:tcPr>
          <w:p w14:paraId="3D9CC482">
            <w:pPr>
              <w:rPr>
                <w:rFonts w:ascii="Arial"/>
                <w:color w:val="auto"/>
                <w:highlight w:val="none"/>
              </w:rPr>
            </w:pPr>
          </w:p>
        </w:tc>
        <w:tc>
          <w:tcPr>
            <w:tcW w:w="1542" w:type="dxa"/>
            <w:vMerge w:val="continue"/>
            <w:tcBorders>
              <w:top w:val="nil"/>
              <w:bottom w:val="nil"/>
            </w:tcBorders>
          </w:tcPr>
          <w:p w14:paraId="5D575845">
            <w:pPr>
              <w:rPr>
                <w:rFonts w:ascii="Arial"/>
                <w:color w:val="auto"/>
                <w:highlight w:val="none"/>
              </w:rPr>
            </w:pPr>
          </w:p>
        </w:tc>
        <w:tc>
          <w:tcPr>
            <w:tcW w:w="2672" w:type="dxa"/>
            <w:vMerge w:val="restart"/>
            <w:tcBorders>
              <w:bottom w:val="nil"/>
            </w:tcBorders>
          </w:tcPr>
          <w:p w14:paraId="41F3390C">
            <w:pPr>
              <w:pStyle w:val="248"/>
              <w:spacing w:before="64" w:line="222" w:lineRule="auto"/>
              <w:ind w:left="103"/>
              <w:rPr>
                <w:color w:val="auto"/>
                <w:highlight w:val="none"/>
              </w:rPr>
            </w:pPr>
            <w:r>
              <w:rPr>
                <w:color w:val="auto"/>
                <w:highlight w:val="none"/>
              </w:rPr>
              <w:t>A02010604 显示设备</w:t>
            </w:r>
          </w:p>
        </w:tc>
        <w:tc>
          <w:tcPr>
            <w:tcW w:w="2248" w:type="dxa"/>
          </w:tcPr>
          <w:p w14:paraId="0D2AD6B7">
            <w:pPr>
              <w:pStyle w:val="248"/>
              <w:spacing w:before="64" w:line="221" w:lineRule="auto"/>
              <w:ind w:left="105"/>
              <w:rPr>
                <w:color w:val="auto"/>
                <w:highlight w:val="none"/>
              </w:rPr>
            </w:pPr>
            <w:r>
              <w:rPr>
                <w:color w:val="auto"/>
                <w:highlight w:val="none"/>
              </w:rPr>
              <w:t>A0201060401 液晶显示器</w:t>
            </w:r>
          </w:p>
        </w:tc>
        <w:tc>
          <w:tcPr>
            <w:tcW w:w="3543" w:type="dxa"/>
          </w:tcPr>
          <w:p w14:paraId="3DE705C8">
            <w:pPr>
              <w:pStyle w:val="248"/>
              <w:spacing w:before="64" w:line="219" w:lineRule="auto"/>
              <w:ind w:left="109"/>
              <w:rPr>
                <w:color w:val="auto"/>
                <w:highlight w:val="none"/>
                <w:lang w:eastAsia="zh-CN"/>
              </w:rPr>
            </w:pPr>
            <w:r>
              <w:rPr>
                <w:color w:val="auto"/>
                <w:spacing w:val="-1"/>
                <w:highlight w:val="none"/>
                <w:lang w:eastAsia="zh-CN"/>
              </w:rPr>
              <w:t>HJ2536</w:t>
            </w:r>
            <w:r>
              <w:rPr>
                <w:color w:val="auto"/>
                <w:spacing w:val="-28"/>
                <w:highlight w:val="none"/>
                <w:lang w:eastAsia="zh-CN"/>
              </w:rPr>
              <w:t xml:space="preserve"> </w:t>
            </w:r>
            <w:r>
              <w:rPr>
                <w:color w:val="auto"/>
                <w:spacing w:val="-1"/>
                <w:highlight w:val="none"/>
                <w:lang w:eastAsia="zh-CN"/>
              </w:rPr>
              <w:t>微型计算机、显示器</w:t>
            </w:r>
          </w:p>
        </w:tc>
      </w:tr>
      <w:tr w14:paraId="4004B4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583" w:type="dxa"/>
            <w:vMerge w:val="continue"/>
            <w:tcBorders>
              <w:top w:val="nil"/>
              <w:bottom w:val="nil"/>
            </w:tcBorders>
          </w:tcPr>
          <w:p w14:paraId="1C2CEF03">
            <w:pPr>
              <w:rPr>
                <w:rFonts w:ascii="Arial"/>
                <w:color w:val="auto"/>
                <w:highlight w:val="none"/>
              </w:rPr>
            </w:pPr>
          </w:p>
        </w:tc>
        <w:tc>
          <w:tcPr>
            <w:tcW w:w="1542" w:type="dxa"/>
            <w:vMerge w:val="continue"/>
            <w:tcBorders>
              <w:top w:val="nil"/>
              <w:bottom w:val="nil"/>
            </w:tcBorders>
          </w:tcPr>
          <w:p w14:paraId="58359029">
            <w:pPr>
              <w:rPr>
                <w:rFonts w:ascii="Arial"/>
                <w:color w:val="auto"/>
                <w:highlight w:val="none"/>
              </w:rPr>
            </w:pPr>
          </w:p>
        </w:tc>
        <w:tc>
          <w:tcPr>
            <w:tcW w:w="2672" w:type="dxa"/>
            <w:vMerge w:val="continue"/>
            <w:tcBorders>
              <w:top w:val="nil"/>
            </w:tcBorders>
          </w:tcPr>
          <w:p w14:paraId="70267579">
            <w:pPr>
              <w:rPr>
                <w:rFonts w:ascii="Arial"/>
                <w:color w:val="auto"/>
                <w:highlight w:val="none"/>
              </w:rPr>
            </w:pPr>
          </w:p>
        </w:tc>
        <w:tc>
          <w:tcPr>
            <w:tcW w:w="2248" w:type="dxa"/>
          </w:tcPr>
          <w:p w14:paraId="7838EE21">
            <w:pPr>
              <w:pStyle w:val="248"/>
              <w:spacing w:before="64" w:line="221" w:lineRule="auto"/>
              <w:ind w:left="105"/>
              <w:rPr>
                <w:color w:val="auto"/>
                <w:highlight w:val="none"/>
              </w:rPr>
            </w:pPr>
            <w:r>
              <w:rPr>
                <w:color w:val="auto"/>
                <w:highlight w:val="none"/>
              </w:rPr>
              <w:t>A0201060499 其他显示器</w:t>
            </w:r>
          </w:p>
        </w:tc>
        <w:tc>
          <w:tcPr>
            <w:tcW w:w="3543" w:type="dxa"/>
          </w:tcPr>
          <w:p w14:paraId="2D52E426">
            <w:pPr>
              <w:pStyle w:val="248"/>
              <w:spacing w:before="63" w:line="219" w:lineRule="auto"/>
              <w:ind w:left="109"/>
              <w:rPr>
                <w:color w:val="auto"/>
                <w:highlight w:val="none"/>
                <w:lang w:eastAsia="zh-CN"/>
              </w:rPr>
            </w:pPr>
            <w:r>
              <w:rPr>
                <w:color w:val="auto"/>
                <w:spacing w:val="-1"/>
                <w:highlight w:val="none"/>
                <w:lang w:eastAsia="zh-CN"/>
              </w:rPr>
              <w:t>HJ2536</w:t>
            </w:r>
            <w:r>
              <w:rPr>
                <w:color w:val="auto"/>
                <w:spacing w:val="-28"/>
                <w:highlight w:val="none"/>
                <w:lang w:eastAsia="zh-CN"/>
              </w:rPr>
              <w:t xml:space="preserve"> </w:t>
            </w:r>
            <w:r>
              <w:rPr>
                <w:color w:val="auto"/>
                <w:spacing w:val="-1"/>
                <w:highlight w:val="none"/>
                <w:lang w:eastAsia="zh-CN"/>
              </w:rPr>
              <w:t>微型计算机、显示器</w:t>
            </w:r>
          </w:p>
        </w:tc>
      </w:tr>
      <w:tr w14:paraId="03AB3C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continue"/>
            <w:tcBorders>
              <w:top w:val="nil"/>
            </w:tcBorders>
          </w:tcPr>
          <w:p w14:paraId="771F7475">
            <w:pPr>
              <w:rPr>
                <w:rFonts w:ascii="Arial"/>
                <w:color w:val="auto"/>
                <w:highlight w:val="none"/>
              </w:rPr>
            </w:pPr>
          </w:p>
        </w:tc>
        <w:tc>
          <w:tcPr>
            <w:tcW w:w="1542" w:type="dxa"/>
            <w:vMerge w:val="continue"/>
            <w:tcBorders>
              <w:top w:val="nil"/>
            </w:tcBorders>
          </w:tcPr>
          <w:p w14:paraId="4FE5E9E7">
            <w:pPr>
              <w:rPr>
                <w:rFonts w:ascii="Arial"/>
                <w:color w:val="auto"/>
                <w:highlight w:val="none"/>
              </w:rPr>
            </w:pPr>
          </w:p>
        </w:tc>
        <w:tc>
          <w:tcPr>
            <w:tcW w:w="2672" w:type="dxa"/>
          </w:tcPr>
          <w:p w14:paraId="7931C339">
            <w:pPr>
              <w:pStyle w:val="248"/>
              <w:spacing w:before="64" w:line="220" w:lineRule="auto"/>
              <w:ind w:left="103"/>
              <w:rPr>
                <w:color w:val="auto"/>
                <w:highlight w:val="none"/>
              </w:rPr>
            </w:pPr>
            <w:r>
              <w:rPr>
                <w:color w:val="auto"/>
                <w:spacing w:val="-2"/>
                <w:highlight w:val="none"/>
              </w:rPr>
              <w:t>A02010609</w:t>
            </w:r>
            <w:r>
              <w:rPr>
                <w:color w:val="auto"/>
                <w:spacing w:val="-9"/>
                <w:highlight w:val="none"/>
              </w:rPr>
              <w:t xml:space="preserve"> </w:t>
            </w:r>
            <w:r>
              <w:rPr>
                <w:color w:val="auto"/>
                <w:spacing w:val="-2"/>
                <w:highlight w:val="none"/>
              </w:rPr>
              <w:t>图形图像输入设备</w:t>
            </w:r>
          </w:p>
        </w:tc>
        <w:tc>
          <w:tcPr>
            <w:tcW w:w="2248" w:type="dxa"/>
          </w:tcPr>
          <w:p w14:paraId="37735DFA">
            <w:pPr>
              <w:pStyle w:val="248"/>
              <w:spacing w:before="64" w:line="220" w:lineRule="auto"/>
              <w:ind w:left="105"/>
              <w:rPr>
                <w:color w:val="auto"/>
                <w:highlight w:val="none"/>
              </w:rPr>
            </w:pPr>
            <w:r>
              <w:rPr>
                <w:color w:val="auto"/>
                <w:highlight w:val="none"/>
              </w:rPr>
              <w:t>A0201060901 扫描仪</w:t>
            </w:r>
          </w:p>
        </w:tc>
        <w:tc>
          <w:tcPr>
            <w:tcW w:w="3543" w:type="dxa"/>
          </w:tcPr>
          <w:p w14:paraId="18EFEB21">
            <w:pPr>
              <w:pStyle w:val="248"/>
              <w:spacing w:before="64" w:line="219" w:lineRule="auto"/>
              <w:ind w:left="109"/>
              <w:rPr>
                <w:color w:val="auto"/>
                <w:highlight w:val="none"/>
              </w:rPr>
            </w:pPr>
            <w:r>
              <w:rPr>
                <w:color w:val="auto"/>
                <w:spacing w:val="-1"/>
                <w:highlight w:val="none"/>
              </w:rPr>
              <w:t>HJ2517</w:t>
            </w:r>
            <w:r>
              <w:rPr>
                <w:color w:val="auto"/>
                <w:spacing w:val="-34"/>
                <w:highlight w:val="none"/>
              </w:rPr>
              <w:t xml:space="preserve"> </w:t>
            </w:r>
            <w:r>
              <w:rPr>
                <w:color w:val="auto"/>
                <w:spacing w:val="-1"/>
                <w:highlight w:val="none"/>
              </w:rPr>
              <w:t>扫描仪</w:t>
            </w:r>
          </w:p>
        </w:tc>
      </w:tr>
      <w:tr w14:paraId="46454E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tcPr>
          <w:p w14:paraId="49CEBB02">
            <w:pPr>
              <w:pStyle w:val="248"/>
              <w:spacing w:before="64"/>
              <w:ind w:left="118"/>
              <w:rPr>
                <w:color w:val="auto"/>
                <w:highlight w:val="none"/>
              </w:rPr>
            </w:pPr>
            <w:r>
              <w:rPr>
                <w:color w:val="auto"/>
                <w:highlight w:val="none"/>
              </w:rPr>
              <w:t>3</w:t>
            </w:r>
          </w:p>
        </w:tc>
        <w:tc>
          <w:tcPr>
            <w:tcW w:w="1542" w:type="dxa"/>
          </w:tcPr>
          <w:p w14:paraId="2CFA2E65">
            <w:pPr>
              <w:pStyle w:val="248"/>
              <w:spacing w:before="64" w:line="220" w:lineRule="auto"/>
              <w:ind w:left="102"/>
              <w:rPr>
                <w:color w:val="auto"/>
                <w:highlight w:val="none"/>
              </w:rPr>
            </w:pPr>
            <w:r>
              <w:rPr>
                <w:color w:val="auto"/>
                <w:spacing w:val="-1"/>
                <w:highlight w:val="none"/>
              </w:rPr>
              <w:t>A020202</w:t>
            </w:r>
            <w:r>
              <w:rPr>
                <w:color w:val="auto"/>
                <w:spacing w:val="-33"/>
                <w:highlight w:val="none"/>
              </w:rPr>
              <w:t xml:space="preserve"> </w:t>
            </w:r>
            <w:r>
              <w:rPr>
                <w:color w:val="auto"/>
                <w:spacing w:val="-1"/>
                <w:highlight w:val="none"/>
              </w:rPr>
              <w:t>投影仪</w:t>
            </w:r>
          </w:p>
        </w:tc>
        <w:tc>
          <w:tcPr>
            <w:tcW w:w="2672" w:type="dxa"/>
          </w:tcPr>
          <w:p w14:paraId="25599659">
            <w:pPr>
              <w:rPr>
                <w:rFonts w:ascii="Arial"/>
                <w:color w:val="auto"/>
                <w:highlight w:val="none"/>
              </w:rPr>
            </w:pPr>
          </w:p>
        </w:tc>
        <w:tc>
          <w:tcPr>
            <w:tcW w:w="2248" w:type="dxa"/>
          </w:tcPr>
          <w:p w14:paraId="375D6368">
            <w:pPr>
              <w:rPr>
                <w:rFonts w:ascii="Arial"/>
                <w:color w:val="auto"/>
                <w:highlight w:val="none"/>
              </w:rPr>
            </w:pPr>
          </w:p>
        </w:tc>
        <w:tc>
          <w:tcPr>
            <w:tcW w:w="3543" w:type="dxa"/>
          </w:tcPr>
          <w:p w14:paraId="30D68B2F">
            <w:pPr>
              <w:pStyle w:val="248"/>
              <w:spacing w:before="64" w:line="219" w:lineRule="auto"/>
              <w:ind w:left="109"/>
              <w:rPr>
                <w:color w:val="auto"/>
                <w:highlight w:val="none"/>
              </w:rPr>
            </w:pPr>
            <w:r>
              <w:rPr>
                <w:color w:val="auto"/>
                <w:spacing w:val="-1"/>
                <w:highlight w:val="none"/>
              </w:rPr>
              <w:t>HJ2516</w:t>
            </w:r>
            <w:r>
              <w:rPr>
                <w:color w:val="auto"/>
                <w:spacing w:val="-34"/>
                <w:highlight w:val="none"/>
              </w:rPr>
              <w:t xml:space="preserve"> </w:t>
            </w:r>
            <w:r>
              <w:rPr>
                <w:color w:val="auto"/>
                <w:spacing w:val="-1"/>
                <w:highlight w:val="none"/>
              </w:rPr>
              <w:t>投影仪</w:t>
            </w:r>
          </w:p>
        </w:tc>
      </w:tr>
      <w:tr w14:paraId="3F5593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583" w:type="dxa"/>
          </w:tcPr>
          <w:p w14:paraId="1C27F7B7">
            <w:pPr>
              <w:pStyle w:val="248"/>
              <w:spacing w:before="64" w:line="242" w:lineRule="auto"/>
              <w:ind w:left="114"/>
              <w:rPr>
                <w:color w:val="auto"/>
                <w:highlight w:val="none"/>
              </w:rPr>
            </w:pPr>
            <w:r>
              <w:rPr>
                <w:color w:val="auto"/>
                <w:highlight w:val="none"/>
              </w:rPr>
              <w:t>4</w:t>
            </w:r>
          </w:p>
        </w:tc>
        <w:tc>
          <w:tcPr>
            <w:tcW w:w="1542" w:type="dxa"/>
          </w:tcPr>
          <w:p w14:paraId="31FB3B19">
            <w:pPr>
              <w:pStyle w:val="248"/>
              <w:spacing w:before="64" w:line="219" w:lineRule="auto"/>
              <w:ind w:left="102"/>
              <w:rPr>
                <w:color w:val="auto"/>
                <w:highlight w:val="none"/>
              </w:rPr>
            </w:pPr>
            <w:r>
              <w:rPr>
                <w:color w:val="auto"/>
                <w:spacing w:val="-1"/>
                <w:highlight w:val="none"/>
              </w:rPr>
              <w:t>A020201</w:t>
            </w:r>
            <w:r>
              <w:rPr>
                <w:color w:val="auto"/>
                <w:spacing w:val="-32"/>
                <w:highlight w:val="none"/>
              </w:rPr>
              <w:t xml:space="preserve"> </w:t>
            </w:r>
            <w:r>
              <w:rPr>
                <w:color w:val="auto"/>
                <w:spacing w:val="-1"/>
                <w:highlight w:val="none"/>
              </w:rPr>
              <w:t>复印机</w:t>
            </w:r>
          </w:p>
        </w:tc>
        <w:tc>
          <w:tcPr>
            <w:tcW w:w="2672" w:type="dxa"/>
          </w:tcPr>
          <w:p w14:paraId="42510D46">
            <w:pPr>
              <w:rPr>
                <w:rFonts w:ascii="Arial"/>
                <w:color w:val="auto"/>
                <w:highlight w:val="none"/>
              </w:rPr>
            </w:pPr>
          </w:p>
        </w:tc>
        <w:tc>
          <w:tcPr>
            <w:tcW w:w="2248" w:type="dxa"/>
          </w:tcPr>
          <w:p w14:paraId="52A95461">
            <w:pPr>
              <w:rPr>
                <w:rFonts w:ascii="Arial"/>
                <w:color w:val="auto"/>
                <w:highlight w:val="none"/>
              </w:rPr>
            </w:pPr>
          </w:p>
        </w:tc>
        <w:tc>
          <w:tcPr>
            <w:tcW w:w="3543" w:type="dxa"/>
          </w:tcPr>
          <w:p w14:paraId="38F09CA9">
            <w:pPr>
              <w:pStyle w:val="248"/>
              <w:spacing w:before="64" w:line="219" w:lineRule="auto"/>
              <w:ind w:left="109"/>
              <w:rPr>
                <w:color w:val="auto"/>
                <w:highlight w:val="none"/>
                <w:lang w:eastAsia="zh-CN"/>
              </w:rPr>
            </w:pPr>
            <w:r>
              <w:rPr>
                <w:color w:val="auto"/>
                <w:highlight w:val="none"/>
                <w:lang w:eastAsia="zh-CN"/>
              </w:rPr>
              <w:t>HJ424 数字式复印（包括多功能）设备</w:t>
            </w:r>
          </w:p>
        </w:tc>
      </w:tr>
      <w:tr w14:paraId="7F265D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83" w:type="dxa"/>
          </w:tcPr>
          <w:p w14:paraId="10503AFF">
            <w:pPr>
              <w:pStyle w:val="248"/>
              <w:spacing w:before="65"/>
              <w:ind w:left="118"/>
              <w:rPr>
                <w:color w:val="auto"/>
                <w:highlight w:val="none"/>
              </w:rPr>
            </w:pPr>
            <w:r>
              <w:rPr>
                <w:color w:val="auto"/>
                <w:highlight w:val="none"/>
              </w:rPr>
              <w:t>5</w:t>
            </w:r>
          </w:p>
        </w:tc>
        <w:tc>
          <w:tcPr>
            <w:tcW w:w="1542" w:type="dxa"/>
          </w:tcPr>
          <w:p w14:paraId="65911466">
            <w:pPr>
              <w:pStyle w:val="248"/>
              <w:spacing w:before="64" w:line="284" w:lineRule="auto"/>
              <w:ind w:left="110" w:right="108" w:hanging="8"/>
              <w:rPr>
                <w:color w:val="auto"/>
                <w:highlight w:val="none"/>
              </w:rPr>
            </w:pPr>
            <w:r>
              <w:rPr>
                <w:color w:val="auto"/>
                <w:spacing w:val="2"/>
                <w:highlight w:val="none"/>
              </w:rPr>
              <w:t>A020204</w:t>
            </w:r>
            <w:r>
              <w:rPr>
                <w:color w:val="auto"/>
                <w:spacing w:val="44"/>
                <w:highlight w:val="none"/>
              </w:rPr>
              <w:t xml:space="preserve"> </w:t>
            </w:r>
            <w:r>
              <w:rPr>
                <w:color w:val="auto"/>
                <w:spacing w:val="2"/>
                <w:highlight w:val="none"/>
              </w:rPr>
              <w:t>多功能</w:t>
            </w:r>
            <w:r>
              <w:rPr>
                <w:color w:val="auto"/>
                <w:highlight w:val="none"/>
              </w:rPr>
              <w:t xml:space="preserve"> </w:t>
            </w:r>
            <w:r>
              <w:rPr>
                <w:color w:val="auto"/>
                <w:spacing w:val="-4"/>
                <w:highlight w:val="none"/>
              </w:rPr>
              <w:t>一体机</w:t>
            </w:r>
          </w:p>
        </w:tc>
        <w:tc>
          <w:tcPr>
            <w:tcW w:w="2672" w:type="dxa"/>
          </w:tcPr>
          <w:p w14:paraId="187BC5BD">
            <w:pPr>
              <w:rPr>
                <w:rFonts w:ascii="Arial"/>
                <w:color w:val="auto"/>
                <w:highlight w:val="none"/>
              </w:rPr>
            </w:pPr>
          </w:p>
        </w:tc>
        <w:tc>
          <w:tcPr>
            <w:tcW w:w="2248" w:type="dxa"/>
          </w:tcPr>
          <w:p w14:paraId="24C7B361">
            <w:pPr>
              <w:rPr>
                <w:rFonts w:ascii="Arial"/>
                <w:color w:val="auto"/>
                <w:highlight w:val="none"/>
              </w:rPr>
            </w:pPr>
          </w:p>
        </w:tc>
        <w:tc>
          <w:tcPr>
            <w:tcW w:w="3543" w:type="dxa"/>
          </w:tcPr>
          <w:p w14:paraId="3898143D">
            <w:pPr>
              <w:pStyle w:val="248"/>
              <w:spacing w:before="64" w:line="219" w:lineRule="auto"/>
              <w:ind w:left="109"/>
              <w:rPr>
                <w:color w:val="auto"/>
                <w:highlight w:val="none"/>
                <w:lang w:eastAsia="zh-CN"/>
              </w:rPr>
            </w:pPr>
            <w:r>
              <w:rPr>
                <w:color w:val="auto"/>
                <w:highlight w:val="none"/>
                <w:lang w:eastAsia="zh-CN"/>
              </w:rPr>
              <w:t>HJ424 数字式复印（包括多功能）设备</w:t>
            </w:r>
          </w:p>
        </w:tc>
      </w:tr>
      <w:tr w14:paraId="23DAB6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83" w:type="dxa"/>
          </w:tcPr>
          <w:p w14:paraId="1E6374CE">
            <w:pPr>
              <w:pStyle w:val="248"/>
              <w:spacing w:before="65"/>
              <w:ind w:left="116"/>
              <w:rPr>
                <w:color w:val="auto"/>
                <w:highlight w:val="none"/>
              </w:rPr>
            </w:pPr>
            <w:r>
              <w:rPr>
                <w:color w:val="auto"/>
                <w:highlight w:val="none"/>
              </w:rPr>
              <w:t>6</w:t>
            </w:r>
          </w:p>
        </w:tc>
        <w:tc>
          <w:tcPr>
            <w:tcW w:w="1542" w:type="dxa"/>
          </w:tcPr>
          <w:p w14:paraId="0878B136">
            <w:pPr>
              <w:pStyle w:val="248"/>
              <w:spacing w:before="66" w:line="283" w:lineRule="auto"/>
              <w:ind w:left="109" w:right="108" w:hanging="7"/>
              <w:rPr>
                <w:color w:val="auto"/>
                <w:highlight w:val="none"/>
              </w:rPr>
            </w:pPr>
            <w:r>
              <w:rPr>
                <w:color w:val="auto"/>
                <w:spacing w:val="-1"/>
                <w:highlight w:val="none"/>
              </w:rPr>
              <w:t>A020210</w:t>
            </w:r>
            <w:r>
              <w:rPr>
                <w:color w:val="auto"/>
                <w:spacing w:val="32"/>
                <w:highlight w:val="none"/>
              </w:rPr>
              <w:t xml:space="preserve"> </w:t>
            </w:r>
            <w:r>
              <w:rPr>
                <w:color w:val="auto"/>
                <w:spacing w:val="-1"/>
                <w:highlight w:val="none"/>
              </w:rPr>
              <w:t>文</w:t>
            </w:r>
            <w:r>
              <w:rPr>
                <w:color w:val="auto"/>
                <w:spacing w:val="-48"/>
                <w:highlight w:val="none"/>
              </w:rPr>
              <w:t xml:space="preserve"> </w:t>
            </w:r>
            <w:r>
              <w:rPr>
                <w:color w:val="auto"/>
                <w:spacing w:val="-1"/>
                <w:highlight w:val="none"/>
              </w:rPr>
              <w:t>印设</w:t>
            </w:r>
            <w:r>
              <w:rPr>
                <w:color w:val="auto"/>
                <w:highlight w:val="none"/>
              </w:rPr>
              <w:t xml:space="preserve"> 备</w:t>
            </w:r>
          </w:p>
        </w:tc>
        <w:tc>
          <w:tcPr>
            <w:tcW w:w="2672" w:type="dxa"/>
          </w:tcPr>
          <w:p w14:paraId="141F2CFC">
            <w:pPr>
              <w:pStyle w:val="248"/>
              <w:spacing w:before="65" w:line="219" w:lineRule="auto"/>
              <w:ind w:left="103"/>
              <w:rPr>
                <w:color w:val="auto"/>
                <w:highlight w:val="none"/>
              </w:rPr>
            </w:pPr>
            <w:r>
              <w:rPr>
                <w:color w:val="auto"/>
                <w:highlight w:val="none"/>
              </w:rPr>
              <w:t>A02021001 速印机</w:t>
            </w:r>
          </w:p>
        </w:tc>
        <w:tc>
          <w:tcPr>
            <w:tcW w:w="2248" w:type="dxa"/>
          </w:tcPr>
          <w:p w14:paraId="29410EDD">
            <w:pPr>
              <w:rPr>
                <w:rFonts w:ascii="Arial"/>
                <w:color w:val="auto"/>
                <w:highlight w:val="none"/>
              </w:rPr>
            </w:pPr>
          </w:p>
        </w:tc>
        <w:tc>
          <w:tcPr>
            <w:tcW w:w="3543" w:type="dxa"/>
          </w:tcPr>
          <w:p w14:paraId="690DBE5A">
            <w:pPr>
              <w:pStyle w:val="248"/>
              <w:spacing w:before="65" w:line="219" w:lineRule="auto"/>
              <w:ind w:left="109"/>
              <w:rPr>
                <w:color w:val="auto"/>
                <w:highlight w:val="none"/>
                <w:lang w:eastAsia="zh-CN"/>
              </w:rPr>
            </w:pPr>
            <w:r>
              <w:rPr>
                <w:color w:val="auto"/>
                <w:spacing w:val="-1"/>
                <w:highlight w:val="none"/>
                <w:lang w:eastAsia="zh-CN"/>
              </w:rPr>
              <w:t>HJ472 数字式一体化速印机</w:t>
            </w:r>
          </w:p>
        </w:tc>
      </w:tr>
      <w:tr w14:paraId="299969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trPr>
        <w:tc>
          <w:tcPr>
            <w:tcW w:w="583" w:type="dxa"/>
          </w:tcPr>
          <w:p w14:paraId="21773987">
            <w:pPr>
              <w:pStyle w:val="248"/>
              <w:spacing w:before="66"/>
              <w:ind w:left="119"/>
              <w:rPr>
                <w:color w:val="auto"/>
                <w:highlight w:val="none"/>
              </w:rPr>
            </w:pPr>
            <w:r>
              <w:rPr>
                <w:color w:val="auto"/>
                <w:highlight w:val="none"/>
              </w:rPr>
              <w:t>7</w:t>
            </w:r>
          </w:p>
        </w:tc>
        <w:tc>
          <w:tcPr>
            <w:tcW w:w="1542" w:type="dxa"/>
          </w:tcPr>
          <w:p w14:paraId="402E00BC">
            <w:pPr>
              <w:pStyle w:val="248"/>
              <w:spacing w:before="67" w:line="301" w:lineRule="auto"/>
              <w:ind w:left="109" w:right="32" w:hanging="7"/>
              <w:rPr>
                <w:color w:val="auto"/>
                <w:highlight w:val="none"/>
                <w:lang w:eastAsia="zh-CN"/>
              </w:rPr>
            </w:pPr>
            <w:r>
              <w:rPr>
                <w:color w:val="auto"/>
                <w:spacing w:val="3"/>
                <w:highlight w:val="none"/>
                <w:lang w:eastAsia="zh-CN"/>
              </w:rPr>
              <w:t>A020301</w:t>
            </w:r>
            <w:r>
              <w:rPr>
                <w:color w:val="auto"/>
                <w:spacing w:val="34"/>
                <w:highlight w:val="none"/>
                <w:lang w:eastAsia="zh-CN"/>
              </w:rPr>
              <w:t xml:space="preserve"> </w:t>
            </w:r>
            <w:r>
              <w:rPr>
                <w:color w:val="auto"/>
                <w:spacing w:val="3"/>
                <w:highlight w:val="none"/>
                <w:lang w:eastAsia="zh-CN"/>
              </w:rPr>
              <w:t>载货汽</w:t>
            </w:r>
            <w:r>
              <w:rPr>
                <w:color w:val="auto"/>
                <w:highlight w:val="none"/>
                <w:lang w:eastAsia="zh-CN"/>
              </w:rPr>
              <w:t xml:space="preserve">  </w:t>
            </w:r>
            <w:r>
              <w:rPr>
                <w:color w:val="auto"/>
                <w:spacing w:val="-6"/>
                <w:highlight w:val="none"/>
                <w:lang w:eastAsia="zh-CN"/>
              </w:rPr>
              <w:t>车（含自卸汽车）</w:t>
            </w:r>
          </w:p>
        </w:tc>
        <w:tc>
          <w:tcPr>
            <w:tcW w:w="2672" w:type="dxa"/>
          </w:tcPr>
          <w:p w14:paraId="19BCD099">
            <w:pPr>
              <w:rPr>
                <w:rFonts w:ascii="Arial"/>
                <w:color w:val="auto"/>
                <w:highlight w:val="none"/>
              </w:rPr>
            </w:pPr>
          </w:p>
        </w:tc>
        <w:tc>
          <w:tcPr>
            <w:tcW w:w="2248" w:type="dxa"/>
          </w:tcPr>
          <w:p w14:paraId="5564B29A">
            <w:pPr>
              <w:rPr>
                <w:rFonts w:ascii="Arial"/>
                <w:color w:val="auto"/>
                <w:highlight w:val="none"/>
              </w:rPr>
            </w:pPr>
          </w:p>
        </w:tc>
        <w:tc>
          <w:tcPr>
            <w:tcW w:w="3543" w:type="dxa"/>
          </w:tcPr>
          <w:p w14:paraId="527E0A55">
            <w:pPr>
              <w:pStyle w:val="248"/>
              <w:spacing w:before="65" w:line="219" w:lineRule="auto"/>
              <w:ind w:left="109"/>
              <w:rPr>
                <w:color w:val="auto"/>
                <w:highlight w:val="none"/>
              </w:rPr>
            </w:pPr>
            <w:r>
              <w:rPr>
                <w:color w:val="auto"/>
                <w:spacing w:val="-1"/>
                <w:highlight w:val="none"/>
              </w:rPr>
              <w:t>HJ2532</w:t>
            </w:r>
            <w:r>
              <w:rPr>
                <w:color w:val="auto"/>
                <w:spacing w:val="-35"/>
                <w:highlight w:val="none"/>
              </w:rPr>
              <w:t xml:space="preserve"> </w:t>
            </w:r>
            <w:r>
              <w:rPr>
                <w:color w:val="auto"/>
                <w:spacing w:val="-1"/>
                <w:highlight w:val="none"/>
              </w:rPr>
              <w:t>轻型汽车</w:t>
            </w:r>
          </w:p>
        </w:tc>
      </w:tr>
      <w:tr w14:paraId="3B2E9D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trPr>
        <w:tc>
          <w:tcPr>
            <w:tcW w:w="583" w:type="dxa"/>
            <w:vMerge w:val="restart"/>
            <w:tcBorders>
              <w:bottom w:val="nil"/>
            </w:tcBorders>
          </w:tcPr>
          <w:p w14:paraId="07B35BE5">
            <w:pPr>
              <w:pStyle w:val="248"/>
              <w:spacing w:before="67"/>
              <w:ind w:left="115"/>
              <w:rPr>
                <w:color w:val="auto"/>
                <w:highlight w:val="none"/>
              </w:rPr>
            </w:pPr>
            <w:r>
              <w:rPr>
                <w:color w:val="auto"/>
                <w:highlight w:val="none"/>
              </w:rPr>
              <w:t>8</w:t>
            </w:r>
          </w:p>
        </w:tc>
        <w:tc>
          <w:tcPr>
            <w:tcW w:w="1542" w:type="dxa"/>
            <w:vMerge w:val="restart"/>
            <w:tcBorders>
              <w:bottom w:val="nil"/>
            </w:tcBorders>
          </w:tcPr>
          <w:p w14:paraId="3BC627A6">
            <w:pPr>
              <w:pStyle w:val="248"/>
              <w:spacing w:before="66" w:line="322" w:lineRule="auto"/>
              <w:ind w:left="112" w:right="108" w:hanging="10"/>
              <w:rPr>
                <w:color w:val="auto"/>
                <w:highlight w:val="none"/>
              </w:rPr>
            </w:pPr>
            <w:r>
              <w:rPr>
                <w:color w:val="auto"/>
                <w:spacing w:val="3"/>
                <w:highlight w:val="none"/>
              </w:rPr>
              <w:t>A020305</w:t>
            </w:r>
            <w:r>
              <w:rPr>
                <w:color w:val="auto"/>
                <w:spacing w:val="34"/>
                <w:highlight w:val="none"/>
              </w:rPr>
              <w:t xml:space="preserve"> </w:t>
            </w:r>
            <w:r>
              <w:rPr>
                <w:color w:val="auto"/>
                <w:spacing w:val="3"/>
                <w:highlight w:val="none"/>
              </w:rPr>
              <w:t>乘用车</w:t>
            </w:r>
            <w:r>
              <w:rPr>
                <w:color w:val="auto"/>
                <w:highlight w:val="none"/>
              </w:rPr>
              <w:t xml:space="preserve"> </w:t>
            </w:r>
            <w:r>
              <w:rPr>
                <w:color w:val="auto"/>
                <w:spacing w:val="-3"/>
                <w:highlight w:val="none"/>
              </w:rPr>
              <w:t>（轿车）</w:t>
            </w:r>
          </w:p>
        </w:tc>
        <w:tc>
          <w:tcPr>
            <w:tcW w:w="2672" w:type="dxa"/>
          </w:tcPr>
          <w:p w14:paraId="7367F932">
            <w:pPr>
              <w:pStyle w:val="248"/>
              <w:spacing w:before="66" w:line="220" w:lineRule="auto"/>
              <w:ind w:left="103"/>
              <w:rPr>
                <w:color w:val="auto"/>
                <w:highlight w:val="none"/>
              </w:rPr>
            </w:pPr>
            <w:r>
              <w:rPr>
                <w:color w:val="auto"/>
                <w:highlight w:val="none"/>
              </w:rPr>
              <w:t>A02030501 轿车</w:t>
            </w:r>
          </w:p>
        </w:tc>
        <w:tc>
          <w:tcPr>
            <w:tcW w:w="2248" w:type="dxa"/>
          </w:tcPr>
          <w:p w14:paraId="2592C295">
            <w:pPr>
              <w:rPr>
                <w:rFonts w:ascii="Arial"/>
                <w:color w:val="auto"/>
                <w:highlight w:val="none"/>
              </w:rPr>
            </w:pPr>
          </w:p>
        </w:tc>
        <w:tc>
          <w:tcPr>
            <w:tcW w:w="3543" w:type="dxa"/>
          </w:tcPr>
          <w:p w14:paraId="7E3683F4">
            <w:pPr>
              <w:pStyle w:val="248"/>
              <w:spacing w:before="66" w:line="219" w:lineRule="auto"/>
              <w:ind w:left="109"/>
              <w:rPr>
                <w:color w:val="auto"/>
                <w:highlight w:val="none"/>
              </w:rPr>
            </w:pPr>
            <w:r>
              <w:rPr>
                <w:color w:val="auto"/>
                <w:spacing w:val="-1"/>
                <w:highlight w:val="none"/>
              </w:rPr>
              <w:t>HJ2532</w:t>
            </w:r>
            <w:r>
              <w:rPr>
                <w:color w:val="auto"/>
                <w:spacing w:val="-35"/>
                <w:highlight w:val="none"/>
              </w:rPr>
              <w:t xml:space="preserve"> </w:t>
            </w:r>
            <w:r>
              <w:rPr>
                <w:color w:val="auto"/>
                <w:spacing w:val="-1"/>
                <w:highlight w:val="none"/>
              </w:rPr>
              <w:t>轻型汽车</w:t>
            </w:r>
          </w:p>
        </w:tc>
      </w:tr>
      <w:tr w14:paraId="698849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continue"/>
            <w:tcBorders>
              <w:top w:val="nil"/>
            </w:tcBorders>
          </w:tcPr>
          <w:p w14:paraId="12D2D864">
            <w:pPr>
              <w:rPr>
                <w:rFonts w:ascii="Arial"/>
                <w:color w:val="auto"/>
                <w:highlight w:val="none"/>
              </w:rPr>
            </w:pPr>
          </w:p>
        </w:tc>
        <w:tc>
          <w:tcPr>
            <w:tcW w:w="1542" w:type="dxa"/>
            <w:vMerge w:val="continue"/>
            <w:tcBorders>
              <w:top w:val="nil"/>
            </w:tcBorders>
          </w:tcPr>
          <w:p w14:paraId="2DE50AF5">
            <w:pPr>
              <w:rPr>
                <w:rFonts w:ascii="Arial"/>
                <w:color w:val="auto"/>
                <w:highlight w:val="none"/>
              </w:rPr>
            </w:pPr>
          </w:p>
        </w:tc>
        <w:tc>
          <w:tcPr>
            <w:tcW w:w="2672" w:type="dxa"/>
          </w:tcPr>
          <w:p w14:paraId="658D3455">
            <w:pPr>
              <w:pStyle w:val="248"/>
              <w:spacing w:before="66" w:line="220" w:lineRule="auto"/>
              <w:ind w:left="103"/>
              <w:rPr>
                <w:color w:val="auto"/>
                <w:highlight w:val="none"/>
              </w:rPr>
            </w:pPr>
            <w:r>
              <w:rPr>
                <w:color w:val="auto"/>
                <w:spacing w:val="-1"/>
                <w:highlight w:val="none"/>
              </w:rPr>
              <w:t>A02030599</w:t>
            </w:r>
            <w:r>
              <w:rPr>
                <w:color w:val="auto"/>
                <w:spacing w:val="-28"/>
                <w:highlight w:val="none"/>
              </w:rPr>
              <w:t xml:space="preserve"> </w:t>
            </w:r>
            <w:r>
              <w:rPr>
                <w:color w:val="auto"/>
                <w:spacing w:val="-1"/>
                <w:highlight w:val="none"/>
              </w:rPr>
              <w:t>其他乘用车（轿车）</w:t>
            </w:r>
          </w:p>
        </w:tc>
        <w:tc>
          <w:tcPr>
            <w:tcW w:w="2248" w:type="dxa"/>
          </w:tcPr>
          <w:p w14:paraId="099CB052">
            <w:pPr>
              <w:rPr>
                <w:rFonts w:ascii="Arial"/>
                <w:color w:val="auto"/>
                <w:highlight w:val="none"/>
              </w:rPr>
            </w:pPr>
          </w:p>
        </w:tc>
        <w:tc>
          <w:tcPr>
            <w:tcW w:w="3543" w:type="dxa"/>
          </w:tcPr>
          <w:p w14:paraId="78A8FA2D">
            <w:pPr>
              <w:pStyle w:val="248"/>
              <w:spacing w:before="66" w:line="219" w:lineRule="auto"/>
              <w:ind w:left="109"/>
              <w:rPr>
                <w:color w:val="auto"/>
                <w:highlight w:val="none"/>
              </w:rPr>
            </w:pPr>
            <w:r>
              <w:rPr>
                <w:color w:val="auto"/>
                <w:spacing w:val="-1"/>
                <w:highlight w:val="none"/>
              </w:rPr>
              <w:t>HJ2532</w:t>
            </w:r>
            <w:r>
              <w:rPr>
                <w:color w:val="auto"/>
                <w:spacing w:val="-35"/>
                <w:highlight w:val="none"/>
              </w:rPr>
              <w:t xml:space="preserve"> </w:t>
            </w:r>
            <w:r>
              <w:rPr>
                <w:color w:val="auto"/>
                <w:spacing w:val="-1"/>
                <w:highlight w:val="none"/>
              </w:rPr>
              <w:t>轻型汽车</w:t>
            </w:r>
          </w:p>
        </w:tc>
      </w:tr>
      <w:tr w14:paraId="1C7920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583" w:type="dxa"/>
          </w:tcPr>
          <w:p w14:paraId="147E1B6B">
            <w:pPr>
              <w:pStyle w:val="248"/>
              <w:spacing w:before="66"/>
              <w:ind w:left="115"/>
              <w:rPr>
                <w:color w:val="auto"/>
                <w:highlight w:val="none"/>
              </w:rPr>
            </w:pPr>
            <w:r>
              <w:rPr>
                <w:color w:val="auto"/>
                <w:highlight w:val="none"/>
              </w:rPr>
              <w:t>9</w:t>
            </w:r>
          </w:p>
        </w:tc>
        <w:tc>
          <w:tcPr>
            <w:tcW w:w="1542" w:type="dxa"/>
          </w:tcPr>
          <w:p w14:paraId="1F434ED5">
            <w:pPr>
              <w:pStyle w:val="248"/>
              <w:spacing w:before="66" w:line="220" w:lineRule="auto"/>
              <w:ind w:left="102"/>
              <w:rPr>
                <w:color w:val="auto"/>
                <w:highlight w:val="none"/>
              </w:rPr>
            </w:pPr>
            <w:r>
              <w:rPr>
                <w:color w:val="auto"/>
                <w:spacing w:val="-1"/>
                <w:highlight w:val="none"/>
              </w:rPr>
              <w:t>A020306</w:t>
            </w:r>
            <w:r>
              <w:rPr>
                <w:color w:val="auto"/>
                <w:spacing w:val="-33"/>
                <w:highlight w:val="none"/>
              </w:rPr>
              <w:t xml:space="preserve"> </w:t>
            </w:r>
            <w:r>
              <w:rPr>
                <w:color w:val="auto"/>
                <w:spacing w:val="-1"/>
                <w:highlight w:val="none"/>
              </w:rPr>
              <w:t>客车</w:t>
            </w:r>
          </w:p>
        </w:tc>
        <w:tc>
          <w:tcPr>
            <w:tcW w:w="2672" w:type="dxa"/>
          </w:tcPr>
          <w:p w14:paraId="268B6B12">
            <w:pPr>
              <w:pStyle w:val="248"/>
              <w:spacing w:before="66" w:line="220" w:lineRule="auto"/>
              <w:ind w:left="103"/>
              <w:rPr>
                <w:color w:val="auto"/>
                <w:highlight w:val="none"/>
              </w:rPr>
            </w:pPr>
            <w:r>
              <w:rPr>
                <w:color w:val="auto"/>
                <w:spacing w:val="-1"/>
                <w:highlight w:val="none"/>
              </w:rPr>
              <w:t>A02030601</w:t>
            </w:r>
            <w:r>
              <w:rPr>
                <w:color w:val="auto"/>
                <w:spacing w:val="-30"/>
                <w:highlight w:val="none"/>
              </w:rPr>
              <w:t xml:space="preserve"> </w:t>
            </w:r>
            <w:r>
              <w:rPr>
                <w:color w:val="auto"/>
                <w:spacing w:val="-1"/>
                <w:highlight w:val="none"/>
              </w:rPr>
              <w:t>小型客车</w:t>
            </w:r>
          </w:p>
        </w:tc>
        <w:tc>
          <w:tcPr>
            <w:tcW w:w="2248" w:type="dxa"/>
          </w:tcPr>
          <w:p w14:paraId="31CC40B3">
            <w:pPr>
              <w:rPr>
                <w:rFonts w:ascii="Arial"/>
                <w:color w:val="auto"/>
                <w:highlight w:val="none"/>
              </w:rPr>
            </w:pPr>
          </w:p>
        </w:tc>
        <w:tc>
          <w:tcPr>
            <w:tcW w:w="3543" w:type="dxa"/>
          </w:tcPr>
          <w:p w14:paraId="7EFF3794">
            <w:pPr>
              <w:pStyle w:val="248"/>
              <w:spacing w:before="66" w:line="219" w:lineRule="auto"/>
              <w:ind w:left="109"/>
              <w:rPr>
                <w:color w:val="auto"/>
                <w:highlight w:val="none"/>
              </w:rPr>
            </w:pPr>
            <w:r>
              <w:rPr>
                <w:color w:val="auto"/>
                <w:spacing w:val="-1"/>
                <w:highlight w:val="none"/>
              </w:rPr>
              <w:t>HJ2532</w:t>
            </w:r>
            <w:r>
              <w:rPr>
                <w:color w:val="auto"/>
                <w:spacing w:val="-35"/>
                <w:highlight w:val="none"/>
              </w:rPr>
              <w:t xml:space="preserve"> </w:t>
            </w:r>
            <w:r>
              <w:rPr>
                <w:color w:val="auto"/>
                <w:spacing w:val="-1"/>
                <w:highlight w:val="none"/>
              </w:rPr>
              <w:t>轻型汽车</w:t>
            </w:r>
          </w:p>
        </w:tc>
      </w:tr>
      <w:tr w14:paraId="41DD52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83" w:type="dxa"/>
          </w:tcPr>
          <w:p w14:paraId="26A6896A">
            <w:pPr>
              <w:pStyle w:val="248"/>
              <w:spacing w:before="67"/>
              <w:ind w:left="128"/>
              <w:rPr>
                <w:color w:val="auto"/>
                <w:highlight w:val="none"/>
              </w:rPr>
            </w:pPr>
            <w:r>
              <w:rPr>
                <w:color w:val="auto"/>
                <w:spacing w:val="-10"/>
                <w:highlight w:val="none"/>
              </w:rPr>
              <w:t>10</w:t>
            </w:r>
          </w:p>
        </w:tc>
        <w:tc>
          <w:tcPr>
            <w:tcW w:w="1542" w:type="dxa"/>
          </w:tcPr>
          <w:p w14:paraId="7B3B8D02">
            <w:pPr>
              <w:pStyle w:val="248"/>
              <w:spacing w:before="66" w:line="283" w:lineRule="auto"/>
              <w:ind w:left="106" w:right="108" w:hanging="4"/>
              <w:rPr>
                <w:color w:val="auto"/>
                <w:highlight w:val="none"/>
              </w:rPr>
            </w:pPr>
            <w:r>
              <w:rPr>
                <w:color w:val="auto"/>
                <w:spacing w:val="3"/>
                <w:highlight w:val="none"/>
              </w:rPr>
              <w:t>A020307</w:t>
            </w:r>
            <w:r>
              <w:rPr>
                <w:color w:val="auto"/>
                <w:spacing w:val="34"/>
                <w:highlight w:val="none"/>
              </w:rPr>
              <w:t xml:space="preserve"> </w:t>
            </w:r>
            <w:r>
              <w:rPr>
                <w:color w:val="auto"/>
                <w:spacing w:val="3"/>
                <w:highlight w:val="none"/>
              </w:rPr>
              <w:t>专用车</w:t>
            </w:r>
            <w:r>
              <w:rPr>
                <w:color w:val="auto"/>
                <w:highlight w:val="none"/>
              </w:rPr>
              <w:t xml:space="preserve"> 辆</w:t>
            </w:r>
          </w:p>
        </w:tc>
        <w:tc>
          <w:tcPr>
            <w:tcW w:w="2672" w:type="dxa"/>
          </w:tcPr>
          <w:p w14:paraId="355DE70F">
            <w:pPr>
              <w:pStyle w:val="248"/>
              <w:spacing w:before="66" w:line="220" w:lineRule="auto"/>
              <w:ind w:left="103"/>
              <w:rPr>
                <w:color w:val="auto"/>
                <w:highlight w:val="none"/>
              </w:rPr>
            </w:pPr>
            <w:r>
              <w:rPr>
                <w:color w:val="auto"/>
                <w:spacing w:val="-1"/>
                <w:highlight w:val="none"/>
              </w:rPr>
              <w:t>A02030799</w:t>
            </w:r>
            <w:r>
              <w:rPr>
                <w:color w:val="auto"/>
                <w:spacing w:val="-30"/>
                <w:highlight w:val="none"/>
              </w:rPr>
              <w:t xml:space="preserve"> </w:t>
            </w:r>
            <w:r>
              <w:rPr>
                <w:color w:val="auto"/>
                <w:spacing w:val="-1"/>
                <w:highlight w:val="none"/>
              </w:rPr>
              <w:t>其他专用汽车</w:t>
            </w:r>
          </w:p>
        </w:tc>
        <w:tc>
          <w:tcPr>
            <w:tcW w:w="2248" w:type="dxa"/>
          </w:tcPr>
          <w:p w14:paraId="04493761">
            <w:pPr>
              <w:rPr>
                <w:rFonts w:ascii="Arial"/>
                <w:color w:val="auto"/>
                <w:highlight w:val="none"/>
              </w:rPr>
            </w:pPr>
          </w:p>
        </w:tc>
        <w:tc>
          <w:tcPr>
            <w:tcW w:w="3543" w:type="dxa"/>
          </w:tcPr>
          <w:p w14:paraId="3D79D4BA">
            <w:pPr>
              <w:pStyle w:val="248"/>
              <w:spacing w:before="66" w:line="219" w:lineRule="auto"/>
              <w:ind w:left="109"/>
              <w:rPr>
                <w:color w:val="auto"/>
                <w:highlight w:val="none"/>
              </w:rPr>
            </w:pPr>
            <w:r>
              <w:rPr>
                <w:color w:val="auto"/>
                <w:spacing w:val="-1"/>
                <w:highlight w:val="none"/>
              </w:rPr>
              <w:t>HJ2532</w:t>
            </w:r>
            <w:r>
              <w:rPr>
                <w:color w:val="auto"/>
                <w:spacing w:val="-35"/>
                <w:highlight w:val="none"/>
              </w:rPr>
              <w:t xml:space="preserve"> </w:t>
            </w:r>
            <w:r>
              <w:rPr>
                <w:color w:val="auto"/>
                <w:spacing w:val="-1"/>
                <w:highlight w:val="none"/>
              </w:rPr>
              <w:t>轻型汽车</w:t>
            </w:r>
          </w:p>
        </w:tc>
      </w:tr>
      <w:tr w14:paraId="766A39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583" w:type="dxa"/>
            <w:vMerge w:val="restart"/>
            <w:tcBorders>
              <w:bottom w:val="nil"/>
            </w:tcBorders>
          </w:tcPr>
          <w:p w14:paraId="526B03F0">
            <w:pPr>
              <w:pStyle w:val="248"/>
              <w:spacing w:before="69" w:line="242" w:lineRule="auto"/>
              <w:ind w:left="128"/>
              <w:rPr>
                <w:color w:val="auto"/>
                <w:highlight w:val="none"/>
              </w:rPr>
            </w:pPr>
            <w:r>
              <w:rPr>
                <w:color w:val="auto"/>
                <w:spacing w:val="-10"/>
                <w:highlight w:val="none"/>
              </w:rPr>
              <w:t>11</w:t>
            </w:r>
          </w:p>
        </w:tc>
        <w:tc>
          <w:tcPr>
            <w:tcW w:w="1542" w:type="dxa"/>
            <w:vMerge w:val="restart"/>
            <w:tcBorders>
              <w:bottom w:val="nil"/>
            </w:tcBorders>
          </w:tcPr>
          <w:p w14:paraId="6A613B56">
            <w:pPr>
              <w:pStyle w:val="248"/>
              <w:spacing w:before="69" w:line="323" w:lineRule="auto"/>
              <w:ind w:left="109" w:right="108" w:hanging="7"/>
              <w:rPr>
                <w:color w:val="auto"/>
                <w:highlight w:val="none"/>
              </w:rPr>
            </w:pPr>
            <w:r>
              <w:rPr>
                <w:color w:val="auto"/>
                <w:spacing w:val="3"/>
                <w:highlight w:val="none"/>
              </w:rPr>
              <w:t>A020523</w:t>
            </w:r>
            <w:r>
              <w:rPr>
                <w:color w:val="auto"/>
                <w:spacing w:val="34"/>
                <w:highlight w:val="none"/>
              </w:rPr>
              <w:t xml:space="preserve"> </w:t>
            </w:r>
            <w:r>
              <w:rPr>
                <w:color w:val="auto"/>
                <w:spacing w:val="3"/>
                <w:highlight w:val="none"/>
              </w:rPr>
              <w:t>制冷空</w:t>
            </w:r>
            <w:r>
              <w:rPr>
                <w:color w:val="auto"/>
                <w:highlight w:val="none"/>
              </w:rPr>
              <w:t xml:space="preserve"> </w:t>
            </w:r>
            <w:r>
              <w:rPr>
                <w:color w:val="auto"/>
                <w:spacing w:val="-2"/>
                <w:highlight w:val="none"/>
              </w:rPr>
              <w:t>调设备</w:t>
            </w:r>
          </w:p>
        </w:tc>
        <w:tc>
          <w:tcPr>
            <w:tcW w:w="2672" w:type="dxa"/>
          </w:tcPr>
          <w:p w14:paraId="0DA32EA0">
            <w:pPr>
              <w:pStyle w:val="248"/>
              <w:spacing w:before="70" w:line="219" w:lineRule="auto"/>
              <w:ind w:left="103"/>
              <w:rPr>
                <w:color w:val="auto"/>
                <w:highlight w:val="none"/>
              </w:rPr>
            </w:pPr>
            <w:r>
              <w:rPr>
                <w:color w:val="auto"/>
                <w:highlight w:val="none"/>
              </w:rPr>
              <w:t>A02052301 制冷压缩机</w:t>
            </w:r>
          </w:p>
        </w:tc>
        <w:tc>
          <w:tcPr>
            <w:tcW w:w="2248" w:type="dxa"/>
          </w:tcPr>
          <w:p w14:paraId="54461E25">
            <w:pPr>
              <w:rPr>
                <w:rFonts w:ascii="Arial"/>
                <w:color w:val="auto"/>
                <w:highlight w:val="none"/>
              </w:rPr>
            </w:pPr>
          </w:p>
        </w:tc>
        <w:tc>
          <w:tcPr>
            <w:tcW w:w="3543" w:type="dxa"/>
          </w:tcPr>
          <w:p w14:paraId="667AE45C">
            <w:pPr>
              <w:pStyle w:val="248"/>
              <w:spacing w:before="69" w:line="219" w:lineRule="auto"/>
              <w:ind w:left="109"/>
              <w:rPr>
                <w:color w:val="auto"/>
                <w:highlight w:val="none"/>
              </w:rPr>
            </w:pPr>
            <w:r>
              <w:rPr>
                <w:color w:val="auto"/>
                <w:spacing w:val="-1"/>
                <w:highlight w:val="none"/>
              </w:rPr>
              <w:t>HJ2531</w:t>
            </w:r>
            <w:r>
              <w:rPr>
                <w:color w:val="auto"/>
                <w:spacing w:val="-32"/>
                <w:highlight w:val="none"/>
              </w:rPr>
              <w:t xml:space="preserve"> </w:t>
            </w:r>
            <w:r>
              <w:rPr>
                <w:color w:val="auto"/>
                <w:spacing w:val="-1"/>
                <w:highlight w:val="none"/>
              </w:rPr>
              <w:t>工商用制冷设备</w:t>
            </w:r>
          </w:p>
        </w:tc>
      </w:tr>
      <w:tr w14:paraId="6359FD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583" w:type="dxa"/>
            <w:vMerge w:val="continue"/>
            <w:tcBorders>
              <w:top w:val="nil"/>
              <w:bottom w:val="nil"/>
            </w:tcBorders>
          </w:tcPr>
          <w:p w14:paraId="06CAF7A8">
            <w:pPr>
              <w:rPr>
                <w:rFonts w:ascii="Arial"/>
                <w:color w:val="auto"/>
                <w:highlight w:val="none"/>
              </w:rPr>
            </w:pPr>
          </w:p>
        </w:tc>
        <w:tc>
          <w:tcPr>
            <w:tcW w:w="1542" w:type="dxa"/>
            <w:vMerge w:val="continue"/>
            <w:tcBorders>
              <w:top w:val="nil"/>
              <w:bottom w:val="nil"/>
            </w:tcBorders>
          </w:tcPr>
          <w:p w14:paraId="180CD4ED">
            <w:pPr>
              <w:rPr>
                <w:rFonts w:ascii="Arial"/>
                <w:color w:val="auto"/>
                <w:highlight w:val="none"/>
              </w:rPr>
            </w:pPr>
          </w:p>
        </w:tc>
        <w:tc>
          <w:tcPr>
            <w:tcW w:w="2672" w:type="dxa"/>
          </w:tcPr>
          <w:p w14:paraId="6AC3AEE4">
            <w:pPr>
              <w:pStyle w:val="248"/>
              <w:spacing w:before="67" w:line="219" w:lineRule="auto"/>
              <w:ind w:left="103"/>
              <w:rPr>
                <w:color w:val="auto"/>
                <w:highlight w:val="none"/>
              </w:rPr>
            </w:pPr>
            <w:r>
              <w:rPr>
                <w:color w:val="auto"/>
                <w:highlight w:val="none"/>
              </w:rPr>
              <w:t>A02052305 空调机组</w:t>
            </w:r>
          </w:p>
        </w:tc>
        <w:tc>
          <w:tcPr>
            <w:tcW w:w="2248" w:type="dxa"/>
          </w:tcPr>
          <w:p w14:paraId="1EFC258A">
            <w:pPr>
              <w:rPr>
                <w:rFonts w:ascii="Arial"/>
                <w:color w:val="auto"/>
                <w:highlight w:val="none"/>
              </w:rPr>
            </w:pPr>
          </w:p>
        </w:tc>
        <w:tc>
          <w:tcPr>
            <w:tcW w:w="3543" w:type="dxa"/>
          </w:tcPr>
          <w:p w14:paraId="73ECD186">
            <w:pPr>
              <w:pStyle w:val="248"/>
              <w:spacing w:before="67" w:line="219" w:lineRule="auto"/>
              <w:ind w:left="109"/>
              <w:rPr>
                <w:color w:val="auto"/>
                <w:highlight w:val="none"/>
              </w:rPr>
            </w:pPr>
            <w:r>
              <w:rPr>
                <w:color w:val="auto"/>
                <w:spacing w:val="-1"/>
                <w:highlight w:val="none"/>
              </w:rPr>
              <w:t>HJ2531</w:t>
            </w:r>
            <w:r>
              <w:rPr>
                <w:color w:val="auto"/>
                <w:spacing w:val="-32"/>
                <w:highlight w:val="none"/>
              </w:rPr>
              <w:t xml:space="preserve"> </w:t>
            </w:r>
            <w:r>
              <w:rPr>
                <w:color w:val="auto"/>
                <w:spacing w:val="-1"/>
                <w:highlight w:val="none"/>
              </w:rPr>
              <w:t>工商用制冷设备</w:t>
            </w:r>
          </w:p>
        </w:tc>
      </w:tr>
      <w:tr w14:paraId="656BF7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583" w:type="dxa"/>
            <w:vMerge w:val="continue"/>
            <w:tcBorders>
              <w:top w:val="nil"/>
            </w:tcBorders>
          </w:tcPr>
          <w:p w14:paraId="7C482837">
            <w:pPr>
              <w:rPr>
                <w:rFonts w:ascii="Arial"/>
                <w:color w:val="auto"/>
                <w:highlight w:val="none"/>
              </w:rPr>
            </w:pPr>
          </w:p>
        </w:tc>
        <w:tc>
          <w:tcPr>
            <w:tcW w:w="1542" w:type="dxa"/>
            <w:vMerge w:val="continue"/>
            <w:tcBorders>
              <w:top w:val="nil"/>
            </w:tcBorders>
          </w:tcPr>
          <w:p w14:paraId="1673252A">
            <w:pPr>
              <w:rPr>
                <w:rFonts w:ascii="Arial"/>
                <w:color w:val="auto"/>
                <w:highlight w:val="none"/>
              </w:rPr>
            </w:pPr>
          </w:p>
        </w:tc>
        <w:tc>
          <w:tcPr>
            <w:tcW w:w="2672" w:type="dxa"/>
          </w:tcPr>
          <w:p w14:paraId="7541E6C8">
            <w:pPr>
              <w:pStyle w:val="248"/>
              <w:spacing w:before="67" w:line="221" w:lineRule="auto"/>
              <w:ind w:left="103"/>
              <w:rPr>
                <w:color w:val="auto"/>
                <w:highlight w:val="none"/>
                <w:lang w:eastAsia="zh-CN"/>
              </w:rPr>
            </w:pPr>
            <w:r>
              <w:rPr>
                <w:color w:val="auto"/>
                <w:spacing w:val="-2"/>
                <w:highlight w:val="none"/>
                <w:lang w:eastAsia="zh-CN"/>
              </w:rPr>
              <w:t>A02052309</w:t>
            </w:r>
            <w:r>
              <w:rPr>
                <w:color w:val="auto"/>
                <w:spacing w:val="-27"/>
                <w:highlight w:val="none"/>
                <w:lang w:eastAsia="zh-CN"/>
              </w:rPr>
              <w:t xml:space="preserve"> </w:t>
            </w:r>
            <w:r>
              <w:rPr>
                <w:color w:val="auto"/>
                <w:spacing w:val="-2"/>
                <w:highlight w:val="none"/>
                <w:lang w:eastAsia="zh-CN"/>
              </w:rPr>
              <w:t>专用制冷、空调设备</w:t>
            </w:r>
          </w:p>
        </w:tc>
        <w:tc>
          <w:tcPr>
            <w:tcW w:w="2248" w:type="dxa"/>
          </w:tcPr>
          <w:p w14:paraId="7B2B0C95">
            <w:pPr>
              <w:rPr>
                <w:rFonts w:ascii="Arial"/>
                <w:color w:val="auto"/>
                <w:highlight w:val="none"/>
              </w:rPr>
            </w:pPr>
          </w:p>
        </w:tc>
        <w:tc>
          <w:tcPr>
            <w:tcW w:w="3543" w:type="dxa"/>
          </w:tcPr>
          <w:p w14:paraId="4BEB4AE4">
            <w:pPr>
              <w:pStyle w:val="248"/>
              <w:spacing w:before="67" w:line="219" w:lineRule="auto"/>
              <w:ind w:left="109"/>
              <w:rPr>
                <w:color w:val="auto"/>
                <w:highlight w:val="none"/>
              </w:rPr>
            </w:pPr>
            <w:r>
              <w:rPr>
                <w:color w:val="auto"/>
                <w:spacing w:val="-1"/>
                <w:highlight w:val="none"/>
              </w:rPr>
              <w:t>HJ2531</w:t>
            </w:r>
            <w:r>
              <w:rPr>
                <w:color w:val="auto"/>
                <w:spacing w:val="-32"/>
                <w:highlight w:val="none"/>
              </w:rPr>
              <w:t xml:space="preserve"> </w:t>
            </w:r>
            <w:r>
              <w:rPr>
                <w:color w:val="auto"/>
                <w:spacing w:val="-1"/>
                <w:highlight w:val="none"/>
              </w:rPr>
              <w:t>工商用制冷设备</w:t>
            </w:r>
          </w:p>
        </w:tc>
      </w:tr>
      <w:tr w14:paraId="78864F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restart"/>
            <w:tcBorders>
              <w:bottom w:val="nil"/>
            </w:tcBorders>
          </w:tcPr>
          <w:p w14:paraId="7BC9F59D">
            <w:pPr>
              <w:pStyle w:val="248"/>
              <w:spacing w:before="68" w:line="242" w:lineRule="auto"/>
              <w:ind w:left="128"/>
              <w:rPr>
                <w:color w:val="auto"/>
                <w:highlight w:val="none"/>
              </w:rPr>
            </w:pPr>
            <w:r>
              <w:rPr>
                <w:color w:val="auto"/>
                <w:spacing w:val="-10"/>
                <w:highlight w:val="none"/>
              </w:rPr>
              <w:t>12</w:t>
            </w:r>
          </w:p>
        </w:tc>
        <w:tc>
          <w:tcPr>
            <w:tcW w:w="1542" w:type="dxa"/>
            <w:vMerge w:val="restart"/>
            <w:tcBorders>
              <w:bottom w:val="nil"/>
            </w:tcBorders>
          </w:tcPr>
          <w:p w14:paraId="404B7DCA">
            <w:pPr>
              <w:pStyle w:val="248"/>
              <w:spacing w:before="69" w:line="324" w:lineRule="auto"/>
              <w:ind w:left="128" w:right="108" w:hanging="26"/>
              <w:rPr>
                <w:color w:val="auto"/>
                <w:highlight w:val="none"/>
              </w:rPr>
            </w:pPr>
            <w:r>
              <w:rPr>
                <w:color w:val="auto"/>
                <w:spacing w:val="3"/>
                <w:highlight w:val="none"/>
              </w:rPr>
              <w:t>A020618</w:t>
            </w:r>
            <w:r>
              <w:rPr>
                <w:color w:val="auto"/>
                <w:spacing w:val="34"/>
                <w:highlight w:val="none"/>
              </w:rPr>
              <w:t xml:space="preserve"> </w:t>
            </w:r>
            <w:r>
              <w:rPr>
                <w:color w:val="auto"/>
                <w:spacing w:val="3"/>
                <w:highlight w:val="none"/>
              </w:rPr>
              <w:t>生活用</w:t>
            </w:r>
            <w:r>
              <w:rPr>
                <w:color w:val="auto"/>
                <w:highlight w:val="none"/>
              </w:rPr>
              <w:t xml:space="preserve"> </w:t>
            </w:r>
            <w:r>
              <w:rPr>
                <w:color w:val="auto"/>
                <w:spacing w:val="-8"/>
                <w:highlight w:val="none"/>
              </w:rPr>
              <w:t>电器</w:t>
            </w:r>
          </w:p>
        </w:tc>
        <w:tc>
          <w:tcPr>
            <w:tcW w:w="2672" w:type="dxa"/>
          </w:tcPr>
          <w:p w14:paraId="3612713A">
            <w:pPr>
              <w:pStyle w:val="248"/>
              <w:spacing w:before="68" w:line="221" w:lineRule="auto"/>
              <w:ind w:left="103"/>
              <w:rPr>
                <w:color w:val="auto"/>
                <w:highlight w:val="none"/>
              </w:rPr>
            </w:pPr>
            <w:r>
              <w:rPr>
                <w:color w:val="auto"/>
                <w:spacing w:val="-1"/>
                <w:highlight w:val="none"/>
              </w:rPr>
              <w:t>A02061802</w:t>
            </w:r>
            <w:r>
              <w:rPr>
                <w:color w:val="auto"/>
                <w:spacing w:val="-29"/>
                <w:highlight w:val="none"/>
              </w:rPr>
              <w:t xml:space="preserve"> </w:t>
            </w:r>
            <w:r>
              <w:rPr>
                <w:color w:val="auto"/>
                <w:spacing w:val="-1"/>
                <w:highlight w:val="none"/>
              </w:rPr>
              <w:t>空气调节电器</w:t>
            </w:r>
          </w:p>
        </w:tc>
        <w:tc>
          <w:tcPr>
            <w:tcW w:w="2248" w:type="dxa"/>
          </w:tcPr>
          <w:p w14:paraId="6D39F9FB">
            <w:pPr>
              <w:pStyle w:val="248"/>
              <w:spacing w:before="68" w:line="219" w:lineRule="auto"/>
              <w:ind w:left="105"/>
              <w:rPr>
                <w:color w:val="auto"/>
                <w:highlight w:val="none"/>
              </w:rPr>
            </w:pPr>
            <w:r>
              <w:rPr>
                <w:color w:val="auto"/>
                <w:spacing w:val="-1"/>
                <w:highlight w:val="none"/>
              </w:rPr>
              <w:t>A0206180203</w:t>
            </w:r>
            <w:r>
              <w:rPr>
                <w:color w:val="auto"/>
                <w:spacing w:val="-28"/>
                <w:highlight w:val="none"/>
              </w:rPr>
              <w:t xml:space="preserve"> </w:t>
            </w:r>
            <w:r>
              <w:rPr>
                <w:color w:val="auto"/>
                <w:spacing w:val="-1"/>
                <w:highlight w:val="none"/>
              </w:rPr>
              <w:t>空调机</w:t>
            </w:r>
          </w:p>
        </w:tc>
        <w:tc>
          <w:tcPr>
            <w:tcW w:w="3543" w:type="dxa"/>
          </w:tcPr>
          <w:p w14:paraId="314CE074">
            <w:pPr>
              <w:pStyle w:val="248"/>
              <w:spacing w:before="68" w:line="219" w:lineRule="auto"/>
              <w:ind w:left="109"/>
              <w:rPr>
                <w:color w:val="auto"/>
                <w:highlight w:val="none"/>
              </w:rPr>
            </w:pPr>
            <w:r>
              <w:rPr>
                <w:color w:val="auto"/>
                <w:spacing w:val="-1"/>
                <w:highlight w:val="none"/>
              </w:rPr>
              <w:t>HJ2535</w:t>
            </w:r>
            <w:r>
              <w:rPr>
                <w:color w:val="auto"/>
                <w:spacing w:val="-32"/>
                <w:highlight w:val="none"/>
              </w:rPr>
              <w:t xml:space="preserve"> </w:t>
            </w:r>
            <w:r>
              <w:rPr>
                <w:color w:val="auto"/>
                <w:spacing w:val="-1"/>
                <w:highlight w:val="none"/>
              </w:rPr>
              <w:t>房间空气调节器</w:t>
            </w:r>
          </w:p>
        </w:tc>
      </w:tr>
      <w:tr w14:paraId="7901C0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0" w:hRule="atLeast"/>
        </w:trPr>
        <w:tc>
          <w:tcPr>
            <w:tcW w:w="583" w:type="dxa"/>
            <w:vMerge w:val="continue"/>
            <w:tcBorders>
              <w:top w:val="nil"/>
            </w:tcBorders>
          </w:tcPr>
          <w:p w14:paraId="6C74C102">
            <w:pPr>
              <w:rPr>
                <w:rFonts w:ascii="Arial"/>
                <w:color w:val="auto"/>
                <w:highlight w:val="none"/>
              </w:rPr>
            </w:pPr>
          </w:p>
        </w:tc>
        <w:tc>
          <w:tcPr>
            <w:tcW w:w="1542" w:type="dxa"/>
            <w:vMerge w:val="continue"/>
            <w:tcBorders>
              <w:top w:val="nil"/>
            </w:tcBorders>
          </w:tcPr>
          <w:p w14:paraId="121C9C64">
            <w:pPr>
              <w:rPr>
                <w:rFonts w:ascii="Arial"/>
                <w:color w:val="auto"/>
                <w:highlight w:val="none"/>
              </w:rPr>
            </w:pPr>
          </w:p>
        </w:tc>
        <w:tc>
          <w:tcPr>
            <w:tcW w:w="2672" w:type="dxa"/>
          </w:tcPr>
          <w:p w14:paraId="4B20BE89">
            <w:pPr>
              <w:pStyle w:val="248"/>
              <w:spacing w:before="68" w:line="220" w:lineRule="auto"/>
              <w:ind w:left="103"/>
              <w:rPr>
                <w:color w:val="auto"/>
                <w:highlight w:val="none"/>
              </w:rPr>
            </w:pPr>
            <w:r>
              <w:rPr>
                <w:color w:val="auto"/>
                <w:spacing w:val="-1"/>
                <w:highlight w:val="none"/>
              </w:rPr>
              <w:t>A02061808</w:t>
            </w:r>
            <w:r>
              <w:rPr>
                <w:color w:val="auto"/>
                <w:spacing w:val="-31"/>
                <w:highlight w:val="none"/>
              </w:rPr>
              <w:t xml:space="preserve"> </w:t>
            </w:r>
            <w:r>
              <w:rPr>
                <w:color w:val="auto"/>
                <w:spacing w:val="-1"/>
                <w:highlight w:val="none"/>
              </w:rPr>
              <w:t>热水器</w:t>
            </w:r>
          </w:p>
        </w:tc>
        <w:tc>
          <w:tcPr>
            <w:tcW w:w="2248" w:type="dxa"/>
          </w:tcPr>
          <w:p w14:paraId="45D621D9">
            <w:pPr>
              <w:rPr>
                <w:rFonts w:ascii="Arial"/>
                <w:color w:val="auto"/>
                <w:highlight w:val="none"/>
              </w:rPr>
            </w:pPr>
          </w:p>
        </w:tc>
        <w:tc>
          <w:tcPr>
            <w:tcW w:w="3543" w:type="dxa"/>
          </w:tcPr>
          <w:p w14:paraId="0A780DDD">
            <w:pPr>
              <w:pStyle w:val="248"/>
              <w:spacing w:before="67" w:line="219" w:lineRule="auto"/>
              <w:ind w:left="109"/>
              <w:rPr>
                <w:color w:val="auto"/>
                <w:highlight w:val="none"/>
              </w:rPr>
            </w:pPr>
            <w:r>
              <w:rPr>
                <w:color w:val="auto"/>
                <w:spacing w:val="-1"/>
                <w:highlight w:val="none"/>
              </w:rPr>
              <w:t>HJ/T362</w:t>
            </w:r>
            <w:r>
              <w:rPr>
                <w:color w:val="auto"/>
                <w:spacing w:val="-33"/>
                <w:highlight w:val="none"/>
              </w:rPr>
              <w:t xml:space="preserve"> </w:t>
            </w:r>
            <w:r>
              <w:rPr>
                <w:color w:val="auto"/>
                <w:spacing w:val="-1"/>
                <w:highlight w:val="none"/>
              </w:rPr>
              <w:t>太阳能集热器</w:t>
            </w:r>
          </w:p>
        </w:tc>
      </w:tr>
    </w:tbl>
    <w:p w14:paraId="0C6C3D60">
      <w:pPr>
        <w:rPr>
          <w:rFonts w:ascii="Arial"/>
          <w:color w:val="auto"/>
          <w:highlight w:val="none"/>
        </w:rPr>
      </w:pPr>
    </w:p>
    <w:p w14:paraId="248B2920">
      <w:pPr>
        <w:rPr>
          <w:rFonts w:ascii="Arial" w:hAnsi="Arial" w:eastAsia="Arial" w:cs="Arial"/>
          <w:color w:val="auto"/>
          <w:szCs w:val="21"/>
          <w:highlight w:val="none"/>
        </w:rPr>
        <w:sectPr>
          <w:pgSz w:w="11906" w:h="16838"/>
          <w:pgMar w:top="1425" w:right="644" w:bottom="0" w:left="667" w:header="0" w:footer="0" w:gutter="0"/>
          <w:cols w:space="720" w:num="1"/>
        </w:sectPr>
      </w:pPr>
    </w:p>
    <w:p w14:paraId="47F21FBE">
      <w:pPr>
        <w:spacing w:line="91" w:lineRule="auto"/>
        <w:rPr>
          <w:rFonts w:ascii="Arial"/>
          <w:color w:val="auto"/>
          <w:sz w:val="2"/>
          <w:highlight w:val="none"/>
        </w:rPr>
      </w:pPr>
    </w:p>
    <w:tbl>
      <w:tblPr>
        <w:tblStyle w:val="249"/>
        <w:tblW w:w="1058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83"/>
        <w:gridCol w:w="1542"/>
        <w:gridCol w:w="2672"/>
        <w:gridCol w:w="2248"/>
        <w:gridCol w:w="3543"/>
      </w:tblGrid>
      <w:tr w14:paraId="39A734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583" w:type="dxa"/>
          </w:tcPr>
          <w:p w14:paraId="66F4AE16">
            <w:pPr>
              <w:pStyle w:val="248"/>
              <w:spacing w:before="68"/>
              <w:ind w:left="128"/>
              <w:rPr>
                <w:color w:val="auto"/>
                <w:highlight w:val="none"/>
              </w:rPr>
            </w:pPr>
            <w:r>
              <w:rPr>
                <w:color w:val="auto"/>
                <w:spacing w:val="-10"/>
                <w:highlight w:val="none"/>
              </w:rPr>
              <w:t>13</w:t>
            </w:r>
          </w:p>
        </w:tc>
        <w:tc>
          <w:tcPr>
            <w:tcW w:w="1542" w:type="dxa"/>
          </w:tcPr>
          <w:p w14:paraId="51E85904">
            <w:pPr>
              <w:pStyle w:val="248"/>
              <w:spacing w:before="69" w:line="284" w:lineRule="auto"/>
              <w:ind w:left="109" w:right="108" w:hanging="7"/>
              <w:rPr>
                <w:color w:val="auto"/>
                <w:highlight w:val="none"/>
              </w:rPr>
            </w:pPr>
            <w:r>
              <w:rPr>
                <w:color w:val="auto"/>
                <w:spacing w:val="-2"/>
                <w:highlight w:val="none"/>
              </w:rPr>
              <w:t>A020619</w:t>
            </w:r>
            <w:r>
              <w:rPr>
                <w:color w:val="auto"/>
                <w:spacing w:val="39"/>
                <w:highlight w:val="none"/>
              </w:rPr>
              <w:t xml:space="preserve"> </w:t>
            </w:r>
            <w:r>
              <w:rPr>
                <w:color w:val="auto"/>
                <w:spacing w:val="-2"/>
                <w:highlight w:val="none"/>
              </w:rPr>
              <w:t>照</w:t>
            </w:r>
            <w:r>
              <w:rPr>
                <w:color w:val="auto"/>
                <w:spacing w:val="-45"/>
                <w:highlight w:val="none"/>
              </w:rPr>
              <w:t xml:space="preserve"> </w:t>
            </w:r>
            <w:r>
              <w:rPr>
                <w:color w:val="auto"/>
                <w:spacing w:val="-2"/>
                <w:highlight w:val="none"/>
              </w:rPr>
              <w:t>明设</w:t>
            </w:r>
            <w:r>
              <w:rPr>
                <w:color w:val="auto"/>
                <w:highlight w:val="none"/>
              </w:rPr>
              <w:t xml:space="preserve"> 备</w:t>
            </w:r>
          </w:p>
        </w:tc>
        <w:tc>
          <w:tcPr>
            <w:tcW w:w="2672" w:type="dxa"/>
          </w:tcPr>
          <w:p w14:paraId="191A0901">
            <w:pPr>
              <w:pStyle w:val="248"/>
              <w:spacing w:before="68" w:line="220" w:lineRule="auto"/>
              <w:ind w:left="103"/>
              <w:rPr>
                <w:color w:val="auto"/>
                <w:highlight w:val="none"/>
              </w:rPr>
            </w:pPr>
            <w:r>
              <w:rPr>
                <w:color w:val="auto"/>
                <w:spacing w:val="-1"/>
                <w:highlight w:val="none"/>
              </w:rPr>
              <w:t>A02061908</w:t>
            </w:r>
            <w:r>
              <w:rPr>
                <w:color w:val="auto"/>
                <w:spacing w:val="-29"/>
                <w:highlight w:val="none"/>
              </w:rPr>
              <w:t xml:space="preserve"> </w:t>
            </w:r>
            <w:r>
              <w:rPr>
                <w:color w:val="auto"/>
                <w:spacing w:val="-1"/>
                <w:highlight w:val="none"/>
              </w:rPr>
              <w:t>室内照明灯具</w:t>
            </w:r>
          </w:p>
        </w:tc>
        <w:tc>
          <w:tcPr>
            <w:tcW w:w="2248" w:type="dxa"/>
          </w:tcPr>
          <w:p w14:paraId="22B419B4">
            <w:pPr>
              <w:rPr>
                <w:rFonts w:ascii="Arial"/>
                <w:color w:val="auto"/>
                <w:highlight w:val="none"/>
              </w:rPr>
            </w:pPr>
          </w:p>
        </w:tc>
        <w:tc>
          <w:tcPr>
            <w:tcW w:w="3543" w:type="dxa"/>
          </w:tcPr>
          <w:p w14:paraId="1A1002C4">
            <w:pPr>
              <w:pStyle w:val="248"/>
              <w:spacing w:before="67" w:line="219" w:lineRule="auto"/>
              <w:ind w:left="109"/>
              <w:rPr>
                <w:color w:val="auto"/>
                <w:highlight w:val="none"/>
              </w:rPr>
            </w:pPr>
            <w:r>
              <w:rPr>
                <w:color w:val="auto"/>
                <w:spacing w:val="-1"/>
                <w:highlight w:val="none"/>
              </w:rPr>
              <w:t>HJ2518</w:t>
            </w:r>
            <w:r>
              <w:rPr>
                <w:color w:val="auto"/>
                <w:spacing w:val="-35"/>
                <w:highlight w:val="none"/>
              </w:rPr>
              <w:t xml:space="preserve"> </w:t>
            </w:r>
            <w:r>
              <w:rPr>
                <w:color w:val="auto"/>
                <w:spacing w:val="-1"/>
                <w:highlight w:val="none"/>
              </w:rPr>
              <w:t>照明光源</w:t>
            </w:r>
          </w:p>
        </w:tc>
      </w:tr>
      <w:tr w14:paraId="5A0BB6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583" w:type="dxa"/>
          </w:tcPr>
          <w:p w14:paraId="2E099541">
            <w:pPr>
              <w:pStyle w:val="248"/>
              <w:spacing w:before="63" w:line="242" w:lineRule="auto"/>
              <w:ind w:left="128"/>
              <w:rPr>
                <w:color w:val="auto"/>
                <w:highlight w:val="none"/>
              </w:rPr>
            </w:pPr>
            <w:r>
              <w:rPr>
                <w:color w:val="auto"/>
                <w:spacing w:val="-10"/>
                <w:highlight w:val="none"/>
              </w:rPr>
              <w:t>14</w:t>
            </w:r>
          </w:p>
        </w:tc>
        <w:tc>
          <w:tcPr>
            <w:tcW w:w="1542" w:type="dxa"/>
          </w:tcPr>
          <w:p w14:paraId="0D98BDE5">
            <w:pPr>
              <w:pStyle w:val="248"/>
              <w:spacing w:before="64" w:line="296" w:lineRule="auto"/>
              <w:ind w:left="109" w:right="106" w:hanging="7"/>
              <w:rPr>
                <w:color w:val="auto"/>
                <w:highlight w:val="none"/>
                <w:lang w:eastAsia="zh-CN"/>
              </w:rPr>
            </w:pPr>
            <w:r>
              <w:rPr>
                <w:color w:val="auto"/>
                <w:spacing w:val="3"/>
                <w:highlight w:val="none"/>
                <w:lang w:eastAsia="zh-CN"/>
              </w:rPr>
              <w:t>A020810</w:t>
            </w:r>
            <w:r>
              <w:rPr>
                <w:color w:val="auto"/>
                <w:spacing w:val="34"/>
                <w:highlight w:val="none"/>
                <w:lang w:eastAsia="zh-CN"/>
              </w:rPr>
              <w:t xml:space="preserve"> </w:t>
            </w:r>
            <w:r>
              <w:rPr>
                <w:color w:val="auto"/>
                <w:spacing w:val="3"/>
                <w:highlight w:val="none"/>
                <w:lang w:eastAsia="zh-CN"/>
              </w:rPr>
              <w:t>传真及</w:t>
            </w:r>
            <w:r>
              <w:rPr>
                <w:color w:val="auto"/>
                <w:highlight w:val="none"/>
                <w:lang w:eastAsia="zh-CN"/>
              </w:rPr>
              <w:t xml:space="preserve"> </w:t>
            </w:r>
            <w:r>
              <w:rPr>
                <w:color w:val="auto"/>
                <w:spacing w:val="8"/>
                <w:highlight w:val="none"/>
                <w:lang w:eastAsia="zh-CN"/>
              </w:rPr>
              <w:t>数据数字通信设</w:t>
            </w:r>
            <w:r>
              <w:rPr>
                <w:color w:val="auto"/>
                <w:spacing w:val="4"/>
                <w:highlight w:val="none"/>
                <w:lang w:eastAsia="zh-CN"/>
              </w:rPr>
              <w:t xml:space="preserve"> </w:t>
            </w:r>
            <w:r>
              <w:rPr>
                <w:color w:val="auto"/>
                <w:highlight w:val="none"/>
                <w:lang w:eastAsia="zh-CN"/>
              </w:rPr>
              <w:t>备</w:t>
            </w:r>
          </w:p>
        </w:tc>
        <w:tc>
          <w:tcPr>
            <w:tcW w:w="2672" w:type="dxa"/>
          </w:tcPr>
          <w:p w14:paraId="7D2D218F">
            <w:pPr>
              <w:pStyle w:val="248"/>
              <w:spacing w:before="64" w:line="219" w:lineRule="auto"/>
              <w:ind w:left="103"/>
              <w:rPr>
                <w:color w:val="auto"/>
                <w:highlight w:val="none"/>
              </w:rPr>
            </w:pPr>
            <w:r>
              <w:rPr>
                <w:color w:val="auto"/>
                <w:spacing w:val="-1"/>
                <w:highlight w:val="none"/>
              </w:rPr>
              <w:t>A02081001</w:t>
            </w:r>
            <w:r>
              <w:rPr>
                <w:color w:val="auto"/>
                <w:spacing w:val="-30"/>
                <w:highlight w:val="none"/>
              </w:rPr>
              <w:t xml:space="preserve"> </w:t>
            </w:r>
            <w:r>
              <w:rPr>
                <w:color w:val="auto"/>
                <w:spacing w:val="-1"/>
                <w:highlight w:val="none"/>
              </w:rPr>
              <w:t>传真通信设备</w:t>
            </w:r>
          </w:p>
        </w:tc>
        <w:tc>
          <w:tcPr>
            <w:tcW w:w="2248" w:type="dxa"/>
          </w:tcPr>
          <w:p w14:paraId="5FF2A798">
            <w:pPr>
              <w:rPr>
                <w:rFonts w:ascii="Arial"/>
                <w:color w:val="auto"/>
                <w:highlight w:val="none"/>
              </w:rPr>
            </w:pPr>
          </w:p>
        </w:tc>
        <w:tc>
          <w:tcPr>
            <w:tcW w:w="3543" w:type="dxa"/>
          </w:tcPr>
          <w:p w14:paraId="6DDEC9FF">
            <w:pPr>
              <w:pStyle w:val="248"/>
              <w:spacing w:before="63" w:line="219" w:lineRule="auto"/>
              <w:ind w:left="109"/>
              <w:rPr>
                <w:color w:val="auto"/>
                <w:highlight w:val="none"/>
                <w:lang w:eastAsia="zh-CN"/>
              </w:rPr>
            </w:pPr>
            <w:r>
              <w:rPr>
                <w:color w:val="auto"/>
                <w:spacing w:val="-1"/>
                <w:highlight w:val="none"/>
                <w:lang w:eastAsia="zh-CN"/>
              </w:rPr>
              <w:t>HJ2512</w:t>
            </w:r>
            <w:r>
              <w:rPr>
                <w:color w:val="auto"/>
                <w:spacing w:val="-29"/>
                <w:highlight w:val="none"/>
                <w:lang w:eastAsia="zh-CN"/>
              </w:rPr>
              <w:t xml:space="preserve"> </w:t>
            </w:r>
            <w:r>
              <w:rPr>
                <w:color w:val="auto"/>
                <w:spacing w:val="-1"/>
                <w:highlight w:val="none"/>
                <w:lang w:eastAsia="zh-CN"/>
              </w:rPr>
              <w:t>打印机、传真机及多功能一体机</w:t>
            </w:r>
          </w:p>
        </w:tc>
      </w:tr>
      <w:tr w14:paraId="61134B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83" w:type="dxa"/>
            <w:vMerge w:val="restart"/>
            <w:tcBorders>
              <w:bottom w:val="nil"/>
            </w:tcBorders>
          </w:tcPr>
          <w:p w14:paraId="0B5D6630">
            <w:pPr>
              <w:pStyle w:val="248"/>
              <w:spacing w:before="64"/>
              <w:ind w:left="128"/>
              <w:rPr>
                <w:color w:val="auto"/>
                <w:highlight w:val="none"/>
              </w:rPr>
            </w:pPr>
            <w:r>
              <w:rPr>
                <w:color w:val="auto"/>
                <w:spacing w:val="-10"/>
                <w:highlight w:val="none"/>
              </w:rPr>
              <w:t>15</w:t>
            </w:r>
          </w:p>
        </w:tc>
        <w:tc>
          <w:tcPr>
            <w:tcW w:w="1542" w:type="dxa"/>
            <w:vMerge w:val="restart"/>
            <w:tcBorders>
              <w:bottom w:val="nil"/>
            </w:tcBorders>
          </w:tcPr>
          <w:p w14:paraId="616DE944">
            <w:pPr>
              <w:pStyle w:val="248"/>
              <w:spacing w:before="64" w:line="323" w:lineRule="auto"/>
              <w:ind w:left="109" w:right="108" w:hanging="7"/>
              <w:rPr>
                <w:color w:val="auto"/>
                <w:highlight w:val="none"/>
              </w:rPr>
            </w:pPr>
            <w:r>
              <w:rPr>
                <w:color w:val="auto"/>
                <w:spacing w:val="1"/>
                <w:highlight w:val="none"/>
              </w:rPr>
              <w:t>A020910</w:t>
            </w:r>
            <w:r>
              <w:rPr>
                <w:color w:val="auto"/>
                <w:spacing w:val="54"/>
                <w:highlight w:val="none"/>
              </w:rPr>
              <w:t xml:space="preserve"> </w:t>
            </w:r>
            <w:r>
              <w:rPr>
                <w:color w:val="auto"/>
                <w:spacing w:val="1"/>
                <w:highlight w:val="none"/>
              </w:rPr>
              <w:t>电视设</w:t>
            </w:r>
            <w:r>
              <w:rPr>
                <w:color w:val="auto"/>
                <w:highlight w:val="none"/>
              </w:rPr>
              <w:t xml:space="preserve"> 备</w:t>
            </w:r>
          </w:p>
        </w:tc>
        <w:tc>
          <w:tcPr>
            <w:tcW w:w="2672" w:type="dxa"/>
          </w:tcPr>
          <w:p w14:paraId="0A1062AD">
            <w:pPr>
              <w:pStyle w:val="248"/>
              <w:spacing w:before="64" w:line="284" w:lineRule="auto"/>
              <w:ind w:left="107" w:right="107" w:hanging="4"/>
              <w:rPr>
                <w:color w:val="auto"/>
                <w:highlight w:val="none"/>
                <w:lang w:eastAsia="zh-CN"/>
              </w:rPr>
            </w:pPr>
            <w:r>
              <w:rPr>
                <w:color w:val="auto"/>
                <w:spacing w:val="-2"/>
                <w:highlight w:val="none"/>
                <w:lang w:eastAsia="zh-CN"/>
              </w:rPr>
              <w:t>A02091001</w:t>
            </w:r>
            <w:r>
              <w:rPr>
                <w:color w:val="auto"/>
                <w:spacing w:val="-29"/>
                <w:highlight w:val="none"/>
                <w:lang w:eastAsia="zh-CN"/>
              </w:rPr>
              <w:t xml:space="preserve"> </w:t>
            </w:r>
            <w:r>
              <w:rPr>
                <w:color w:val="auto"/>
                <w:spacing w:val="-2"/>
                <w:highlight w:val="none"/>
                <w:lang w:eastAsia="zh-CN"/>
              </w:rPr>
              <w:t>普通电视设备（电视</w:t>
            </w:r>
            <w:r>
              <w:rPr>
                <w:color w:val="auto"/>
                <w:highlight w:val="none"/>
                <w:lang w:eastAsia="zh-CN"/>
              </w:rPr>
              <w:t xml:space="preserve"> </w:t>
            </w:r>
            <w:r>
              <w:rPr>
                <w:color w:val="auto"/>
                <w:spacing w:val="-4"/>
                <w:highlight w:val="none"/>
                <w:lang w:eastAsia="zh-CN"/>
              </w:rPr>
              <w:t>机）</w:t>
            </w:r>
          </w:p>
        </w:tc>
        <w:tc>
          <w:tcPr>
            <w:tcW w:w="2248" w:type="dxa"/>
          </w:tcPr>
          <w:p w14:paraId="7B31B174">
            <w:pPr>
              <w:rPr>
                <w:rFonts w:ascii="Arial"/>
                <w:color w:val="auto"/>
                <w:highlight w:val="none"/>
              </w:rPr>
            </w:pPr>
          </w:p>
        </w:tc>
        <w:tc>
          <w:tcPr>
            <w:tcW w:w="3543" w:type="dxa"/>
          </w:tcPr>
          <w:p w14:paraId="13DA8FCF">
            <w:pPr>
              <w:pStyle w:val="248"/>
              <w:spacing w:before="64" w:line="219" w:lineRule="auto"/>
              <w:ind w:left="109"/>
              <w:rPr>
                <w:color w:val="auto"/>
                <w:highlight w:val="none"/>
                <w:lang w:eastAsia="zh-CN"/>
              </w:rPr>
            </w:pPr>
            <w:r>
              <w:rPr>
                <w:color w:val="auto"/>
                <w:spacing w:val="-1"/>
                <w:highlight w:val="none"/>
                <w:lang w:eastAsia="zh-CN"/>
              </w:rPr>
              <w:t>HJ2506</w:t>
            </w:r>
            <w:r>
              <w:rPr>
                <w:color w:val="auto"/>
                <w:spacing w:val="-31"/>
                <w:highlight w:val="none"/>
                <w:lang w:eastAsia="zh-CN"/>
              </w:rPr>
              <w:t xml:space="preserve"> </w:t>
            </w:r>
            <w:r>
              <w:rPr>
                <w:color w:val="auto"/>
                <w:spacing w:val="-1"/>
                <w:highlight w:val="none"/>
                <w:lang w:eastAsia="zh-CN"/>
              </w:rPr>
              <w:t>彩色电视广播接收机</w:t>
            </w:r>
          </w:p>
        </w:tc>
      </w:tr>
      <w:tr w14:paraId="451D9E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583" w:type="dxa"/>
            <w:vMerge w:val="continue"/>
            <w:tcBorders>
              <w:top w:val="nil"/>
            </w:tcBorders>
          </w:tcPr>
          <w:p w14:paraId="4550A729">
            <w:pPr>
              <w:rPr>
                <w:rFonts w:ascii="Arial"/>
                <w:color w:val="auto"/>
                <w:highlight w:val="none"/>
              </w:rPr>
            </w:pPr>
          </w:p>
        </w:tc>
        <w:tc>
          <w:tcPr>
            <w:tcW w:w="1542" w:type="dxa"/>
            <w:vMerge w:val="continue"/>
            <w:tcBorders>
              <w:top w:val="nil"/>
            </w:tcBorders>
          </w:tcPr>
          <w:p w14:paraId="25261C91">
            <w:pPr>
              <w:rPr>
                <w:rFonts w:ascii="Arial"/>
                <w:color w:val="auto"/>
                <w:highlight w:val="none"/>
              </w:rPr>
            </w:pPr>
          </w:p>
        </w:tc>
        <w:tc>
          <w:tcPr>
            <w:tcW w:w="2672" w:type="dxa"/>
          </w:tcPr>
          <w:p w14:paraId="16B56ECC">
            <w:pPr>
              <w:pStyle w:val="248"/>
              <w:spacing w:before="67" w:line="284" w:lineRule="auto"/>
              <w:ind w:left="111" w:right="107" w:hanging="8"/>
              <w:rPr>
                <w:color w:val="auto"/>
                <w:highlight w:val="none"/>
                <w:lang w:eastAsia="zh-CN"/>
              </w:rPr>
            </w:pPr>
            <w:r>
              <w:rPr>
                <w:color w:val="auto"/>
                <w:spacing w:val="6"/>
                <w:highlight w:val="none"/>
                <w:lang w:eastAsia="zh-CN"/>
              </w:rPr>
              <w:t>A02091003 特殊功能应用电视</w:t>
            </w:r>
            <w:r>
              <w:rPr>
                <w:color w:val="auto"/>
                <w:spacing w:val="7"/>
                <w:highlight w:val="none"/>
                <w:lang w:eastAsia="zh-CN"/>
              </w:rPr>
              <w:t xml:space="preserve"> </w:t>
            </w:r>
            <w:r>
              <w:rPr>
                <w:color w:val="auto"/>
                <w:spacing w:val="-3"/>
                <w:highlight w:val="none"/>
                <w:lang w:eastAsia="zh-CN"/>
              </w:rPr>
              <w:t>设备</w:t>
            </w:r>
          </w:p>
        </w:tc>
        <w:tc>
          <w:tcPr>
            <w:tcW w:w="2248" w:type="dxa"/>
          </w:tcPr>
          <w:p w14:paraId="3A26F6DF">
            <w:pPr>
              <w:rPr>
                <w:rFonts w:ascii="Arial"/>
                <w:color w:val="auto"/>
                <w:highlight w:val="none"/>
              </w:rPr>
            </w:pPr>
          </w:p>
        </w:tc>
        <w:tc>
          <w:tcPr>
            <w:tcW w:w="3543" w:type="dxa"/>
          </w:tcPr>
          <w:p w14:paraId="34B56307">
            <w:pPr>
              <w:pStyle w:val="248"/>
              <w:spacing w:before="67" w:line="219" w:lineRule="auto"/>
              <w:ind w:left="109"/>
              <w:rPr>
                <w:color w:val="auto"/>
                <w:highlight w:val="none"/>
                <w:lang w:eastAsia="zh-CN"/>
              </w:rPr>
            </w:pPr>
            <w:r>
              <w:rPr>
                <w:color w:val="auto"/>
                <w:spacing w:val="-1"/>
                <w:highlight w:val="none"/>
                <w:lang w:eastAsia="zh-CN"/>
              </w:rPr>
              <w:t>HJ2506</w:t>
            </w:r>
            <w:r>
              <w:rPr>
                <w:color w:val="auto"/>
                <w:spacing w:val="-31"/>
                <w:highlight w:val="none"/>
                <w:lang w:eastAsia="zh-CN"/>
              </w:rPr>
              <w:t xml:space="preserve"> </w:t>
            </w:r>
            <w:r>
              <w:rPr>
                <w:color w:val="auto"/>
                <w:spacing w:val="-1"/>
                <w:highlight w:val="none"/>
                <w:lang w:eastAsia="zh-CN"/>
              </w:rPr>
              <w:t>彩色电视广播接收机</w:t>
            </w:r>
          </w:p>
        </w:tc>
      </w:tr>
      <w:tr w14:paraId="35FB97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583" w:type="dxa"/>
            <w:vMerge w:val="restart"/>
            <w:tcBorders>
              <w:bottom w:val="nil"/>
            </w:tcBorders>
          </w:tcPr>
          <w:p w14:paraId="16806522">
            <w:pPr>
              <w:pStyle w:val="248"/>
              <w:spacing w:before="65"/>
              <w:ind w:left="128"/>
              <w:rPr>
                <w:color w:val="auto"/>
                <w:highlight w:val="none"/>
              </w:rPr>
            </w:pPr>
            <w:r>
              <w:rPr>
                <w:color w:val="auto"/>
                <w:spacing w:val="-10"/>
                <w:highlight w:val="none"/>
              </w:rPr>
              <w:t>16</w:t>
            </w:r>
          </w:p>
        </w:tc>
        <w:tc>
          <w:tcPr>
            <w:tcW w:w="1542" w:type="dxa"/>
            <w:vMerge w:val="restart"/>
            <w:tcBorders>
              <w:bottom w:val="nil"/>
            </w:tcBorders>
          </w:tcPr>
          <w:p w14:paraId="1FD7C248">
            <w:pPr>
              <w:pStyle w:val="248"/>
              <w:spacing w:before="65" w:line="220" w:lineRule="auto"/>
              <w:ind w:left="193"/>
              <w:rPr>
                <w:color w:val="auto"/>
                <w:highlight w:val="none"/>
              </w:rPr>
            </w:pPr>
            <w:r>
              <w:rPr>
                <w:color w:val="auto"/>
                <w:spacing w:val="-1"/>
                <w:highlight w:val="none"/>
              </w:rPr>
              <w:t>A0601</w:t>
            </w:r>
            <w:r>
              <w:rPr>
                <w:color w:val="auto"/>
                <w:spacing w:val="-36"/>
                <w:highlight w:val="none"/>
              </w:rPr>
              <w:t xml:space="preserve"> </w:t>
            </w:r>
            <w:r>
              <w:rPr>
                <w:color w:val="auto"/>
                <w:spacing w:val="-1"/>
                <w:highlight w:val="none"/>
              </w:rPr>
              <w:t>床类</w:t>
            </w:r>
          </w:p>
        </w:tc>
        <w:tc>
          <w:tcPr>
            <w:tcW w:w="2672" w:type="dxa"/>
          </w:tcPr>
          <w:p w14:paraId="544020E3">
            <w:pPr>
              <w:pStyle w:val="248"/>
              <w:spacing w:before="65" w:line="220" w:lineRule="auto"/>
              <w:ind w:left="103"/>
              <w:rPr>
                <w:color w:val="auto"/>
                <w:highlight w:val="none"/>
              </w:rPr>
            </w:pPr>
            <w:r>
              <w:rPr>
                <w:color w:val="auto"/>
                <w:spacing w:val="-1"/>
                <w:highlight w:val="none"/>
              </w:rPr>
              <w:t>A060101</w:t>
            </w:r>
            <w:r>
              <w:rPr>
                <w:color w:val="auto"/>
                <w:spacing w:val="-34"/>
                <w:highlight w:val="none"/>
              </w:rPr>
              <w:t xml:space="preserve"> </w:t>
            </w:r>
            <w:r>
              <w:rPr>
                <w:color w:val="auto"/>
                <w:spacing w:val="-1"/>
                <w:highlight w:val="none"/>
              </w:rPr>
              <w:t>钢木床类</w:t>
            </w:r>
          </w:p>
        </w:tc>
        <w:tc>
          <w:tcPr>
            <w:tcW w:w="2248" w:type="dxa"/>
          </w:tcPr>
          <w:p w14:paraId="485C0254">
            <w:pPr>
              <w:rPr>
                <w:rFonts w:ascii="Arial"/>
                <w:color w:val="auto"/>
                <w:highlight w:val="none"/>
              </w:rPr>
            </w:pPr>
          </w:p>
        </w:tc>
        <w:tc>
          <w:tcPr>
            <w:tcW w:w="3543" w:type="dxa"/>
          </w:tcPr>
          <w:p w14:paraId="58DC851C">
            <w:pPr>
              <w:pStyle w:val="248"/>
              <w:spacing w:before="64" w:line="219" w:lineRule="auto"/>
              <w:ind w:left="109"/>
              <w:rPr>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5C5E08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trPr>
        <w:tc>
          <w:tcPr>
            <w:tcW w:w="583" w:type="dxa"/>
            <w:vMerge w:val="continue"/>
            <w:tcBorders>
              <w:top w:val="nil"/>
              <w:bottom w:val="nil"/>
            </w:tcBorders>
          </w:tcPr>
          <w:p w14:paraId="3644AD58">
            <w:pPr>
              <w:rPr>
                <w:rFonts w:ascii="Arial"/>
                <w:color w:val="auto"/>
                <w:highlight w:val="none"/>
              </w:rPr>
            </w:pPr>
          </w:p>
        </w:tc>
        <w:tc>
          <w:tcPr>
            <w:tcW w:w="1542" w:type="dxa"/>
            <w:vMerge w:val="continue"/>
            <w:tcBorders>
              <w:top w:val="nil"/>
              <w:bottom w:val="nil"/>
            </w:tcBorders>
          </w:tcPr>
          <w:p w14:paraId="6AD3EED5">
            <w:pPr>
              <w:rPr>
                <w:rFonts w:ascii="Arial"/>
                <w:color w:val="auto"/>
                <w:highlight w:val="none"/>
              </w:rPr>
            </w:pPr>
          </w:p>
        </w:tc>
        <w:tc>
          <w:tcPr>
            <w:tcW w:w="2672" w:type="dxa"/>
          </w:tcPr>
          <w:p w14:paraId="28E55F6E">
            <w:pPr>
              <w:pStyle w:val="248"/>
              <w:spacing w:before="65" w:line="220" w:lineRule="auto"/>
              <w:ind w:left="103"/>
              <w:rPr>
                <w:color w:val="auto"/>
                <w:highlight w:val="none"/>
              </w:rPr>
            </w:pPr>
            <w:r>
              <w:rPr>
                <w:color w:val="auto"/>
                <w:spacing w:val="-1"/>
                <w:highlight w:val="none"/>
              </w:rPr>
              <w:t>A060104</w:t>
            </w:r>
            <w:r>
              <w:rPr>
                <w:color w:val="auto"/>
                <w:spacing w:val="-33"/>
                <w:highlight w:val="none"/>
              </w:rPr>
              <w:t xml:space="preserve"> </w:t>
            </w:r>
            <w:r>
              <w:rPr>
                <w:color w:val="auto"/>
                <w:spacing w:val="-1"/>
                <w:highlight w:val="none"/>
              </w:rPr>
              <w:t>木制床类</w:t>
            </w:r>
          </w:p>
        </w:tc>
        <w:tc>
          <w:tcPr>
            <w:tcW w:w="2248" w:type="dxa"/>
          </w:tcPr>
          <w:p w14:paraId="17775137">
            <w:pPr>
              <w:rPr>
                <w:rFonts w:ascii="Arial"/>
                <w:color w:val="auto"/>
                <w:highlight w:val="none"/>
              </w:rPr>
            </w:pPr>
          </w:p>
        </w:tc>
        <w:tc>
          <w:tcPr>
            <w:tcW w:w="3543" w:type="dxa"/>
          </w:tcPr>
          <w:p w14:paraId="4DCAD237">
            <w:pPr>
              <w:pStyle w:val="248"/>
              <w:spacing w:before="65" w:line="219" w:lineRule="auto"/>
              <w:ind w:left="109"/>
              <w:rPr>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3BFBE5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583" w:type="dxa"/>
            <w:vMerge w:val="continue"/>
            <w:tcBorders>
              <w:top w:val="nil"/>
            </w:tcBorders>
          </w:tcPr>
          <w:p w14:paraId="79BBFA63">
            <w:pPr>
              <w:rPr>
                <w:rFonts w:ascii="Arial"/>
                <w:color w:val="auto"/>
                <w:highlight w:val="none"/>
              </w:rPr>
            </w:pPr>
          </w:p>
        </w:tc>
        <w:tc>
          <w:tcPr>
            <w:tcW w:w="1542" w:type="dxa"/>
            <w:vMerge w:val="continue"/>
            <w:tcBorders>
              <w:top w:val="nil"/>
            </w:tcBorders>
          </w:tcPr>
          <w:p w14:paraId="3E527A37">
            <w:pPr>
              <w:rPr>
                <w:rFonts w:ascii="Arial"/>
                <w:color w:val="auto"/>
                <w:highlight w:val="none"/>
              </w:rPr>
            </w:pPr>
          </w:p>
        </w:tc>
        <w:tc>
          <w:tcPr>
            <w:tcW w:w="2672" w:type="dxa"/>
          </w:tcPr>
          <w:p w14:paraId="52AA970A">
            <w:pPr>
              <w:pStyle w:val="248"/>
              <w:spacing w:before="65" w:line="220" w:lineRule="auto"/>
              <w:ind w:left="103"/>
              <w:rPr>
                <w:color w:val="auto"/>
                <w:highlight w:val="none"/>
              </w:rPr>
            </w:pPr>
            <w:r>
              <w:rPr>
                <w:color w:val="auto"/>
                <w:spacing w:val="-1"/>
                <w:highlight w:val="none"/>
              </w:rPr>
              <w:t>A060199</w:t>
            </w:r>
            <w:r>
              <w:rPr>
                <w:color w:val="auto"/>
                <w:spacing w:val="-33"/>
                <w:highlight w:val="none"/>
              </w:rPr>
              <w:t xml:space="preserve"> </w:t>
            </w:r>
            <w:r>
              <w:rPr>
                <w:color w:val="auto"/>
                <w:spacing w:val="-1"/>
                <w:highlight w:val="none"/>
              </w:rPr>
              <w:t>其他床类</w:t>
            </w:r>
          </w:p>
        </w:tc>
        <w:tc>
          <w:tcPr>
            <w:tcW w:w="2248" w:type="dxa"/>
          </w:tcPr>
          <w:p w14:paraId="0081A37B">
            <w:pPr>
              <w:rPr>
                <w:rFonts w:ascii="Arial"/>
                <w:color w:val="auto"/>
                <w:highlight w:val="none"/>
              </w:rPr>
            </w:pPr>
          </w:p>
        </w:tc>
        <w:tc>
          <w:tcPr>
            <w:tcW w:w="3543" w:type="dxa"/>
          </w:tcPr>
          <w:p w14:paraId="54E6EB01">
            <w:pPr>
              <w:pStyle w:val="248"/>
              <w:spacing w:before="65" w:line="219" w:lineRule="auto"/>
              <w:ind w:left="109"/>
              <w:rPr>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0BDDC8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restart"/>
            <w:tcBorders>
              <w:bottom w:val="nil"/>
            </w:tcBorders>
          </w:tcPr>
          <w:p w14:paraId="6C9A5A2C">
            <w:pPr>
              <w:pStyle w:val="248"/>
              <w:spacing w:before="66"/>
              <w:ind w:left="128"/>
              <w:rPr>
                <w:color w:val="auto"/>
                <w:highlight w:val="none"/>
              </w:rPr>
            </w:pPr>
            <w:r>
              <w:rPr>
                <w:color w:val="auto"/>
                <w:spacing w:val="-10"/>
                <w:highlight w:val="none"/>
              </w:rPr>
              <w:t>17</w:t>
            </w:r>
          </w:p>
        </w:tc>
        <w:tc>
          <w:tcPr>
            <w:tcW w:w="1542" w:type="dxa"/>
            <w:vMerge w:val="restart"/>
            <w:tcBorders>
              <w:bottom w:val="nil"/>
            </w:tcBorders>
          </w:tcPr>
          <w:p w14:paraId="0B8C840D">
            <w:pPr>
              <w:pStyle w:val="248"/>
              <w:spacing w:before="65" w:line="220" w:lineRule="auto"/>
              <w:ind w:left="102"/>
              <w:rPr>
                <w:color w:val="auto"/>
                <w:highlight w:val="none"/>
              </w:rPr>
            </w:pPr>
            <w:r>
              <w:rPr>
                <w:color w:val="auto"/>
                <w:spacing w:val="-2"/>
                <w:highlight w:val="none"/>
              </w:rPr>
              <w:t>A0602</w:t>
            </w:r>
            <w:r>
              <w:rPr>
                <w:color w:val="auto"/>
                <w:spacing w:val="-22"/>
                <w:highlight w:val="none"/>
              </w:rPr>
              <w:t xml:space="preserve"> </w:t>
            </w:r>
            <w:r>
              <w:rPr>
                <w:color w:val="auto"/>
                <w:spacing w:val="-2"/>
                <w:highlight w:val="none"/>
              </w:rPr>
              <w:t>台、桌类</w:t>
            </w:r>
          </w:p>
        </w:tc>
        <w:tc>
          <w:tcPr>
            <w:tcW w:w="2672" w:type="dxa"/>
          </w:tcPr>
          <w:p w14:paraId="13FCAEC6">
            <w:pPr>
              <w:pStyle w:val="248"/>
              <w:spacing w:before="65" w:line="220" w:lineRule="auto"/>
              <w:ind w:left="103"/>
              <w:rPr>
                <w:color w:val="auto"/>
                <w:highlight w:val="none"/>
              </w:rPr>
            </w:pPr>
            <w:r>
              <w:rPr>
                <w:color w:val="auto"/>
                <w:spacing w:val="-1"/>
                <w:highlight w:val="none"/>
              </w:rPr>
              <w:t>A060201</w:t>
            </w:r>
            <w:r>
              <w:rPr>
                <w:color w:val="auto"/>
                <w:spacing w:val="-29"/>
                <w:highlight w:val="none"/>
              </w:rPr>
              <w:t xml:space="preserve"> </w:t>
            </w:r>
            <w:r>
              <w:rPr>
                <w:color w:val="auto"/>
                <w:spacing w:val="-1"/>
                <w:highlight w:val="none"/>
              </w:rPr>
              <w:t>钢木台、桌类</w:t>
            </w:r>
          </w:p>
        </w:tc>
        <w:tc>
          <w:tcPr>
            <w:tcW w:w="2248" w:type="dxa"/>
          </w:tcPr>
          <w:p w14:paraId="2AC11856">
            <w:pPr>
              <w:rPr>
                <w:rFonts w:ascii="Arial"/>
                <w:color w:val="auto"/>
                <w:highlight w:val="none"/>
              </w:rPr>
            </w:pPr>
          </w:p>
        </w:tc>
        <w:tc>
          <w:tcPr>
            <w:tcW w:w="3543" w:type="dxa"/>
          </w:tcPr>
          <w:p w14:paraId="29EC533F">
            <w:pPr>
              <w:pStyle w:val="248"/>
              <w:spacing w:before="65" w:line="219" w:lineRule="auto"/>
              <w:ind w:left="109"/>
              <w:rPr>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6A1E55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583" w:type="dxa"/>
            <w:vMerge w:val="continue"/>
            <w:tcBorders>
              <w:top w:val="nil"/>
              <w:bottom w:val="nil"/>
            </w:tcBorders>
          </w:tcPr>
          <w:p w14:paraId="0C849D0A">
            <w:pPr>
              <w:rPr>
                <w:rFonts w:ascii="Arial"/>
                <w:color w:val="auto"/>
                <w:highlight w:val="none"/>
              </w:rPr>
            </w:pPr>
          </w:p>
        </w:tc>
        <w:tc>
          <w:tcPr>
            <w:tcW w:w="1542" w:type="dxa"/>
            <w:vMerge w:val="continue"/>
            <w:tcBorders>
              <w:top w:val="nil"/>
              <w:bottom w:val="nil"/>
            </w:tcBorders>
          </w:tcPr>
          <w:p w14:paraId="29BA8640">
            <w:pPr>
              <w:rPr>
                <w:rFonts w:ascii="Arial"/>
                <w:color w:val="auto"/>
                <w:highlight w:val="none"/>
              </w:rPr>
            </w:pPr>
          </w:p>
        </w:tc>
        <w:tc>
          <w:tcPr>
            <w:tcW w:w="2672" w:type="dxa"/>
          </w:tcPr>
          <w:p w14:paraId="098FDA62">
            <w:pPr>
              <w:pStyle w:val="248"/>
              <w:spacing w:before="65" w:line="220" w:lineRule="auto"/>
              <w:ind w:left="103"/>
              <w:rPr>
                <w:color w:val="auto"/>
                <w:highlight w:val="none"/>
              </w:rPr>
            </w:pPr>
            <w:r>
              <w:rPr>
                <w:color w:val="auto"/>
                <w:spacing w:val="-1"/>
                <w:highlight w:val="none"/>
              </w:rPr>
              <w:t>A060205</w:t>
            </w:r>
            <w:r>
              <w:rPr>
                <w:color w:val="auto"/>
                <w:spacing w:val="-29"/>
                <w:highlight w:val="none"/>
              </w:rPr>
              <w:t xml:space="preserve"> </w:t>
            </w:r>
            <w:r>
              <w:rPr>
                <w:color w:val="auto"/>
                <w:spacing w:val="-1"/>
                <w:highlight w:val="none"/>
              </w:rPr>
              <w:t>木制台、桌类</w:t>
            </w:r>
          </w:p>
        </w:tc>
        <w:tc>
          <w:tcPr>
            <w:tcW w:w="2248" w:type="dxa"/>
          </w:tcPr>
          <w:p w14:paraId="2E9E9541">
            <w:pPr>
              <w:rPr>
                <w:rFonts w:ascii="Arial"/>
                <w:color w:val="auto"/>
                <w:highlight w:val="none"/>
              </w:rPr>
            </w:pPr>
          </w:p>
        </w:tc>
        <w:tc>
          <w:tcPr>
            <w:tcW w:w="3543" w:type="dxa"/>
          </w:tcPr>
          <w:p w14:paraId="3EE20D96">
            <w:pPr>
              <w:pStyle w:val="248"/>
              <w:spacing w:before="65" w:line="219" w:lineRule="auto"/>
              <w:ind w:left="109"/>
              <w:rPr>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25042A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583" w:type="dxa"/>
            <w:vMerge w:val="continue"/>
            <w:tcBorders>
              <w:top w:val="nil"/>
            </w:tcBorders>
          </w:tcPr>
          <w:p w14:paraId="11917829">
            <w:pPr>
              <w:rPr>
                <w:rFonts w:ascii="Arial"/>
                <w:color w:val="auto"/>
                <w:highlight w:val="none"/>
              </w:rPr>
            </w:pPr>
          </w:p>
        </w:tc>
        <w:tc>
          <w:tcPr>
            <w:tcW w:w="1542" w:type="dxa"/>
            <w:vMerge w:val="continue"/>
            <w:tcBorders>
              <w:top w:val="nil"/>
            </w:tcBorders>
          </w:tcPr>
          <w:p w14:paraId="7B22378A">
            <w:pPr>
              <w:rPr>
                <w:rFonts w:ascii="Arial"/>
                <w:color w:val="auto"/>
                <w:highlight w:val="none"/>
              </w:rPr>
            </w:pPr>
          </w:p>
        </w:tc>
        <w:tc>
          <w:tcPr>
            <w:tcW w:w="2672" w:type="dxa"/>
          </w:tcPr>
          <w:p w14:paraId="6AC070BE">
            <w:pPr>
              <w:pStyle w:val="248"/>
              <w:spacing w:before="66" w:line="220" w:lineRule="auto"/>
              <w:ind w:left="103"/>
              <w:rPr>
                <w:color w:val="auto"/>
                <w:highlight w:val="none"/>
              </w:rPr>
            </w:pPr>
            <w:r>
              <w:rPr>
                <w:color w:val="auto"/>
                <w:spacing w:val="-1"/>
                <w:highlight w:val="none"/>
              </w:rPr>
              <w:t>A060299</w:t>
            </w:r>
            <w:r>
              <w:rPr>
                <w:color w:val="auto"/>
                <w:spacing w:val="-29"/>
                <w:highlight w:val="none"/>
              </w:rPr>
              <w:t xml:space="preserve"> </w:t>
            </w:r>
            <w:r>
              <w:rPr>
                <w:color w:val="auto"/>
                <w:spacing w:val="-1"/>
                <w:highlight w:val="none"/>
              </w:rPr>
              <w:t>其他台、桌类</w:t>
            </w:r>
          </w:p>
        </w:tc>
        <w:tc>
          <w:tcPr>
            <w:tcW w:w="2248" w:type="dxa"/>
          </w:tcPr>
          <w:p w14:paraId="16AE83A7">
            <w:pPr>
              <w:rPr>
                <w:rFonts w:ascii="Arial"/>
                <w:color w:val="auto"/>
                <w:highlight w:val="none"/>
              </w:rPr>
            </w:pPr>
          </w:p>
        </w:tc>
        <w:tc>
          <w:tcPr>
            <w:tcW w:w="3543" w:type="dxa"/>
          </w:tcPr>
          <w:p w14:paraId="012B2B0E">
            <w:pPr>
              <w:pStyle w:val="248"/>
              <w:spacing w:before="66" w:line="219" w:lineRule="auto"/>
              <w:ind w:left="109"/>
              <w:rPr>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4E6A24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restart"/>
            <w:tcBorders>
              <w:bottom w:val="nil"/>
            </w:tcBorders>
          </w:tcPr>
          <w:p w14:paraId="2B77738A">
            <w:pPr>
              <w:pStyle w:val="248"/>
              <w:spacing w:before="67"/>
              <w:ind w:left="128"/>
              <w:rPr>
                <w:color w:val="auto"/>
                <w:highlight w:val="none"/>
              </w:rPr>
            </w:pPr>
            <w:r>
              <w:rPr>
                <w:color w:val="auto"/>
                <w:spacing w:val="-10"/>
                <w:highlight w:val="none"/>
              </w:rPr>
              <w:t>18</w:t>
            </w:r>
          </w:p>
        </w:tc>
        <w:tc>
          <w:tcPr>
            <w:tcW w:w="1542" w:type="dxa"/>
            <w:vMerge w:val="restart"/>
            <w:tcBorders>
              <w:bottom w:val="nil"/>
            </w:tcBorders>
          </w:tcPr>
          <w:p w14:paraId="455976AA">
            <w:pPr>
              <w:pStyle w:val="248"/>
              <w:spacing w:before="66" w:line="220" w:lineRule="auto"/>
              <w:ind w:left="102"/>
              <w:rPr>
                <w:color w:val="auto"/>
                <w:highlight w:val="none"/>
              </w:rPr>
            </w:pPr>
            <w:r>
              <w:rPr>
                <w:color w:val="auto"/>
                <w:spacing w:val="-1"/>
                <w:highlight w:val="none"/>
              </w:rPr>
              <w:t>A0603</w:t>
            </w:r>
            <w:r>
              <w:rPr>
                <w:color w:val="auto"/>
                <w:spacing w:val="-36"/>
                <w:highlight w:val="none"/>
              </w:rPr>
              <w:t xml:space="preserve"> </w:t>
            </w:r>
            <w:r>
              <w:rPr>
                <w:color w:val="auto"/>
                <w:spacing w:val="-1"/>
                <w:highlight w:val="none"/>
              </w:rPr>
              <w:t>椅凳类</w:t>
            </w:r>
          </w:p>
        </w:tc>
        <w:tc>
          <w:tcPr>
            <w:tcW w:w="2672" w:type="dxa"/>
          </w:tcPr>
          <w:p w14:paraId="13C09311">
            <w:pPr>
              <w:pStyle w:val="248"/>
              <w:spacing w:before="66" w:line="220" w:lineRule="auto"/>
              <w:ind w:left="103"/>
              <w:rPr>
                <w:color w:val="auto"/>
                <w:highlight w:val="none"/>
              </w:rPr>
            </w:pPr>
            <w:r>
              <w:rPr>
                <w:color w:val="auto"/>
                <w:spacing w:val="-1"/>
                <w:highlight w:val="none"/>
              </w:rPr>
              <w:t>A060301</w:t>
            </w:r>
            <w:r>
              <w:rPr>
                <w:color w:val="auto"/>
                <w:spacing w:val="-46"/>
                <w:highlight w:val="none"/>
              </w:rPr>
              <w:t xml:space="preserve"> </w:t>
            </w:r>
            <w:r>
              <w:rPr>
                <w:color w:val="auto"/>
                <w:spacing w:val="-1"/>
                <w:highlight w:val="none"/>
              </w:rPr>
              <w:t>金属骨架为主的椅凳类</w:t>
            </w:r>
          </w:p>
        </w:tc>
        <w:tc>
          <w:tcPr>
            <w:tcW w:w="2248" w:type="dxa"/>
          </w:tcPr>
          <w:p w14:paraId="1AF89FB7">
            <w:pPr>
              <w:rPr>
                <w:rFonts w:ascii="Arial"/>
                <w:color w:val="auto"/>
                <w:highlight w:val="none"/>
              </w:rPr>
            </w:pPr>
          </w:p>
        </w:tc>
        <w:tc>
          <w:tcPr>
            <w:tcW w:w="3543" w:type="dxa"/>
          </w:tcPr>
          <w:p w14:paraId="18E5C24C">
            <w:pPr>
              <w:pStyle w:val="248"/>
              <w:spacing w:before="66" w:line="219" w:lineRule="auto"/>
              <w:ind w:left="109"/>
              <w:rPr>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13A261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583" w:type="dxa"/>
            <w:vMerge w:val="continue"/>
            <w:tcBorders>
              <w:top w:val="nil"/>
              <w:bottom w:val="nil"/>
            </w:tcBorders>
          </w:tcPr>
          <w:p w14:paraId="1CD21A7D">
            <w:pPr>
              <w:rPr>
                <w:rFonts w:ascii="Arial"/>
                <w:color w:val="auto"/>
                <w:highlight w:val="none"/>
              </w:rPr>
            </w:pPr>
          </w:p>
        </w:tc>
        <w:tc>
          <w:tcPr>
            <w:tcW w:w="1542" w:type="dxa"/>
            <w:vMerge w:val="continue"/>
            <w:tcBorders>
              <w:top w:val="nil"/>
              <w:bottom w:val="nil"/>
            </w:tcBorders>
          </w:tcPr>
          <w:p w14:paraId="45E804BC">
            <w:pPr>
              <w:rPr>
                <w:rFonts w:ascii="Arial"/>
                <w:color w:val="auto"/>
                <w:highlight w:val="none"/>
              </w:rPr>
            </w:pPr>
          </w:p>
        </w:tc>
        <w:tc>
          <w:tcPr>
            <w:tcW w:w="2672" w:type="dxa"/>
          </w:tcPr>
          <w:p w14:paraId="13457110">
            <w:pPr>
              <w:pStyle w:val="248"/>
              <w:spacing w:before="66" w:line="220" w:lineRule="auto"/>
              <w:ind w:left="103"/>
              <w:rPr>
                <w:color w:val="auto"/>
                <w:highlight w:val="none"/>
              </w:rPr>
            </w:pPr>
            <w:r>
              <w:rPr>
                <w:color w:val="auto"/>
                <w:spacing w:val="-1"/>
                <w:highlight w:val="none"/>
              </w:rPr>
              <w:t>A060302</w:t>
            </w:r>
            <w:r>
              <w:rPr>
                <w:color w:val="auto"/>
                <w:spacing w:val="-29"/>
                <w:highlight w:val="none"/>
              </w:rPr>
              <w:t xml:space="preserve"> </w:t>
            </w:r>
            <w:r>
              <w:rPr>
                <w:color w:val="auto"/>
                <w:spacing w:val="-1"/>
                <w:highlight w:val="none"/>
              </w:rPr>
              <w:t>木骨架为主的椅凳类</w:t>
            </w:r>
          </w:p>
        </w:tc>
        <w:tc>
          <w:tcPr>
            <w:tcW w:w="2248" w:type="dxa"/>
          </w:tcPr>
          <w:p w14:paraId="4CCC04FA">
            <w:pPr>
              <w:rPr>
                <w:rFonts w:ascii="Arial"/>
                <w:color w:val="auto"/>
                <w:highlight w:val="none"/>
              </w:rPr>
            </w:pPr>
          </w:p>
        </w:tc>
        <w:tc>
          <w:tcPr>
            <w:tcW w:w="3543" w:type="dxa"/>
          </w:tcPr>
          <w:p w14:paraId="1C4EEF44">
            <w:pPr>
              <w:pStyle w:val="248"/>
              <w:spacing w:before="66" w:line="219" w:lineRule="auto"/>
              <w:ind w:left="109"/>
              <w:rPr>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012DDA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583" w:type="dxa"/>
            <w:vMerge w:val="continue"/>
            <w:tcBorders>
              <w:top w:val="nil"/>
            </w:tcBorders>
          </w:tcPr>
          <w:p w14:paraId="474E5854">
            <w:pPr>
              <w:rPr>
                <w:rFonts w:ascii="Arial"/>
                <w:color w:val="auto"/>
                <w:highlight w:val="none"/>
              </w:rPr>
            </w:pPr>
          </w:p>
        </w:tc>
        <w:tc>
          <w:tcPr>
            <w:tcW w:w="1542" w:type="dxa"/>
            <w:vMerge w:val="continue"/>
            <w:tcBorders>
              <w:top w:val="nil"/>
            </w:tcBorders>
          </w:tcPr>
          <w:p w14:paraId="4E976EF9">
            <w:pPr>
              <w:rPr>
                <w:rFonts w:ascii="Arial"/>
                <w:color w:val="auto"/>
                <w:highlight w:val="none"/>
              </w:rPr>
            </w:pPr>
          </w:p>
        </w:tc>
        <w:tc>
          <w:tcPr>
            <w:tcW w:w="2672" w:type="dxa"/>
          </w:tcPr>
          <w:p w14:paraId="06BF7EE8">
            <w:pPr>
              <w:pStyle w:val="248"/>
              <w:spacing w:before="67" w:line="220" w:lineRule="auto"/>
              <w:ind w:left="103"/>
              <w:rPr>
                <w:color w:val="auto"/>
                <w:highlight w:val="none"/>
              </w:rPr>
            </w:pPr>
            <w:r>
              <w:rPr>
                <w:color w:val="auto"/>
                <w:spacing w:val="-1"/>
                <w:highlight w:val="none"/>
              </w:rPr>
              <w:t>A060399</w:t>
            </w:r>
            <w:r>
              <w:rPr>
                <w:color w:val="auto"/>
                <w:spacing w:val="-33"/>
                <w:highlight w:val="none"/>
              </w:rPr>
              <w:t xml:space="preserve"> </w:t>
            </w:r>
            <w:r>
              <w:rPr>
                <w:color w:val="auto"/>
                <w:spacing w:val="-1"/>
                <w:highlight w:val="none"/>
              </w:rPr>
              <w:t>其他椅凳类</w:t>
            </w:r>
          </w:p>
        </w:tc>
        <w:tc>
          <w:tcPr>
            <w:tcW w:w="2248" w:type="dxa"/>
          </w:tcPr>
          <w:p w14:paraId="663330C8">
            <w:pPr>
              <w:rPr>
                <w:rFonts w:ascii="Arial"/>
                <w:color w:val="auto"/>
                <w:highlight w:val="none"/>
              </w:rPr>
            </w:pPr>
          </w:p>
        </w:tc>
        <w:tc>
          <w:tcPr>
            <w:tcW w:w="3543" w:type="dxa"/>
          </w:tcPr>
          <w:p w14:paraId="2AD13A9C">
            <w:pPr>
              <w:pStyle w:val="248"/>
              <w:spacing w:before="66" w:line="219" w:lineRule="auto"/>
              <w:ind w:left="109"/>
              <w:rPr>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784FAC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tcPr>
          <w:p w14:paraId="15A61A2A">
            <w:pPr>
              <w:pStyle w:val="248"/>
              <w:spacing w:before="67"/>
              <w:ind w:left="128"/>
              <w:rPr>
                <w:color w:val="auto"/>
                <w:highlight w:val="none"/>
              </w:rPr>
            </w:pPr>
            <w:r>
              <w:rPr>
                <w:color w:val="auto"/>
                <w:spacing w:val="-10"/>
                <w:highlight w:val="none"/>
              </w:rPr>
              <w:t>19</w:t>
            </w:r>
          </w:p>
        </w:tc>
        <w:tc>
          <w:tcPr>
            <w:tcW w:w="1542" w:type="dxa"/>
          </w:tcPr>
          <w:p w14:paraId="681AD7BE">
            <w:pPr>
              <w:pStyle w:val="248"/>
              <w:spacing w:before="67" w:line="220" w:lineRule="auto"/>
              <w:ind w:left="102"/>
              <w:rPr>
                <w:color w:val="auto"/>
                <w:highlight w:val="none"/>
              </w:rPr>
            </w:pPr>
            <w:r>
              <w:rPr>
                <w:color w:val="auto"/>
                <w:spacing w:val="-1"/>
                <w:highlight w:val="none"/>
              </w:rPr>
              <w:t>A0604</w:t>
            </w:r>
            <w:r>
              <w:rPr>
                <w:color w:val="auto"/>
                <w:spacing w:val="-35"/>
                <w:highlight w:val="none"/>
              </w:rPr>
              <w:t xml:space="preserve"> </w:t>
            </w:r>
            <w:r>
              <w:rPr>
                <w:color w:val="auto"/>
                <w:spacing w:val="-1"/>
                <w:highlight w:val="none"/>
              </w:rPr>
              <w:t>沙发类</w:t>
            </w:r>
          </w:p>
        </w:tc>
        <w:tc>
          <w:tcPr>
            <w:tcW w:w="2672" w:type="dxa"/>
          </w:tcPr>
          <w:p w14:paraId="77917C20">
            <w:pPr>
              <w:pStyle w:val="248"/>
              <w:spacing w:before="67" w:line="220" w:lineRule="auto"/>
              <w:ind w:left="103"/>
              <w:rPr>
                <w:color w:val="auto"/>
                <w:highlight w:val="none"/>
              </w:rPr>
            </w:pPr>
            <w:r>
              <w:rPr>
                <w:color w:val="auto"/>
                <w:spacing w:val="-1"/>
                <w:highlight w:val="none"/>
              </w:rPr>
              <w:t>A060499</w:t>
            </w:r>
            <w:r>
              <w:rPr>
                <w:color w:val="auto"/>
                <w:spacing w:val="-33"/>
                <w:highlight w:val="none"/>
              </w:rPr>
              <w:t xml:space="preserve"> </w:t>
            </w:r>
            <w:r>
              <w:rPr>
                <w:color w:val="auto"/>
                <w:spacing w:val="-1"/>
                <w:highlight w:val="none"/>
              </w:rPr>
              <w:t>其他沙发类</w:t>
            </w:r>
          </w:p>
        </w:tc>
        <w:tc>
          <w:tcPr>
            <w:tcW w:w="2248" w:type="dxa"/>
          </w:tcPr>
          <w:p w14:paraId="733E1387">
            <w:pPr>
              <w:rPr>
                <w:rFonts w:ascii="Arial"/>
                <w:color w:val="auto"/>
                <w:highlight w:val="none"/>
              </w:rPr>
            </w:pPr>
          </w:p>
        </w:tc>
        <w:tc>
          <w:tcPr>
            <w:tcW w:w="3543" w:type="dxa"/>
          </w:tcPr>
          <w:p w14:paraId="6AC0AD6B">
            <w:pPr>
              <w:pStyle w:val="248"/>
              <w:spacing w:before="67" w:line="219" w:lineRule="auto"/>
              <w:ind w:left="109"/>
              <w:rPr>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224286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restart"/>
            <w:tcBorders>
              <w:bottom w:val="nil"/>
            </w:tcBorders>
          </w:tcPr>
          <w:p w14:paraId="12F8EDCF">
            <w:pPr>
              <w:pStyle w:val="248"/>
              <w:spacing w:before="67"/>
              <w:ind w:left="116"/>
              <w:rPr>
                <w:color w:val="auto"/>
                <w:highlight w:val="none"/>
              </w:rPr>
            </w:pPr>
            <w:r>
              <w:rPr>
                <w:color w:val="auto"/>
                <w:spacing w:val="-4"/>
                <w:highlight w:val="none"/>
              </w:rPr>
              <w:t>20</w:t>
            </w:r>
          </w:p>
        </w:tc>
        <w:tc>
          <w:tcPr>
            <w:tcW w:w="1542" w:type="dxa"/>
            <w:vMerge w:val="restart"/>
            <w:tcBorders>
              <w:bottom w:val="nil"/>
            </w:tcBorders>
          </w:tcPr>
          <w:p w14:paraId="19F6E5D2">
            <w:pPr>
              <w:pStyle w:val="248"/>
              <w:spacing w:before="67" w:line="220" w:lineRule="auto"/>
              <w:ind w:left="193"/>
              <w:rPr>
                <w:color w:val="auto"/>
                <w:highlight w:val="none"/>
              </w:rPr>
            </w:pPr>
            <w:r>
              <w:rPr>
                <w:color w:val="auto"/>
                <w:spacing w:val="-1"/>
                <w:highlight w:val="none"/>
              </w:rPr>
              <w:t>A0605</w:t>
            </w:r>
            <w:r>
              <w:rPr>
                <w:color w:val="auto"/>
                <w:spacing w:val="-36"/>
                <w:highlight w:val="none"/>
              </w:rPr>
              <w:t xml:space="preserve"> </w:t>
            </w:r>
            <w:r>
              <w:rPr>
                <w:color w:val="auto"/>
                <w:spacing w:val="-1"/>
                <w:highlight w:val="none"/>
              </w:rPr>
              <w:t>柜类</w:t>
            </w:r>
          </w:p>
        </w:tc>
        <w:tc>
          <w:tcPr>
            <w:tcW w:w="2672" w:type="dxa"/>
          </w:tcPr>
          <w:p w14:paraId="4B6C494E">
            <w:pPr>
              <w:pStyle w:val="248"/>
              <w:spacing w:before="67" w:line="220" w:lineRule="auto"/>
              <w:ind w:left="103"/>
              <w:rPr>
                <w:color w:val="auto"/>
                <w:highlight w:val="none"/>
              </w:rPr>
            </w:pPr>
            <w:r>
              <w:rPr>
                <w:color w:val="auto"/>
                <w:spacing w:val="-1"/>
                <w:highlight w:val="none"/>
              </w:rPr>
              <w:t>A060501</w:t>
            </w:r>
            <w:r>
              <w:rPr>
                <w:color w:val="auto"/>
                <w:spacing w:val="-33"/>
                <w:highlight w:val="none"/>
              </w:rPr>
              <w:t xml:space="preserve"> </w:t>
            </w:r>
            <w:r>
              <w:rPr>
                <w:color w:val="auto"/>
                <w:spacing w:val="-1"/>
                <w:highlight w:val="none"/>
              </w:rPr>
              <w:t>木质柜类</w:t>
            </w:r>
          </w:p>
        </w:tc>
        <w:tc>
          <w:tcPr>
            <w:tcW w:w="2248" w:type="dxa"/>
          </w:tcPr>
          <w:p w14:paraId="1FB3CD7E">
            <w:pPr>
              <w:rPr>
                <w:rFonts w:ascii="Arial"/>
                <w:color w:val="auto"/>
                <w:highlight w:val="none"/>
              </w:rPr>
            </w:pPr>
          </w:p>
        </w:tc>
        <w:tc>
          <w:tcPr>
            <w:tcW w:w="3543" w:type="dxa"/>
          </w:tcPr>
          <w:p w14:paraId="3264B923">
            <w:pPr>
              <w:pStyle w:val="248"/>
              <w:spacing w:before="67" w:line="219" w:lineRule="auto"/>
              <w:ind w:left="109"/>
              <w:rPr>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43A290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583" w:type="dxa"/>
            <w:vMerge w:val="continue"/>
            <w:tcBorders>
              <w:top w:val="nil"/>
              <w:bottom w:val="nil"/>
            </w:tcBorders>
          </w:tcPr>
          <w:p w14:paraId="18AC204B">
            <w:pPr>
              <w:rPr>
                <w:rFonts w:ascii="Arial"/>
                <w:color w:val="auto"/>
                <w:highlight w:val="none"/>
              </w:rPr>
            </w:pPr>
          </w:p>
        </w:tc>
        <w:tc>
          <w:tcPr>
            <w:tcW w:w="1542" w:type="dxa"/>
            <w:vMerge w:val="continue"/>
            <w:tcBorders>
              <w:top w:val="nil"/>
              <w:bottom w:val="nil"/>
            </w:tcBorders>
          </w:tcPr>
          <w:p w14:paraId="5582B5A1">
            <w:pPr>
              <w:rPr>
                <w:rFonts w:ascii="Arial"/>
                <w:color w:val="auto"/>
                <w:highlight w:val="none"/>
              </w:rPr>
            </w:pPr>
          </w:p>
        </w:tc>
        <w:tc>
          <w:tcPr>
            <w:tcW w:w="2672" w:type="dxa"/>
          </w:tcPr>
          <w:p w14:paraId="77904471">
            <w:pPr>
              <w:pStyle w:val="248"/>
              <w:spacing w:before="67" w:line="220" w:lineRule="auto"/>
              <w:ind w:left="103"/>
              <w:rPr>
                <w:color w:val="auto"/>
                <w:highlight w:val="none"/>
              </w:rPr>
            </w:pPr>
            <w:r>
              <w:rPr>
                <w:color w:val="auto"/>
                <w:spacing w:val="-1"/>
                <w:highlight w:val="none"/>
              </w:rPr>
              <w:t>A060503</w:t>
            </w:r>
            <w:r>
              <w:rPr>
                <w:color w:val="auto"/>
                <w:spacing w:val="-32"/>
                <w:highlight w:val="none"/>
              </w:rPr>
              <w:t xml:space="preserve"> </w:t>
            </w:r>
            <w:r>
              <w:rPr>
                <w:color w:val="auto"/>
                <w:spacing w:val="-1"/>
                <w:highlight w:val="none"/>
              </w:rPr>
              <w:t>金属质柜类</w:t>
            </w:r>
          </w:p>
        </w:tc>
        <w:tc>
          <w:tcPr>
            <w:tcW w:w="2248" w:type="dxa"/>
          </w:tcPr>
          <w:p w14:paraId="128F8143">
            <w:pPr>
              <w:rPr>
                <w:rFonts w:ascii="Arial"/>
                <w:color w:val="auto"/>
                <w:highlight w:val="none"/>
              </w:rPr>
            </w:pPr>
          </w:p>
        </w:tc>
        <w:tc>
          <w:tcPr>
            <w:tcW w:w="3543" w:type="dxa"/>
          </w:tcPr>
          <w:p w14:paraId="6B0B4FC0">
            <w:pPr>
              <w:pStyle w:val="248"/>
              <w:spacing w:before="67" w:line="219" w:lineRule="auto"/>
              <w:ind w:left="109"/>
              <w:rPr>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2195C0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continue"/>
            <w:tcBorders>
              <w:top w:val="nil"/>
            </w:tcBorders>
          </w:tcPr>
          <w:p w14:paraId="43CF2524">
            <w:pPr>
              <w:rPr>
                <w:rFonts w:ascii="Arial"/>
                <w:color w:val="auto"/>
                <w:highlight w:val="none"/>
              </w:rPr>
            </w:pPr>
          </w:p>
        </w:tc>
        <w:tc>
          <w:tcPr>
            <w:tcW w:w="1542" w:type="dxa"/>
            <w:vMerge w:val="continue"/>
            <w:tcBorders>
              <w:top w:val="nil"/>
            </w:tcBorders>
          </w:tcPr>
          <w:p w14:paraId="2FD51DE1">
            <w:pPr>
              <w:rPr>
                <w:rFonts w:ascii="Arial"/>
                <w:color w:val="auto"/>
                <w:highlight w:val="none"/>
              </w:rPr>
            </w:pPr>
          </w:p>
        </w:tc>
        <w:tc>
          <w:tcPr>
            <w:tcW w:w="2672" w:type="dxa"/>
          </w:tcPr>
          <w:p w14:paraId="436FDE99">
            <w:pPr>
              <w:pStyle w:val="248"/>
              <w:spacing w:before="67" w:line="220" w:lineRule="auto"/>
              <w:ind w:left="103"/>
              <w:rPr>
                <w:color w:val="auto"/>
                <w:highlight w:val="none"/>
              </w:rPr>
            </w:pPr>
            <w:r>
              <w:rPr>
                <w:color w:val="auto"/>
                <w:spacing w:val="-1"/>
                <w:highlight w:val="none"/>
              </w:rPr>
              <w:t>A060599</w:t>
            </w:r>
            <w:r>
              <w:rPr>
                <w:color w:val="auto"/>
                <w:spacing w:val="-33"/>
                <w:highlight w:val="none"/>
              </w:rPr>
              <w:t xml:space="preserve"> </w:t>
            </w:r>
            <w:r>
              <w:rPr>
                <w:color w:val="auto"/>
                <w:spacing w:val="-1"/>
                <w:highlight w:val="none"/>
              </w:rPr>
              <w:t>其他柜类</w:t>
            </w:r>
          </w:p>
        </w:tc>
        <w:tc>
          <w:tcPr>
            <w:tcW w:w="2248" w:type="dxa"/>
          </w:tcPr>
          <w:p w14:paraId="154A9DD5">
            <w:pPr>
              <w:rPr>
                <w:rFonts w:ascii="Arial"/>
                <w:color w:val="auto"/>
                <w:highlight w:val="none"/>
              </w:rPr>
            </w:pPr>
          </w:p>
        </w:tc>
        <w:tc>
          <w:tcPr>
            <w:tcW w:w="3543" w:type="dxa"/>
          </w:tcPr>
          <w:p w14:paraId="47EF58AA">
            <w:pPr>
              <w:pStyle w:val="248"/>
              <w:spacing w:before="67" w:line="219" w:lineRule="auto"/>
              <w:ind w:left="109"/>
              <w:rPr>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5BCD5E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restart"/>
            <w:tcBorders>
              <w:bottom w:val="nil"/>
            </w:tcBorders>
          </w:tcPr>
          <w:p w14:paraId="3B5B2D21">
            <w:pPr>
              <w:pStyle w:val="248"/>
              <w:spacing w:before="67" w:line="242" w:lineRule="auto"/>
              <w:ind w:left="116"/>
              <w:rPr>
                <w:color w:val="auto"/>
                <w:highlight w:val="none"/>
              </w:rPr>
            </w:pPr>
            <w:r>
              <w:rPr>
                <w:color w:val="auto"/>
                <w:spacing w:val="-4"/>
                <w:highlight w:val="none"/>
              </w:rPr>
              <w:t>21</w:t>
            </w:r>
          </w:p>
        </w:tc>
        <w:tc>
          <w:tcPr>
            <w:tcW w:w="1542" w:type="dxa"/>
            <w:vMerge w:val="restart"/>
            <w:tcBorders>
              <w:bottom w:val="nil"/>
            </w:tcBorders>
          </w:tcPr>
          <w:p w14:paraId="3C1A7D14">
            <w:pPr>
              <w:pStyle w:val="248"/>
              <w:spacing w:before="67" w:line="220" w:lineRule="auto"/>
              <w:ind w:left="102"/>
              <w:rPr>
                <w:color w:val="auto"/>
                <w:highlight w:val="none"/>
              </w:rPr>
            </w:pPr>
            <w:r>
              <w:rPr>
                <w:color w:val="auto"/>
                <w:spacing w:val="-1"/>
                <w:highlight w:val="none"/>
              </w:rPr>
              <w:t>A0606</w:t>
            </w:r>
            <w:r>
              <w:rPr>
                <w:color w:val="auto"/>
                <w:spacing w:val="-35"/>
                <w:highlight w:val="none"/>
              </w:rPr>
              <w:t xml:space="preserve"> </w:t>
            </w:r>
            <w:r>
              <w:rPr>
                <w:color w:val="auto"/>
                <w:spacing w:val="-1"/>
                <w:highlight w:val="none"/>
              </w:rPr>
              <w:t>架类</w:t>
            </w:r>
          </w:p>
        </w:tc>
        <w:tc>
          <w:tcPr>
            <w:tcW w:w="2672" w:type="dxa"/>
          </w:tcPr>
          <w:p w14:paraId="4878D990">
            <w:pPr>
              <w:pStyle w:val="248"/>
              <w:spacing w:before="67" w:line="220" w:lineRule="auto"/>
              <w:ind w:left="103"/>
              <w:rPr>
                <w:color w:val="auto"/>
                <w:highlight w:val="none"/>
              </w:rPr>
            </w:pPr>
            <w:r>
              <w:rPr>
                <w:color w:val="auto"/>
                <w:spacing w:val="-1"/>
                <w:highlight w:val="none"/>
              </w:rPr>
              <w:t>A060601</w:t>
            </w:r>
            <w:r>
              <w:rPr>
                <w:color w:val="auto"/>
                <w:spacing w:val="-33"/>
                <w:highlight w:val="none"/>
              </w:rPr>
              <w:t xml:space="preserve"> </w:t>
            </w:r>
            <w:r>
              <w:rPr>
                <w:color w:val="auto"/>
                <w:spacing w:val="-1"/>
                <w:highlight w:val="none"/>
              </w:rPr>
              <w:t>木质架类</w:t>
            </w:r>
          </w:p>
        </w:tc>
        <w:tc>
          <w:tcPr>
            <w:tcW w:w="2248" w:type="dxa"/>
          </w:tcPr>
          <w:p w14:paraId="2C61A3FC">
            <w:pPr>
              <w:rPr>
                <w:rFonts w:ascii="Arial"/>
                <w:color w:val="auto"/>
                <w:highlight w:val="none"/>
              </w:rPr>
            </w:pPr>
          </w:p>
        </w:tc>
        <w:tc>
          <w:tcPr>
            <w:tcW w:w="3543" w:type="dxa"/>
          </w:tcPr>
          <w:p w14:paraId="3EF59EF7">
            <w:pPr>
              <w:pStyle w:val="248"/>
              <w:spacing w:before="67" w:line="219" w:lineRule="auto"/>
              <w:ind w:left="109"/>
              <w:rPr>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6A426B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583" w:type="dxa"/>
            <w:vMerge w:val="continue"/>
            <w:tcBorders>
              <w:top w:val="nil"/>
            </w:tcBorders>
          </w:tcPr>
          <w:p w14:paraId="487E8F9C">
            <w:pPr>
              <w:rPr>
                <w:rFonts w:ascii="Arial"/>
                <w:color w:val="auto"/>
                <w:highlight w:val="none"/>
              </w:rPr>
            </w:pPr>
          </w:p>
        </w:tc>
        <w:tc>
          <w:tcPr>
            <w:tcW w:w="1542" w:type="dxa"/>
            <w:vMerge w:val="continue"/>
            <w:tcBorders>
              <w:top w:val="nil"/>
            </w:tcBorders>
          </w:tcPr>
          <w:p w14:paraId="0D0932CF">
            <w:pPr>
              <w:rPr>
                <w:rFonts w:ascii="Arial"/>
                <w:color w:val="auto"/>
                <w:highlight w:val="none"/>
              </w:rPr>
            </w:pPr>
          </w:p>
        </w:tc>
        <w:tc>
          <w:tcPr>
            <w:tcW w:w="2672" w:type="dxa"/>
          </w:tcPr>
          <w:p w14:paraId="212A4877">
            <w:pPr>
              <w:pStyle w:val="248"/>
              <w:spacing w:before="67" w:line="220" w:lineRule="auto"/>
              <w:ind w:left="103"/>
              <w:rPr>
                <w:color w:val="auto"/>
                <w:highlight w:val="none"/>
              </w:rPr>
            </w:pPr>
            <w:r>
              <w:rPr>
                <w:color w:val="auto"/>
                <w:spacing w:val="-1"/>
                <w:highlight w:val="none"/>
              </w:rPr>
              <w:t>A060602</w:t>
            </w:r>
            <w:r>
              <w:rPr>
                <w:color w:val="auto"/>
                <w:spacing w:val="-32"/>
                <w:highlight w:val="none"/>
              </w:rPr>
              <w:t xml:space="preserve"> </w:t>
            </w:r>
            <w:r>
              <w:rPr>
                <w:color w:val="auto"/>
                <w:spacing w:val="-1"/>
                <w:highlight w:val="none"/>
              </w:rPr>
              <w:t>金属质架类</w:t>
            </w:r>
          </w:p>
        </w:tc>
        <w:tc>
          <w:tcPr>
            <w:tcW w:w="2248" w:type="dxa"/>
          </w:tcPr>
          <w:p w14:paraId="0475701F">
            <w:pPr>
              <w:rPr>
                <w:rFonts w:ascii="Arial"/>
                <w:color w:val="auto"/>
                <w:highlight w:val="none"/>
              </w:rPr>
            </w:pPr>
          </w:p>
        </w:tc>
        <w:tc>
          <w:tcPr>
            <w:tcW w:w="3543" w:type="dxa"/>
          </w:tcPr>
          <w:p w14:paraId="0EBF76FE">
            <w:pPr>
              <w:pStyle w:val="248"/>
              <w:spacing w:before="67" w:line="219" w:lineRule="auto"/>
              <w:ind w:left="109"/>
              <w:rPr>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21E511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restart"/>
            <w:tcBorders>
              <w:bottom w:val="nil"/>
            </w:tcBorders>
          </w:tcPr>
          <w:p w14:paraId="3C6C56A5">
            <w:pPr>
              <w:pStyle w:val="248"/>
              <w:spacing w:before="67" w:line="242" w:lineRule="auto"/>
              <w:ind w:left="116"/>
              <w:rPr>
                <w:color w:val="auto"/>
                <w:highlight w:val="none"/>
              </w:rPr>
            </w:pPr>
            <w:r>
              <w:rPr>
                <w:color w:val="auto"/>
                <w:spacing w:val="-4"/>
                <w:highlight w:val="none"/>
              </w:rPr>
              <w:t>22</w:t>
            </w:r>
          </w:p>
        </w:tc>
        <w:tc>
          <w:tcPr>
            <w:tcW w:w="1542" w:type="dxa"/>
            <w:vMerge w:val="restart"/>
            <w:tcBorders>
              <w:bottom w:val="nil"/>
            </w:tcBorders>
          </w:tcPr>
          <w:p w14:paraId="38EC4067">
            <w:pPr>
              <w:pStyle w:val="248"/>
              <w:spacing w:before="67" w:line="220" w:lineRule="auto"/>
              <w:ind w:left="102"/>
              <w:rPr>
                <w:color w:val="auto"/>
                <w:highlight w:val="none"/>
              </w:rPr>
            </w:pPr>
            <w:r>
              <w:rPr>
                <w:color w:val="auto"/>
                <w:spacing w:val="-1"/>
                <w:highlight w:val="none"/>
              </w:rPr>
              <w:t>A0607</w:t>
            </w:r>
            <w:r>
              <w:rPr>
                <w:color w:val="auto"/>
                <w:spacing w:val="-35"/>
                <w:highlight w:val="none"/>
              </w:rPr>
              <w:t xml:space="preserve"> </w:t>
            </w:r>
            <w:r>
              <w:rPr>
                <w:color w:val="auto"/>
                <w:spacing w:val="-1"/>
                <w:highlight w:val="none"/>
              </w:rPr>
              <w:t>屏风类</w:t>
            </w:r>
          </w:p>
        </w:tc>
        <w:tc>
          <w:tcPr>
            <w:tcW w:w="2672" w:type="dxa"/>
          </w:tcPr>
          <w:p w14:paraId="0D3F4E3D">
            <w:pPr>
              <w:pStyle w:val="248"/>
              <w:spacing w:before="67" w:line="220" w:lineRule="auto"/>
              <w:ind w:left="103"/>
              <w:rPr>
                <w:color w:val="auto"/>
                <w:highlight w:val="none"/>
              </w:rPr>
            </w:pPr>
            <w:r>
              <w:rPr>
                <w:color w:val="auto"/>
                <w:spacing w:val="-1"/>
                <w:highlight w:val="none"/>
              </w:rPr>
              <w:t>A060701</w:t>
            </w:r>
            <w:r>
              <w:rPr>
                <w:color w:val="auto"/>
                <w:spacing w:val="-33"/>
                <w:highlight w:val="none"/>
              </w:rPr>
              <w:t xml:space="preserve"> </w:t>
            </w:r>
            <w:r>
              <w:rPr>
                <w:color w:val="auto"/>
                <w:spacing w:val="-1"/>
                <w:highlight w:val="none"/>
              </w:rPr>
              <w:t>木质屏风类</w:t>
            </w:r>
          </w:p>
        </w:tc>
        <w:tc>
          <w:tcPr>
            <w:tcW w:w="2248" w:type="dxa"/>
          </w:tcPr>
          <w:p w14:paraId="68E168B0">
            <w:pPr>
              <w:rPr>
                <w:rFonts w:ascii="Arial"/>
                <w:color w:val="auto"/>
                <w:highlight w:val="none"/>
              </w:rPr>
            </w:pPr>
          </w:p>
        </w:tc>
        <w:tc>
          <w:tcPr>
            <w:tcW w:w="3543" w:type="dxa"/>
          </w:tcPr>
          <w:p w14:paraId="3D2B6999">
            <w:pPr>
              <w:pStyle w:val="248"/>
              <w:spacing w:before="67" w:line="219" w:lineRule="auto"/>
              <w:ind w:left="109"/>
              <w:rPr>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0A9924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continue"/>
            <w:tcBorders>
              <w:top w:val="nil"/>
            </w:tcBorders>
          </w:tcPr>
          <w:p w14:paraId="253C6BBD">
            <w:pPr>
              <w:rPr>
                <w:rFonts w:ascii="Arial"/>
                <w:color w:val="auto"/>
                <w:highlight w:val="none"/>
              </w:rPr>
            </w:pPr>
          </w:p>
        </w:tc>
        <w:tc>
          <w:tcPr>
            <w:tcW w:w="1542" w:type="dxa"/>
            <w:vMerge w:val="continue"/>
            <w:tcBorders>
              <w:top w:val="nil"/>
            </w:tcBorders>
          </w:tcPr>
          <w:p w14:paraId="0F1E2F3E">
            <w:pPr>
              <w:rPr>
                <w:rFonts w:ascii="Arial"/>
                <w:color w:val="auto"/>
                <w:highlight w:val="none"/>
              </w:rPr>
            </w:pPr>
          </w:p>
        </w:tc>
        <w:tc>
          <w:tcPr>
            <w:tcW w:w="2672" w:type="dxa"/>
          </w:tcPr>
          <w:p w14:paraId="1860BB3A">
            <w:pPr>
              <w:pStyle w:val="248"/>
              <w:spacing w:before="67" w:line="220" w:lineRule="auto"/>
              <w:ind w:left="103"/>
              <w:rPr>
                <w:color w:val="auto"/>
                <w:highlight w:val="none"/>
              </w:rPr>
            </w:pPr>
            <w:r>
              <w:rPr>
                <w:color w:val="auto"/>
                <w:spacing w:val="-1"/>
                <w:highlight w:val="none"/>
              </w:rPr>
              <w:t>A060702</w:t>
            </w:r>
            <w:r>
              <w:rPr>
                <w:color w:val="auto"/>
                <w:spacing w:val="-32"/>
                <w:highlight w:val="none"/>
              </w:rPr>
              <w:t xml:space="preserve"> </w:t>
            </w:r>
            <w:r>
              <w:rPr>
                <w:color w:val="auto"/>
                <w:spacing w:val="-1"/>
                <w:highlight w:val="none"/>
              </w:rPr>
              <w:t>金属质屏风类</w:t>
            </w:r>
          </w:p>
        </w:tc>
        <w:tc>
          <w:tcPr>
            <w:tcW w:w="2248" w:type="dxa"/>
          </w:tcPr>
          <w:p w14:paraId="664A7A6E">
            <w:pPr>
              <w:rPr>
                <w:rFonts w:ascii="Arial"/>
                <w:color w:val="auto"/>
                <w:highlight w:val="none"/>
              </w:rPr>
            </w:pPr>
          </w:p>
        </w:tc>
        <w:tc>
          <w:tcPr>
            <w:tcW w:w="3543" w:type="dxa"/>
          </w:tcPr>
          <w:p w14:paraId="362E2EEC">
            <w:pPr>
              <w:pStyle w:val="248"/>
              <w:spacing w:before="67" w:line="219" w:lineRule="auto"/>
              <w:ind w:left="109"/>
              <w:rPr>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76EC45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583" w:type="dxa"/>
          </w:tcPr>
          <w:p w14:paraId="0C8C4C63">
            <w:pPr>
              <w:pStyle w:val="248"/>
              <w:spacing w:before="67"/>
              <w:ind w:left="116"/>
              <w:rPr>
                <w:color w:val="auto"/>
                <w:highlight w:val="none"/>
              </w:rPr>
            </w:pPr>
            <w:r>
              <w:rPr>
                <w:color w:val="auto"/>
                <w:spacing w:val="-4"/>
                <w:highlight w:val="none"/>
              </w:rPr>
              <w:t>23</w:t>
            </w:r>
          </w:p>
        </w:tc>
        <w:tc>
          <w:tcPr>
            <w:tcW w:w="1542" w:type="dxa"/>
          </w:tcPr>
          <w:p w14:paraId="61EDA08C">
            <w:pPr>
              <w:pStyle w:val="248"/>
              <w:spacing w:before="67" w:line="220" w:lineRule="auto"/>
              <w:ind w:left="102"/>
              <w:rPr>
                <w:color w:val="auto"/>
                <w:highlight w:val="none"/>
              </w:rPr>
            </w:pPr>
            <w:r>
              <w:rPr>
                <w:color w:val="auto"/>
                <w:spacing w:val="-1"/>
                <w:highlight w:val="none"/>
              </w:rPr>
              <w:t>A060804</w:t>
            </w:r>
            <w:r>
              <w:rPr>
                <w:color w:val="auto"/>
                <w:spacing w:val="-32"/>
                <w:highlight w:val="none"/>
              </w:rPr>
              <w:t xml:space="preserve"> </w:t>
            </w:r>
            <w:r>
              <w:rPr>
                <w:color w:val="auto"/>
                <w:spacing w:val="-1"/>
                <w:highlight w:val="none"/>
              </w:rPr>
              <w:t>水池</w:t>
            </w:r>
          </w:p>
        </w:tc>
        <w:tc>
          <w:tcPr>
            <w:tcW w:w="2672" w:type="dxa"/>
          </w:tcPr>
          <w:p w14:paraId="18E28950">
            <w:pPr>
              <w:rPr>
                <w:rFonts w:ascii="Arial"/>
                <w:color w:val="auto"/>
                <w:highlight w:val="none"/>
              </w:rPr>
            </w:pPr>
          </w:p>
        </w:tc>
        <w:tc>
          <w:tcPr>
            <w:tcW w:w="2248" w:type="dxa"/>
          </w:tcPr>
          <w:p w14:paraId="7BEA0070">
            <w:pPr>
              <w:rPr>
                <w:rFonts w:ascii="Arial"/>
                <w:color w:val="auto"/>
                <w:highlight w:val="none"/>
              </w:rPr>
            </w:pPr>
          </w:p>
        </w:tc>
        <w:tc>
          <w:tcPr>
            <w:tcW w:w="3543" w:type="dxa"/>
          </w:tcPr>
          <w:p w14:paraId="2D783475">
            <w:pPr>
              <w:pStyle w:val="248"/>
              <w:spacing w:before="66" w:line="219" w:lineRule="auto"/>
              <w:ind w:left="109"/>
              <w:rPr>
                <w:color w:val="auto"/>
                <w:highlight w:val="none"/>
              </w:rPr>
            </w:pPr>
            <w:r>
              <w:rPr>
                <w:color w:val="auto"/>
                <w:spacing w:val="-1"/>
                <w:highlight w:val="none"/>
              </w:rPr>
              <w:t>HJ/T296</w:t>
            </w:r>
            <w:r>
              <w:rPr>
                <w:color w:val="auto"/>
                <w:spacing w:val="-34"/>
                <w:highlight w:val="none"/>
              </w:rPr>
              <w:t xml:space="preserve"> </w:t>
            </w:r>
            <w:r>
              <w:rPr>
                <w:color w:val="auto"/>
                <w:spacing w:val="-1"/>
                <w:highlight w:val="none"/>
              </w:rPr>
              <w:t>卫生陶瓷</w:t>
            </w:r>
          </w:p>
        </w:tc>
      </w:tr>
      <w:tr w14:paraId="5CDEB0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tcPr>
          <w:p w14:paraId="1FBD21C2">
            <w:pPr>
              <w:pStyle w:val="248"/>
              <w:spacing w:before="67" w:line="242" w:lineRule="auto"/>
              <w:ind w:left="116"/>
              <w:rPr>
                <w:color w:val="auto"/>
                <w:highlight w:val="none"/>
              </w:rPr>
            </w:pPr>
            <w:r>
              <w:rPr>
                <w:color w:val="auto"/>
                <w:spacing w:val="-4"/>
                <w:highlight w:val="none"/>
              </w:rPr>
              <w:t>24</w:t>
            </w:r>
          </w:p>
        </w:tc>
        <w:tc>
          <w:tcPr>
            <w:tcW w:w="1542" w:type="dxa"/>
          </w:tcPr>
          <w:p w14:paraId="651D8339">
            <w:pPr>
              <w:pStyle w:val="248"/>
              <w:spacing w:before="67" w:line="220" w:lineRule="auto"/>
              <w:ind w:left="102"/>
              <w:rPr>
                <w:color w:val="auto"/>
                <w:highlight w:val="none"/>
              </w:rPr>
            </w:pPr>
            <w:r>
              <w:rPr>
                <w:color w:val="auto"/>
                <w:spacing w:val="-1"/>
                <w:highlight w:val="none"/>
              </w:rPr>
              <w:t>A060805</w:t>
            </w:r>
            <w:r>
              <w:rPr>
                <w:color w:val="auto"/>
                <w:spacing w:val="-33"/>
                <w:highlight w:val="none"/>
              </w:rPr>
              <w:t xml:space="preserve"> </w:t>
            </w:r>
            <w:r>
              <w:rPr>
                <w:color w:val="auto"/>
                <w:spacing w:val="-1"/>
                <w:highlight w:val="none"/>
              </w:rPr>
              <w:t>便器</w:t>
            </w:r>
          </w:p>
        </w:tc>
        <w:tc>
          <w:tcPr>
            <w:tcW w:w="2672" w:type="dxa"/>
          </w:tcPr>
          <w:p w14:paraId="67A8ACBB">
            <w:pPr>
              <w:rPr>
                <w:rFonts w:ascii="Arial"/>
                <w:color w:val="auto"/>
                <w:highlight w:val="none"/>
              </w:rPr>
            </w:pPr>
          </w:p>
        </w:tc>
        <w:tc>
          <w:tcPr>
            <w:tcW w:w="2248" w:type="dxa"/>
          </w:tcPr>
          <w:p w14:paraId="170D5515">
            <w:pPr>
              <w:rPr>
                <w:rFonts w:ascii="Arial"/>
                <w:color w:val="auto"/>
                <w:highlight w:val="none"/>
              </w:rPr>
            </w:pPr>
          </w:p>
        </w:tc>
        <w:tc>
          <w:tcPr>
            <w:tcW w:w="3543" w:type="dxa"/>
          </w:tcPr>
          <w:p w14:paraId="70E221DE">
            <w:pPr>
              <w:pStyle w:val="248"/>
              <w:spacing w:before="67" w:line="219" w:lineRule="auto"/>
              <w:ind w:left="109"/>
              <w:rPr>
                <w:color w:val="auto"/>
                <w:highlight w:val="none"/>
              </w:rPr>
            </w:pPr>
            <w:r>
              <w:rPr>
                <w:color w:val="auto"/>
                <w:spacing w:val="-1"/>
                <w:highlight w:val="none"/>
              </w:rPr>
              <w:t>HJ/T296</w:t>
            </w:r>
            <w:r>
              <w:rPr>
                <w:color w:val="auto"/>
                <w:spacing w:val="-34"/>
                <w:highlight w:val="none"/>
              </w:rPr>
              <w:t xml:space="preserve"> </w:t>
            </w:r>
            <w:r>
              <w:rPr>
                <w:color w:val="auto"/>
                <w:spacing w:val="-1"/>
                <w:highlight w:val="none"/>
              </w:rPr>
              <w:t>卫生陶瓷</w:t>
            </w:r>
          </w:p>
        </w:tc>
      </w:tr>
      <w:tr w14:paraId="50C1A7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tcPr>
          <w:p w14:paraId="4E9D72AA">
            <w:pPr>
              <w:pStyle w:val="248"/>
              <w:spacing w:before="67"/>
              <w:ind w:left="116"/>
              <w:rPr>
                <w:color w:val="auto"/>
                <w:highlight w:val="none"/>
              </w:rPr>
            </w:pPr>
            <w:r>
              <w:rPr>
                <w:color w:val="auto"/>
                <w:spacing w:val="-4"/>
                <w:highlight w:val="none"/>
              </w:rPr>
              <w:t>25</w:t>
            </w:r>
          </w:p>
        </w:tc>
        <w:tc>
          <w:tcPr>
            <w:tcW w:w="1542" w:type="dxa"/>
          </w:tcPr>
          <w:p w14:paraId="060B8D20">
            <w:pPr>
              <w:pStyle w:val="248"/>
              <w:spacing w:before="67" w:line="220" w:lineRule="auto"/>
              <w:ind w:left="102"/>
              <w:rPr>
                <w:color w:val="auto"/>
                <w:highlight w:val="none"/>
              </w:rPr>
            </w:pPr>
            <w:r>
              <w:rPr>
                <w:color w:val="auto"/>
                <w:spacing w:val="-1"/>
                <w:highlight w:val="none"/>
              </w:rPr>
              <w:t>A060806</w:t>
            </w:r>
            <w:r>
              <w:rPr>
                <w:color w:val="auto"/>
                <w:spacing w:val="-32"/>
                <w:highlight w:val="none"/>
              </w:rPr>
              <w:t xml:space="preserve"> </w:t>
            </w:r>
            <w:r>
              <w:rPr>
                <w:color w:val="auto"/>
                <w:spacing w:val="-1"/>
                <w:highlight w:val="none"/>
              </w:rPr>
              <w:t>水嘴</w:t>
            </w:r>
          </w:p>
        </w:tc>
        <w:tc>
          <w:tcPr>
            <w:tcW w:w="2672" w:type="dxa"/>
          </w:tcPr>
          <w:p w14:paraId="2DFEF95D">
            <w:pPr>
              <w:rPr>
                <w:rFonts w:ascii="Arial"/>
                <w:color w:val="auto"/>
                <w:highlight w:val="none"/>
              </w:rPr>
            </w:pPr>
          </w:p>
        </w:tc>
        <w:tc>
          <w:tcPr>
            <w:tcW w:w="2248" w:type="dxa"/>
          </w:tcPr>
          <w:p w14:paraId="04476B2E">
            <w:pPr>
              <w:rPr>
                <w:rFonts w:ascii="Arial"/>
                <w:color w:val="auto"/>
                <w:highlight w:val="none"/>
              </w:rPr>
            </w:pPr>
          </w:p>
        </w:tc>
        <w:tc>
          <w:tcPr>
            <w:tcW w:w="3543" w:type="dxa"/>
          </w:tcPr>
          <w:p w14:paraId="625F6F04">
            <w:pPr>
              <w:pStyle w:val="248"/>
              <w:spacing w:before="67" w:line="219" w:lineRule="auto"/>
              <w:ind w:left="109"/>
              <w:rPr>
                <w:color w:val="auto"/>
                <w:highlight w:val="none"/>
              </w:rPr>
            </w:pPr>
            <w:r>
              <w:rPr>
                <w:color w:val="auto"/>
                <w:spacing w:val="-1"/>
                <w:highlight w:val="none"/>
              </w:rPr>
              <w:t>HJ/T411</w:t>
            </w:r>
            <w:r>
              <w:rPr>
                <w:color w:val="auto"/>
                <w:spacing w:val="-34"/>
                <w:highlight w:val="none"/>
              </w:rPr>
              <w:t xml:space="preserve"> </w:t>
            </w:r>
            <w:r>
              <w:rPr>
                <w:color w:val="auto"/>
                <w:spacing w:val="-1"/>
                <w:highlight w:val="none"/>
              </w:rPr>
              <w:t>水嘴</w:t>
            </w:r>
          </w:p>
        </w:tc>
      </w:tr>
      <w:tr w14:paraId="1BA1DE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583" w:type="dxa"/>
          </w:tcPr>
          <w:p w14:paraId="3AD5F1A5">
            <w:pPr>
              <w:pStyle w:val="248"/>
              <w:spacing w:before="67"/>
              <w:ind w:left="116"/>
              <w:rPr>
                <w:color w:val="auto"/>
                <w:highlight w:val="none"/>
              </w:rPr>
            </w:pPr>
            <w:r>
              <w:rPr>
                <w:color w:val="auto"/>
                <w:spacing w:val="-4"/>
                <w:highlight w:val="none"/>
              </w:rPr>
              <w:t>26</w:t>
            </w:r>
          </w:p>
        </w:tc>
        <w:tc>
          <w:tcPr>
            <w:tcW w:w="1542" w:type="dxa"/>
          </w:tcPr>
          <w:p w14:paraId="369BA1E6">
            <w:pPr>
              <w:pStyle w:val="248"/>
              <w:spacing w:before="67" w:line="221" w:lineRule="auto"/>
              <w:ind w:left="102"/>
              <w:rPr>
                <w:color w:val="auto"/>
                <w:highlight w:val="none"/>
              </w:rPr>
            </w:pPr>
            <w:r>
              <w:rPr>
                <w:color w:val="auto"/>
                <w:spacing w:val="-1"/>
                <w:highlight w:val="none"/>
              </w:rPr>
              <w:t>A0609</w:t>
            </w:r>
            <w:r>
              <w:rPr>
                <w:color w:val="auto"/>
                <w:spacing w:val="-34"/>
                <w:highlight w:val="none"/>
              </w:rPr>
              <w:t xml:space="preserve"> </w:t>
            </w:r>
            <w:r>
              <w:rPr>
                <w:color w:val="auto"/>
                <w:spacing w:val="-1"/>
                <w:highlight w:val="none"/>
              </w:rPr>
              <w:t>组合家具</w:t>
            </w:r>
          </w:p>
        </w:tc>
        <w:tc>
          <w:tcPr>
            <w:tcW w:w="2672" w:type="dxa"/>
          </w:tcPr>
          <w:p w14:paraId="5C32FB6C">
            <w:pPr>
              <w:rPr>
                <w:rFonts w:ascii="Arial"/>
                <w:color w:val="auto"/>
                <w:highlight w:val="none"/>
              </w:rPr>
            </w:pPr>
          </w:p>
        </w:tc>
        <w:tc>
          <w:tcPr>
            <w:tcW w:w="2248" w:type="dxa"/>
          </w:tcPr>
          <w:p w14:paraId="0020E4C7">
            <w:pPr>
              <w:rPr>
                <w:rFonts w:ascii="Arial"/>
                <w:color w:val="auto"/>
                <w:highlight w:val="none"/>
              </w:rPr>
            </w:pPr>
          </w:p>
        </w:tc>
        <w:tc>
          <w:tcPr>
            <w:tcW w:w="3543" w:type="dxa"/>
          </w:tcPr>
          <w:p w14:paraId="2F70003A">
            <w:pPr>
              <w:pStyle w:val="248"/>
              <w:spacing w:before="67" w:line="219" w:lineRule="auto"/>
              <w:ind w:left="109"/>
              <w:rPr>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4F24ED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83" w:type="dxa"/>
          </w:tcPr>
          <w:p w14:paraId="376BF56E">
            <w:pPr>
              <w:pStyle w:val="248"/>
              <w:spacing w:before="68"/>
              <w:ind w:left="116"/>
              <w:rPr>
                <w:color w:val="auto"/>
                <w:highlight w:val="none"/>
              </w:rPr>
            </w:pPr>
            <w:r>
              <w:rPr>
                <w:color w:val="auto"/>
                <w:spacing w:val="-4"/>
                <w:highlight w:val="none"/>
              </w:rPr>
              <w:t>27</w:t>
            </w:r>
          </w:p>
        </w:tc>
        <w:tc>
          <w:tcPr>
            <w:tcW w:w="1542" w:type="dxa"/>
          </w:tcPr>
          <w:p w14:paraId="58A64E28">
            <w:pPr>
              <w:pStyle w:val="248"/>
              <w:spacing w:before="68" w:line="282" w:lineRule="auto"/>
              <w:ind w:left="108" w:right="106" w:hanging="6"/>
              <w:rPr>
                <w:color w:val="auto"/>
                <w:highlight w:val="none"/>
              </w:rPr>
            </w:pPr>
            <w:r>
              <w:rPr>
                <w:color w:val="auto"/>
                <w:spacing w:val="4"/>
                <w:highlight w:val="none"/>
              </w:rPr>
              <w:t>A0610</w:t>
            </w:r>
            <w:r>
              <w:rPr>
                <w:color w:val="auto"/>
                <w:spacing w:val="31"/>
                <w:highlight w:val="none"/>
              </w:rPr>
              <w:t xml:space="preserve"> </w:t>
            </w:r>
            <w:r>
              <w:rPr>
                <w:color w:val="auto"/>
                <w:spacing w:val="4"/>
                <w:highlight w:val="none"/>
              </w:rPr>
              <w:t>家用家具</w:t>
            </w:r>
            <w:r>
              <w:rPr>
                <w:color w:val="auto"/>
                <w:highlight w:val="none"/>
              </w:rPr>
              <w:t xml:space="preserve"> </w:t>
            </w:r>
            <w:r>
              <w:rPr>
                <w:color w:val="auto"/>
                <w:spacing w:val="-2"/>
                <w:highlight w:val="none"/>
              </w:rPr>
              <w:t>零配件</w:t>
            </w:r>
          </w:p>
        </w:tc>
        <w:tc>
          <w:tcPr>
            <w:tcW w:w="2672" w:type="dxa"/>
          </w:tcPr>
          <w:p w14:paraId="04BEB7EF">
            <w:pPr>
              <w:rPr>
                <w:rFonts w:ascii="Arial"/>
                <w:color w:val="auto"/>
                <w:highlight w:val="none"/>
              </w:rPr>
            </w:pPr>
          </w:p>
        </w:tc>
        <w:tc>
          <w:tcPr>
            <w:tcW w:w="2248" w:type="dxa"/>
          </w:tcPr>
          <w:p w14:paraId="1C1D7B2F">
            <w:pPr>
              <w:rPr>
                <w:rFonts w:ascii="Arial"/>
                <w:color w:val="auto"/>
                <w:highlight w:val="none"/>
              </w:rPr>
            </w:pPr>
          </w:p>
        </w:tc>
        <w:tc>
          <w:tcPr>
            <w:tcW w:w="3543" w:type="dxa"/>
          </w:tcPr>
          <w:p w14:paraId="3A56284F">
            <w:pPr>
              <w:pStyle w:val="248"/>
              <w:spacing w:before="67" w:line="219" w:lineRule="auto"/>
              <w:ind w:left="109"/>
              <w:rPr>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7CD64C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583" w:type="dxa"/>
          </w:tcPr>
          <w:p w14:paraId="032C6BDC">
            <w:pPr>
              <w:pStyle w:val="248"/>
              <w:spacing w:before="70"/>
              <w:ind w:left="116"/>
              <w:rPr>
                <w:color w:val="auto"/>
                <w:highlight w:val="none"/>
              </w:rPr>
            </w:pPr>
            <w:r>
              <w:rPr>
                <w:color w:val="auto"/>
                <w:spacing w:val="-4"/>
                <w:highlight w:val="none"/>
              </w:rPr>
              <w:t>28</w:t>
            </w:r>
          </w:p>
        </w:tc>
        <w:tc>
          <w:tcPr>
            <w:tcW w:w="1542" w:type="dxa"/>
          </w:tcPr>
          <w:p w14:paraId="7C265935">
            <w:pPr>
              <w:pStyle w:val="248"/>
              <w:spacing w:before="71" w:line="282" w:lineRule="auto"/>
              <w:ind w:left="109" w:right="106" w:hanging="7"/>
              <w:rPr>
                <w:color w:val="auto"/>
                <w:highlight w:val="none"/>
              </w:rPr>
            </w:pPr>
            <w:r>
              <w:rPr>
                <w:color w:val="auto"/>
                <w:spacing w:val="4"/>
                <w:highlight w:val="none"/>
              </w:rPr>
              <w:t>A0699</w:t>
            </w:r>
            <w:r>
              <w:rPr>
                <w:color w:val="auto"/>
                <w:spacing w:val="31"/>
                <w:highlight w:val="none"/>
              </w:rPr>
              <w:t xml:space="preserve"> </w:t>
            </w:r>
            <w:r>
              <w:rPr>
                <w:color w:val="auto"/>
                <w:spacing w:val="4"/>
                <w:highlight w:val="none"/>
              </w:rPr>
              <w:t>其他家具</w:t>
            </w:r>
            <w:r>
              <w:rPr>
                <w:color w:val="auto"/>
                <w:highlight w:val="none"/>
              </w:rPr>
              <w:t xml:space="preserve"> </w:t>
            </w:r>
            <w:r>
              <w:rPr>
                <w:color w:val="auto"/>
                <w:spacing w:val="-3"/>
                <w:highlight w:val="none"/>
              </w:rPr>
              <w:t>用具</w:t>
            </w:r>
          </w:p>
        </w:tc>
        <w:tc>
          <w:tcPr>
            <w:tcW w:w="2672" w:type="dxa"/>
          </w:tcPr>
          <w:p w14:paraId="6CE40683">
            <w:pPr>
              <w:rPr>
                <w:rFonts w:ascii="Arial"/>
                <w:color w:val="auto"/>
                <w:highlight w:val="none"/>
              </w:rPr>
            </w:pPr>
          </w:p>
        </w:tc>
        <w:tc>
          <w:tcPr>
            <w:tcW w:w="2248" w:type="dxa"/>
          </w:tcPr>
          <w:p w14:paraId="589BCED8">
            <w:pPr>
              <w:rPr>
                <w:rFonts w:ascii="Arial"/>
                <w:color w:val="auto"/>
                <w:highlight w:val="none"/>
              </w:rPr>
            </w:pPr>
          </w:p>
        </w:tc>
        <w:tc>
          <w:tcPr>
            <w:tcW w:w="3543" w:type="dxa"/>
          </w:tcPr>
          <w:p w14:paraId="0632EFC6">
            <w:pPr>
              <w:pStyle w:val="248"/>
              <w:spacing w:before="70" w:line="219" w:lineRule="auto"/>
              <w:ind w:left="109"/>
              <w:rPr>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69C525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583" w:type="dxa"/>
          </w:tcPr>
          <w:p w14:paraId="1ED88998">
            <w:pPr>
              <w:pStyle w:val="248"/>
              <w:spacing w:before="68"/>
              <w:ind w:left="116"/>
              <w:rPr>
                <w:color w:val="auto"/>
                <w:highlight w:val="none"/>
              </w:rPr>
            </w:pPr>
            <w:r>
              <w:rPr>
                <w:color w:val="auto"/>
                <w:spacing w:val="-4"/>
                <w:highlight w:val="none"/>
              </w:rPr>
              <w:t>29</w:t>
            </w:r>
          </w:p>
        </w:tc>
        <w:tc>
          <w:tcPr>
            <w:tcW w:w="1542" w:type="dxa"/>
          </w:tcPr>
          <w:p w14:paraId="09F847B4">
            <w:pPr>
              <w:pStyle w:val="248"/>
              <w:spacing w:before="69" w:line="284" w:lineRule="auto"/>
              <w:ind w:left="111" w:right="106" w:hanging="9"/>
              <w:rPr>
                <w:color w:val="auto"/>
                <w:highlight w:val="none"/>
              </w:rPr>
            </w:pPr>
            <w:r>
              <w:rPr>
                <w:color w:val="auto"/>
                <w:spacing w:val="-7"/>
                <w:highlight w:val="none"/>
              </w:rPr>
              <w:t>A070101</w:t>
            </w:r>
            <w:r>
              <w:rPr>
                <w:color w:val="auto"/>
                <w:spacing w:val="-36"/>
                <w:highlight w:val="none"/>
              </w:rPr>
              <w:t xml:space="preserve"> </w:t>
            </w:r>
            <w:r>
              <w:rPr>
                <w:color w:val="auto"/>
                <w:spacing w:val="-7"/>
                <w:highlight w:val="none"/>
              </w:rPr>
              <w:t>棉、化纤</w:t>
            </w:r>
            <w:r>
              <w:rPr>
                <w:color w:val="auto"/>
                <w:highlight w:val="none"/>
              </w:rPr>
              <w:t xml:space="preserve"> </w:t>
            </w:r>
            <w:r>
              <w:rPr>
                <w:color w:val="auto"/>
                <w:spacing w:val="-2"/>
                <w:highlight w:val="none"/>
              </w:rPr>
              <w:t>纺织及印染原料</w:t>
            </w:r>
          </w:p>
        </w:tc>
        <w:tc>
          <w:tcPr>
            <w:tcW w:w="2672" w:type="dxa"/>
          </w:tcPr>
          <w:p w14:paraId="1E81C138">
            <w:pPr>
              <w:rPr>
                <w:rFonts w:ascii="Arial"/>
                <w:color w:val="auto"/>
                <w:highlight w:val="none"/>
              </w:rPr>
            </w:pPr>
          </w:p>
        </w:tc>
        <w:tc>
          <w:tcPr>
            <w:tcW w:w="2248" w:type="dxa"/>
          </w:tcPr>
          <w:p w14:paraId="21F04E20">
            <w:pPr>
              <w:rPr>
                <w:rFonts w:ascii="Arial"/>
                <w:color w:val="auto"/>
                <w:highlight w:val="none"/>
              </w:rPr>
            </w:pPr>
          </w:p>
        </w:tc>
        <w:tc>
          <w:tcPr>
            <w:tcW w:w="3543" w:type="dxa"/>
          </w:tcPr>
          <w:p w14:paraId="004C1697">
            <w:pPr>
              <w:pStyle w:val="248"/>
              <w:spacing w:before="67" w:line="219" w:lineRule="auto"/>
              <w:ind w:left="109"/>
              <w:rPr>
                <w:color w:val="auto"/>
                <w:highlight w:val="none"/>
              </w:rPr>
            </w:pPr>
            <w:r>
              <w:rPr>
                <w:color w:val="auto"/>
                <w:spacing w:val="-1"/>
                <w:highlight w:val="none"/>
              </w:rPr>
              <w:t>HJ2546</w:t>
            </w:r>
            <w:r>
              <w:rPr>
                <w:color w:val="auto"/>
                <w:spacing w:val="-34"/>
                <w:highlight w:val="none"/>
              </w:rPr>
              <w:t xml:space="preserve"> </w:t>
            </w:r>
            <w:r>
              <w:rPr>
                <w:color w:val="auto"/>
                <w:spacing w:val="-1"/>
                <w:highlight w:val="none"/>
              </w:rPr>
              <w:t>纺织产品</w:t>
            </w:r>
          </w:p>
        </w:tc>
      </w:tr>
    </w:tbl>
    <w:p w14:paraId="080384BB">
      <w:pPr>
        <w:rPr>
          <w:rFonts w:ascii="Arial"/>
          <w:color w:val="auto"/>
          <w:highlight w:val="none"/>
        </w:rPr>
      </w:pPr>
    </w:p>
    <w:p w14:paraId="40A6865C">
      <w:pPr>
        <w:rPr>
          <w:rFonts w:ascii="Arial" w:hAnsi="Arial" w:eastAsia="Arial" w:cs="Arial"/>
          <w:color w:val="auto"/>
          <w:szCs w:val="21"/>
          <w:highlight w:val="none"/>
        </w:rPr>
        <w:sectPr>
          <w:pgSz w:w="11906" w:h="16838"/>
          <w:pgMar w:top="1431" w:right="644" w:bottom="0" w:left="667" w:header="0" w:footer="0" w:gutter="0"/>
          <w:cols w:space="720" w:num="1"/>
        </w:sectPr>
      </w:pPr>
    </w:p>
    <w:p w14:paraId="5EF2B41E">
      <w:pPr>
        <w:spacing w:line="91" w:lineRule="auto"/>
        <w:rPr>
          <w:rFonts w:ascii="Arial"/>
          <w:color w:val="auto"/>
          <w:sz w:val="2"/>
          <w:highlight w:val="none"/>
        </w:rPr>
      </w:pPr>
    </w:p>
    <w:tbl>
      <w:tblPr>
        <w:tblStyle w:val="249"/>
        <w:tblW w:w="1058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83"/>
        <w:gridCol w:w="1542"/>
        <w:gridCol w:w="2672"/>
        <w:gridCol w:w="2248"/>
        <w:gridCol w:w="3543"/>
      </w:tblGrid>
      <w:tr w14:paraId="3264C1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583" w:type="dxa"/>
          </w:tcPr>
          <w:p w14:paraId="10DA1B84">
            <w:pPr>
              <w:pStyle w:val="248"/>
              <w:spacing w:before="68"/>
              <w:ind w:left="118"/>
              <w:rPr>
                <w:color w:val="auto"/>
                <w:highlight w:val="none"/>
              </w:rPr>
            </w:pPr>
            <w:r>
              <w:rPr>
                <w:color w:val="auto"/>
                <w:spacing w:val="-5"/>
                <w:highlight w:val="none"/>
              </w:rPr>
              <w:t>30</w:t>
            </w:r>
          </w:p>
        </w:tc>
        <w:tc>
          <w:tcPr>
            <w:tcW w:w="1542" w:type="dxa"/>
          </w:tcPr>
          <w:p w14:paraId="00564600">
            <w:pPr>
              <w:pStyle w:val="248"/>
              <w:spacing w:before="69" w:line="296" w:lineRule="auto"/>
              <w:ind w:left="109" w:right="106" w:hanging="7"/>
              <w:rPr>
                <w:color w:val="auto"/>
                <w:highlight w:val="none"/>
              </w:rPr>
            </w:pPr>
            <w:r>
              <w:rPr>
                <w:color w:val="auto"/>
                <w:spacing w:val="-2"/>
                <w:highlight w:val="none"/>
              </w:rPr>
              <w:t>A090101</w:t>
            </w:r>
            <w:r>
              <w:rPr>
                <w:color w:val="auto"/>
                <w:spacing w:val="42"/>
                <w:highlight w:val="none"/>
              </w:rPr>
              <w:t xml:space="preserve"> </w:t>
            </w:r>
            <w:r>
              <w:rPr>
                <w:color w:val="auto"/>
                <w:spacing w:val="-2"/>
                <w:highlight w:val="none"/>
              </w:rPr>
              <w:t>复</w:t>
            </w:r>
            <w:r>
              <w:rPr>
                <w:color w:val="auto"/>
                <w:spacing w:val="-48"/>
                <w:highlight w:val="none"/>
              </w:rPr>
              <w:t xml:space="preserve"> </w:t>
            </w:r>
            <w:r>
              <w:rPr>
                <w:color w:val="auto"/>
                <w:spacing w:val="-2"/>
                <w:highlight w:val="none"/>
              </w:rPr>
              <w:t>印纸</w:t>
            </w:r>
            <w:r>
              <w:rPr>
                <w:color w:val="auto"/>
                <w:highlight w:val="none"/>
              </w:rPr>
              <w:t xml:space="preserve"> </w:t>
            </w:r>
            <w:r>
              <w:rPr>
                <w:color w:val="auto"/>
                <w:spacing w:val="8"/>
                <w:highlight w:val="none"/>
              </w:rPr>
              <w:t>（包括再生复印</w:t>
            </w:r>
            <w:r>
              <w:rPr>
                <w:color w:val="auto"/>
                <w:spacing w:val="4"/>
                <w:highlight w:val="none"/>
              </w:rPr>
              <w:t xml:space="preserve"> </w:t>
            </w:r>
            <w:r>
              <w:rPr>
                <w:color w:val="auto"/>
                <w:spacing w:val="-5"/>
                <w:highlight w:val="none"/>
              </w:rPr>
              <w:t>纸）</w:t>
            </w:r>
          </w:p>
        </w:tc>
        <w:tc>
          <w:tcPr>
            <w:tcW w:w="2672" w:type="dxa"/>
          </w:tcPr>
          <w:p w14:paraId="72CEBC11">
            <w:pPr>
              <w:rPr>
                <w:rFonts w:ascii="Arial"/>
                <w:color w:val="auto"/>
                <w:highlight w:val="none"/>
              </w:rPr>
            </w:pPr>
          </w:p>
        </w:tc>
        <w:tc>
          <w:tcPr>
            <w:tcW w:w="2248" w:type="dxa"/>
          </w:tcPr>
          <w:p w14:paraId="764C7C74">
            <w:pPr>
              <w:rPr>
                <w:rFonts w:ascii="Arial"/>
                <w:color w:val="auto"/>
                <w:highlight w:val="none"/>
              </w:rPr>
            </w:pPr>
          </w:p>
        </w:tc>
        <w:tc>
          <w:tcPr>
            <w:tcW w:w="3543" w:type="dxa"/>
          </w:tcPr>
          <w:p w14:paraId="44C13F8E">
            <w:pPr>
              <w:pStyle w:val="248"/>
              <w:spacing w:before="67" w:line="219" w:lineRule="auto"/>
              <w:ind w:left="109"/>
              <w:rPr>
                <w:color w:val="auto"/>
                <w:highlight w:val="none"/>
              </w:rPr>
            </w:pPr>
            <w:r>
              <w:rPr>
                <w:color w:val="auto"/>
                <w:spacing w:val="-2"/>
                <w:highlight w:val="none"/>
              </w:rPr>
              <w:t>HJ410</w:t>
            </w:r>
            <w:r>
              <w:rPr>
                <w:color w:val="auto"/>
                <w:spacing w:val="-27"/>
                <w:highlight w:val="none"/>
              </w:rPr>
              <w:t xml:space="preserve"> </w:t>
            </w:r>
            <w:r>
              <w:rPr>
                <w:color w:val="auto"/>
                <w:spacing w:val="-2"/>
                <w:highlight w:val="none"/>
              </w:rPr>
              <w:t>文化用纸</w:t>
            </w:r>
          </w:p>
        </w:tc>
      </w:tr>
      <w:tr w14:paraId="45A354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583" w:type="dxa"/>
          </w:tcPr>
          <w:p w14:paraId="5AD85D2E">
            <w:pPr>
              <w:pStyle w:val="248"/>
              <w:spacing w:before="64"/>
              <w:ind w:left="118"/>
              <w:rPr>
                <w:color w:val="auto"/>
                <w:highlight w:val="none"/>
              </w:rPr>
            </w:pPr>
            <w:r>
              <w:rPr>
                <w:color w:val="auto"/>
                <w:spacing w:val="-5"/>
                <w:highlight w:val="none"/>
              </w:rPr>
              <w:t>31</w:t>
            </w:r>
          </w:p>
        </w:tc>
        <w:tc>
          <w:tcPr>
            <w:tcW w:w="1542" w:type="dxa"/>
          </w:tcPr>
          <w:p w14:paraId="3FFDF50F">
            <w:pPr>
              <w:pStyle w:val="248"/>
              <w:spacing w:before="64" w:line="296" w:lineRule="auto"/>
              <w:ind w:left="109" w:right="106" w:hanging="7"/>
              <w:rPr>
                <w:color w:val="auto"/>
                <w:highlight w:val="none"/>
              </w:rPr>
            </w:pPr>
            <w:r>
              <w:rPr>
                <w:color w:val="auto"/>
                <w:spacing w:val="3"/>
                <w:highlight w:val="none"/>
              </w:rPr>
              <w:t>A090201</w:t>
            </w:r>
            <w:r>
              <w:rPr>
                <w:color w:val="auto"/>
                <w:spacing w:val="34"/>
                <w:highlight w:val="none"/>
              </w:rPr>
              <w:t xml:space="preserve"> </w:t>
            </w:r>
            <w:r>
              <w:rPr>
                <w:color w:val="auto"/>
                <w:spacing w:val="3"/>
                <w:highlight w:val="none"/>
              </w:rPr>
              <w:t>鼓粉盒</w:t>
            </w:r>
            <w:r>
              <w:rPr>
                <w:color w:val="auto"/>
                <w:highlight w:val="none"/>
              </w:rPr>
              <w:t xml:space="preserve"> </w:t>
            </w:r>
            <w:r>
              <w:rPr>
                <w:color w:val="auto"/>
                <w:spacing w:val="8"/>
                <w:highlight w:val="none"/>
              </w:rPr>
              <w:t>（包括再生鼓粉</w:t>
            </w:r>
            <w:r>
              <w:rPr>
                <w:color w:val="auto"/>
                <w:spacing w:val="4"/>
                <w:highlight w:val="none"/>
              </w:rPr>
              <w:t xml:space="preserve"> </w:t>
            </w:r>
            <w:r>
              <w:rPr>
                <w:color w:val="auto"/>
                <w:spacing w:val="-5"/>
                <w:highlight w:val="none"/>
              </w:rPr>
              <w:t>盒）</w:t>
            </w:r>
          </w:p>
        </w:tc>
        <w:tc>
          <w:tcPr>
            <w:tcW w:w="2672" w:type="dxa"/>
          </w:tcPr>
          <w:p w14:paraId="087D8C49">
            <w:pPr>
              <w:rPr>
                <w:rFonts w:ascii="Arial"/>
                <w:color w:val="auto"/>
                <w:highlight w:val="none"/>
              </w:rPr>
            </w:pPr>
          </w:p>
        </w:tc>
        <w:tc>
          <w:tcPr>
            <w:tcW w:w="2248" w:type="dxa"/>
          </w:tcPr>
          <w:p w14:paraId="6FBFC037">
            <w:pPr>
              <w:rPr>
                <w:rFonts w:ascii="Arial"/>
                <w:color w:val="auto"/>
                <w:highlight w:val="none"/>
              </w:rPr>
            </w:pPr>
          </w:p>
        </w:tc>
        <w:tc>
          <w:tcPr>
            <w:tcW w:w="3543" w:type="dxa"/>
          </w:tcPr>
          <w:p w14:paraId="23322173">
            <w:pPr>
              <w:pStyle w:val="248"/>
              <w:spacing w:before="63" w:line="219" w:lineRule="auto"/>
              <w:ind w:left="109"/>
              <w:rPr>
                <w:color w:val="auto"/>
                <w:highlight w:val="none"/>
              </w:rPr>
            </w:pPr>
            <w:r>
              <w:rPr>
                <w:color w:val="auto"/>
                <w:spacing w:val="-1"/>
                <w:highlight w:val="none"/>
              </w:rPr>
              <w:t>HJ/T413</w:t>
            </w:r>
            <w:r>
              <w:rPr>
                <w:color w:val="auto"/>
                <w:spacing w:val="-34"/>
                <w:highlight w:val="none"/>
              </w:rPr>
              <w:t xml:space="preserve"> </w:t>
            </w:r>
            <w:r>
              <w:rPr>
                <w:color w:val="auto"/>
                <w:spacing w:val="-1"/>
                <w:highlight w:val="none"/>
              </w:rPr>
              <w:t>再生鼓粉盒</w:t>
            </w:r>
          </w:p>
        </w:tc>
      </w:tr>
      <w:tr w14:paraId="56679B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583" w:type="dxa"/>
            <w:vMerge w:val="restart"/>
            <w:tcBorders>
              <w:bottom w:val="nil"/>
            </w:tcBorders>
          </w:tcPr>
          <w:p w14:paraId="68AB9B7A">
            <w:pPr>
              <w:pStyle w:val="248"/>
              <w:spacing w:before="64"/>
              <w:ind w:left="118"/>
              <w:rPr>
                <w:color w:val="auto"/>
                <w:highlight w:val="none"/>
              </w:rPr>
            </w:pPr>
            <w:r>
              <w:rPr>
                <w:color w:val="auto"/>
                <w:spacing w:val="-5"/>
                <w:highlight w:val="none"/>
              </w:rPr>
              <w:t>32</w:t>
            </w:r>
          </w:p>
        </w:tc>
        <w:tc>
          <w:tcPr>
            <w:tcW w:w="1542" w:type="dxa"/>
            <w:vMerge w:val="restart"/>
            <w:tcBorders>
              <w:bottom w:val="nil"/>
            </w:tcBorders>
          </w:tcPr>
          <w:p w14:paraId="5D5F4E58">
            <w:pPr>
              <w:pStyle w:val="248"/>
              <w:spacing w:before="64" w:line="219" w:lineRule="auto"/>
              <w:ind w:left="102"/>
              <w:rPr>
                <w:color w:val="auto"/>
                <w:highlight w:val="none"/>
              </w:rPr>
            </w:pPr>
            <w:r>
              <w:rPr>
                <w:color w:val="auto"/>
                <w:spacing w:val="-1"/>
                <w:highlight w:val="none"/>
              </w:rPr>
              <w:t>A100203</w:t>
            </w:r>
            <w:r>
              <w:rPr>
                <w:color w:val="auto"/>
                <w:spacing w:val="-33"/>
                <w:highlight w:val="none"/>
              </w:rPr>
              <w:t xml:space="preserve"> </w:t>
            </w:r>
            <w:r>
              <w:rPr>
                <w:color w:val="auto"/>
                <w:spacing w:val="-1"/>
                <w:highlight w:val="none"/>
              </w:rPr>
              <w:t>人造板</w:t>
            </w:r>
          </w:p>
        </w:tc>
        <w:tc>
          <w:tcPr>
            <w:tcW w:w="2672" w:type="dxa"/>
          </w:tcPr>
          <w:p w14:paraId="15C98454">
            <w:pPr>
              <w:pStyle w:val="248"/>
              <w:spacing w:before="64" w:line="219" w:lineRule="auto"/>
              <w:ind w:left="103"/>
              <w:rPr>
                <w:color w:val="auto"/>
                <w:highlight w:val="none"/>
              </w:rPr>
            </w:pPr>
            <w:r>
              <w:rPr>
                <w:color w:val="auto"/>
                <w:spacing w:val="-1"/>
                <w:highlight w:val="none"/>
              </w:rPr>
              <w:t>A10020301</w:t>
            </w:r>
            <w:r>
              <w:rPr>
                <w:color w:val="auto"/>
                <w:spacing w:val="-32"/>
                <w:highlight w:val="none"/>
              </w:rPr>
              <w:t xml:space="preserve"> </w:t>
            </w:r>
            <w:r>
              <w:rPr>
                <w:color w:val="auto"/>
                <w:spacing w:val="-1"/>
                <w:highlight w:val="none"/>
              </w:rPr>
              <w:t>胶合板</w:t>
            </w:r>
          </w:p>
        </w:tc>
        <w:tc>
          <w:tcPr>
            <w:tcW w:w="2248" w:type="dxa"/>
          </w:tcPr>
          <w:p w14:paraId="688F82A0">
            <w:pPr>
              <w:rPr>
                <w:rFonts w:ascii="Arial"/>
                <w:color w:val="auto"/>
                <w:highlight w:val="none"/>
              </w:rPr>
            </w:pPr>
          </w:p>
        </w:tc>
        <w:tc>
          <w:tcPr>
            <w:tcW w:w="3543" w:type="dxa"/>
          </w:tcPr>
          <w:p w14:paraId="7A2D32AA">
            <w:pPr>
              <w:pStyle w:val="248"/>
              <w:spacing w:before="64" w:line="219" w:lineRule="auto"/>
              <w:ind w:left="109"/>
              <w:rPr>
                <w:color w:val="auto"/>
                <w:highlight w:val="none"/>
              </w:rPr>
            </w:pPr>
            <w:r>
              <w:rPr>
                <w:color w:val="auto"/>
                <w:spacing w:val="-1"/>
                <w:highlight w:val="none"/>
              </w:rPr>
              <w:t>HJ571</w:t>
            </w:r>
            <w:r>
              <w:rPr>
                <w:color w:val="auto"/>
                <w:spacing w:val="-34"/>
                <w:highlight w:val="none"/>
              </w:rPr>
              <w:t xml:space="preserve"> </w:t>
            </w:r>
            <w:r>
              <w:rPr>
                <w:color w:val="auto"/>
                <w:spacing w:val="-1"/>
                <w:highlight w:val="none"/>
              </w:rPr>
              <w:t>人造板及其制品</w:t>
            </w:r>
          </w:p>
        </w:tc>
      </w:tr>
      <w:tr w14:paraId="7E74DF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continue"/>
            <w:tcBorders>
              <w:top w:val="nil"/>
              <w:bottom w:val="nil"/>
            </w:tcBorders>
          </w:tcPr>
          <w:p w14:paraId="7EBEA311">
            <w:pPr>
              <w:rPr>
                <w:rFonts w:ascii="Arial"/>
                <w:color w:val="auto"/>
                <w:highlight w:val="none"/>
              </w:rPr>
            </w:pPr>
          </w:p>
        </w:tc>
        <w:tc>
          <w:tcPr>
            <w:tcW w:w="1542" w:type="dxa"/>
            <w:vMerge w:val="continue"/>
            <w:tcBorders>
              <w:top w:val="nil"/>
              <w:bottom w:val="nil"/>
            </w:tcBorders>
          </w:tcPr>
          <w:p w14:paraId="0560E6CC">
            <w:pPr>
              <w:rPr>
                <w:rFonts w:ascii="Arial"/>
                <w:color w:val="auto"/>
                <w:highlight w:val="none"/>
              </w:rPr>
            </w:pPr>
          </w:p>
        </w:tc>
        <w:tc>
          <w:tcPr>
            <w:tcW w:w="2672" w:type="dxa"/>
          </w:tcPr>
          <w:p w14:paraId="644D9147">
            <w:pPr>
              <w:pStyle w:val="248"/>
              <w:spacing w:before="65" w:line="219" w:lineRule="auto"/>
              <w:ind w:left="103"/>
              <w:rPr>
                <w:color w:val="auto"/>
                <w:highlight w:val="none"/>
              </w:rPr>
            </w:pPr>
            <w:r>
              <w:rPr>
                <w:color w:val="auto"/>
                <w:spacing w:val="-1"/>
                <w:highlight w:val="none"/>
              </w:rPr>
              <w:t>A10020302</w:t>
            </w:r>
            <w:r>
              <w:rPr>
                <w:color w:val="auto"/>
                <w:spacing w:val="-30"/>
                <w:highlight w:val="none"/>
              </w:rPr>
              <w:t xml:space="preserve"> </w:t>
            </w:r>
            <w:r>
              <w:rPr>
                <w:color w:val="auto"/>
                <w:spacing w:val="-1"/>
                <w:highlight w:val="none"/>
              </w:rPr>
              <w:t>纤维板</w:t>
            </w:r>
          </w:p>
        </w:tc>
        <w:tc>
          <w:tcPr>
            <w:tcW w:w="2248" w:type="dxa"/>
          </w:tcPr>
          <w:p w14:paraId="75AC6E63">
            <w:pPr>
              <w:rPr>
                <w:rFonts w:ascii="Arial"/>
                <w:color w:val="auto"/>
                <w:highlight w:val="none"/>
              </w:rPr>
            </w:pPr>
          </w:p>
        </w:tc>
        <w:tc>
          <w:tcPr>
            <w:tcW w:w="3543" w:type="dxa"/>
          </w:tcPr>
          <w:p w14:paraId="2D2764BA">
            <w:pPr>
              <w:pStyle w:val="248"/>
              <w:spacing w:before="64" w:line="219" w:lineRule="auto"/>
              <w:ind w:left="109"/>
              <w:rPr>
                <w:color w:val="auto"/>
                <w:highlight w:val="none"/>
              </w:rPr>
            </w:pPr>
            <w:r>
              <w:rPr>
                <w:color w:val="auto"/>
                <w:spacing w:val="-1"/>
                <w:highlight w:val="none"/>
              </w:rPr>
              <w:t>HJ571</w:t>
            </w:r>
            <w:r>
              <w:rPr>
                <w:color w:val="auto"/>
                <w:spacing w:val="-34"/>
                <w:highlight w:val="none"/>
              </w:rPr>
              <w:t xml:space="preserve"> </w:t>
            </w:r>
            <w:r>
              <w:rPr>
                <w:color w:val="auto"/>
                <w:spacing w:val="-1"/>
                <w:highlight w:val="none"/>
              </w:rPr>
              <w:t>人造板及其制品</w:t>
            </w:r>
          </w:p>
        </w:tc>
      </w:tr>
      <w:tr w14:paraId="2FD9A3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583" w:type="dxa"/>
            <w:vMerge w:val="continue"/>
            <w:tcBorders>
              <w:top w:val="nil"/>
              <w:bottom w:val="nil"/>
            </w:tcBorders>
          </w:tcPr>
          <w:p w14:paraId="4060A151">
            <w:pPr>
              <w:rPr>
                <w:rFonts w:ascii="Arial"/>
                <w:color w:val="auto"/>
                <w:highlight w:val="none"/>
              </w:rPr>
            </w:pPr>
          </w:p>
        </w:tc>
        <w:tc>
          <w:tcPr>
            <w:tcW w:w="1542" w:type="dxa"/>
            <w:vMerge w:val="continue"/>
            <w:tcBorders>
              <w:top w:val="nil"/>
              <w:bottom w:val="nil"/>
            </w:tcBorders>
          </w:tcPr>
          <w:p w14:paraId="342AE4EF">
            <w:pPr>
              <w:rPr>
                <w:rFonts w:ascii="Arial"/>
                <w:color w:val="auto"/>
                <w:highlight w:val="none"/>
              </w:rPr>
            </w:pPr>
          </w:p>
        </w:tc>
        <w:tc>
          <w:tcPr>
            <w:tcW w:w="2672" w:type="dxa"/>
          </w:tcPr>
          <w:p w14:paraId="783B883B">
            <w:pPr>
              <w:pStyle w:val="248"/>
              <w:spacing w:before="65" w:line="219" w:lineRule="auto"/>
              <w:ind w:left="103"/>
              <w:rPr>
                <w:color w:val="auto"/>
                <w:highlight w:val="none"/>
              </w:rPr>
            </w:pPr>
            <w:r>
              <w:rPr>
                <w:color w:val="auto"/>
                <w:spacing w:val="-1"/>
                <w:highlight w:val="none"/>
              </w:rPr>
              <w:t>A10020303</w:t>
            </w:r>
            <w:r>
              <w:rPr>
                <w:color w:val="auto"/>
                <w:spacing w:val="-32"/>
                <w:highlight w:val="none"/>
              </w:rPr>
              <w:t xml:space="preserve"> </w:t>
            </w:r>
            <w:r>
              <w:rPr>
                <w:color w:val="auto"/>
                <w:spacing w:val="-1"/>
                <w:highlight w:val="none"/>
              </w:rPr>
              <w:t>刨花板</w:t>
            </w:r>
          </w:p>
        </w:tc>
        <w:tc>
          <w:tcPr>
            <w:tcW w:w="2248" w:type="dxa"/>
          </w:tcPr>
          <w:p w14:paraId="673200C3">
            <w:pPr>
              <w:rPr>
                <w:rFonts w:ascii="Arial"/>
                <w:color w:val="auto"/>
                <w:highlight w:val="none"/>
              </w:rPr>
            </w:pPr>
          </w:p>
        </w:tc>
        <w:tc>
          <w:tcPr>
            <w:tcW w:w="3543" w:type="dxa"/>
          </w:tcPr>
          <w:p w14:paraId="44CD308D">
            <w:pPr>
              <w:pStyle w:val="248"/>
              <w:spacing w:before="64" w:line="219" w:lineRule="auto"/>
              <w:ind w:left="109"/>
              <w:rPr>
                <w:color w:val="auto"/>
                <w:highlight w:val="none"/>
              </w:rPr>
            </w:pPr>
            <w:r>
              <w:rPr>
                <w:color w:val="auto"/>
                <w:spacing w:val="-1"/>
                <w:highlight w:val="none"/>
              </w:rPr>
              <w:t>HJ571</w:t>
            </w:r>
            <w:r>
              <w:rPr>
                <w:color w:val="auto"/>
                <w:spacing w:val="-34"/>
                <w:highlight w:val="none"/>
              </w:rPr>
              <w:t xml:space="preserve"> </w:t>
            </w:r>
            <w:r>
              <w:rPr>
                <w:color w:val="auto"/>
                <w:spacing w:val="-1"/>
                <w:highlight w:val="none"/>
              </w:rPr>
              <w:t>人造板及其制品</w:t>
            </w:r>
          </w:p>
        </w:tc>
      </w:tr>
      <w:tr w14:paraId="12A061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continue"/>
            <w:tcBorders>
              <w:top w:val="nil"/>
              <w:bottom w:val="nil"/>
            </w:tcBorders>
          </w:tcPr>
          <w:p w14:paraId="1704D713">
            <w:pPr>
              <w:rPr>
                <w:rFonts w:ascii="Arial"/>
                <w:color w:val="auto"/>
                <w:highlight w:val="none"/>
              </w:rPr>
            </w:pPr>
          </w:p>
        </w:tc>
        <w:tc>
          <w:tcPr>
            <w:tcW w:w="1542" w:type="dxa"/>
            <w:vMerge w:val="continue"/>
            <w:tcBorders>
              <w:top w:val="nil"/>
              <w:bottom w:val="nil"/>
            </w:tcBorders>
          </w:tcPr>
          <w:p w14:paraId="2AC2F6D5">
            <w:pPr>
              <w:rPr>
                <w:rFonts w:ascii="Arial"/>
                <w:color w:val="auto"/>
                <w:highlight w:val="none"/>
              </w:rPr>
            </w:pPr>
          </w:p>
        </w:tc>
        <w:tc>
          <w:tcPr>
            <w:tcW w:w="2672" w:type="dxa"/>
          </w:tcPr>
          <w:p w14:paraId="76D38D15">
            <w:pPr>
              <w:pStyle w:val="248"/>
              <w:spacing w:before="68" w:line="219" w:lineRule="auto"/>
              <w:ind w:left="103"/>
              <w:rPr>
                <w:color w:val="auto"/>
                <w:highlight w:val="none"/>
              </w:rPr>
            </w:pPr>
            <w:r>
              <w:rPr>
                <w:color w:val="auto"/>
                <w:spacing w:val="-1"/>
                <w:highlight w:val="none"/>
              </w:rPr>
              <w:t>A10020304</w:t>
            </w:r>
            <w:r>
              <w:rPr>
                <w:color w:val="auto"/>
                <w:spacing w:val="-31"/>
                <w:highlight w:val="none"/>
              </w:rPr>
              <w:t xml:space="preserve"> </w:t>
            </w:r>
            <w:r>
              <w:rPr>
                <w:color w:val="auto"/>
                <w:spacing w:val="-1"/>
                <w:highlight w:val="none"/>
              </w:rPr>
              <w:t>细木工板</w:t>
            </w:r>
          </w:p>
        </w:tc>
        <w:tc>
          <w:tcPr>
            <w:tcW w:w="2248" w:type="dxa"/>
          </w:tcPr>
          <w:p w14:paraId="1F828566">
            <w:pPr>
              <w:rPr>
                <w:rFonts w:ascii="Arial"/>
                <w:color w:val="auto"/>
                <w:highlight w:val="none"/>
              </w:rPr>
            </w:pPr>
          </w:p>
        </w:tc>
        <w:tc>
          <w:tcPr>
            <w:tcW w:w="3543" w:type="dxa"/>
          </w:tcPr>
          <w:p w14:paraId="2C0E9B23">
            <w:pPr>
              <w:pStyle w:val="248"/>
              <w:spacing w:before="67" w:line="219" w:lineRule="auto"/>
              <w:ind w:left="109"/>
              <w:rPr>
                <w:color w:val="auto"/>
                <w:highlight w:val="none"/>
              </w:rPr>
            </w:pPr>
            <w:r>
              <w:rPr>
                <w:color w:val="auto"/>
                <w:spacing w:val="-1"/>
                <w:highlight w:val="none"/>
              </w:rPr>
              <w:t>HJ571</w:t>
            </w:r>
            <w:r>
              <w:rPr>
                <w:color w:val="auto"/>
                <w:spacing w:val="-34"/>
                <w:highlight w:val="none"/>
              </w:rPr>
              <w:t xml:space="preserve"> </w:t>
            </w:r>
            <w:r>
              <w:rPr>
                <w:color w:val="auto"/>
                <w:spacing w:val="-1"/>
                <w:highlight w:val="none"/>
              </w:rPr>
              <w:t>人造板及其制品</w:t>
            </w:r>
          </w:p>
        </w:tc>
      </w:tr>
      <w:tr w14:paraId="4090A0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continue"/>
            <w:tcBorders>
              <w:top w:val="nil"/>
            </w:tcBorders>
          </w:tcPr>
          <w:p w14:paraId="151C34AF">
            <w:pPr>
              <w:rPr>
                <w:rFonts w:ascii="Arial"/>
                <w:color w:val="auto"/>
                <w:highlight w:val="none"/>
              </w:rPr>
            </w:pPr>
          </w:p>
        </w:tc>
        <w:tc>
          <w:tcPr>
            <w:tcW w:w="1542" w:type="dxa"/>
            <w:vMerge w:val="continue"/>
            <w:tcBorders>
              <w:top w:val="nil"/>
            </w:tcBorders>
          </w:tcPr>
          <w:p w14:paraId="40AB2FF2">
            <w:pPr>
              <w:rPr>
                <w:rFonts w:ascii="Arial"/>
                <w:color w:val="auto"/>
                <w:highlight w:val="none"/>
              </w:rPr>
            </w:pPr>
          </w:p>
        </w:tc>
        <w:tc>
          <w:tcPr>
            <w:tcW w:w="2672" w:type="dxa"/>
          </w:tcPr>
          <w:p w14:paraId="22CB790A">
            <w:pPr>
              <w:pStyle w:val="248"/>
              <w:spacing w:before="65" w:line="219" w:lineRule="auto"/>
              <w:ind w:left="103"/>
              <w:rPr>
                <w:color w:val="auto"/>
                <w:highlight w:val="none"/>
              </w:rPr>
            </w:pPr>
            <w:r>
              <w:rPr>
                <w:color w:val="auto"/>
                <w:spacing w:val="-1"/>
                <w:highlight w:val="none"/>
              </w:rPr>
              <w:t>A10020399</w:t>
            </w:r>
            <w:r>
              <w:rPr>
                <w:color w:val="auto"/>
                <w:spacing w:val="-31"/>
                <w:highlight w:val="none"/>
              </w:rPr>
              <w:t xml:space="preserve"> </w:t>
            </w:r>
            <w:r>
              <w:rPr>
                <w:color w:val="auto"/>
                <w:spacing w:val="-1"/>
                <w:highlight w:val="none"/>
              </w:rPr>
              <w:t>其他人造板</w:t>
            </w:r>
          </w:p>
        </w:tc>
        <w:tc>
          <w:tcPr>
            <w:tcW w:w="2248" w:type="dxa"/>
          </w:tcPr>
          <w:p w14:paraId="7071BE6E">
            <w:pPr>
              <w:rPr>
                <w:rFonts w:ascii="Arial"/>
                <w:color w:val="auto"/>
                <w:highlight w:val="none"/>
              </w:rPr>
            </w:pPr>
          </w:p>
        </w:tc>
        <w:tc>
          <w:tcPr>
            <w:tcW w:w="3543" w:type="dxa"/>
          </w:tcPr>
          <w:p w14:paraId="30F33350">
            <w:pPr>
              <w:pStyle w:val="248"/>
              <w:spacing w:before="64" w:line="219" w:lineRule="auto"/>
              <w:ind w:left="109"/>
              <w:rPr>
                <w:color w:val="auto"/>
                <w:highlight w:val="none"/>
              </w:rPr>
            </w:pPr>
            <w:r>
              <w:rPr>
                <w:color w:val="auto"/>
                <w:spacing w:val="-1"/>
                <w:highlight w:val="none"/>
              </w:rPr>
              <w:t>HJ571</w:t>
            </w:r>
            <w:r>
              <w:rPr>
                <w:color w:val="auto"/>
                <w:spacing w:val="-34"/>
                <w:highlight w:val="none"/>
              </w:rPr>
              <w:t xml:space="preserve"> </w:t>
            </w:r>
            <w:r>
              <w:rPr>
                <w:color w:val="auto"/>
                <w:spacing w:val="-1"/>
                <w:highlight w:val="none"/>
              </w:rPr>
              <w:t>人造板及其制品</w:t>
            </w:r>
          </w:p>
        </w:tc>
      </w:tr>
      <w:tr w14:paraId="105439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583" w:type="dxa"/>
            <w:vMerge w:val="restart"/>
            <w:tcBorders>
              <w:bottom w:val="nil"/>
            </w:tcBorders>
          </w:tcPr>
          <w:p w14:paraId="7B159E40">
            <w:pPr>
              <w:pStyle w:val="248"/>
              <w:spacing w:before="65"/>
              <w:ind w:left="118"/>
              <w:rPr>
                <w:color w:val="auto"/>
                <w:highlight w:val="none"/>
              </w:rPr>
            </w:pPr>
            <w:r>
              <w:rPr>
                <w:color w:val="auto"/>
                <w:spacing w:val="-5"/>
                <w:highlight w:val="none"/>
              </w:rPr>
              <w:t>33</w:t>
            </w:r>
          </w:p>
        </w:tc>
        <w:tc>
          <w:tcPr>
            <w:tcW w:w="1542" w:type="dxa"/>
            <w:vMerge w:val="restart"/>
            <w:tcBorders>
              <w:bottom w:val="nil"/>
            </w:tcBorders>
          </w:tcPr>
          <w:p w14:paraId="5D32EEF7">
            <w:pPr>
              <w:pStyle w:val="248"/>
              <w:spacing w:before="64" w:line="321" w:lineRule="auto"/>
              <w:ind w:left="109" w:right="108" w:hanging="7"/>
              <w:rPr>
                <w:color w:val="auto"/>
                <w:highlight w:val="none"/>
              </w:rPr>
            </w:pPr>
            <w:r>
              <w:rPr>
                <w:color w:val="auto"/>
                <w:spacing w:val="3"/>
                <w:highlight w:val="none"/>
              </w:rPr>
              <w:t>A100204</w:t>
            </w:r>
            <w:r>
              <w:rPr>
                <w:color w:val="auto"/>
                <w:spacing w:val="34"/>
                <w:highlight w:val="none"/>
              </w:rPr>
              <w:t xml:space="preserve"> </w:t>
            </w:r>
            <w:r>
              <w:rPr>
                <w:color w:val="auto"/>
                <w:spacing w:val="3"/>
                <w:highlight w:val="none"/>
              </w:rPr>
              <w:t>二次加</w:t>
            </w:r>
            <w:r>
              <w:rPr>
                <w:color w:val="auto"/>
                <w:highlight w:val="none"/>
              </w:rPr>
              <w:t xml:space="preserve"> </w:t>
            </w:r>
            <w:r>
              <w:rPr>
                <w:color w:val="auto"/>
                <w:spacing w:val="-2"/>
                <w:highlight w:val="none"/>
              </w:rPr>
              <w:t>工材,相关板材</w:t>
            </w:r>
          </w:p>
        </w:tc>
        <w:tc>
          <w:tcPr>
            <w:tcW w:w="2672" w:type="dxa"/>
          </w:tcPr>
          <w:p w14:paraId="3FE20CBF">
            <w:pPr>
              <w:pStyle w:val="248"/>
              <w:spacing w:before="65" w:line="219" w:lineRule="auto"/>
              <w:ind w:left="103"/>
              <w:rPr>
                <w:color w:val="auto"/>
                <w:highlight w:val="none"/>
              </w:rPr>
            </w:pPr>
            <w:r>
              <w:rPr>
                <w:color w:val="auto"/>
                <w:spacing w:val="-1"/>
                <w:highlight w:val="none"/>
              </w:rPr>
              <w:t>A10020404</w:t>
            </w:r>
            <w:r>
              <w:rPr>
                <w:color w:val="auto"/>
                <w:spacing w:val="-28"/>
                <w:highlight w:val="none"/>
              </w:rPr>
              <w:t xml:space="preserve"> </w:t>
            </w:r>
            <w:r>
              <w:rPr>
                <w:color w:val="auto"/>
                <w:spacing w:val="-1"/>
                <w:highlight w:val="none"/>
              </w:rPr>
              <w:t>人造板表面装饰板</w:t>
            </w:r>
          </w:p>
        </w:tc>
        <w:tc>
          <w:tcPr>
            <w:tcW w:w="2248" w:type="dxa"/>
          </w:tcPr>
          <w:p w14:paraId="49D806B9">
            <w:pPr>
              <w:rPr>
                <w:rFonts w:ascii="Arial"/>
                <w:color w:val="auto"/>
                <w:highlight w:val="none"/>
              </w:rPr>
            </w:pPr>
          </w:p>
        </w:tc>
        <w:tc>
          <w:tcPr>
            <w:tcW w:w="3543" w:type="dxa"/>
          </w:tcPr>
          <w:p w14:paraId="7989D3D0">
            <w:pPr>
              <w:pStyle w:val="248"/>
              <w:spacing w:before="64" w:line="219" w:lineRule="auto"/>
              <w:ind w:left="109"/>
              <w:rPr>
                <w:color w:val="auto"/>
                <w:highlight w:val="none"/>
              </w:rPr>
            </w:pPr>
            <w:r>
              <w:rPr>
                <w:color w:val="auto"/>
                <w:spacing w:val="-1"/>
                <w:highlight w:val="none"/>
              </w:rPr>
              <w:t>HJ571</w:t>
            </w:r>
            <w:r>
              <w:rPr>
                <w:color w:val="auto"/>
                <w:spacing w:val="-30"/>
                <w:highlight w:val="none"/>
              </w:rPr>
              <w:t xml:space="preserve"> </w:t>
            </w:r>
            <w:r>
              <w:rPr>
                <w:color w:val="auto"/>
                <w:spacing w:val="-1"/>
                <w:highlight w:val="none"/>
              </w:rPr>
              <w:t>人造板及其制品/HJ2540</w:t>
            </w:r>
            <w:r>
              <w:rPr>
                <w:color w:val="auto"/>
                <w:spacing w:val="-38"/>
                <w:highlight w:val="none"/>
              </w:rPr>
              <w:t xml:space="preserve"> </w:t>
            </w:r>
            <w:r>
              <w:rPr>
                <w:color w:val="auto"/>
                <w:spacing w:val="-1"/>
                <w:highlight w:val="none"/>
              </w:rPr>
              <w:t>木塑制品</w:t>
            </w:r>
          </w:p>
        </w:tc>
      </w:tr>
      <w:tr w14:paraId="23D9EA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583" w:type="dxa"/>
            <w:vMerge w:val="continue"/>
            <w:tcBorders>
              <w:top w:val="nil"/>
            </w:tcBorders>
          </w:tcPr>
          <w:p w14:paraId="0F782B14">
            <w:pPr>
              <w:rPr>
                <w:rFonts w:ascii="Arial"/>
                <w:color w:val="auto"/>
                <w:highlight w:val="none"/>
              </w:rPr>
            </w:pPr>
          </w:p>
        </w:tc>
        <w:tc>
          <w:tcPr>
            <w:tcW w:w="1542" w:type="dxa"/>
            <w:vMerge w:val="continue"/>
            <w:tcBorders>
              <w:top w:val="nil"/>
            </w:tcBorders>
          </w:tcPr>
          <w:p w14:paraId="3753ACE0">
            <w:pPr>
              <w:rPr>
                <w:rFonts w:ascii="Arial"/>
                <w:color w:val="auto"/>
                <w:highlight w:val="none"/>
              </w:rPr>
            </w:pPr>
          </w:p>
        </w:tc>
        <w:tc>
          <w:tcPr>
            <w:tcW w:w="2672" w:type="dxa"/>
          </w:tcPr>
          <w:p w14:paraId="5F2C8E4E">
            <w:pPr>
              <w:pStyle w:val="248"/>
              <w:spacing w:before="67" w:line="284" w:lineRule="auto"/>
              <w:ind w:left="113" w:right="107" w:hanging="10"/>
              <w:rPr>
                <w:color w:val="auto"/>
                <w:highlight w:val="none"/>
              </w:rPr>
            </w:pPr>
            <w:r>
              <w:rPr>
                <w:color w:val="auto"/>
                <w:spacing w:val="5"/>
                <w:highlight w:val="none"/>
              </w:rPr>
              <w:t>A10020404</w:t>
            </w:r>
            <w:r>
              <w:rPr>
                <w:color w:val="auto"/>
                <w:spacing w:val="30"/>
                <w:highlight w:val="none"/>
              </w:rPr>
              <w:t xml:space="preserve"> </w:t>
            </w:r>
            <w:r>
              <w:rPr>
                <w:color w:val="auto"/>
                <w:spacing w:val="5"/>
                <w:highlight w:val="none"/>
              </w:rPr>
              <w:t>人造板表面装饰板</w:t>
            </w:r>
            <w:r>
              <w:rPr>
                <w:color w:val="auto"/>
                <w:highlight w:val="none"/>
              </w:rPr>
              <w:t xml:space="preserve"> </w:t>
            </w:r>
            <w:r>
              <w:rPr>
                <w:color w:val="auto"/>
                <w:spacing w:val="-3"/>
                <w:highlight w:val="none"/>
              </w:rPr>
              <w:t>（地板）</w:t>
            </w:r>
          </w:p>
        </w:tc>
        <w:tc>
          <w:tcPr>
            <w:tcW w:w="2248" w:type="dxa"/>
          </w:tcPr>
          <w:p w14:paraId="68CAFCC8">
            <w:pPr>
              <w:rPr>
                <w:rFonts w:ascii="Arial"/>
                <w:color w:val="auto"/>
                <w:highlight w:val="none"/>
              </w:rPr>
            </w:pPr>
          </w:p>
        </w:tc>
        <w:tc>
          <w:tcPr>
            <w:tcW w:w="3543" w:type="dxa"/>
          </w:tcPr>
          <w:p w14:paraId="4E6ED7D5">
            <w:pPr>
              <w:pStyle w:val="248"/>
              <w:spacing w:before="67" w:line="219" w:lineRule="auto"/>
              <w:ind w:left="109"/>
              <w:rPr>
                <w:color w:val="auto"/>
                <w:highlight w:val="none"/>
              </w:rPr>
            </w:pPr>
            <w:r>
              <w:rPr>
                <w:color w:val="auto"/>
                <w:spacing w:val="-1"/>
                <w:highlight w:val="none"/>
              </w:rPr>
              <w:t>HJ571</w:t>
            </w:r>
            <w:r>
              <w:rPr>
                <w:color w:val="auto"/>
                <w:spacing w:val="-30"/>
                <w:highlight w:val="none"/>
              </w:rPr>
              <w:t xml:space="preserve"> </w:t>
            </w:r>
            <w:r>
              <w:rPr>
                <w:color w:val="auto"/>
                <w:spacing w:val="-1"/>
                <w:highlight w:val="none"/>
              </w:rPr>
              <w:t>人造板及其制品/HJ2540</w:t>
            </w:r>
            <w:r>
              <w:rPr>
                <w:color w:val="auto"/>
                <w:spacing w:val="-38"/>
                <w:highlight w:val="none"/>
              </w:rPr>
              <w:t xml:space="preserve"> </w:t>
            </w:r>
            <w:r>
              <w:rPr>
                <w:color w:val="auto"/>
                <w:spacing w:val="-1"/>
                <w:highlight w:val="none"/>
              </w:rPr>
              <w:t>木塑制品</w:t>
            </w:r>
          </w:p>
        </w:tc>
      </w:tr>
      <w:tr w14:paraId="5312F6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83" w:type="dxa"/>
          </w:tcPr>
          <w:p w14:paraId="3FF1D2CC">
            <w:pPr>
              <w:pStyle w:val="248"/>
              <w:spacing w:before="65"/>
              <w:ind w:left="118"/>
              <w:rPr>
                <w:color w:val="auto"/>
                <w:highlight w:val="none"/>
              </w:rPr>
            </w:pPr>
            <w:r>
              <w:rPr>
                <w:color w:val="auto"/>
                <w:spacing w:val="-5"/>
                <w:highlight w:val="none"/>
              </w:rPr>
              <w:t>34</w:t>
            </w:r>
          </w:p>
        </w:tc>
        <w:tc>
          <w:tcPr>
            <w:tcW w:w="1542" w:type="dxa"/>
          </w:tcPr>
          <w:p w14:paraId="58690CE6">
            <w:pPr>
              <w:pStyle w:val="248"/>
              <w:spacing w:before="66" w:line="283" w:lineRule="auto"/>
              <w:ind w:left="107" w:right="108" w:hanging="5"/>
              <w:rPr>
                <w:color w:val="auto"/>
                <w:highlight w:val="none"/>
              </w:rPr>
            </w:pPr>
            <w:r>
              <w:rPr>
                <w:color w:val="auto"/>
                <w:spacing w:val="3"/>
                <w:highlight w:val="none"/>
              </w:rPr>
              <w:t>A100301</w:t>
            </w:r>
            <w:r>
              <w:rPr>
                <w:color w:val="auto"/>
                <w:spacing w:val="34"/>
                <w:highlight w:val="none"/>
              </w:rPr>
              <w:t xml:space="preserve"> </w:t>
            </w:r>
            <w:r>
              <w:rPr>
                <w:color w:val="auto"/>
                <w:spacing w:val="3"/>
                <w:highlight w:val="none"/>
              </w:rPr>
              <w:t>水泥熟</w:t>
            </w:r>
            <w:r>
              <w:rPr>
                <w:color w:val="auto"/>
                <w:highlight w:val="none"/>
              </w:rPr>
              <w:t xml:space="preserve"> </w:t>
            </w:r>
            <w:r>
              <w:rPr>
                <w:color w:val="auto"/>
                <w:spacing w:val="-2"/>
                <w:highlight w:val="none"/>
              </w:rPr>
              <w:t>料及水泥</w:t>
            </w:r>
          </w:p>
        </w:tc>
        <w:tc>
          <w:tcPr>
            <w:tcW w:w="2672" w:type="dxa"/>
          </w:tcPr>
          <w:p w14:paraId="723CE147">
            <w:pPr>
              <w:pStyle w:val="248"/>
              <w:spacing w:before="65" w:line="220" w:lineRule="auto"/>
              <w:ind w:left="103"/>
              <w:rPr>
                <w:color w:val="auto"/>
                <w:highlight w:val="none"/>
              </w:rPr>
            </w:pPr>
            <w:r>
              <w:rPr>
                <w:color w:val="auto"/>
                <w:spacing w:val="-1"/>
                <w:highlight w:val="none"/>
              </w:rPr>
              <w:t>A10030102</w:t>
            </w:r>
            <w:r>
              <w:rPr>
                <w:color w:val="auto"/>
                <w:spacing w:val="-31"/>
                <w:highlight w:val="none"/>
              </w:rPr>
              <w:t xml:space="preserve"> </w:t>
            </w:r>
            <w:r>
              <w:rPr>
                <w:color w:val="auto"/>
                <w:spacing w:val="-1"/>
                <w:highlight w:val="none"/>
              </w:rPr>
              <w:t>水泥</w:t>
            </w:r>
          </w:p>
        </w:tc>
        <w:tc>
          <w:tcPr>
            <w:tcW w:w="2248" w:type="dxa"/>
          </w:tcPr>
          <w:p w14:paraId="17203CB6">
            <w:pPr>
              <w:rPr>
                <w:rFonts w:ascii="Arial"/>
                <w:color w:val="auto"/>
                <w:highlight w:val="none"/>
              </w:rPr>
            </w:pPr>
          </w:p>
        </w:tc>
        <w:tc>
          <w:tcPr>
            <w:tcW w:w="3543" w:type="dxa"/>
          </w:tcPr>
          <w:p w14:paraId="7BA97EB1">
            <w:pPr>
              <w:pStyle w:val="248"/>
              <w:spacing w:before="64" w:line="219" w:lineRule="auto"/>
              <w:ind w:left="109"/>
              <w:rPr>
                <w:color w:val="auto"/>
                <w:highlight w:val="none"/>
              </w:rPr>
            </w:pPr>
            <w:r>
              <w:rPr>
                <w:color w:val="auto"/>
                <w:spacing w:val="-1"/>
                <w:highlight w:val="none"/>
              </w:rPr>
              <w:t>HJ2519</w:t>
            </w:r>
            <w:r>
              <w:rPr>
                <w:color w:val="auto"/>
                <w:spacing w:val="-34"/>
                <w:highlight w:val="none"/>
              </w:rPr>
              <w:t xml:space="preserve"> </w:t>
            </w:r>
            <w:r>
              <w:rPr>
                <w:color w:val="auto"/>
                <w:spacing w:val="-1"/>
                <w:highlight w:val="none"/>
              </w:rPr>
              <w:t>水泥</w:t>
            </w:r>
          </w:p>
        </w:tc>
      </w:tr>
      <w:tr w14:paraId="22739E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83" w:type="dxa"/>
          </w:tcPr>
          <w:p w14:paraId="36F2CEE3">
            <w:pPr>
              <w:pStyle w:val="248"/>
              <w:spacing w:before="66"/>
              <w:ind w:left="118"/>
              <w:rPr>
                <w:color w:val="auto"/>
                <w:highlight w:val="none"/>
              </w:rPr>
            </w:pPr>
            <w:r>
              <w:rPr>
                <w:color w:val="auto"/>
                <w:spacing w:val="-5"/>
                <w:highlight w:val="none"/>
              </w:rPr>
              <w:t>35</w:t>
            </w:r>
          </w:p>
        </w:tc>
        <w:tc>
          <w:tcPr>
            <w:tcW w:w="1542" w:type="dxa"/>
          </w:tcPr>
          <w:p w14:paraId="67EE74C1">
            <w:pPr>
              <w:pStyle w:val="248"/>
              <w:spacing w:before="66" w:line="283" w:lineRule="auto"/>
              <w:ind w:left="106" w:right="108" w:hanging="4"/>
              <w:rPr>
                <w:color w:val="auto"/>
                <w:highlight w:val="none"/>
              </w:rPr>
            </w:pPr>
            <w:r>
              <w:rPr>
                <w:color w:val="auto"/>
                <w:spacing w:val="3"/>
                <w:highlight w:val="none"/>
              </w:rPr>
              <w:t>A100303</w:t>
            </w:r>
            <w:r>
              <w:rPr>
                <w:color w:val="auto"/>
                <w:spacing w:val="34"/>
                <w:highlight w:val="none"/>
              </w:rPr>
              <w:t xml:space="preserve"> </w:t>
            </w:r>
            <w:r>
              <w:rPr>
                <w:color w:val="auto"/>
                <w:spacing w:val="3"/>
                <w:highlight w:val="none"/>
              </w:rPr>
              <w:t>水泥混</w:t>
            </w:r>
            <w:r>
              <w:rPr>
                <w:color w:val="auto"/>
                <w:highlight w:val="none"/>
              </w:rPr>
              <w:t xml:space="preserve"> </w:t>
            </w:r>
            <w:r>
              <w:rPr>
                <w:color w:val="auto"/>
                <w:spacing w:val="-2"/>
                <w:highlight w:val="none"/>
              </w:rPr>
              <w:t>凝土制品</w:t>
            </w:r>
          </w:p>
        </w:tc>
        <w:tc>
          <w:tcPr>
            <w:tcW w:w="2672" w:type="dxa"/>
          </w:tcPr>
          <w:p w14:paraId="4593F13B">
            <w:pPr>
              <w:pStyle w:val="248"/>
              <w:spacing w:before="65" w:line="221" w:lineRule="auto"/>
              <w:ind w:left="103"/>
              <w:rPr>
                <w:color w:val="auto"/>
                <w:highlight w:val="none"/>
              </w:rPr>
            </w:pPr>
            <w:r>
              <w:rPr>
                <w:color w:val="auto"/>
                <w:spacing w:val="-1"/>
                <w:highlight w:val="none"/>
              </w:rPr>
              <w:t>A10030301</w:t>
            </w:r>
            <w:r>
              <w:rPr>
                <w:color w:val="auto"/>
                <w:spacing w:val="-30"/>
                <w:highlight w:val="none"/>
              </w:rPr>
              <w:t xml:space="preserve"> </w:t>
            </w:r>
            <w:r>
              <w:rPr>
                <w:color w:val="auto"/>
                <w:spacing w:val="-1"/>
                <w:highlight w:val="none"/>
              </w:rPr>
              <w:t>商品混凝土</w:t>
            </w:r>
          </w:p>
        </w:tc>
        <w:tc>
          <w:tcPr>
            <w:tcW w:w="2248" w:type="dxa"/>
          </w:tcPr>
          <w:p w14:paraId="7EE18CBE">
            <w:pPr>
              <w:rPr>
                <w:rFonts w:ascii="Arial"/>
                <w:color w:val="auto"/>
                <w:highlight w:val="none"/>
              </w:rPr>
            </w:pPr>
          </w:p>
        </w:tc>
        <w:tc>
          <w:tcPr>
            <w:tcW w:w="3543" w:type="dxa"/>
          </w:tcPr>
          <w:p w14:paraId="5F1689DE">
            <w:pPr>
              <w:pStyle w:val="248"/>
              <w:spacing w:before="65" w:line="219" w:lineRule="auto"/>
              <w:ind w:left="109"/>
              <w:rPr>
                <w:color w:val="auto"/>
                <w:highlight w:val="none"/>
              </w:rPr>
            </w:pPr>
            <w:r>
              <w:rPr>
                <w:color w:val="auto"/>
                <w:spacing w:val="-1"/>
                <w:highlight w:val="none"/>
              </w:rPr>
              <w:t>HJ/T412</w:t>
            </w:r>
            <w:r>
              <w:rPr>
                <w:color w:val="auto"/>
                <w:spacing w:val="-34"/>
                <w:highlight w:val="none"/>
              </w:rPr>
              <w:t xml:space="preserve"> </w:t>
            </w:r>
            <w:r>
              <w:rPr>
                <w:color w:val="auto"/>
                <w:spacing w:val="-1"/>
                <w:highlight w:val="none"/>
              </w:rPr>
              <w:t>预拌混凝土</w:t>
            </w:r>
          </w:p>
        </w:tc>
      </w:tr>
      <w:tr w14:paraId="2AEE35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restart"/>
            <w:tcBorders>
              <w:bottom w:val="nil"/>
            </w:tcBorders>
          </w:tcPr>
          <w:p w14:paraId="35008D6F">
            <w:pPr>
              <w:pStyle w:val="248"/>
              <w:spacing w:before="66"/>
              <w:ind w:left="118"/>
              <w:rPr>
                <w:color w:val="auto"/>
                <w:highlight w:val="none"/>
              </w:rPr>
            </w:pPr>
            <w:r>
              <w:rPr>
                <w:color w:val="auto"/>
                <w:spacing w:val="-5"/>
                <w:highlight w:val="none"/>
              </w:rPr>
              <w:t>36</w:t>
            </w:r>
          </w:p>
        </w:tc>
        <w:tc>
          <w:tcPr>
            <w:tcW w:w="1542" w:type="dxa"/>
            <w:vMerge w:val="restart"/>
            <w:tcBorders>
              <w:bottom w:val="nil"/>
            </w:tcBorders>
          </w:tcPr>
          <w:p w14:paraId="676EB10D">
            <w:pPr>
              <w:pStyle w:val="248"/>
              <w:spacing w:before="66" w:line="322" w:lineRule="auto"/>
              <w:ind w:left="111" w:right="108" w:hanging="9"/>
              <w:rPr>
                <w:color w:val="auto"/>
                <w:highlight w:val="none"/>
              </w:rPr>
            </w:pPr>
            <w:r>
              <w:rPr>
                <w:color w:val="auto"/>
                <w:spacing w:val="3"/>
                <w:highlight w:val="none"/>
              </w:rPr>
              <w:t>A100304</w:t>
            </w:r>
            <w:r>
              <w:rPr>
                <w:color w:val="auto"/>
                <w:spacing w:val="35"/>
                <w:highlight w:val="none"/>
              </w:rPr>
              <w:t xml:space="preserve"> </w:t>
            </w:r>
            <w:r>
              <w:rPr>
                <w:color w:val="auto"/>
                <w:spacing w:val="3"/>
                <w:highlight w:val="none"/>
              </w:rPr>
              <w:t>纤维增</w:t>
            </w:r>
            <w:r>
              <w:rPr>
                <w:color w:val="auto"/>
                <w:highlight w:val="none"/>
              </w:rPr>
              <w:t xml:space="preserve"> </w:t>
            </w:r>
            <w:r>
              <w:rPr>
                <w:color w:val="auto"/>
                <w:spacing w:val="-2"/>
                <w:highlight w:val="none"/>
              </w:rPr>
              <w:t>强水泥制品</w:t>
            </w:r>
          </w:p>
        </w:tc>
        <w:tc>
          <w:tcPr>
            <w:tcW w:w="2672" w:type="dxa"/>
          </w:tcPr>
          <w:p w14:paraId="12B9BEDA">
            <w:pPr>
              <w:pStyle w:val="248"/>
              <w:spacing w:before="66" w:line="219" w:lineRule="auto"/>
              <w:ind w:left="103"/>
              <w:rPr>
                <w:color w:val="auto"/>
                <w:highlight w:val="none"/>
              </w:rPr>
            </w:pPr>
            <w:r>
              <w:rPr>
                <w:color w:val="auto"/>
                <w:spacing w:val="-1"/>
                <w:highlight w:val="none"/>
              </w:rPr>
              <w:t>A10030402</w:t>
            </w:r>
            <w:r>
              <w:rPr>
                <w:color w:val="auto"/>
                <w:spacing w:val="-28"/>
                <w:highlight w:val="none"/>
              </w:rPr>
              <w:t xml:space="preserve"> </w:t>
            </w:r>
            <w:r>
              <w:rPr>
                <w:color w:val="auto"/>
                <w:spacing w:val="-1"/>
                <w:highlight w:val="none"/>
              </w:rPr>
              <w:t>纤维增强硅酸钙板</w:t>
            </w:r>
          </w:p>
        </w:tc>
        <w:tc>
          <w:tcPr>
            <w:tcW w:w="2248" w:type="dxa"/>
          </w:tcPr>
          <w:p w14:paraId="793BBCE1">
            <w:pPr>
              <w:rPr>
                <w:rFonts w:ascii="Arial"/>
                <w:color w:val="auto"/>
                <w:highlight w:val="none"/>
              </w:rPr>
            </w:pPr>
          </w:p>
        </w:tc>
        <w:tc>
          <w:tcPr>
            <w:tcW w:w="3543" w:type="dxa"/>
          </w:tcPr>
          <w:p w14:paraId="4C7E2D99">
            <w:pPr>
              <w:pStyle w:val="248"/>
              <w:spacing w:before="66" w:line="219" w:lineRule="auto"/>
              <w:ind w:left="109"/>
              <w:rPr>
                <w:color w:val="auto"/>
                <w:highlight w:val="none"/>
              </w:rPr>
            </w:pPr>
            <w:r>
              <w:rPr>
                <w:color w:val="auto"/>
                <w:spacing w:val="-1"/>
                <w:highlight w:val="none"/>
              </w:rPr>
              <w:t>HJ/T223</w:t>
            </w:r>
            <w:r>
              <w:rPr>
                <w:color w:val="auto"/>
                <w:spacing w:val="-33"/>
                <w:highlight w:val="none"/>
              </w:rPr>
              <w:t xml:space="preserve"> </w:t>
            </w:r>
            <w:r>
              <w:rPr>
                <w:color w:val="auto"/>
                <w:spacing w:val="-1"/>
                <w:highlight w:val="none"/>
              </w:rPr>
              <w:t>轻质墙体板材</w:t>
            </w:r>
          </w:p>
        </w:tc>
      </w:tr>
      <w:tr w14:paraId="753AA2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583" w:type="dxa"/>
            <w:vMerge w:val="continue"/>
            <w:tcBorders>
              <w:top w:val="nil"/>
            </w:tcBorders>
          </w:tcPr>
          <w:p w14:paraId="301C010D">
            <w:pPr>
              <w:rPr>
                <w:rFonts w:ascii="Arial"/>
                <w:color w:val="auto"/>
                <w:highlight w:val="none"/>
              </w:rPr>
            </w:pPr>
          </w:p>
        </w:tc>
        <w:tc>
          <w:tcPr>
            <w:tcW w:w="1542" w:type="dxa"/>
            <w:vMerge w:val="continue"/>
            <w:tcBorders>
              <w:top w:val="nil"/>
            </w:tcBorders>
          </w:tcPr>
          <w:p w14:paraId="5A4801AA">
            <w:pPr>
              <w:rPr>
                <w:rFonts w:ascii="Arial"/>
                <w:color w:val="auto"/>
                <w:highlight w:val="none"/>
              </w:rPr>
            </w:pPr>
          </w:p>
        </w:tc>
        <w:tc>
          <w:tcPr>
            <w:tcW w:w="2672" w:type="dxa"/>
          </w:tcPr>
          <w:p w14:paraId="21375B51">
            <w:pPr>
              <w:pStyle w:val="248"/>
              <w:spacing w:before="66" w:line="220" w:lineRule="auto"/>
              <w:ind w:left="103"/>
              <w:rPr>
                <w:color w:val="auto"/>
                <w:highlight w:val="none"/>
              </w:rPr>
            </w:pPr>
            <w:r>
              <w:rPr>
                <w:color w:val="auto"/>
                <w:spacing w:val="-1"/>
                <w:highlight w:val="none"/>
              </w:rPr>
              <w:t>A10030403</w:t>
            </w:r>
            <w:r>
              <w:rPr>
                <w:color w:val="auto"/>
                <w:spacing w:val="-45"/>
                <w:highlight w:val="none"/>
              </w:rPr>
              <w:t xml:space="preserve"> </w:t>
            </w:r>
            <w:r>
              <w:rPr>
                <w:color w:val="auto"/>
                <w:spacing w:val="-1"/>
                <w:highlight w:val="none"/>
              </w:rPr>
              <w:t>无石棉纤维水泥制品</w:t>
            </w:r>
          </w:p>
        </w:tc>
        <w:tc>
          <w:tcPr>
            <w:tcW w:w="2248" w:type="dxa"/>
          </w:tcPr>
          <w:p w14:paraId="782D8D06">
            <w:pPr>
              <w:rPr>
                <w:rFonts w:ascii="Arial"/>
                <w:color w:val="auto"/>
                <w:highlight w:val="none"/>
              </w:rPr>
            </w:pPr>
          </w:p>
        </w:tc>
        <w:tc>
          <w:tcPr>
            <w:tcW w:w="3543" w:type="dxa"/>
          </w:tcPr>
          <w:p w14:paraId="0E1BB113">
            <w:pPr>
              <w:pStyle w:val="248"/>
              <w:spacing w:before="66" w:line="219" w:lineRule="auto"/>
              <w:ind w:left="109"/>
              <w:rPr>
                <w:color w:val="auto"/>
                <w:highlight w:val="none"/>
              </w:rPr>
            </w:pPr>
            <w:r>
              <w:rPr>
                <w:color w:val="auto"/>
                <w:spacing w:val="-1"/>
                <w:highlight w:val="none"/>
              </w:rPr>
              <w:t>HJ/T223</w:t>
            </w:r>
            <w:r>
              <w:rPr>
                <w:color w:val="auto"/>
                <w:spacing w:val="-33"/>
                <w:highlight w:val="none"/>
              </w:rPr>
              <w:t xml:space="preserve"> </w:t>
            </w:r>
            <w:r>
              <w:rPr>
                <w:color w:val="auto"/>
                <w:spacing w:val="-1"/>
                <w:highlight w:val="none"/>
              </w:rPr>
              <w:t>轻质墙体板材</w:t>
            </w:r>
          </w:p>
        </w:tc>
      </w:tr>
      <w:tr w14:paraId="7B56D5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restart"/>
            <w:tcBorders>
              <w:bottom w:val="nil"/>
            </w:tcBorders>
          </w:tcPr>
          <w:p w14:paraId="000C2FFE">
            <w:pPr>
              <w:pStyle w:val="248"/>
              <w:spacing w:before="67"/>
              <w:ind w:left="118"/>
              <w:rPr>
                <w:color w:val="auto"/>
                <w:highlight w:val="none"/>
              </w:rPr>
            </w:pPr>
            <w:r>
              <w:rPr>
                <w:color w:val="auto"/>
                <w:spacing w:val="-5"/>
                <w:highlight w:val="none"/>
              </w:rPr>
              <w:t>37</w:t>
            </w:r>
          </w:p>
        </w:tc>
        <w:tc>
          <w:tcPr>
            <w:tcW w:w="1542" w:type="dxa"/>
            <w:vMerge w:val="restart"/>
            <w:tcBorders>
              <w:bottom w:val="nil"/>
            </w:tcBorders>
          </w:tcPr>
          <w:p w14:paraId="752F0D1D">
            <w:pPr>
              <w:pStyle w:val="248"/>
              <w:spacing w:before="66" w:line="322" w:lineRule="auto"/>
              <w:ind w:left="109" w:right="108" w:hanging="7"/>
              <w:rPr>
                <w:color w:val="auto"/>
                <w:highlight w:val="none"/>
              </w:rPr>
            </w:pPr>
            <w:r>
              <w:rPr>
                <w:color w:val="auto"/>
                <w:spacing w:val="3"/>
                <w:highlight w:val="none"/>
              </w:rPr>
              <w:t>A100305</w:t>
            </w:r>
            <w:r>
              <w:rPr>
                <w:color w:val="auto"/>
                <w:spacing w:val="34"/>
                <w:highlight w:val="none"/>
              </w:rPr>
              <w:t xml:space="preserve"> </w:t>
            </w:r>
            <w:r>
              <w:rPr>
                <w:color w:val="auto"/>
                <w:spacing w:val="3"/>
                <w:highlight w:val="none"/>
              </w:rPr>
              <w:t>轻质建</w:t>
            </w:r>
            <w:r>
              <w:rPr>
                <w:color w:val="auto"/>
                <w:highlight w:val="none"/>
              </w:rPr>
              <w:t xml:space="preserve"> </w:t>
            </w:r>
            <w:r>
              <w:rPr>
                <w:color w:val="auto"/>
                <w:spacing w:val="-2"/>
                <w:highlight w:val="none"/>
              </w:rPr>
              <w:t>筑材料及制品</w:t>
            </w:r>
          </w:p>
        </w:tc>
        <w:tc>
          <w:tcPr>
            <w:tcW w:w="2672" w:type="dxa"/>
          </w:tcPr>
          <w:p w14:paraId="436B3484">
            <w:pPr>
              <w:pStyle w:val="248"/>
              <w:spacing w:before="67" w:line="219" w:lineRule="auto"/>
              <w:ind w:left="103"/>
              <w:rPr>
                <w:color w:val="auto"/>
                <w:highlight w:val="none"/>
              </w:rPr>
            </w:pPr>
            <w:r>
              <w:rPr>
                <w:color w:val="auto"/>
                <w:spacing w:val="-1"/>
                <w:highlight w:val="none"/>
              </w:rPr>
              <w:t>A10030501</w:t>
            </w:r>
            <w:r>
              <w:rPr>
                <w:color w:val="auto"/>
                <w:spacing w:val="-32"/>
                <w:highlight w:val="none"/>
              </w:rPr>
              <w:t xml:space="preserve"> </w:t>
            </w:r>
            <w:r>
              <w:rPr>
                <w:color w:val="auto"/>
                <w:spacing w:val="-1"/>
                <w:highlight w:val="none"/>
              </w:rPr>
              <w:t>石膏板</w:t>
            </w:r>
          </w:p>
        </w:tc>
        <w:tc>
          <w:tcPr>
            <w:tcW w:w="2248" w:type="dxa"/>
          </w:tcPr>
          <w:p w14:paraId="579A4174">
            <w:pPr>
              <w:rPr>
                <w:rFonts w:ascii="Arial"/>
                <w:color w:val="auto"/>
                <w:highlight w:val="none"/>
              </w:rPr>
            </w:pPr>
          </w:p>
        </w:tc>
        <w:tc>
          <w:tcPr>
            <w:tcW w:w="3543" w:type="dxa"/>
          </w:tcPr>
          <w:p w14:paraId="4F969E71">
            <w:pPr>
              <w:pStyle w:val="248"/>
              <w:spacing w:before="66" w:line="219" w:lineRule="auto"/>
              <w:ind w:left="109"/>
              <w:rPr>
                <w:color w:val="auto"/>
                <w:highlight w:val="none"/>
              </w:rPr>
            </w:pPr>
            <w:r>
              <w:rPr>
                <w:color w:val="auto"/>
                <w:spacing w:val="-1"/>
                <w:highlight w:val="none"/>
              </w:rPr>
              <w:t>HJ/T223</w:t>
            </w:r>
            <w:r>
              <w:rPr>
                <w:color w:val="auto"/>
                <w:spacing w:val="-33"/>
                <w:highlight w:val="none"/>
              </w:rPr>
              <w:t xml:space="preserve"> </w:t>
            </w:r>
            <w:r>
              <w:rPr>
                <w:color w:val="auto"/>
                <w:spacing w:val="-1"/>
                <w:highlight w:val="none"/>
              </w:rPr>
              <w:t>轻质墙体板材</w:t>
            </w:r>
          </w:p>
        </w:tc>
      </w:tr>
      <w:tr w14:paraId="1B259C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583" w:type="dxa"/>
            <w:vMerge w:val="continue"/>
            <w:tcBorders>
              <w:top w:val="nil"/>
            </w:tcBorders>
          </w:tcPr>
          <w:p w14:paraId="0FEFD5E8">
            <w:pPr>
              <w:rPr>
                <w:rFonts w:ascii="Arial"/>
                <w:color w:val="auto"/>
                <w:highlight w:val="none"/>
              </w:rPr>
            </w:pPr>
          </w:p>
        </w:tc>
        <w:tc>
          <w:tcPr>
            <w:tcW w:w="1542" w:type="dxa"/>
            <w:vMerge w:val="continue"/>
            <w:tcBorders>
              <w:top w:val="nil"/>
            </w:tcBorders>
          </w:tcPr>
          <w:p w14:paraId="58AAACB5">
            <w:pPr>
              <w:rPr>
                <w:rFonts w:ascii="Arial"/>
                <w:color w:val="auto"/>
                <w:highlight w:val="none"/>
              </w:rPr>
            </w:pPr>
          </w:p>
        </w:tc>
        <w:tc>
          <w:tcPr>
            <w:tcW w:w="2672" w:type="dxa"/>
          </w:tcPr>
          <w:p w14:paraId="0E7537A8">
            <w:pPr>
              <w:pStyle w:val="248"/>
              <w:spacing w:before="66" w:line="219" w:lineRule="auto"/>
              <w:ind w:left="103"/>
              <w:rPr>
                <w:color w:val="auto"/>
                <w:highlight w:val="none"/>
              </w:rPr>
            </w:pPr>
            <w:r>
              <w:rPr>
                <w:color w:val="auto"/>
                <w:spacing w:val="-1"/>
                <w:highlight w:val="none"/>
              </w:rPr>
              <w:t>A10030503</w:t>
            </w:r>
            <w:r>
              <w:rPr>
                <w:color w:val="auto"/>
                <w:spacing w:val="-30"/>
                <w:highlight w:val="none"/>
              </w:rPr>
              <w:t xml:space="preserve"> </w:t>
            </w:r>
            <w:r>
              <w:rPr>
                <w:color w:val="auto"/>
                <w:spacing w:val="-1"/>
                <w:highlight w:val="none"/>
              </w:rPr>
              <w:t>轻质隔墙条板</w:t>
            </w:r>
          </w:p>
        </w:tc>
        <w:tc>
          <w:tcPr>
            <w:tcW w:w="2248" w:type="dxa"/>
          </w:tcPr>
          <w:p w14:paraId="0B52593E">
            <w:pPr>
              <w:rPr>
                <w:rFonts w:ascii="Arial"/>
                <w:color w:val="auto"/>
                <w:highlight w:val="none"/>
              </w:rPr>
            </w:pPr>
          </w:p>
        </w:tc>
        <w:tc>
          <w:tcPr>
            <w:tcW w:w="3543" w:type="dxa"/>
          </w:tcPr>
          <w:p w14:paraId="5B99F9D5">
            <w:pPr>
              <w:pStyle w:val="248"/>
              <w:spacing w:before="66" w:line="219" w:lineRule="auto"/>
              <w:ind w:left="109"/>
              <w:rPr>
                <w:color w:val="auto"/>
                <w:highlight w:val="none"/>
              </w:rPr>
            </w:pPr>
            <w:r>
              <w:rPr>
                <w:color w:val="auto"/>
                <w:spacing w:val="-1"/>
                <w:highlight w:val="none"/>
              </w:rPr>
              <w:t>HJ/T223</w:t>
            </w:r>
            <w:r>
              <w:rPr>
                <w:color w:val="auto"/>
                <w:spacing w:val="-33"/>
                <w:highlight w:val="none"/>
              </w:rPr>
              <w:t xml:space="preserve"> </w:t>
            </w:r>
            <w:r>
              <w:rPr>
                <w:color w:val="auto"/>
                <w:spacing w:val="-1"/>
                <w:highlight w:val="none"/>
              </w:rPr>
              <w:t>轻质墙体板材</w:t>
            </w:r>
          </w:p>
        </w:tc>
      </w:tr>
      <w:tr w14:paraId="65785F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restart"/>
            <w:tcBorders>
              <w:bottom w:val="nil"/>
            </w:tcBorders>
          </w:tcPr>
          <w:p w14:paraId="59AE6922">
            <w:pPr>
              <w:pStyle w:val="248"/>
              <w:spacing w:before="67"/>
              <w:ind w:left="118"/>
              <w:rPr>
                <w:color w:val="auto"/>
                <w:highlight w:val="none"/>
              </w:rPr>
            </w:pPr>
            <w:r>
              <w:rPr>
                <w:color w:val="auto"/>
                <w:spacing w:val="-5"/>
                <w:highlight w:val="none"/>
              </w:rPr>
              <w:t>38</w:t>
            </w:r>
          </w:p>
        </w:tc>
        <w:tc>
          <w:tcPr>
            <w:tcW w:w="1542" w:type="dxa"/>
            <w:vMerge w:val="restart"/>
            <w:tcBorders>
              <w:bottom w:val="nil"/>
            </w:tcBorders>
          </w:tcPr>
          <w:p w14:paraId="12467021">
            <w:pPr>
              <w:pStyle w:val="248"/>
              <w:spacing w:before="67" w:line="322" w:lineRule="auto"/>
              <w:ind w:left="111" w:right="108" w:hanging="9"/>
              <w:rPr>
                <w:color w:val="auto"/>
                <w:highlight w:val="none"/>
              </w:rPr>
            </w:pPr>
            <w:r>
              <w:rPr>
                <w:color w:val="auto"/>
                <w:spacing w:val="-1"/>
                <w:highlight w:val="none"/>
              </w:rPr>
              <w:t>A100307</w:t>
            </w:r>
            <w:r>
              <w:rPr>
                <w:color w:val="auto"/>
                <w:spacing w:val="36"/>
                <w:highlight w:val="none"/>
              </w:rPr>
              <w:t xml:space="preserve"> </w:t>
            </w:r>
            <w:r>
              <w:rPr>
                <w:color w:val="auto"/>
                <w:spacing w:val="-1"/>
                <w:highlight w:val="none"/>
              </w:rPr>
              <w:t>建筑</w:t>
            </w:r>
            <w:r>
              <w:rPr>
                <w:color w:val="auto"/>
                <w:spacing w:val="-52"/>
                <w:highlight w:val="none"/>
              </w:rPr>
              <w:t xml:space="preserve"> </w:t>
            </w:r>
            <w:r>
              <w:rPr>
                <w:color w:val="auto"/>
                <w:spacing w:val="-1"/>
                <w:highlight w:val="none"/>
              </w:rPr>
              <w:t>陶</w:t>
            </w:r>
            <w:r>
              <w:rPr>
                <w:color w:val="auto"/>
                <w:highlight w:val="none"/>
              </w:rPr>
              <w:t xml:space="preserve"> </w:t>
            </w:r>
            <w:r>
              <w:rPr>
                <w:color w:val="auto"/>
                <w:spacing w:val="-3"/>
                <w:highlight w:val="none"/>
              </w:rPr>
              <w:t>瓷制品</w:t>
            </w:r>
          </w:p>
        </w:tc>
        <w:tc>
          <w:tcPr>
            <w:tcW w:w="2672" w:type="dxa"/>
          </w:tcPr>
          <w:p w14:paraId="52B50527">
            <w:pPr>
              <w:pStyle w:val="248"/>
              <w:spacing w:before="66" w:line="221" w:lineRule="auto"/>
              <w:ind w:left="103"/>
              <w:rPr>
                <w:color w:val="auto"/>
                <w:highlight w:val="none"/>
              </w:rPr>
            </w:pPr>
            <w:r>
              <w:rPr>
                <w:color w:val="auto"/>
                <w:spacing w:val="-1"/>
                <w:highlight w:val="none"/>
              </w:rPr>
              <w:t>A10030701</w:t>
            </w:r>
            <w:r>
              <w:rPr>
                <w:color w:val="auto"/>
                <w:spacing w:val="-30"/>
                <w:highlight w:val="none"/>
              </w:rPr>
              <w:t xml:space="preserve"> </w:t>
            </w:r>
            <w:r>
              <w:rPr>
                <w:color w:val="auto"/>
                <w:spacing w:val="-1"/>
                <w:highlight w:val="none"/>
              </w:rPr>
              <w:t>瓷质砖</w:t>
            </w:r>
          </w:p>
        </w:tc>
        <w:tc>
          <w:tcPr>
            <w:tcW w:w="2248" w:type="dxa"/>
          </w:tcPr>
          <w:p w14:paraId="174D321E">
            <w:pPr>
              <w:rPr>
                <w:rFonts w:ascii="Arial"/>
                <w:color w:val="auto"/>
                <w:highlight w:val="none"/>
              </w:rPr>
            </w:pPr>
          </w:p>
        </w:tc>
        <w:tc>
          <w:tcPr>
            <w:tcW w:w="3543" w:type="dxa"/>
          </w:tcPr>
          <w:p w14:paraId="4FF347EE">
            <w:pPr>
              <w:pStyle w:val="248"/>
              <w:spacing w:before="66" w:line="219" w:lineRule="auto"/>
              <w:ind w:left="109"/>
              <w:rPr>
                <w:color w:val="auto"/>
                <w:highlight w:val="none"/>
              </w:rPr>
            </w:pPr>
            <w:r>
              <w:rPr>
                <w:color w:val="auto"/>
                <w:spacing w:val="-2"/>
                <w:highlight w:val="none"/>
              </w:rPr>
              <w:t>HJ/T297</w:t>
            </w:r>
            <w:r>
              <w:rPr>
                <w:color w:val="auto"/>
                <w:spacing w:val="-22"/>
                <w:highlight w:val="none"/>
              </w:rPr>
              <w:t xml:space="preserve"> </w:t>
            </w:r>
            <w:r>
              <w:rPr>
                <w:color w:val="auto"/>
                <w:spacing w:val="-2"/>
                <w:highlight w:val="none"/>
              </w:rPr>
              <w:t>陶瓷砖</w:t>
            </w:r>
          </w:p>
        </w:tc>
      </w:tr>
      <w:tr w14:paraId="128047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continue"/>
            <w:tcBorders>
              <w:top w:val="nil"/>
              <w:bottom w:val="nil"/>
            </w:tcBorders>
          </w:tcPr>
          <w:p w14:paraId="32809F70">
            <w:pPr>
              <w:rPr>
                <w:rFonts w:ascii="Arial"/>
                <w:color w:val="auto"/>
                <w:highlight w:val="none"/>
              </w:rPr>
            </w:pPr>
          </w:p>
        </w:tc>
        <w:tc>
          <w:tcPr>
            <w:tcW w:w="1542" w:type="dxa"/>
            <w:vMerge w:val="continue"/>
            <w:tcBorders>
              <w:top w:val="nil"/>
              <w:bottom w:val="nil"/>
            </w:tcBorders>
          </w:tcPr>
          <w:p w14:paraId="30BA2138">
            <w:pPr>
              <w:rPr>
                <w:rFonts w:ascii="Arial"/>
                <w:color w:val="auto"/>
                <w:highlight w:val="none"/>
              </w:rPr>
            </w:pPr>
          </w:p>
        </w:tc>
        <w:tc>
          <w:tcPr>
            <w:tcW w:w="2672" w:type="dxa"/>
          </w:tcPr>
          <w:p w14:paraId="211DAFB6">
            <w:pPr>
              <w:pStyle w:val="248"/>
              <w:spacing w:before="66" w:line="221" w:lineRule="auto"/>
              <w:ind w:left="103"/>
              <w:rPr>
                <w:color w:val="auto"/>
                <w:highlight w:val="none"/>
              </w:rPr>
            </w:pPr>
            <w:r>
              <w:rPr>
                <w:color w:val="auto"/>
                <w:highlight w:val="none"/>
              </w:rPr>
              <w:t>A10030704 炻质砖</w:t>
            </w:r>
          </w:p>
        </w:tc>
        <w:tc>
          <w:tcPr>
            <w:tcW w:w="2248" w:type="dxa"/>
          </w:tcPr>
          <w:p w14:paraId="2F06C0B3">
            <w:pPr>
              <w:rPr>
                <w:rFonts w:ascii="Arial"/>
                <w:color w:val="auto"/>
                <w:highlight w:val="none"/>
              </w:rPr>
            </w:pPr>
          </w:p>
        </w:tc>
        <w:tc>
          <w:tcPr>
            <w:tcW w:w="3543" w:type="dxa"/>
          </w:tcPr>
          <w:p w14:paraId="0436104D">
            <w:pPr>
              <w:pStyle w:val="248"/>
              <w:spacing w:before="66" w:line="219" w:lineRule="auto"/>
              <w:ind w:left="109"/>
              <w:rPr>
                <w:color w:val="auto"/>
                <w:highlight w:val="none"/>
              </w:rPr>
            </w:pPr>
            <w:r>
              <w:rPr>
                <w:color w:val="auto"/>
                <w:spacing w:val="-2"/>
                <w:highlight w:val="none"/>
              </w:rPr>
              <w:t>HJ/T297</w:t>
            </w:r>
            <w:r>
              <w:rPr>
                <w:color w:val="auto"/>
                <w:spacing w:val="-22"/>
                <w:highlight w:val="none"/>
              </w:rPr>
              <w:t xml:space="preserve"> </w:t>
            </w:r>
            <w:r>
              <w:rPr>
                <w:color w:val="auto"/>
                <w:spacing w:val="-2"/>
                <w:highlight w:val="none"/>
              </w:rPr>
              <w:t>陶瓷砖</w:t>
            </w:r>
          </w:p>
        </w:tc>
      </w:tr>
      <w:tr w14:paraId="33DD38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583" w:type="dxa"/>
            <w:vMerge w:val="continue"/>
            <w:tcBorders>
              <w:top w:val="nil"/>
              <w:bottom w:val="nil"/>
            </w:tcBorders>
          </w:tcPr>
          <w:p w14:paraId="650511B0">
            <w:pPr>
              <w:rPr>
                <w:rFonts w:ascii="Arial"/>
                <w:color w:val="auto"/>
                <w:highlight w:val="none"/>
              </w:rPr>
            </w:pPr>
          </w:p>
        </w:tc>
        <w:tc>
          <w:tcPr>
            <w:tcW w:w="1542" w:type="dxa"/>
            <w:vMerge w:val="continue"/>
            <w:tcBorders>
              <w:top w:val="nil"/>
              <w:bottom w:val="nil"/>
            </w:tcBorders>
          </w:tcPr>
          <w:p w14:paraId="16DEF4ED">
            <w:pPr>
              <w:rPr>
                <w:rFonts w:ascii="Arial"/>
                <w:color w:val="auto"/>
                <w:highlight w:val="none"/>
              </w:rPr>
            </w:pPr>
          </w:p>
        </w:tc>
        <w:tc>
          <w:tcPr>
            <w:tcW w:w="2672" w:type="dxa"/>
          </w:tcPr>
          <w:p w14:paraId="6A10C8D2">
            <w:pPr>
              <w:pStyle w:val="248"/>
              <w:spacing w:before="66" w:line="221" w:lineRule="auto"/>
              <w:ind w:left="103"/>
              <w:rPr>
                <w:color w:val="auto"/>
                <w:highlight w:val="none"/>
              </w:rPr>
            </w:pPr>
            <w:r>
              <w:rPr>
                <w:color w:val="auto"/>
                <w:spacing w:val="-2"/>
                <w:highlight w:val="none"/>
              </w:rPr>
              <w:t>A10030705</w:t>
            </w:r>
            <w:r>
              <w:rPr>
                <w:color w:val="auto"/>
                <w:spacing w:val="-17"/>
                <w:highlight w:val="none"/>
              </w:rPr>
              <w:t xml:space="preserve"> </w:t>
            </w:r>
            <w:r>
              <w:rPr>
                <w:color w:val="auto"/>
                <w:spacing w:val="-2"/>
                <w:highlight w:val="none"/>
              </w:rPr>
              <w:t>陶质砖</w:t>
            </w:r>
          </w:p>
        </w:tc>
        <w:tc>
          <w:tcPr>
            <w:tcW w:w="2248" w:type="dxa"/>
          </w:tcPr>
          <w:p w14:paraId="1A074DDE">
            <w:pPr>
              <w:rPr>
                <w:rFonts w:ascii="Arial"/>
                <w:color w:val="auto"/>
                <w:highlight w:val="none"/>
              </w:rPr>
            </w:pPr>
          </w:p>
        </w:tc>
        <w:tc>
          <w:tcPr>
            <w:tcW w:w="3543" w:type="dxa"/>
          </w:tcPr>
          <w:p w14:paraId="3CA51573">
            <w:pPr>
              <w:pStyle w:val="248"/>
              <w:spacing w:before="66" w:line="219" w:lineRule="auto"/>
              <w:ind w:left="109"/>
              <w:rPr>
                <w:color w:val="auto"/>
                <w:highlight w:val="none"/>
              </w:rPr>
            </w:pPr>
            <w:r>
              <w:rPr>
                <w:color w:val="auto"/>
                <w:spacing w:val="-2"/>
                <w:highlight w:val="none"/>
              </w:rPr>
              <w:t>HJ/T297</w:t>
            </w:r>
            <w:r>
              <w:rPr>
                <w:color w:val="auto"/>
                <w:spacing w:val="-22"/>
                <w:highlight w:val="none"/>
              </w:rPr>
              <w:t xml:space="preserve"> </w:t>
            </w:r>
            <w:r>
              <w:rPr>
                <w:color w:val="auto"/>
                <w:spacing w:val="-2"/>
                <w:highlight w:val="none"/>
              </w:rPr>
              <w:t>陶瓷砖</w:t>
            </w:r>
          </w:p>
        </w:tc>
      </w:tr>
      <w:tr w14:paraId="025EA6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continue"/>
            <w:tcBorders>
              <w:top w:val="nil"/>
            </w:tcBorders>
          </w:tcPr>
          <w:p w14:paraId="33FDDAFA">
            <w:pPr>
              <w:rPr>
                <w:rFonts w:ascii="Arial"/>
                <w:color w:val="auto"/>
                <w:highlight w:val="none"/>
              </w:rPr>
            </w:pPr>
          </w:p>
        </w:tc>
        <w:tc>
          <w:tcPr>
            <w:tcW w:w="1542" w:type="dxa"/>
            <w:vMerge w:val="continue"/>
            <w:tcBorders>
              <w:top w:val="nil"/>
            </w:tcBorders>
          </w:tcPr>
          <w:p w14:paraId="5AB6675D">
            <w:pPr>
              <w:rPr>
                <w:rFonts w:ascii="Arial"/>
                <w:color w:val="auto"/>
                <w:highlight w:val="none"/>
              </w:rPr>
            </w:pPr>
          </w:p>
        </w:tc>
        <w:tc>
          <w:tcPr>
            <w:tcW w:w="2672" w:type="dxa"/>
          </w:tcPr>
          <w:p w14:paraId="0F49F6DC">
            <w:pPr>
              <w:pStyle w:val="248"/>
              <w:spacing w:before="66" w:line="221" w:lineRule="auto"/>
              <w:ind w:left="103"/>
              <w:rPr>
                <w:color w:val="auto"/>
                <w:highlight w:val="none"/>
              </w:rPr>
            </w:pPr>
            <w:r>
              <w:rPr>
                <w:color w:val="auto"/>
                <w:highlight w:val="none"/>
              </w:rPr>
              <w:t>A10030799 其他建筑陶瓷制品</w:t>
            </w:r>
          </w:p>
        </w:tc>
        <w:tc>
          <w:tcPr>
            <w:tcW w:w="2248" w:type="dxa"/>
          </w:tcPr>
          <w:p w14:paraId="47EEBA93">
            <w:pPr>
              <w:rPr>
                <w:rFonts w:ascii="Arial"/>
                <w:color w:val="auto"/>
                <w:highlight w:val="none"/>
              </w:rPr>
            </w:pPr>
          </w:p>
        </w:tc>
        <w:tc>
          <w:tcPr>
            <w:tcW w:w="3543" w:type="dxa"/>
          </w:tcPr>
          <w:p w14:paraId="780C3BAE">
            <w:pPr>
              <w:pStyle w:val="248"/>
              <w:spacing w:before="66" w:line="219" w:lineRule="auto"/>
              <w:ind w:left="109"/>
              <w:rPr>
                <w:color w:val="auto"/>
                <w:highlight w:val="none"/>
              </w:rPr>
            </w:pPr>
            <w:r>
              <w:rPr>
                <w:color w:val="auto"/>
                <w:spacing w:val="-2"/>
                <w:highlight w:val="none"/>
              </w:rPr>
              <w:t>HJ/T297</w:t>
            </w:r>
            <w:r>
              <w:rPr>
                <w:color w:val="auto"/>
                <w:spacing w:val="-22"/>
                <w:highlight w:val="none"/>
              </w:rPr>
              <w:t xml:space="preserve"> </w:t>
            </w:r>
            <w:r>
              <w:rPr>
                <w:color w:val="auto"/>
                <w:spacing w:val="-2"/>
                <w:highlight w:val="none"/>
              </w:rPr>
              <w:t>陶瓷砖</w:t>
            </w:r>
          </w:p>
        </w:tc>
      </w:tr>
      <w:tr w14:paraId="513F58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83" w:type="dxa"/>
            <w:vMerge w:val="restart"/>
            <w:tcBorders>
              <w:bottom w:val="nil"/>
            </w:tcBorders>
          </w:tcPr>
          <w:p w14:paraId="41DE3A2C">
            <w:pPr>
              <w:pStyle w:val="248"/>
              <w:spacing w:before="66"/>
              <w:ind w:left="118"/>
              <w:rPr>
                <w:color w:val="auto"/>
                <w:highlight w:val="none"/>
              </w:rPr>
            </w:pPr>
            <w:r>
              <w:rPr>
                <w:color w:val="auto"/>
                <w:spacing w:val="-5"/>
                <w:highlight w:val="none"/>
              </w:rPr>
              <w:t>39</w:t>
            </w:r>
          </w:p>
        </w:tc>
        <w:tc>
          <w:tcPr>
            <w:tcW w:w="1542" w:type="dxa"/>
            <w:vMerge w:val="restart"/>
            <w:tcBorders>
              <w:bottom w:val="nil"/>
            </w:tcBorders>
          </w:tcPr>
          <w:p w14:paraId="7DD45197">
            <w:pPr>
              <w:pStyle w:val="248"/>
              <w:spacing w:before="65" w:line="322" w:lineRule="auto"/>
              <w:ind w:left="109" w:right="108" w:hanging="7"/>
              <w:rPr>
                <w:color w:val="auto"/>
                <w:highlight w:val="none"/>
              </w:rPr>
            </w:pPr>
            <w:r>
              <w:rPr>
                <w:color w:val="auto"/>
                <w:spacing w:val="-1"/>
                <w:highlight w:val="none"/>
              </w:rPr>
              <w:t>A100309</w:t>
            </w:r>
            <w:r>
              <w:rPr>
                <w:color w:val="auto"/>
                <w:spacing w:val="34"/>
                <w:w w:val="101"/>
                <w:highlight w:val="none"/>
              </w:rPr>
              <w:t xml:space="preserve"> </w:t>
            </w:r>
            <w:r>
              <w:rPr>
                <w:color w:val="auto"/>
                <w:spacing w:val="-1"/>
                <w:highlight w:val="none"/>
              </w:rPr>
              <w:t>建筑</w:t>
            </w:r>
            <w:r>
              <w:rPr>
                <w:color w:val="auto"/>
                <w:spacing w:val="-51"/>
                <w:highlight w:val="none"/>
              </w:rPr>
              <w:t xml:space="preserve"> </w:t>
            </w:r>
            <w:r>
              <w:rPr>
                <w:color w:val="auto"/>
                <w:spacing w:val="-1"/>
                <w:highlight w:val="none"/>
              </w:rPr>
              <w:t>防</w:t>
            </w:r>
            <w:r>
              <w:rPr>
                <w:color w:val="auto"/>
                <w:highlight w:val="none"/>
              </w:rPr>
              <w:t xml:space="preserve"> </w:t>
            </w:r>
            <w:r>
              <w:rPr>
                <w:color w:val="auto"/>
                <w:spacing w:val="-2"/>
                <w:highlight w:val="none"/>
              </w:rPr>
              <w:t>水卷材及制品</w:t>
            </w:r>
          </w:p>
        </w:tc>
        <w:tc>
          <w:tcPr>
            <w:tcW w:w="2672" w:type="dxa"/>
          </w:tcPr>
          <w:p w14:paraId="2CF13AB6">
            <w:pPr>
              <w:pStyle w:val="248"/>
              <w:spacing w:before="66" w:line="283" w:lineRule="auto"/>
              <w:ind w:left="110" w:right="107" w:hanging="7"/>
              <w:rPr>
                <w:color w:val="auto"/>
                <w:highlight w:val="none"/>
              </w:rPr>
            </w:pPr>
            <w:r>
              <w:rPr>
                <w:color w:val="auto"/>
                <w:spacing w:val="-1"/>
                <w:highlight w:val="none"/>
              </w:rPr>
              <w:t>A10030901</w:t>
            </w:r>
            <w:r>
              <w:rPr>
                <w:color w:val="auto"/>
                <w:spacing w:val="-47"/>
                <w:highlight w:val="none"/>
              </w:rPr>
              <w:t xml:space="preserve"> </w:t>
            </w:r>
            <w:r>
              <w:rPr>
                <w:color w:val="auto"/>
                <w:spacing w:val="-1"/>
                <w:highlight w:val="none"/>
              </w:rPr>
              <w:t>沥青和改性沥青防水</w:t>
            </w:r>
            <w:r>
              <w:rPr>
                <w:color w:val="auto"/>
                <w:highlight w:val="none"/>
              </w:rPr>
              <w:t xml:space="preserve"> </w:t>
            </w:r>
            <w:r>
              <w:rPr>
                <w:color w:val="auto"/>
                <w:spacing w:val="-3"/>
                <w:highlight w:val="none"/>
              </w:rPr>
              <w:t>卷材</w:t>
            </w:r>
          </w:p>
        </w:tc>
        <w:tc>
          <w:tcPr>
            <w:tcW w:w="2248" w:type="dxa"/>
          </w:tcPr>
          <w:p w14:paraId="6A2136CA">
            <w:pPr>
              <w:rPr>
                <w:rFonts w:ascii="Arial"/>
                <w:color w:val="auto"/>
                <w:highlight w:val="none"/>
              </w:rPr>
            </w:pPr>
          </w:p>
        </w:tc>
        <w:tc>
          <w:tcPr>
            <w:tcW w:w="3543" w:type="dxa"/>
          </w:tcPr>
          <w:p w14:paraId="53EBE73B">
            <w:pPr>
              <w:pStyle w:val="248"/>
              <w:spacing w:before="66" w:line="219" w:lineRule="auto"/>
              <w:ind w:left="109"/>
              <w:rPr>
                <w:color w:val="auto"/>
                <w:highlight w:val="none"/>
              </w:rPr>
            </w:pPr>
            <w:r>
              <w:rPr>
                <w:color w:val="auto"/>
                <w:spacing w:val="-2"/>
                <w:highlight w:val="none"/>
              </w:rPr>
              <w:t>HJ455</w:t>
            </w:r>
            <w:r>
              <w:rPr>
                <w:color w:val="auto"/>
                <w:spacing w:val="-25"/>
                <w:highlight w:val="none"/>
              </w:rPr>
              <w:t xml:space="preserve"> </w:t>
            </w:r>
            <w:r>
              <w:rPr>
                <w:color w:val="auto"/>
                <w:spacing w:val="-2"/>
                <w:highlight w:val="none"/>
              </w:rPr>
              <w:t>防水卷材</w:t>
            </w:r>
          </w:p>
        </w:tc>
      </w:tr>
      <w:tr w14:paraId="01E210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continue"/>
            <w:tcBorders>
              <w:top w:val="nil"/>
              <w:bottom w:val="nil"/>
            </w:tcBorders>
          </w:tcPr>
          <w:p w14:paraId="1A25C469">
            <w:pPr>
              <w:rPr>
                <w:rFonts w:ascii="Arial"/>
                <w:color w:val="auto"/>
                <w:highlight w:val="none"/>
              </w:rPr>
            </w:pPr>
          </w:p>
        </w:tc>
        <w:tc>
          <w:tcPr>
            <w:tcW w:w="1542" w:type="dxa"/>
            <w:vMerge w:val="continue"/>
            <w:tcBorders>
              <w:top w:val="nil"/>
              <w:bottom w:val="nil"/>
            </w:tcBorders>
          </w:tcPr>
          <w:p w14:paraId="3F92F516">
            <w:pPr>
              <w:rPr>
                <w:rFonts w:ascii="Arial"/>
                <w:color w:val="auto"/>
                <w:highlight w:val="none"/>
              </w:rPr>
            </w:pPr>
          </w:p>
        </w:tc>
        <w:tc>
          <w:tcPr>
            <w:tcW w:w="2672" w:type="dxa"/>
          </w:tcPr>
          <w:p w14:paraId="0BBAC049">
            <w:pPr>
              <w:pStyle w:val="248"/>
              <w:spacing w:before="67" w:line="219" w:lineRule="auto"/>
              <w:ind w:left="103"/>
              <w:rPr>
                <w:color w:val="auto"/>
                <w:highlight w:val="none"/>
              </w:rPr>
            </w:pPr>
            <w:r>
              <w:rPr>
                <w:color w:val="auto"/>
                <w:spacing w:val="-2"/>
                <w:highlight w:val="none"/>
              </w:rPr>
              <w:t>A10030903</w:t>
            </w:r>
            <w:r>
              <w:rPr>
                <w:color w:val="auto"/>
                <w:spacing w:val="36"/>
                <w:highlight w:val="none"/>
              </w:rPr>
              <w:t xml:space="preserve"> </w:t>
            </w:r>
            <w:r>
              <w:rPr>
                <w:color w:val="auto"/>
                <w:spacing w:val="-2"/>
                <w:highlight w:val="none"/>
              </w:rPr>
              <w:t>自粘防水卷材</w:t>
            </w:r>
          </w:p>
        </w:tc>
        <w:tc>
          <w:tcPr>
            <w:tcW w:w="2248" w:type="dxa"/>
          </w:tcPr>
          <w:p w14:paraId="274727F0">
            <w:pPr>
              <w:rPr>
                <w:rFonts w:ascii="Arial"/>
                <w:color w:val="auto"/>
                <w:highlight w:val="none"/>
              </w:rPr>
            </w:pPr>
          </w:p>
        </w:tc>
        <w:tc>
          <w:tcPr>
            <w:tcW w:w="3543" w:type="dxa"/>
          </w:tcPr>
          <w:p w14:paraId="3266BA8E">
            <w:pPr>
              <w:pStyle w:val="248"/>
              <w:spacing w:before="66" w:line="219" w:lineRule="auto"/>
              <w:ind w:left="109"/>
              <w:rPr>
                <w:color w:val="auto"/>
                <w:highlight w:val="none"/>
              </w:rPr>
            </w:pPr>
            <w:r>
              <w:rPr>
                <w:color w:val="auto"/>
                <w:spacing w:val="-2"/>
                <w:highlight w:val="none"/>
              </w:rPr>
              <w:t>HJ455</w:t>
            </w:r>
            <w:r>
              <w:rPr>
                <w:color w:val="auto"/>
                <w:spacing w:val="-25"/>
                <w:highlight w:val="none"/>
              </w:rPr>
              <w:t xml:space="preserve"> </w:t>
            </w:r>
            <w:r>
              <w:rPr>
                <w:color w:val="auto"/>
                <w:spacing w:val="-2"/>
                <w:highlight w:val="none"/>
              </w:rPr>
              <w:t>防水卷材</w:t>
            </w:r>
          </w:p>
        </w:tc>
      </w:tr>
      <w:tr w14:paraId="17ECC5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83" w:type="dxa"/>
            <w:vMerge w:val="continue"/>
            <w:tcBorders>
              <w:top w:val="nil"/>
            </w:tcBorders>
          </w:tcPr>
          <w:p w14:paraId="743CA7D9">
            <w:pPr>
              <w:rPr>
                <w:rFonts w:ascii="Arial"/>
                <w:color w:val="auto"/>
                <w:highlight w:val="none"/>
              </w:rPr>
            </w:pPr>
          </w:p>
        </w:tc>
        <w:tc>
          <w:tcPr>
            <w:tcW w:w="1542" w:type="dxa"/>
            <w:vMerge w:val="continue"/>
            <w:tcBorders>
              <w:top w:val="nil"/>
            </w:tcBorders>
          </w:tcPr>
          <w:p w14:paraId="0085384C">
            <w:pPr>
              <w:rPr>
                <w:rFonts w:ascii="Arial"/>
                <w:color w:val="auto"/>
                <w:highlight w:val="none"/>
              </w:rPr>
            </w:pPr>
          </w:p>
        </w:tc>
        <w:tc>
          <w:tcPr>
            <w:tcW w:w="2672" w:type="dxa"/>
          </w:tcPr>
          <w:p w14:paraId="76CAA2F0">
            <w:pPr>
              <w:pStyle w:val="248"/>
              <w:spacing w:before="66" w:line="283" w:lineRule="auto"/>
              <w:ind w:left="108" w:right="102" w:hanging="5"/>
              <w:rPr>
                <w:color w:val="auto"/>
                <w:highlight w:val="none"/>
              </w:rPr>
            </w:pPr>
            <w:r>
              <w:rPr>
                <w:color w:val="auto"/>
                <w:spacing w:val="-2"/>
                <w:highlight w:val="none"/>
              </w:rPr>
              <w:t>A10030906</w:t>
            </w:r>
            <w:r>
              <w:rPr>
                <w:color w:val="auto"/>
                <w:spacing w:val="-24"/>
                <w:highlight w:val="none"/>
              </w:rPr>
              <w:t xml:space="preserve"> </w:t>
            </w:r>
            <w:r>
              <w:rPr>
                <w:color w:val="auto"/>
                <w:spacing w:val="-2"/>
                <w:highlight w:val="none"/>
              </w:rPr>
              <w:t>高分子防水卷（片）</w:t>
            </w:r>
            <w:r>
              <w:rPr>
                <w:color w:val="auto"/>
                <w:highlight w:val="none"/>
              </w:rPr>
              <w:t xml:space="preserve"> 材</w:t>
            </w:r>
          </w:p>
        </w:tc>
        <w:tc>
          <w:tcPr>
            <w:tcW w:w="2248" w:type="dxa"/>
          </w:tcPr>
          <w:p w14:paraId="1BF39027">
            <w:pPr>
              <w:rPr>
                <w:rFonts w:ascii="Arial"/>
                <w:color w:val="auto"/>
                <w:highlight w:val="none"/>
              </w:rPr>
            </w:pPr>
          </w:p>
        </w:tc>
        <w:tc>
          <w:tcPr>
            <w:tcW w:w="3543" w:type="dxa"/>
          </w:tcPr>
          <w:p w14:paraId="1A1872A3">
            <w:pPr>
              <w:pStyle w:val="248"/>
              <w:spacing w:before="66" w:line="219" w:lineRule="auto"/>
              <w:ind w:left="109"/>
              <w:rPr>
                <w:color w:val="auto"/>
                <w:highlight w:val="none"/>
              </w:rPr>
            </w:pPr>
            <w:r>
              <w:rPr>
                <w:color w:val="auto"/>
                <w:spacing w:val="-2"/>
                <w:highlight w:val="none"/>
              </w:rPr>
              <w:t>HJ455</w:t>
            </w:r>
            <w:r>
              <w:rPr>
                <w:color w:val="auto"/>
                <w:spacing w:val="-25"/>
                <w:highlight w:val="none"/>
              </w:rPr>
              <w:t xml:space="preserve"> </w:t>
            </w:r>
            <w:r>
              <w:rPr>
                <w:color w:val="auto"/>
                <w:spacing w:val="-2"/>
                <w:highlight w:val="none"/>
              </w:rPr>
              <w:t>防水卷材</w:t>
            </w:r>
          </w:p>
        </w:tc>
      </w:tr>
      <w:tr w14:paraId="6B3A7C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83" w:type="dxa"/>
            <w:vMerge w:val="restart"/>
            <w:tcBorders>
              <w:bottom w:val="nil"/>
            </w:tcBorders>
          </w:tcPr>
          <w:p w14:paraId="58DAB3FA">
            <w:pPr>
              <w:pStyle w:val="248"/>
              <w:spacing w:before="67"/>
              <w:ind w:left="114"/>
              <w:rPr>
                <w:color w:val="auto"/>
                <w:highlight w:val="none"/>
              </w:rPr>
            </w:pPr>
            <w:r>
              <w:rPr>
                <w:color w:val="auto"/>
                <w:spacing w:val="-3"/>
                <w:highlight w:val="none"/>
              </w:rPr>
              <w:t>40</w:t>
            </w:r>
          </w:p>
        </w:tc>
        <w:tc>
          <w:tcPr>
            <w:tcW w:w="1542" w:type="dxa"/>
            <w:vMerge w:val="restart"/>
            <w:tcBorders>
              <w:bottom w:val="nil"/>
            </w:tcBorders>
          </w:tcPr>
          <w:p w14:paraId="7EA1A435">
            <w:pPr>
              <w:pStyle w:val="248"/>
              <w:spacing w:before="66" w:line="322" w:lineRule="auto"/>
              <w:ind w:left="106" w:right="106" w:hanging="4"/>
              <w:rPr>
                <w:color w:val="auto"/>
                <w:highlight w:val="none"/>
              </w:rPr>
            </w:pPr>
            <w:r>
              <w:rPr>
                <w:color w:val="auto"/>
                <w:spacing w:val="-8"/>
                <w:highlight w:val="none"/>
              </w:rPr>
              <w:t>A100310</w:t>
            </w:r>
            <w:r>
              <w:rPr>
                <w:color w:val="auto"/>
                <w:spacing w:val="-25"/>
                <w:highlight w:val="none"/>
              </w:rPr>
              <w:t xml:space="preserve"> </w:t>
            </w:r>
            <w:r>
              <w:rPr>
                <w:color w:val="auto"/>
                <w:spacing w:val="-8"/>
                <w:highlight w:val="none"/>
              </w:rPr>
              <w:t>隔热、隔</w:t>
            </w:r>
            <w:r>
              <w:rPr>
                <w:color w:val="auto"/>
                <w:highlight w:val="none"/>
              </w:rPr>
              <w:t xml:space="preserve"> </w:t>
            </w:r>
            <w:r>
              <w:rPr>
                <w:color w:val="auto"/>
                <w:spacing w:val="9"/>
                <w:highlight w:val="none"/>
              </w:rPr>
              <w:t>音人造矿物材料</w:t>
            </w:r>
            <w:r>
              <w:rPr>
                <w:color w:val="auto"/>
                <w:highlight w:val="none"/>
              </w:rPr>
              <w:t xml:space="preserve"> </w:t>
            </w:r>
            <w:r>
              <w:rPr>
                <w:color w:val="auto"/>
                <w:spacing w:val="-2"/>
                <w:highlight w:val="none"/>
              </w:rPr>
              <w:t>及其制品</w:t>
            </w:r>
          </w:p>
        </w:tc>
        <w:tc>
          <w:tcPr>
            <w:tcW w:w="2672" w:type="dxa"/>
          </w:tcPr>
          <w:p w14:paraId="2861CFBE">
            <w:pPr>
              <w:pStyle w:val="248"/>
              <w:spacing w:before="68" w:line="282" w:lineRule="auto"/>
              <w:ind w:left="108" w:right="107" w:hanging="5"/>
              <w:rPr>
                <w:color w:val="auto"/>
                <w:highlight w:val="none"/>
                <w:lang w:eastAsia="zh-CN"/>
              </w:rPr>
            </w:pPr>
            <w:r>
              <w:rPr>
                <w:color w:val="auto"/>
                <w:spacing w:val="6"/>
                <w:highlight w:val="none"/>
                <w:lang w:eastAsia="zh-CN"/>
              </w:rPr>
              <w:t>A10031001 矿物绝热和吸声材</w:t>
            </w:r>
            <w:r>
              <w:rPr>
                <w:color w:val="auto"/>
                <w:spacing w:val="7"/>
                <w:highlight w:val="none"/>
                <w:lang w:eastAsia="zh-CN"/>
              </w:rPr>
              <w:t xml:space="preserve"> </w:t>
            </w:r>
            <w:r>
              <w:rPr>
                <w:color w:val="auto"/>
                <w:highlight w:val="none"/>
                <w:lang w:eastAsia="zh-CN"/>
              </w:rPr>
              <w:t>料</w:t>
            </w:r>
          </w:p>
        </w:tc>
        <w:tc>
          <w:tcPr>
            <w:tcW w:w="2248" w:type="dxa"/>
          </w:tcPr>
          <w:p w14:paraId="6010DDFB">
            <w:pPr>
              <w:rPr>
                <w:rFonts w:ascii="Arial"/>
                <w:color w:val="auto"/>
                <w:highlight w:val="none"/>
              </w:rPr>
            </w:pPr>
          </w:p>
        </w:tc>
        <w:tc>
          <w:tcPr>
            <w:tcW w:w="3543" w:type="dxa"/>
          </w:tcPr>
          <w:p w14:paraId="4B1D081E">
            <w:pPr>
              <w:pStyle w:val="248"/>
              <w:spacing w:before="67" w:line="219" w:lineRule="auto"/>
              <w:ind w:left="109"/>
              <w:rPr>
                <w:color w:val="auto"/>
                <w:highlight w:val="none"/>
              </w:rPr>
            </w:pPr>
            <w:r>
              <w:rPr>
                <w:color w:val="auto"/>
                <w:spacing w:val="-1"/>
                <w:highlight w:val="none"/>
              </w:rPr>
              <w:t>HJ/T223</w:t>
            </w:r>
            <w:r>
              <w:rPr>
                <w:color w:val="auto"/>
                <w:spacing w:val="-33"/>
                <w:highlight w:val="none"/>
              </w:rPr>
              <w:t xml:space="preserve"> </w:t>
            </w:r>
            <w:r>
              <w:rPr>
                <w:color w:val="auto"/>
                <w:spacing w:val="-1"/>
                <w:highlight w:val="none"/>
              </w:rPr>
              <w:t>轻质墙体板材</w:t>
            </w:r>
          </w:p>
        </w:tc>
      </w:tr>
      <w:tr w14:paraId="48C1F6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08" w:hRule="atLeast"/>
        </w:trPr>
        <w:tc>
          <w:tcPr>
            <w:tcW w:w="583" w:type="dxa"/>
            <w:vMerge w:val="continue"/>
            <w:tcBorders>
              <w:top w:val="nil"/>
            </w:tcBorders>
          </w:tcPr>
          <w:p w14:paraId="63A626E6">
            <w:pPr>
              <w:rPr>
                <w:rFonts w:ascii="Arial"/>
                <w:color w:val="auto"/>
                <w:highlight w:val="none"/>
              </w:rPr>
            </w:pPr>
          </w:p>
        </w:tc>
        <w:tc>
          <w:tcPr>
            <w:tcW w:w="1542" w:type="dxa"/>
            <w:vMerge w:val="continue"/>
            <w:tcBorders>
              <w:top w:val="nil"/>
            </w:tcBorders>
          </w:tcPr>
          <w:p w14:paraId="63536387">
            <w:pPr>
              <w:rPr>
                <w:rFonts w:ascii="Arial"/>
                <w:color w:val="auto"/>
                <w:highlight w:val="none"/>
              </w:rPr>
            </w:pPr>
          </w:p>
        </w:tc>
        <w:tc>
          <w:tcPr>
            <w:tcW w:w="2672" w:type="dxa"/>
          </w:tcPr>
          <w:p w14:paraId="1649B420">
            <w:pPr>
              <w:pStyle w:val="248"/>
              <w:spacing w:before="68" w:line="219" w:lineRule="auto"/>
              <w:ind w:left="103"/>
              <w:rPr>
                <w:color w:val="auto"/>
                <w:highlight w:val="none"/>
              </w:rPr>
            </w:pPr>
            <w:r>
              <w:rPr>
                <w:color w:val="auto"/>
                <w:spacing w:val="-1"/>
                <w:highlight w:val="none"/>
              </w:rPr>
              <w:t>A10031002</w:t>
            </w:r>
            <w:r>
              <w:rPr>
                <w:color w:val="auto"/>
                <w:spacing w:val="-30"/>
                <w:highlight w:val="none"/>
              </w:rPr>
              <w:t xml:space="preserve"> </w:t>
            </w:r>
            <w:r>
              <w:rPr>
                <w:color w:val="auto"/>
                <w:spacing w:val="-1"/>
                <w:highlight w:val="none"/>
              </w:rPr>
              <w:t>矿物材料制品</w:t>
            </w:r>
          </w:p>
        </w:tc>
        <w:tc>
          <w:tcPr>
            <w:tcW w:w="2248" w:type="dxa"/>
          </w:tcPr>
          <w:p w14:paraId="008A99C2">
            <w:pPr>
              <w:rPr>
                <w:rFonts w:ascii="Arial"/>
                <w:color w:val="auto"/>
                <w:highlight w:val="none"/>
              </w:rPr>
            </w:pPr>
          </w:p>
        </w:tc>
        <w:tc>
          <w:tcPr>
            <w:tcW w:w="3543" w:type="dxa"/>
          </w:tcPr>
          <w:p w14:paraId="087ED867">
            <w:pPr>
              <w:pStyle w:val="248"/>
              <w:spacing w:before="67" w:line="219" w:lineRule="auto"/>
              <w:ind w:left="109"/>
              <w:rPr>
                <w:color w:val="auto"/>
                <w:highlight w:val="none"/>
              </w:rPr>
            </w:pPr>
            <w:r>
              <w:rPr>
                <w:color w:val="auto"/>
                <w:spacing w:val="-1"/>
                <w:highlight w:val="none"/>
              </w:rPr>
              <w:t>HJ/T223</w:t>
            </w:r>
            <w:r>
              <w:rPr>
                <w:color w:val="auto"/>
                <w:spacing w:val="-33"/>
                <w:highlight w:val="none"/>
              </w:rPr>
              <w:t xml:space="preserve"> </w:t>
            </w:r>
            <w:r>
              <w:rPr>
                <w:color w:val="auto"/>
                <w:spacing w:val="-1"/>
                <w:highlight w:val="none"/>
              </w:rPr>
              <w:t>轻质墙体板材</w:t>
            </w:r>
          </w:p>
        </w:tc>
      </w:tr>
      <w:tr w14:paraId="31DA05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83" w:type="dxa"/>
          </w:tcPr>
          <w:p w14:paraId="61BDB98A">
            <w:pPr>
              <w:pStyle w:val="248"/>
              <w:spacing w:before="67" w:line="242" w:lineRule="auto"/>
              <w:ind w:left="114"/>
              <w:rPr>
                <w:color w:val="auto"/>
                <w:highlight w:val="none"/>
              </w:rPr>
            </w:pPr>
            <w:r>
              <w:rPr>
                <w:color w:val="auto"/>
                <w:spacing w:val="-3"/>
                <w:highlight w:val="none"/>
              </w:rPr>
              <w:t>41</w:t>
            </w:r>
          </w:p>
        </w:tc>
        <w:tc>
          <w:tcPr>
            <w:tcW w:w="1542" w:type="dxa"/>
          </w:tcPr>
          <w:p w14:paraId="795A30D6">
            <w:pPr>
              <w:pStyle w:val="248"/>
              <w:spacing w:before="68" w:line="282" w:lineRule="auto"/>
              <w:ind w:left="109" w:right="108" w:hanging="7"/>
              <w:rPr>
                <w:color w:val="auto"/>
                <w:highlight w:val="none"/>
              </w:rPr>
            </w:pPr>
            <w:r>
              <w:rPr>
                <w:color w:val="auto"/>
                <w:spacing w:val="3"/>
                <w:highlight w:val="none"/>
              </w:rPr>
              <w:t>A100601</w:t>
            </w:r>
            <w:r>
              <w:rPr>
                <w:color w:val="auto"/>
                <w:spacing w:val="34"/>
                <w:highlight w:val="none"/>
              </w:rPr>
              <w:t xml:space="preserve"> </w:t>
            </w:r>
            <w:r>
              <w:rPr>
                <w:color w:val="auto"/>
                <w:spacing w:val="3"/>
                <w:highlight w:val="none"/>
              </w:rPr>
              <w:t>功能性</w:t>
            </w:r>
            <w:r>
              <w:rPr>
                <w:color w:val="auto"/>
                <w:highlight w:val="none"/>
              </w:rPr>
              <w:t xml:space="preserve"> </w:t>
            </w:r>
            <w:r>
              <w:rPr>
                <w:color w:val="auto"/>
                <w:spacing w:val="-2"/>
                <w:highlight w:val="none"/>
              </w:rPr>
              <w:t>建筑涂料</w:t>
            </w:r>
          </w:p>
        </w:tc>
        <w:tc>
          <w:tcPr>
            <w:tcW w:w="2672" w:type="dxa"/>
          </w:tcPr>
          <w:p w14:paraId="148D3A6E">
            <w:pPr>
              <w:rPr>
                <w:rFonts w:ascii="Arial"/>
                <w:color w:val="auto"/>
                <w:highlight w:val="none"/>
              </w:rPr>
            </w:pPr>
          </w:p>
        </w:tc>
        <w:tc>
          <w:tcPr>
            <w:tcW w:w="2248" w:type="dxa"/>
          </w:tcPr>
          <w:p w14:paraId="7C5A1642">
            <w:pPr>
              <w:rPr>
                <w:rFonts w:ascii="Arial"/>
                <w:color w:val="auto"/>
                <w:highlight w:val="none"/>
              </w:rPr>
            </w:pPr>
          </w:p>
        </w:tc>
        <w:tc>
          <w:tcPr>
            <w:tcW w:w="3543" w:type="dxa"/>
          </w:tcPr>
          <w:p w14:paraId="102553E7">
            <w:pPr>
              <w:pStyle w:val="248"/>
              <w:spacing w:before="67" w:line="219" w:lineRule="auto"/>
              <w:ind w:left="109"/>
              <w:rPr>
                <w:color w:val="auto"/>
                <w:highlight w:val="none"/>
              </w:rPr>
            </w:pPr>
            <w:r>
              <w:rPr>
                <w:color w:val="auto"/>
                <w:spacing w:val="-1"/>
                <w:highlight w:val="none"/>
              </w:rPr>
              <w:t>HJ2537</w:t>
            </w:r>
            <w:r>
              <w:rPr>
                <w:color w:val="auto"/>
                <w:spacing w:val="-34"/>
                <w:highlight w:val="none"/>
              </w:rPr>
              <w:t xml:space="preserve"> </w:t>
            </w:r>
            <w:r>
              <w:rPr>
                <w:color w:val="auto"/>
                <w:spacing w:val="-1"/>
                <w:highlight w:val="none"/>
              </w:rPr>
              <w:t>水性涂料</w:t>
            </w:r>
          </w:p>
        </w:tc>
      </w:tr>
      <w:tr w14:paraId="71A028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583" w:type="dxa"/>
          </w:tcPr>
          <w:p w14:paraId="22C495F3">
            <w:pPr>
              <w:pStyle w:val="248"/>
              <w:spacing w:before="68" w:line="242" w:lineRule="auto"/>
              <w:ind w:left="114"/>
              <w:rPr>
                <w:color w:val="auto"/>
                <w:highlight w:val="none"/>
              </w:rPr>
            </w:pPr>
            <w:r>
              <w:rPr>
                <w:color w:val="auto"/>
                <w:spacing w:val="-3"/>
                <w:highlight w:val="none"/>
              </w:rPr>
              <w:t>42</w:t>
            </w:r>
          </w:p>
        </w:tc>
        <w:tc>
          <w:tcPr>
            <w:tcW w:w="1542" w:type="dxa"/>
          </w:tcPr>
          <w:p w14:paraId="7D1C494F">
            <w:pPr>
              <w:pStyle w:val="248"/>
              <w:spacing w:before="69" w:line="284" w:lineRule="auto"/>
              <w:ind w:left="109" w:right="106" w:firstLine="84"/>
              <w:rPr>
                <w:color w:val="auto"/>
                <w:highlight w:val="none"/>
              </w:rPr>
            </w:pPr>
            <w:r>
              <w:rPr>
                <w:color w:val="auto"/>
                <w:spacing w:val="-1"/>
                <w:highlight w:val="none"/>
              </w:rPr>
              <w:t>A100399</w:t>
            </w:r>
            <w:r>
              <w:rPr>
                <w:color w:val="auto"/>
                <w:spacing w:val="-15"/>
                <w:highlight w:val="none"/>
              </w:rPr>
              <w:t xml:space="preserve"> </w:t>
            </w:r>
            <w:r>
              <w:rPr>
                <w:color w:val="auto"/>
                <w:spacing w:val="-1"/>
                <w:highlight w:val="none"/>
              </w:rPr>
              <w:t>其他非</w:t>
            </w:r>
            <w:r>
              <w:rPr>
                <w:color w:val="auto"/>
                <w:highlight w:val="none"/>
              </w:rPr>
              <w:t xml:space="preserve"> </w:t>
            </w:r>
            <w:r>
              <w:rPr>
                <w:color w:val="auto"/>
                <w:spacing w:val="-2"/>
                <w:highlight w:val="none"/>
              </w:rPr>
              <w:t>金属矿物制品</w:t>
            </w:r>
          </w:p>
        </w:tc>
        <w:tc>
          <w:tcPr>
            <w:tcW w:w="2672" w:type="dxa"/>
          </w:tcPr>
          <w:p w14:paraId="11CDB202">
            <w:pPr>
              <w:pStyle w:val="248"/>
              <w:spacing w:before="68" w:line="219" w:lineRule="auto"/>
              <w:ind w:left="103"/>
              <w:rPr>
                <w:color w:val="auto"/>
                <w:highlight w:val="none"/>
              </w:rPr>
            </w:pPr>
            <w:r>
              <w:rPr>
                <w:color w:val="auto"/>
                <w:spacing w:val="-1"/>
                <w:highlight w:val="none"/>
              </w:rPr>
              <w:t>A10039901</w:t>
            </w:r>
            <w:r>
              <w:rPr>
                <w:color w:val="auto"/>
                <w:spacing w:val="-45"/>
                <w:highlight w:val="none"/>
              </w:rPr>
              <w:t xml:space="preserve"> </w:t>
            </w:r>
            <w:r>
              <w:rPr>
                <w:color w:val="auto"/>
                <w:spacing w:val="-1"/>
                <w:highlight w:val="none"/>
              </w:rPr>
              <w:t>其他非金属建筑材料</w:t>
            </w:r>
          </w:p>
        </w:tc>
        <w:tc>
          <w:tcPr>
            <w:tcW w:w="2248" w:type="dxa"/>
          </w:tcPr>
          <w:p w14:paraId="0B53BDCA">
            <w:pPr>
              <w:rPr>
                <w:rFonts w:ascii="Arial"/>
                <w:color w:val="auto"/>
                <w:highlight w:val="none"/>
              </w:rPr>
            </w:pPr>
          </w:p>
        </w:tc>
        <w:tc>
          <w:tcPr>
            <w:tcW w:w="3543" w:type="dxa"/>
          </w:tcPr>
          <w:p w14:paraId="55B67A4D">
            <w:pPr>
              <w:pStyle w:val="248"/>
              <w:spacing w:before="68" w:line="219" w:lineRule="auto"/>
              <w:ind w:left="109"/>
              <w:rPr>
                <w:color w:val="auto"/>
                <w:highlight w:val="none"/>
              </w:rPr>
            </w:pPr>
            <w:r>
              <w:rPr>
                <w:color w:val="auto"/>
                <w:spacing w:val="-2"/>
                <w:highlight w:val="none"/>
              </w:rPr>
              <w:t>HJ456</w:t>
            </w:r>
            <w:r>
              <w:rPr>
                <w:color w:val="auto"/>
                <w:spacing w:val="-23"/>
                <w:highlight w:val="none"/>
              </w:rPr>
              <w:t xml:space="preserve"> </w:t>
            </w:r>
            <w:r>
              <w:rPr>
                <w:color w:val="auto"/>
                <w:spacing w:val="-2"/>
                <w:highlight w:val="none"/>
              </w:rPr>
              <w:t>刚性防水材料</w:t>
            </w:r>
          </w:p>
        </w:tc>
      </w:tr>
    </w:tbl>
    <w:p w14:paraId="50FC8100">
      <w:pPr>
        <w:rPr>
          <w:rFonts w:ascii="Arial" w:hAnsi="Arial" w:eastAsia="Arial" w:cs="Arial"/>
          <w:color w:val="auto"/>
          <w:szCs w:val="21"/>
          <w:highlight w:val="none"/>
        </w:rPr>
        <w:sectPr>
          <w:pgSz w:w="11906" w:h="16838"/>
          <w:pgMar w:top="1431" w:right="644" w:bottom="0" w:left="667" w:header="0" w:footer="0" w:gutter="0"/>
          <w:cols w:space="720" w:num="1"/>
        </w:sectPr>
      </w:pPr>
    </w:p>
    <w:tbl>
      <w:tblPr>
        <w:tblStyle w:val="249"/>
        <w:tblW w:w="1058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83"/>
        <w:gridCol w:w="1542"/>
        <w:gridCol w:w="2672"/>
        <w:gridCol w:w="2248"/>
        <w:gridCol w:w="3543"/>
      </w:tblGrid>
      <w:tr w14:paraId="707578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583" w:type="dxa"/>
            <w:vMerge w:val="restart"/>
            <w:tcBorders>
              <w:bottom w:val="nil"/>
            </w:tcBorders>
          </w:tcPr>
          <w:p w14:paraId="7161BBF6">
            <w:pPr>
              <w:pStyle w:val="248"/>
              <w:spacing w:before="68"/>
              <w:ind w:left="114"/>
              <w:rPr>
                <w:color w:val="auto"/>
                <w:highlight w:val="none"/>
              </w:rPr>
            </w:pPr>
            <w:r>
              <w:rPr>
                <w:color w:val="auto"/>
                <w:spacing w:val="-3"/>
                <w:highlight w:val="none"/>
              </w:rPr>
              <w:t>43</w:t>
            </w:r>
          </w:p>
        </w:tc>
        <w:tc>
          <w:tcPr>
            <w:tcW w:w="1542" w:type="dxa"/>
            <w:vMerge w:val="restart"/>
            <w:tcBorders>
              <w:bottom w:val="nil"/>
            </w:tcBorders>
          </w:tcPr>
          <w:p w14:paraId="00C764D6">
            <w:pPr>
              <w:pStyle w:val="248"/>
              <w:spacing w:before="67" w:line="323" w:lineRule="auto"/>
              <w:ind w:left="107" w:right="108" w:hanging="5"/>
              <w:rPr>
                <w:color w:val="auto"/>
                <w:highlight w:val="none"/>
              </w:rPr>
            </w:pPr>
            <w:r>
              <w:rPr>
                <w:color w:val="auto"/>
                <w:spacing w:val="3"/>
                <w:highlight w:val="none"/>
              </w:rPr>
              <w:t>A100602</w:t>
            </w:r>
            <w:r>
              <w:rPr>
                <w:color w:val="auto"/>
                <w:spacing w:val="34"/>
                <w:highlight w:val="none"/>
              </w:rPr>
              <w:t xml:space="preserve"> </w:t>
            </w:r>
            <w:r>
              <w:rPr>
                <w:color w:val="auto"/>
                <w:spacing w:val="3"/>
                <w:highlight w:val="none"/>
              </w:rPr>
              <w:t>墙面涂</w:t>
            </w:r>
            <w:r>
              <w:rPr>
                <w:color w:val="auto"/>
                <w:highlight w:val="none"/>
              </w:rPr>
              <w:t xml:space="preserve"> 料</w:t>
            </w:r>
          </w:p>
        </w:tc>
        <w:tc>
          <w:tcPr>
            <w:tcW w:w="2672" w:type="dxa"/>
          </w:tcPr>
          <w:p w14:paraId="5D474DE9">
            <w:pPr>
              <w:pStyle w:val="248"/>
              <w:spacing w:before="69" w:line="284" w:lineRule="auto"/>
              <w:ind w:left="108" w:right="107" w:hanging="5"/>
              <w:rPr>
                <w:color w:val="auto"/>
                <w:highlight w:val="none"/>
              </w:rPr>
            </w:pPr>
            <w:r>
              <w:rPr>
                <w:color w:val="auto"/>
                <w:spacing w:val="-1"/>
                <w:highlight w:val="none"/>
              </w:rPr>
              <w:t>A10060202</w:t>
            </w:r>
            <w:r>
              <w:rPr>
                <w:color w:val="auto"/>
                <w:spacing w:val="-47"/>
                <w:highlight w:val="none"/>
              </w:rPr>
              <w:t xml:space="preserve"> </w:t>
            </w:r>
            <w:r>
              <w:rPr>
                <w:color w:val="auto"/>
                <w:spacing w:val="-1"/>
                <w:highlight w:val="none"/>
              </w:rPr>
              <w:t>合成树脂乳液内墙涂</w:t>
            </w:r>
            <w:r>
              <w:rPr>
                <w:color w:val="auto"/>
                <w:highlight w:val="none"/>
              </w:rPr>
              <w:t xml:space="preserve"> 料</w:t>
            </w:r>
          </w:p>
        </w:tc>
        <w:tc>
          <w:tcPr>
            <w:tcW w:w="2248" w:type="dxa"/>
          </w:tcPr>
          <w:p w14:paraId="7F4E1CF0">
            <w:pPr>
              <w:rPr>
                <w:rFonts w:ascii="Arial"/>
                <w:color w:val="auto"/>
                <w:highlight w:val="none"/>
              </w:rPr>
            </w:pPr>
          </w:p>
        </w:tc>
        <w:tc>
          <w:tcPr>
            <w:tcW w:w="3543" w:type="dxa"/>
          </w:tcPr>
          <w:p w14:paraId="42210274">
            <w:pPr>
              <w:pStyle w:val="248"/>
              <w:spacing w:before="67" w:line="219" w:lineRule="auto"/>
              <w:ind w:left="109"/>
              <w:rPr>
                <w:color w:val="auto"/>
                <w:highlight w:val="none"/>
              </w:rPr>
            </w:pPr>
            <w:r>
              <w:rPr>
                <w:color w:val="auto"/>
                <w:spacing w:val="-1"/>
                <w:highlight w:val="none"/>
              </w:rPr>
              <w:t>HJ2537</w:t>
            </w:r>
            <w:r>
              <w:rPr>
                <w:color w:val="auto"/>
                <w:spacing w:val="-34"/>
                <w:highlight w:val="none"/>
              </w:rPr>
              <w:t xml:space="preserve"> </w:t>
            </w:r>
            <w:r>
              <w:rPr>
                <w:color w:val="auto"/>
                <w:spacing w:val="-1"/>
                <w:highlight w:val="none"/>
              </w:rPr>
              <w:t>水性涂料</w:t>
            </w:r>
          </w:p>
        </w:tc>
      </w:tr>
      <w:tr w14:paraId="6893FC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83" w:type="dxa"/>
            <w:vMerge w:val="continue"/>
            <w:tcBorders>
              <w:top w:val="nil"/>
              <w:bottom w:val="nil"/>
            </w:tcBorders>
          </w:tcPr>
          <w:p w14:paraId="40FA5AC0">
            <w:pPr>
              <w:rPr>
                <w:rFonts w:ascii="Arial"/>
                <w:color w:val="auto"/>
                <w:highlight w:val="none"/>
              </w:rPr>
            </w:pPr>
          </w:p>
        </w:tc>
        <w:tc>
          <w:tcPr>
            <w:tcW w:w="1542" w:type="dxa"/>
            <w:vMerge w:val="continue"/>
            <w:tcBorders>
              <w:top w:val="nil"/>
              <w:bottom w:val="nil"/>
            </w:tcBorders>
          </w:tcPr>
          <w:p w14:paraId="79B2F21B">
            <w:pPr>
              <w:rPr>
                <w:rFonts w:ascii="Arial"/>
                <w:color w:val="auto"/>
                <w:highlight w:val="none"/>
              </w:rPr>
            </w:pPr>
          </w:p>
        </w:tc>
        <w:tc>
          <w:tcPr>
            <w:tcW w:w="2672" w:type="dxa"/>
          </w:tcPr>
          <w:p w14:paraId="334940B5">
            <w:pPr>
              <w:pStyle w:val="248"/>
              <w:spacing w:before="64" w:line="284" w:lineRule="auto"/>
              <w:ind w:left="108" w:right="107" w:hanging="5"/>
              <w:rPr>
                <w:color w:val="auto"/>
                <w:highlight w:val="none"/>
              </w:rPr>
            </w:pPr>
            <w:r>
              <w:rPr>
                <w:color w:val="auto"/>
                <w:spacing w:val="-1"/>
                <w:highlight w:val="none"/>
              </w:rPr>
              <w:t>A10060203</w:t>
            </w:r>
            <w:r>
              <w:rPr>
                <w:color w:val="auto"/>
                <w:spacing w:val="-47"/>
                <w:highlight w:val="none"/>
              </w:rPr>
              <w:t xml:space="preserve"> </w:t>
            </w:r>
            <w:r>
              <w:rPr>
                <w:color w:val="auto"/>
                <w:spacing w:val="-1"/>
                <w:highlight w:val="none"/>
              </w:rPr>
              <w:t>合成树脂乳液外墙涂</w:t>
            </w:r>
            <w:r>
              <w:rPr>
                <w:color w:val="auto"/>
                <w:highlight w:val="none"/>
              </w:rPr>
              <w:t xml:space="preserve"> 料</w:t>
            </w:r>
          </w:p>
        </w:tc>
        <w:tc>
          <w:tcPr>
            <w:tcW w:w="2248" w:type="dxa"/>
          </w:tcPr>
          <w:p w14:paraId="29A32C0E">
            <w:pPr>
              <w:rPr>
                <w:rFonts w:ascii="Arial"/>
                <w:color w:val="auto"/>
                <w:highlight w:val="none"/>
              </w:rPr>
            </w:pPr>
          </w:p>
        </w:tc>
        <w:tc>
          <w:tcPr>
            <w:tcW w:w="3543" w:type="dxa"/>
          </w:tcPr>
          <w:p w14:paraId="2D05C25F">
            <w:pPr>
              <w:pStyle w:val="248"/>
              <w:spacing w:before="63" w:line="219" w:lineRule="auto"/>
              <w:ind w:left="109"/>
              <w:rPr>
                <w:color w:val="auto"/>
                <w:highlight w:val="none"/>
              </w:rPr>
            </w:pPr>
            <w:r>
              <w:rPr>
                <w:color w:val="auto"/>
                <w:spacing w:val="-1"/>
                <w:highlight w:val="none"/>
              </w:rPr>
              <w:t>HJ2537</w:t>
            </w:r>
            <w:r>
              <w:rPr>
                <w:color w:val="auto"/>
                <w:spacing w:val="-34"/>
                <w:highlight w:val="none"/>
              </w:rPr>
              <w:t xml:space="preserve"> </w:t>
            </w:r>
            <w:r>
              <w:rPr>
                <w:color w:val="auto"/>
                <w:spacing w:val="-1"/>
                <w:highlight w:val="none"/>
              </w:rPr>
              <w:t>水性涂料</w:t>
            </w:r>
          </w:p>
        </w:tc>
      </w:tr>
      <w:tr w14:paraId="789260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583" w:type="dxa"/>
            <w:vMerge w:val="continue"/>
            <w:tcBorders>
              <w:top w:val="nil"/>
            </w:tcBorders>
          </w:tcPr>
          <w:p w14:paraId="54679652">
            <w:pPr>
              <w:rPr>
                <w:rFonts w:ascii="Arial"/>
                <w:color w:val="auto"/>
                <w:highlight w:val="none"/>
              </w:rPr>
            </w:pPr>
          </w:p>
        </w:tc>
        <w:tc>
          <w:tcPr>
            <w:tcW w:w="1542" w:type="dxa"/>
            <w:vMerge w:val="continue"/>
            <w:tcBorders>
              <w:top w:val="nil"/>
            </w:tcBorders>
          </w:tcPr>
          <w:p w14:paraId="403E26A7">
            <w:pPr>
              <w:rPr>
                <w:rFonts w:ascii="Arial"/>
                <w:color w:val="auto"/>
                <w:highlight w:val="none"/>
              </w:rPr>
            </w:pPr>
          </w:p>
        </w:tc>
        <w:tc>
          <w:tcPr>
            <w:tcW w:w="2672" w:type="dxa"/>
          </w:tcPr>
          <w:p w14:paraId="7E658135">
            <w:pPr>
              <w:pStyle w:val="248"/>
              <w:spacing w:before="64" w:line="221" w:lineRule="auto"/>
              <w:ind w:left="103"/>
              <w:rPr>
                <w:color w:val="auto"/>
                <w:highlight w:val="none"/>
              </w:rPr>
            </w:pPr>
            <w:r>
              <w:rPr>
                <w:color w:val="auto"/>
                <w:spacing w:val="-1"/>
                <w:highlight w:val="none"/>
              </w:rPr>
              <w:t>A10060299</w:t>
            </w:r>
            <w:r>
              <w:rPr>
                <w:color w:val="auto"/>
                <w:spacing w:val="-30"/>
                <w:highlight w:val="none"/>
              </w:rPr>
              <w:t xml:space="preserve"> </w:t>
            </w:r>
            <w:r>
              <w:rPr>
                <w:color w:val="auto"/>
                <w:spacing w:val="-1"/>
                <w:highlight w:val="none"/>
              </w:rPr>
              <w:t>其他墙面涂料</w:t>
            </w:r>
          </w:p>
        </w:tc>
        <w:tc>
          <w:tcPr>
            <w:tcW w:w="2248" w:type="dxa"/>
          </w:tcPr>
          <w:p w14:paraId="7D3441D4">
            <w:pPr>
              <w:rPr>
                <w:rFonts w:ascii="Arial"/>
                <w:color w:val="auto"/>
                <w:highlight w:val="none"/>
              </w:rPr>
            </w:pPr>
          </w:p>
        </w:tc>
        <w:tc>
          <w:tcPr>
            <w:tcW w:w="3543" w:type="dxa"/>
          </w:tcPr>
          <w:p w14:paraId="72BEE7CF">
            <w:pPr>
              <w:pStyle w:val="248"/>
              <w:spacing w:before="64" w:line="219" w:lineRule="auto"/>
              <w:ind w:left="109"/>
              <w:rPr>
                <w:color w:val="auto"/>
                <w:highlight w:val="none"/>
              </w:rPr>
            </w:pPr>
            <w:r>
              <w:rPr>
                <w:color w:val="auto"/>
                <w:spacing w:val="-1"/>
                <w:highlight w:val="none"/>
              </w:rPr>
              <w:t>HJ2537</w:t>
            </w:r>
            <w:r>
              <w:rPr>
                <w:color w:val="auto"/>
                <w:spacing w:val="-34"/>
                <w:highlight w:val="none"/>
              </w:rPr>
              <w:t xml:space="preserve"> </w:t>
            </w:r>
            <w:r>
              <w:rPr>
                <w:color w:val="auto"/>
                <w:spacing w:val="-1"/>
                <w:highlight w:val="none"/>
              </w:rPr>
              <w:t>水性涂料</w:t>
            </w:r>
          </w:p>
        </w:tc>
      </w:tr>
      <w:tr w14:paraId="7FF4DB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83" w:type="dxa"/>
          </w:tcPr>
          <w:p w14:paraId="1EC842CC">
            <w:pPr>
              <w:pStyle w:val="248"/>
              <w:spacing w:before="65" w:line="242" w:lineRule="auto"/>
              <w:ind w:left="114"/>
              <w:rPr>
                <w:color w:val="auto"/>
                <w:highlight w:val="none"/>
              </w:rPr>
            </w:pPr>
            <w:r>
              <w:rPr>
                <w:color w:val="auto"/>
                <w:spacing w:val="-3"/>
                <w:highlight w:val="none"/>
              </w:rPr>
              <w:t>44</w:t>
            </w:r>
          </w:p>
        </w:tc>
        <w:tc>
          <w:tcPr>
            <w:tcW w:w="1542" w:type="dxa"/>
          </w:tcPr>
          <w:p w14:paraId="0FB6A3D8">
            <w:pPr>
              <w:pStyle w:val="248"/>
              <w:spacing w:before="66" w:line="283" w:lineRule="auto"/>
              <w:ind w:left="107" w:right="108" w:hanging="5"/>
              <w:rPr>
                <w:color w:val="auto"/>
                <w:highlight w:val="none"/>
              </w:rPr>
            </w:pPr>
            <w:r>
              <w:rPr>
                <w:color w:val="auto"/>
                <w:spacing w:val="2"/>
                <w:highlight w:val="none"/>
              </w:rPr>
              <w:t>A100604</w:t>
            </w:r>
            <w:r>
              <w:rPr>
                <w:color w:val="auto"/>
                <w:spacing w:val="44"/>
                <w:highlight w:val="none"/>
              </w:rPr>
              <w:t xml:space="preserve"> </w:t>
            </w:r>
            <w:r>
              <w:rPr>
                <w:color w:val="auto"/>
                <w:spacing w:val="2"/>
                <w:highlight w:val="none"/>
              </w:rPr>
              <w:t>防水涂</w:t>
            </w:r>
            <w:r>
              <w:rPr>
                <w:color w:val="auto"/>
                <w:highlight w:val="none"/>
              </w:rPr>
              <w:t xml:space="preserve"> 料</w:t>
            </w:r>
          </w:p>
        </w:tc>
        <w:tc>
          <w:tcPr>
            <w:tcW w:w="2672" w:type="dxa"/>
          </w:tcPr>
          <w:p w14:paraId="4B614C45">
            <w:pPr>
              <w:pStyle w:val="248"/>
              <w:spacing w:before="65" w:line="220" w:lineRule="auto"/>
              <w:ind w:left="103"/>
              <w:rPr>
                <w:color w:val="auto"/>
                <w:highlight w:val="none"/>
              </w:rPr>
            </w:pPr>
            <w:r>
              <w:rPr>
                <w:color w:val="auto"/>
                <w:spacing w:val="-1"/>
                <w:highlight w:val="none"/>
              </w:rPr>
              <w:t>A10060499</w:t>
            </w:r>
            <w:r>
              <w:rPr>
                <w:color w:val="auto"/>
                <w:spacing w:val="-30"/>
                <w:highlight w:val="none"/>
              </w:rPr>
              <w:t xml:space="preserve"> </w:t>
            </w:r>
            <w:r>
              <w:rPr>
                <w:color w:val="auto"/>
                <w:spacing w:val="-1"/>
                <w:highlight w:val="none"/>
              </w:rPr>
              <w:t>其他防水涂料</w:t>
            </w:r>
          </w:p>
        </w:tc>
        <w:tc>
          <w:tcPr>
            <w:tcW w:w="2248" w:type="dxa"/>
          </w:tcPr>
          <w:p w14:paraId="4A1911E1">
            <w:pPr>
              <w:rPr>
                <w:rFonts w:ascii="Arial"/>
                <w:color w:val="auto"/>
                <w:highlight w:val="none"/>
              </w:rPr>
            </w:pPr>
          </w:p>
        </w:tc>
        <w:tc>
          <w:tcPr>
            <w:tcW w:w="3543" w:type="dxa"/>
          </w:tcPr>
          <w:p w14:paraId="64DEA77B">
            <w:pPr>
              <w:pStyle w:val="248"/>
              <w:spacing w:before="65" w:line="219" w:lineRule="auto"/>
              <w:ind w:left="109"/>
              <w:rPr>
                <w:color w:val="auto"/>
                <w:highlight w:val="none"/>
              </w:rPr>
            </w:pPr>
            <w:r>
              <w:rPr>
                <w:color w:val="auto"/>
                <w:spacing w:val="-1"/>
                <w:highlight w:val="none"/>
              </w:rPr>
              <w:t>HJ2537</w:t>
            </w:r>
            <w:r>
              <w:rPr>
                <w:color w:val="auto"/>
                <w:spacing w:val="-34"/>
                <w:highlight w:val="none"/>
              </w:rPr>
              <w:t xml:space="preserve"> </w:t>
            </w:r>
            <w:r>
              <w:rPr>
                <w:color w:val="auto"/>
                <w:spacing w:val="-1"/>
                <w:highlight w:val="none"/>
              </w:rPr>
              <w:t>水性涂料</w:t>
            </w:r>
          </w:p>
        </w:tc>
      </w:tr>
      <w:tr w14:paraId="047288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83" w:type="dxa"/>
          </w:tcPr>
          <w:p w14:paraId="04F436A1">
            <w:pPr>
              <w:pStyle w:val="248"/>
              <w:spacing w:before="66"/>
              <w:ind w:left="114"/>
              <w:rPr>
                <w:color w:val="auto"/>
                <w:highlight w:val="none"/>
              </w:rPr>
            </w:pPr>
            <w:r>
              <w:rPr>
                <w:color w:val="auto"/>
                <w:spacing w:val="-3"/>
                <w:highlight w:val="none"/>
              </w:rPr>
              <w:t>45</w:t>
            </w:r>
          </w:p>
        </w:tc>
        <w:tc>
          <w:tcPr>
            <w:tcW w:w="1542" w:type="dxa"/>
          </w:tcPr>
          <w:p w14:paraId="51C2A207">
            <w:pPr>
              <w:pStyle w:val="248"/>
              <w:spacing w:before="66" w:line="283" w:lineRule="auto"/>
              <w:ind w:left="109" w:right="108" w:hanging="7"/>
              <w:rPr>
                <w:color w:val="auto"/>
                <w:highlight w:val="none"/>
              </w:rPr>
            </w:pPr>
            <w:r>
              <w:rPr>
                <w:color w:val="auto"/>
                <w:spacing w:val="3"/>
                <w:highlight w:val="none"/>
              </w:rPr>
              <w:t>A100699</w:t>
            </w:r>
            <w:r>
              <w:rPr>
                <w:color w:val="auto"/>
                <w:spacing w:val="34"/>
                <w:highlight w:val="none"/>
              </w:rPr>
              <w:t xml:space="preserve"> </w:t>
            </w:r>
            <w:r>
              <w:rPr>
                <w:color w:val="auto"/>
                <w:spacing w:val="3"/>
                <w:highlight w:val="none"/>
              </w:rPr>
              <w:t>其他建</w:t>
            </w:r>
            <w:r>
              <w:rPr>
                <w:color w:val="auto"/>
                <w:highlight w:val="none"/>
              </w:rPr>
              <w:t xml:space="preserve"> </w:t>
            </w:r>
            <w:r>
              <w:rPr>
                <w:color w:val="auto"/>
                <w:spacing w:val="-2"/>
                <w:highlight w:val="none"/>
              </w:rPr>
              <w:t>筑涂料</w:t>
            </w:r>
          </w:p>
        </w:tc>
        <w:tc>
          <w:tcPr>
            <w:tcW w:w="2672" w:type="dxa"/>
          </w:tcPr>
          <w:p w14:paraId="63A5410B">
            <w:pPr>
              <w:rPr>
                <w:rFonts w:ascii="Arial"/>
                <w:color w:val="auto"/>
                <w:highlight w:val="none"/>
              </w:rPr>
            </w:pPr>
          </w:p>
        </w:tc>
        <w:tc>
          <w:tcPr>
            <w:tcW w:w="2248" w:type="dxa"/>
          </w:tcPr>
          <w:p w14:paraId="53E2662D">
            <w:pPr>
              <w:rPr>
                <w:rFonts w:ascii="Arial"/>
                <w:color w:val="auto"/>
                <w:highlight w:val="none"/>
              </w:rPr>
            </w:pPr>
          </w:p>
        </w:tc>
        <w:tc>
          <w:tcPr>
            <w:tcW w:w="3543" w:type="dxa"/>
          </w:tcPr>
          <w:p w14:paraId="253E74F5">
            <w:pPr>
              <w:pStyle w:val="248"/>
              <w:spacing w:before="65" w:line="219" w:lineRule="auto"/>
              <w:ind w:left="109"/>
              <w:rPr>
                <w:color w:val="auto"/>
                <w:highlight w:val="none"/>
              </w:rPr>
            </w:pPr>
            <w:r>
              <w:rPr>
                <w:color w:val="auto"/>
                <w:spacing w:val="-1"/>
                <w:highlight w:val="none"/>
              </w:rPr>
              <w:t>HJ2537</w:t>
            </w:r>
            <w:r>
              <w:rPr>
                <w:color w:val="auto"/>
                <w:spacing w:val="-34"/>
                <w:highlight w:val="none"/>
              </w:rPr>
              <w:t xml:space="preserve"> </w:t>
            </w:r>
            <w:r>
              <w:rPr>
                <w:color w:val="auto"/>
                <w:spacing w:val="-1"/>
                <w:highlight w:val="none"/>
              </w:rPr>
              <w:t>水性涂料</w:t>
            </w:r>
          </w:p>
        </w:tc>
      </w:tr>
      <w:tr w14:paraId="519A43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583" w:type="dxa"/>
          </w:tcPr>
          <w:p w14:paraId="762CECDB">
            <w:pPr>
              <w:pStyle w:val="248"/>
              <w:spacing w:before="66"/>
              <w:ind w:left="114"/>
              <w:rPr>
                <w:color w:val="auto"/>
                <w:highlight w:val="none"/>
              </w:rPr>
            </w:pPr>
            <w:r>
              <w:rPr>
                <w:color w:val="auto"/>
                <w:spacing w:val="-3"/>
                <w:highlight w:val="none"/>
              </w:rPr>
              <w:t>46</w:t>
            </w:r>
          </w:p>
        </w:tc>
        <w:tc>
          <w:tcPr>
            <w:tcW w:w="1542" w:type="dxa"/>
          </w:tcPr>
          <w:p w14:paraId="1674AA9F">
            <w:pPr>
              <w:pStyle w:val="248"/>
              <w:spacing w:before="66" w:line="222" w:lineRule="auto"/>
              <w:ind w:left="102"/>
              <w:rPr>
                <w:color w:val="auto"/>
                <w:highlight w:val="none"/>
              </w:rPr>
            </w:pPr>
            <w:r>
              <w:rPr>
                <w:color w:val="auto"/>
                <w:spacing w:val="-8"/>
                <w:highlight w:val="none"/>
              </w:rPr>
              <w:t>A100701</w:t>
            </w:r>
            <w:r>
              <w:rPr>
                <w:color w:val="auto"/>
                <w:spacing w:val="-12"/>
                <w:highlight w:val="none"/>
              </w:rPr>
              <w:t xml:space="preserve"> </w:t>
            </w:r>
            <w:r>
              <w:rPr>
                <w:color w:val="auto"/>
                <w:spacing w:val="-8"/>
                <w:highlight w:val="none"/>
              </w:rPr>
              <w:t>门、门槛</w:t>
            </w:r>
          </w:p>
        </w:tc>
        <w:tc>
          <w:tcPr>
            <w:tcW w:w="2672" w:type="dxa"/>
          </w:tcPr>
          <w:p w14:paraId="2CEDAF64">
            <w:pPr>
              <w:rPr>
                <w:rFonts w:ascii="Arial"/>
                <w:color w:val="auto"/>
                <w:highlight w:val="none"/>
              </w:rPr>
            </w:pPr>
          </w:p>
        </w:tc>
        <w:tc>
          <w:tcPr>
            <w:tcW w:w="2248" w:type="dxa"/>
          </w:tcPr>
          <w:p w14:paraId="6DB62359">
            <w:pPr>
              <w:rPr>
                <w:rFonts w:ascii="Arial"/>
                <w:color w:val="auto"/>
                <w:highlight w:val="none"/>
              </w:rPr>
            </w:pPr>
          </w:p>
        </w:tc>
        <w:tc>
          <w:tcPr>
            <w:tcW w:w="3543" w:type="dxa"/>
          </w:tcPr>
          <w:p w14:paraId="70EE129C">
            <w:pPr>
              <w:pStyle w:val="248"/>
              <w:spacing w:before="66" w:line="219" w:lineRule="auto"/>
              <w:ind w:left="109"/>
              <w:rPr>
                <w:color w:val="auto"/>
                <w:highlight w:val="none"/>
                <w:lang w:eastAsia="zh-CN"/>
              </w:rPr>
            </w:pPr>
            <w:r>
              <w:rPr>
                <w:color w:val="auto"/>
                <w:spacing w:val="-1"/>
                <w:highlight w:val="none"/>
                <w:lang w:eastAsia="zh-CN"/>
              </w:rPr>
              <w:t>HJ/T 237</w:t>
            </w:r>
            <w:r>
              <w:rPr>
                <w:color w:val="auto"/>
                <w:spacing w:val="-32"/>
                <w:highlight w:val="none"/>
                <w:lang w:eastAsia="zh-CN"/>
              </w:rPr>
              <w:t xml:space="preserve"> </w:t>
            </w:r>
            <w:r>
              <w:rPr>
                <w:color w:val="auto"/>
                <w:spacing w:val="-1"/>
                <w:highlight w:val="none"/>
                <w:lang w:eastAsia="zh-CN"/>
              </w:rPr>
              <w:t>塑料门窗/HJ459</w:t>
            </w:r>
            <w:r>
              <w:rPr>
                <w:color w:val="auto"/>
                <w:spacing w:val="-37"/>
                <w:highlight w:val="none"/>
                <w:lang w:eastAsia="zh-CN"/>
              </w:rPr>
              <w:t xml:space="preserve"> </w:t>
            </w:r>
            <w:r>
              <w:rPr>
                <w:color w:val="auto"/>
                <w:spacing w:val="-1"/>
                <w:highlight w:val="none"/>
                <w:lang w:eastAsia="zh-CN"/>
              </w:rPr>
              <w:t>木</w:t>
            </w:r>
            <w:r>
              <w:rPr>
                <w:color w:val="auto"/>
                <w:spacing w:val="-2"/>
                <w:highlight w:val="none"/>
                <w:lang w:eastAsia="zh-CN"/>
              </w:rPr>
              <w:t>质门和钢质门</w:t>
            </w:r>
          </w:p>
        </w:tc>
      </w:tr>
      <w:tr w14:paraId="6EFDEE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583" w:type="dxa"/>
          </w:tcPr>
          <w:p w14:paraId="48D78474">
            <w:pPr>
              <w:pStyle w:val="248"/>
              <w:spacing w:before="66"/>
              <w:ind w:left="114"/>
              <w:rPr>
                <w:color w:val="auto"/>
                <w:highlight w:val="none"/>
              </w:rPr>
            </w:pPr>
            <w:r>
              <w:rPr>
                <w:color w:val="auto"/>
                <w:spacing w:val="-3"/>
                <w:highlight w:val="none"/>
              </w:rPr>
              <w:t>47</w:t>
            </w:r>
          </w:p>
        </w:tc>
        <w:tc>
          <w:tcPr>
            <w:tcW w:w="1542" w:type="dxa"/>
          </w:tcPr>
          <w:p w14:paraId="2B181E82">
            <w:pPr>
              <w:pStyle w:val="248"/>
              <w:spacing w:before="66" w:line="221" w:lineRule="auto"/>
              <w:ind w:left="102"/>
              <w:rPr>
                <w:color w:val="auto"/>
                <w:highlight w:val="none"/>
              </w:rPr>
            </w:pPr>
            <w:r>
              <w:rPr>
                <w:color w:val="auto"/>
                <w:spacing w:val="-1"/>
                <w:highlight w:val="none"/>
              </w:rPr>
              <w:t>A100702</w:t>
            </w:r>
            <w:r>
              <w:rPr>
                <w:color w:val="auto"/>
                <w:spacing w:val="-24"/>
                <w:highlight w:val="none"/>
              </w:rPr>
              <w:t xml:space="preserve"> </w:t>
            </w:r>
            <w:r>
              <w:rPr>
                <w:color w:val="auto"/>
                <w:spacing w:val="-1"/>
                <w:highlight w:val="none"/>
              </w:rPr>
              <w:t>窗</w:t>
            </w:r>
          </w:p>
        </w:tc>
        <w:tc>
          <w:tcPr>
            <w:tcW w:w="2672" w:type="dxa"/>
          </w:tcPr>
          <w:p w14:paraId="6228BA37">
            <w:pPr>
              <w:rPr>
                <w:rFonts w:ascii="Arial"/>
                <w:color w:val="auto"/>
                <w:highlight w:val="none"/>
              </w:rPr>
            </w:pPr>
          </w:p>
        </w:tc>
        <w:tc>
          <w:tcPr>
            <w:tcW w:w="2248" w:type="dxa"/>
          </w:tcPr>
          <w:p w14:paraId="250C3424">
            <w:pPr>
              <w:rPr>
                <w:rFonts w:ascii="Arial"/>
                <w:color w:val="auto"/>
                <w:highlight w:val="none"/>
              </w:rPr>
            </w:pPr>
          </w:p>
        </w:tc>
        <w:tc>
          <w:tcPr>
            <w:tcW w:w="3543" w:type="dxa"/>
          </w:tcPr>
          <w:p w14:paraId="20FD535F">
            <w:pPr>
              <w:pStyle w:val="248"/>
              <w:spacing w:before="66" w:line="219" w:lineRule="auto"/>
              <w:ind w:left="109"/>
              <w:rPr>
                <w:color w:val="auto"/>
                <w:highlight w:val="none"/>
              </w:rPr>
            </w:pPr>
            <w:r>
              <w:rPr>
                <w:color w:val="auto"/>
                <w:spacing w:val="-1"/>
                <w:highlight w:val="none"/>
              </w:rPr>
              <w:t>HJ/T237</w:t>
            </w:r>
            <w:r>
              <w:rPr>
                <w:color w:val="auto"/>
                <w:spacing w:val="-33"/>
                <w:highlight w:val="none"/>
              </w:rPr>
              <w:t xml:space="preserve"> </w:t>
            </w:r>
            <w:r>
              <w:rPr>
                <w:color w:val="auto"/>
                <w:spacing w:val="-1"/>
                <w:highlight w:val="none"/>
              </w:rPr>
              <w:t>塑料门窗</w:t>
            </w:r>
          </w:p>
        </w:tc>
      </w:tr>
      <w:tr w14:paraId="138DF2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trPr>
        <w:tc>
          <w:tcPr>
            <w:tcW w:w="583" w:type="dxa"/>
          </w:tcPr>
          <w:p w14:paraId="4BEA765D">
            <w:pPr>
              <w:pStyle w:val="248"/>
              <w:spacing w:before="69"/>
              <w:ind w:left="114"/>
              <w:rPr>
                <w:color w:val="auto"/>
                <w:highlight w:val="none"/>
              </w:rPr>
            </w:pPr>
            <w:r>
              <w:rPr>
                <w:color w:val="auto"/>
                <w:spacing w:val="-3"/>
                <w:highlight w:val="none"/>
              </w:rPr>
              <w:t>48</w:t>
            </w:r>
          </w:p>
        </w:tc>
        <w:tc>
          <w:tcPr>
            <w:tcW w:w="1542" w:type="dxa"/>
          </w:tcPr>
          <w:p w14:paraId="4E69A1FC">
            <w:pPr>
              <w:pStyle w:val="248"/>
              <w:spacing w:before="70" w:line="282" w:lineRule="auto"/>
              <w:ind w:left="109" w:right="106" w:hanging="7"/>
              <w:rPr>
                <w:color w:val="auto"/>
                <w:highlight w:val="none"/>
              </w:rPr>
            </w:pPr>
            <w:r>
              <w:rPr>
                <w:color w:val="auto"/>
                <w:spacing w:val="-8"/>
                <w:highlight w:val="none"/>
              </w:rPr>
              <w:t>A170108</w:t>
            </w:r>
            <w:r>
              <w:rPr>
                <w:color w:val="auto"/>
                <w:spacing w:val="-25"/>
                <w:highlight w:val="none"/>
              </w:rPr>
              <w:t xml:space="preserve"> </w:t>
            </w:r>
            <w:r>
              <w:rPr>
                <w:color w:val="auto"/>
                <w:spacing w:val="-8"/>
                <w:highlight w:val="none"/>
              </w:rPr>
              <w:t>涂料（建</w:t>
            </w:r>
            <w:r>
              <w:rPr>
                <w:color w:val="auto"/>
                <w:highlight w:val="none"/>
              </w:rPr>
              <w:t xml:space="preserve"> </w:t>
            </w:r>
            <w:r>
              <w:rPr>
                <w:color w:val="auto"/>
                <w:spacing w:val="-2"/>
                <w:highlight w:val="none"/>
              </w:rPr>
              <w:t>筑涂料除外）</w:t>
            </w:r>
          </w:p>
        </w:tc>
        <w:tc>
          <w:tcPr>
            <w:tcW w:w="2672" w:type="dxa"/>
          </w:tcPr>
          <w:p w14:paraId="20F6B0C4">
            <w:pPr>
              <w:rPr>
                <w:rFonts w:ascii="Arial"/>
                <w:color w:val="auto"/>
                <w:highlight w:val="none"/>
              </w:rPr>
            </w:pPr>
          </w:p>
        </w:tc>
        <w:tc>
          <w:tcPr>
            <w:tcW w:w="2248" w:type="dxa"/>
          </w:tcPr>
          <w:p w14:paraId="25D5B43A">
            <w:pPr>
              <w:rPr>
                <w:rFonts w:ascii="Arial"/>
                <w:color w:val="auto"/>
                <w:highlight w:val="none"/>
              </w:rPr>
            </w:pPr>
          </w:p>
        </w:tc>
        <w:tc>
          <w:tcPr>
            <w:tcW w:w="3543" w:type="dxa"/>
          </w:tcPr>
          <w:p w14:paraId="0DEB05F9">
            <w:pPr>
              <w:pStyle w:val="248"/>
              <w:spacing w:before="69" w:line="219" w:lineRule="auto"/>
              <w:ind w:left="109"/>
              <w:rPr>
                <w:color w:val="auto"/>
                <w:highlight w:val="none"/>
              </w:rPr>
            </w:pPr>
            <w:r>
              <w:rPr>
                <w:color w:val="auto"/>
                <w:spacing w:val="-1"/>
                <w:highlight w:val="none"/>
              </w:rPr>
              <w:t>HJ2537</w:t>
            </w:r>
            <w:r>
              <w:rPr>
                <w:color w:val="auto"/>
                <w:spacing w:val="-34"/>
                <w:highlight w:val="none"/>
              </w:rPr>
              <w:t xml:space="preserve"> </w:t>
            </w:r>
            <w:r>
              <w:rPr>
                <w:color w:val="auto"/>
                <w:spacing w:val="-1"/>
                <w:highlight w:val="none"/>
              </w:rPr>
              <w:t>水性涂料</w:t>
            </w:r>
          </w:p>
        </w:tc>
      </w:tr>
      <w:tr w14:paraId="11CFFE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83" w:type="dxa"/>
          </w:tcPr>
          <w:p w14:paraId="6FDC2625">
            <w:pPr>
              <w:pStyle w:val="248"/>
              <w:spacing w:before="68"/>
              <w:ind w:left="114"/>
              <w:rPr>
                <w:color w:val="auto"/>
                <w:highlight w:val="none"/>
              </w:rPr>
            </w:pPr>
            <w:r>
              <w:rPr>
                <w:color w:val="auto"/>
                <w:spacing w:val="-3"/>
                <w:highlight w:val="none"/>
              </w:rPr>
              <w:t>49</w:t>
            </w:r>
          </w:p>
        </w:tc>
        <w:tc>
          <w:tcPr>
            <w:tcW w:w="1542" w:type="dxa"/>
          </w:tcPr>
          <w:p w14:paraId="31EBC8E3">
            <w:pPr>
              <w:pStyle w:val="248"/>
              <w:spacing w:before="68" w:line="282" w:lineRule="auto"/>
              <w:ind w:left="109" w:right="108" w:hanging="7"/>
              <w:rPr>
                <w:color w:val="auto"/>
                <w:highlight w:val="none"/>
              </w:rPr>
            </w:pPr>
            <w:r>
              <w:rPr>
                <w:color w:val="auto"/>
                <w:spacing w:val="3"/>
                <w:highlight w:val="none"/>
              </w:rPr>
              <w:t>A170112</w:t>
            </w:r>
            <w:r>
              <w:rPr>
                <w:color w:val="auto"/>
                <w:spacing w:val="34"/>
                <w:highlight w:val="none"/>
              </w:rPr>
              <w:t xml:space="preserve"> </w:t>
            </w:r>
            <w:r>
              <w:rPr>
                <w:color w:val="auto"/>
                <w:spacing w:val="3"/>
                <w:highlight w:val="none"/>
              </w:rPr>
              <w:t>密封用</w:t>
            </w:r>
            <w:r>
              <w:rPr>
                <w:color w:val="auto"/>
                <w:highlight w:val="none"/>
              </w:rPr>
              <w:t xml:space="preserve"> </w:t>
            </w:r>
            <w:r>
              <w:rPr>
                <w:color w:val="auto"/>
                <w:spacing w:val="-2"/>
                <w:highlight w:val="none"/>
              </w:rPr>
              <w:t>填料及类似品</w:t>
            </w:r>
          </w:p>
        </w:tc>
        <w:tc>
          <w:tcPr>
            <w:tcW w:w="2672" w:type="dxa"/>
          </w:tcPr>
          <w:p w14:paraId="7BED2CB7">
            <w:pPr>
              <w:rPr>
                <w:rFonts w:ascii="Arial"/>
                <w:color w:val="auto"/>
                <w:highlight w:val="none"/>
              </w:rPr>
            </w:pPr>
          </w:p>
        </w:tc>
        <w:tc>
          <w:tcPr>
            <w:tcW w:w="2248" w:type="dxa"/>
          </w:tcPr>
          <w:p w14:paraId="584319A1">
            <w:pPr>
              <w:rPr>
                <w:rFonts w:ascii="Arial"/>
                <w:color w:val="auto"/>
                <w:highlight w:val="none"/>
              </w:rPr>
            </w:pPr>
          </w:p>
        </w:tc>
        <w:tc>
          <w:tcPr>
            <w:tcW w:w="3543" w:type="dxa"/>
          </w:tcPr>
          <w:p w14:paraId="3B9A317C">
            <w:pPr>
              <w:pStyle w:val="248"/>
              <w:spacing w:before="67" w:line="219" w:lineRule="auto"/>
              <w:ind w:left="109"/>
              <w:rPr>
                <w:color w:val="auto"/>
                <w:highlight w:val="none"/>
              </w:rPr>
            </w:pPr>
            <w:r>
              <w:rPr>
                <w:color w:val="auto"/>
                <w:spacing w:val="-1"/>
                <w:highlight w:val="none"/>
              </w:rPr>
              <w:t>HJ2541</w:t>
            </w:r>
            <w:r>
              <w:rPr>
                <w:color w:val="auto"/>
                <w:spacing w:val="-35"/>
                <w:highlight w:val="none"/>
              </w:rPr>
              <w:t xml:space="preserve"> </w:t>
            </w:r>
            <w:r>
              <w:rPr>
                <w:color w:val="auto"/>
                <w:spacing w:val="-1"/>
                <w:highlight w:val="none"/>
              </w:rPr>
              <w:t>胶粘剂</w:t>
            </w:r>
          </w:p>
        </w:tc>
      </w:tr>
      <w:tr w14:paraId="750B0F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583" w:type="dxa"/>
          </w:tcPr>
          <w:p w14:paraId="63FF1922">
            <w:pPr>
              <w:pStyle w:val="248"/>
              <w:spacing w:before="69"/>
              <w:ind w:left="118"/>
              <w:rPr>
                <w:color w:val="auto"/>
                <w:highlight w:val="none"/>
              </w:rPr>
            </w:pPr>
            <w:r>
              <w:rPr>
                <w:color w:val="auto"/>
                <w:spacing w:val="-5"/>
                <w:highlight w:val="none"/>
              </w:rPr>
              <w:t>50</w:t>
            </w:r>
          </w:p>
        </w:tc>
        <w:tc>
          <w:tcPr>
            <w:tcW w:w="1542" w:type="dxa"/>
          </w:tcPr>
          <w:p w14:paraId="1AFC0816">
            <w:pPr>
              <w:pStyle w:val="248"/>
              <w:spacing w:before="69" w:line="284" w:lineRule="auto"/>
              <w:ind w:left="122" w:right="108" w:hanging="20"/>
              <w:rPr>
                <w:color w:val="auto"/>
                <w:highlight w:val="none"/>
              </w:rPr>
            </w:pPr>
            <w:r>
              <w:rPr>
                <w:color w:val="auto"/>
                <w:spacing w:val="3"/>
                <w:highlight w:val="none"/>
              </w:rPr>
              <w:t>A180201</w:t>
            </w:r>
            <w:r>
              <w:rPr>
                <w:color w:val="auto"/>
                <w:spacing w:val="34"/>
                <w:highlight w:val="none"/>
              </w:rPr>
              <w:t xml:space="preserve"> </w:t>
            </w:r>
            <w:r>
              <w:rPr>
                <w:color w:val="auto"/>
                <w:spacing w:val="3"/>
                <w:highlight w:val="none"/>
              </w:rPr>
              <w:t>塑料制</w:t>
            </w:r>
            <w:r>
              <w:rPr>
                <w:color w:val="auto"/>
                <w:highlight w:val="none"/>
              </w:rPr>
              <w:t xml:space="preserve"> 品</w:t>
            </w:r>
          </w:p>
        </w:tc>
        <w:tc>
          <w:tcPr>
            <w:tcW w:w="2672" w:type="dxa"/>
          </w:tcPr>
          <w:p w14:paraId="0F92A916">
            <w:pPr>
              <w:rPr>
                <w:rFonts w:ascii="Arial"/>
                <w:color w:val="auto"/>
                <w:highlight w:val="none"/>
              </w:rPr>
            </w:pPr>
          </w:p>
        </w:tc>
        <w:tc>
          <w:tcPr>
            <w:tcW w:w="2248" w:type="dxa"/>
          </w:tcPr>
          <w:p w14:paraId="62B96DEC">
            <w:pPr>
              <w:rPr>
                <w:rFonts w:ascii="Arial"/>
                <w:color w:val="auto"/>
                <w:highlight w:val="none"/>
              </w:rPr>
            </w:pPr>
          </w:p>
        </w:tc>
        <w:tc>
          <w:tcPr>
            <w:tcW w:w="3543" w:type="dxa"/>
          </w:tcPr>
          <w:p w14:paraId="30DFB523">
            <w:pPr>
              <w:pStyle w:val="248"/>
              <w:spacing w:before="69" w:line="284" w:lineRule="auto"/>
              <w:ind w:left="113" w:right="104" w:hanging="4"/>
              <w:rPr>
                <w:color w:val="auto"/>
                <w:highlight w:val="none"/>
              </w:rPr>
            </w:pPr>
            <w:r>
              <w:rPr>
                <w:color w:val="auto"/>
                <w:highlight w:val="none"/>
              </w:rPr>
              <w:t>HJ/T226 建筑用塑料管材/HJ/</w:t>
            </w:r>
            <w:r>
              <w:rPr>
                <w:color w:val="auto"/>
                <w:spacing w:val="-1"/>
                <w:highlight w:val="none"/>
              </w:rPr>
              <w:t>T231 再生塑</w:t>
            </w:r>
            <w:r>
              <w:rPr>
                <w:color w:val="auto"/>
                <w:highlight w:val="none"/>
              </w:rPr>
              <w:t xml:space="preserve"> </w:t>
            </w:r>
            <w:r>
              <w:rPr>
                <w:color w:val="auto"/>
                <w:spacing w:val="-2"/>
                <w:highlight w:val="none"/>
              </w:rPr>
              <w:t>料制品</w:t>
            </w:r>
          </w:p>
        </w:tc>
      </w:tr>
    </w:tbl>
    <w:p w14:paraId="7459B829">
      <w:pPr>
        <w:spacing w:after="120" w:line="360" w:lineRule="auto"/>
        <w:rPr>
          <w:rFonts w:ascii="宋体" w:hAnsi="宋体"/>
          <w:color w:val="auto"/>
          <w:spacing w:val="-3"/>
          <w:szCs w:val="21"/>
          <w:highlight w:val="none"/>
        </w:rPr>
        <w:sectPr>
          <w:pgSz w:w="11906" w:h="16838"/>
          <w:pgMar w:top="1431" w:right="644" w:bottom="0" w:left="667" w:header="0" w:footer="0" w:gutter="0"/>
          <w:cols w:space="720" w:num="1"/>
        </w:sectPr>
      </w:pPr>
      <w:r>
        <w:rPr>
          <w:rFonts w:hint="eastAsia" w:ascii="宋体" w:hAnsi="宋体"/>
          <w:color w:val="auto"/>
          <w:spacing w:val="-3"/>
          <w:szCs w:val="21"/>
          <w:highlight w:val="none"/>
        </w:rPr>
        <w:t>注：环境标志产品认证应依据相关标准的最新版本。</w:t>
      </w:r>
    </w:p>
    <w:p w14:paraId="0C674438">
      <w:pPr>
        <w:pStyle w:val="26"/>
        <w:snapToGrid w:val="0"/>
        <w:spacing w:before="120" w:after="120" w:line="320" w:lineRule="exact"/>
        <w:jc w:val="center"/>
        <w:outlineLvl w:val="0"/>
        <w:rPr>
          <w:rFonts w:ascii="Times New Roman" w:hAnsi="Times New Roman" w:cs="Times New Roman"/>
          <w:color w:val="auto"/>
          <w:sz w:val="32"/>
          <w:szCs w:val="32"/>
          <w:highlight w:val="none"/>
        </w:rPr>
      </w:pPr>
      <w:bookmarkStart w:id="24" w:name="_Toc28595"/>
      <w:r>
        <w:rPr>
          <w:rFonts w:ascii="Times New Roman" w:hAnsi="Times New Roman" w:cs="Times New Roman"/>
          <w:color w:val="auto"/>
          <w:sz w:val="32"/>
          <w:szCs w:val="32"/>
          <w:highlight w:val="none"/>
        </w:rPr>
        <w:t>第三章  供应商须知</w:t>
      </w:r>
      <w:bookmarkEnd w:id="24"/>
      <w:bookmarkStart w:id="25" w:name="_投标人须知前附表"/>
      <w:bookmarkEnd w:id="25"/>
    </w:p>
    <w:p w14:paraId="0DD07533">
      <w:pPr>
        <w:pStyle w:val="3"/>
        <w:spacing w:before="40" w:after="40"/>
        <w:jc w:val="center"/>
        <w:rPr>
          <w:rFonts w:ascii="Times New Roman" w:hAnsi="Times New Roman" w:eastAsia="宋体"/>
          <w:color w:val="auto"/>
          <w:sz w:val="24"/>
          <w:szCs w:val="24"/>
          <w:highlight w:val="none"/>
        </w:rPr>
      </w:pPr>
      <w:r>
        <w:rPr>
          <w:rFonts w:ascii="Times New Roman" w:hAnsi="Times New Roman" w:eastAsia="宋体"/>
          <w:color w:val="auto"/>
          <w:sz w:val="24"/>
          <w:szCs w:val="24"/>
          <w:highlight w:val="none"/>
        </w:rPr>
        <w:t>供应商须知前附表</w:t>
      </w:r>
    </w:p>
    <w:tbl>
      <w:tblPr>
        <w:tblStyle w:val="51"/>
        <w:tblW w:w="9214"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37"/>
        <w:gridCol w:w="1248"/>
        <w:gridCol w:w="7229"/>
      </w:tblGrid>
      <w:tr w14:paraId="56F33C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737" w:type="dxa"/>
            <w:tcBorders>
              <w:top w:val="single" w:color="auto" w:sz="4" w:space="0"/>
              <w:left w:val="single" w:color="auto" w:sz="4" w:space="0"/>
              <w:bottom w:val="single" w:color="auto" w:sz="4" w:space="0"/>
              <w:right w:val="single" w:color="auto" w:sz="4" w:space="0"/>
            </w:tcBorders>
            <w:vAlign w:val="center"/>
          </w:tcPr>
          <w:p w14:paraId="0BDB18F0">
            <w:pPr>
              <w:jc w:val="center"/>
              <w:rPr>
                <w:b/>
                <w:color w:val="auto"/>
                <w:szCs w:val="21"/>
                <w:highlight w:val="none"/>
              </w:rPr>
            </w:pPr>
            <w:r>
              <w:rPr>
                <w:b/>
                <w:color w:val="auto"/>
                <w:szCs w:val="21"/>
                <w:highlight w:val="none"/>
              </w:rPr>
              <w:t>条款号</w:t>
            </w:r>
          </w:p>
        </w:tc>
        <w:tc>
          <w:tcPr>
            <w:tcW w:w="1248" w:type="dxa"/>
            <w:tcBorders>
              <w:top w:val="single" w:color="auto" w:sz="4" w:space="0"/>
              <w:left w:val="single" w:color="auto" w:sz="4" w:space="0"/>
              <w:bottom w:val="single" w:color="auto" w:sz="4" w:space="0"/>
              <w:right w:val="single" w:color="auto" w:sz="4" w:space="0"/>
            </w:tcBorders>
            <w:vAlign w:val="center"/>
          </w:tcPr>
          <w:p w14:paraId="799112E9">
            <w:pPr>
              <w:jc w:val="center"/>
              <w:rPr>
                <w:b/>
                <w:color w:val="auto"/>
                <w:szCs w:val="21"/>
                <w:highlight w:val="none"/>
              </w:rPr>
            </w:pPr>
            <w:r>
              <w:rPr>
                <w:b/>
                <w:color w:val="auto"/>
                <w:szCs w:val="21"/>
                <w:highlight w:val="none"/>
              </w:rPr>
              <w:t>要点</w:t>
            </w:r>
          </w:p>
        </w:tc>
        <w:tc>
          <w:tcPr>
            <w:tcW w:w="7229" w:type="dxa"/>
            <w:tcBorders>
              <w:top w:val="single" w:color="auto" w:sz="4" w:space="0"/>
              <w:left w:val="single" w:color="auto" w:sz="4" w:space="0"/>
              <w:bottom w:val="single" w:color="auto" w:sz="4" w:space="0"/>
              <w:right w:val="single" w:color="auto" w:sz="4" w:space="0"/>
            </w:tcBorders>
            <w:vAlign w:val="center"/>
          </w:tcPr>
          <w:p w14:paraId="4C361E6C">
            <w:pPr>
              <w:jc w:val="center"/>
              <w:rPr>
                <w:b/>
                <w:color w:val="auto"/>
                <w:szCs w:val="21"/>
                <w:highlight w:val="none"/>
              </w:rPr>
            </w:pPr>
            <w:r>
              <w:rPr>
                <w:b/>
                <w:color w:val="auto"/>
                <w:szCs w:val="21"/>
                <w:highlight w:val="none"/>
              </w:rPr>
              <w:t>内容、要求</w:t>
            </w:r>
          </w:p>
        </w:tc>
      </w:tr>
      <w:tr w14:paraId="47F653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737" w:type="dxa"/>
            <w:tcBorders>
              <w:top w:val="single" w:color="auto" w:sz="4" w:space="0"/>
              <w:left w:val="single" w:color="auto" w:sz="4" w:space="0"/>
              <w:bottom w:val="single" w:color="auto" w:sz="4" w:space="0"/>
              <w:right w:val="single" w:color="auto" w:sz="4" w:space="0"/>
            </w:tcBorders>
            <w:vAlign w:val="center"/>
          </w:tcPr>
          <w:p w14:paraId="5879EFFD">
            <w:pPr>
              <w:spacing w:line="300" w:lineRule="exact"/>
              <w:jc w:val="center"/>
              <w:rPr>
                <w:b/>
                <w:color w:val="auto"/>
                <w:szCs w:val="21"/>
                <w:highlight w:val="none"/>
              </w:rPr>
            </w:pPr>
            <w:r>
              <w:rPr>
                <w:b/>
                <w:color w:val="auto"/>
                <w:szCs w:val="21"/>
                <w:highlight w:val="none"/>
              </w:rPr>
              <w:t>1.3.1</w:t>
            </w:r>
          </w:p>
        </w:tc>
        <w:tc>
          <w:tcPr>
            <w:tcW w:w="1248" w:type="dxa"/>
            <w:tcBorders>
              <w:top w:val="single" w:color="auto" w:sz="4" w:space="0"/>
              <w:left w:val="single" w:color="auto" w:sz="4" w:space="0"/>
              <w:bottom w:val="single" w:color="auto" w:sz="4" w:space="0"/>
              <w:right w:val="single" w:color="auto" w:sz="4" w:space="0"/>
            </w:tcBorders>
            <w:vAlign w:val="center"/>
          </w:tcPr>
          <w:p w14:paraId="744C8440">
            <w:pPr>
              <w:spacing w:line="300" w:lineRule="exact"/>
              <w:jc w:val="center"/>
              <w:rPr>
                <w:color w:val="auto"/>
                <w:szCs w:val="21"/>
                <w:highlight w:val="none"/>
              </w:rPr>
            </w:pPr>
            <w:r>
              <w:rPr>
                <w:color w:val="auto"/>
                <w:szCs w:val="21"/>
                <w:highlight w:val="none"/>
              </w:rPr>
              <w:t>项目基本信息</w:t>
            </w:r>
          </w:p>
        </w:tc>
        <w:tc>
          <w:tcPr>
            <w:tcW w:w="7229" w:type="dxa"/>
            <w:tcBorders>
              <w:top w:val="single" w:color="auto" w:sz="4" w:space="0"/>
              <w:left w:val="single" w:color="auto" w:sz="4" w:space="0"/>
              <w:bottom w:val="single" w:color="auto" w:sz="4" w:space="0"/>
              <w:right w:val="single" w:color="auto" w:sz="4" w:space="0"/>
            </w:tcBorders>
            <w:vAlign w:val="center"/>
          </w:tcPr>
          <w:p w14:paraId="1FD0611A">
            <w:pPr>
              <w:spacing w:line="300" w:lineRule="exact"/>
              <w:jc w:val="left"/>
              <w:rPr>
                <w:color w:val="auto"/>
                <w:szCs w:val="21"/>
                <w:highlight w:val="none"/>
              </w:rPr>
            </w:pPr>
            <w:r>
              <w:rPr>
                <w:color w:val="auto"/>
                <w:szCs w:val="21"/>
                <w:highlight w:val="none"/>
              </w:rPr>
              <w:t>项目名称：</w:t>
            </w:r>
            <w:r>
              <w:rPr>
                <w:rFonts w:hint="eastAsia"/>
                <w:color w:val="auto"/>
                <w:szCs w:val="21"/>
                <w:highlight w:val="none"/>
              </w:rPr>
              <w:t>广西海上紧急医学救援中心项目—海上紧急医学救援楼多媒体指挥调度大厅项目</w:t>
            </w:r>
          </w:p>
          <w:p w14:paraId="7E6EF7F1">
            <w:pPr>
              <w:spacing w:line="300" w:lineRule="exact"/>
              <w:jc w:val="left"/>
              <w:rPr>
                <w:rFonts w:hint="eastAsia" w:eastAsia="宋体"/>
                <w:color w:val="auto"/>
                <w:szCs w:val="21"/>
                <w:highlight w:val="none"/>
                <w:lang w:eastAsia="zh-CN"/>
              </w:rPr>
            </w:pPr>
            <w:r>
              <w:rPr>
                <w:color w:val="auto"/>
                <w:szCs w:val="21"/>
                <w:highlight w:val="none"/>
              </w:rPr>
              <w:t>项目编号：</w:t>
            </w:r>
            <w:r>
              <w:rPr>
                <w:rFonts w:hint="eastAsia"/>
                <w:color w:val="auto"/>
                <w:szCs w:val="21"/>
                <w:highlight w:val="none"/>
                <w:lang w:eastAsia="zh-CN"/>
              </w:rPr>
              <w:t>BHZC2026-J1-990242-JDZB</w:t>
            </w:r>
          </w:p>
          <w:p w14:paraId="1CC6B726">
            <w:pPr>
              <w:spacing w:line="300" w:lineRule="exact"/>
              <w:jc w:val="left"/>
              <w:rPr>
                <w:color w:val="auto"/>
                <w:szCs w:val="21"/>
                <w:highlight w:val="none"/>
              </w:rPr>
            </w:pPr>
            <w:r>
              <w:rPr>
                <w:rFonts w:hint="eastAsia"/>
                <w:color w:val="auto"/>
                <w:szCs w:val="21"/>
                <w:highlight w:val="none"/>
              </w:rPr>
              <w:t>采购计划号：BHZC2026-J1-01472</w:t>
            </w:r>
          </w:p>
        </w:tc>
      </w:tr>
      <w:tr w14:paraId="596169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7" w:hRule="atLeast"/>
        </w:trPr>
        <w:tc>
          <w:tcPr>
            <w:tcW w:w="737" w:type="dxa"/>
            <w:tcBorders>
              <w:top w:val="single" w:color="auto" w:sz="4" w:space="0"/>
              <w:left w:val="single" w:color="auto" w:sz="4" w:space="0"/>
              <w:bottom w:val="single" w:color="auto" w:sz="4" w:space="0"/>
              <w:right w:val="single" w:color="auto" w:sz="4" w:space="0"/>
            </w:tcBorders>
            <w:vAlign w:val="center"/>
          </w:tcPr>
          <w:p w14:paraId="746DF48E">
            <w:pPr>
              <w:spacing w:line="300" w:lineRule="exact"/>
              <w:jc w:val="center"/>
              <w:rPr>
                <w:b/>
                <w:color w:val="auto"/>
                <w:szCs w:val="21"/>
                <w:highlight w:val="none"/>
              </w:rPr>
            </w:pPr>
            <w:r>
              <w:rPr>
                <w:b/>
                <w:color w:val="auto"/>
                <w:szCs w:val="21"/>
                <w:highlight w:val="none"/>
              </w:rPr>
              <w:t>1.3.2</w:t>
            </w:r>
          </w:p>
        </w:tc>
        <w:tc>
          <w:tcPr>
            <w:tcW w:w="1248" w:type="dxa"/>
            <w:tcBorders>
              <w:top w:val="single" w:color="auto" w:sz="4" w:space="0"/>
              <w:left w:val="single" w:color="auto" w:sz="4" w:space="0"/>
              <w:bottom w:val="single" w:color="auto" w:sz="4" w:space="0"/>
              <w:right w:val="single" w:color="auto" w:sz="4" w:space="0"/>
            </w:tcBorders>
            <w:vAlign w:val="center"/>
          </w:tcPr>
          <w:p w14:paraId="6573BE3C">
            <w:pPr>
              <w:spacing w:line="300" w:lineRule="exact"/>
              <w:jc w:val="center"/>
              <w:rPr>
                <w:color w:val="auto"/>
                <w:szCs w:val="21"/>
                <w:highlight w:val="none"/>
                <w:lang w:val="zh-CN"/>
              </w:rPr>
            </w:pPr>
            <w:r>
              <w:rPr>
                <w:rFonts w:hint="eastAsia"/>
                <w:color w:val="auto"/>
                <w:szCs w:val="21"/>
                <w:highlight w:val="none"/>
                <w:lang w:val="zh-CN"/>
              </w:rPr>
              <w:t>采购方式</w:t>
            </w:r>
          </w:p>
        </w:tc>
        <w:tc>
          <w:tcPr>
            <w:tcW w:w="7229" w:type="dxa"/>
            <w:tcBorders>
              <w:top w:val="single" w:color="auto" w:sz="4" w:space="0"/>
              <w:left w:val="single" w:color="auto" w:sz="4" w:space="0"/>
              <w:bottom w:val="single" w:color="auto" w:sz="4" w:space="0"/>
              <w:right w:val="single" w:color="auto" w:sz="4" w:space="0"/>
            </w:tcBorders>
            <w:vAlign w:val="center"/>
          </w:tcPr>
          <w:p w14:paraId="32B52F72">
            <w:pPr>
              <w:spacing w:line="300" w:lineRule="exact"/>
              <w:jc w:val="left"/>
              <w:rPr>
                <w:color w:val="auto"/>
                <w:szCs w:val="21"/>
                <w:highlight w:val="none"/>
              </w:rPr>
            </w:pPr>
            <w:r>
              <w:rPr>
                <w:rFonts w:hint="eastAsia"/>
                <w:color w:val="auto"/>
                <w:szCs w:val="21"/>
                <w:highlight w:val="none"/>
              </w:rPr>
              <w:t>竞争性谈判。</w:t>
            </w:r>
          </w:p>
        </w:tc>
      </w:tr>
      <w:tr w14:paraId="5ACEEB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vAlign w:val="center"/>
          </w:tcPr>
          <w:p w14:paraId="29A5CC87">
            <w:pPr>
              <w:spacing w:line="300" w:lineRule="exact"/>
              <w:jc w:val="center"/>
              <w:rPr>
                <w:b/>
                <w:color w:val="auto"/>
                <w:szCs w:val="21"/>
                <w:highlight w:val="none"/>
              </w:rPr>
            </w:pPr>
            <w:r>
              <w:rPr>
                <w:rFonts w:hint="eastAsia"/>
                <w:b/>
                <w:color w:val="auto"/>
                <w:szCs w:val="21"/>
                <w:highlight w:val="none"/>
              </w:rPr>
              <w:t>1</w:t>
            </w:r>
            <w:r>
              <w:rPr>
                <w:b/>
                <w:color w:val="auto"/>
                <w:szCs w:val="21"/>
                <w:highlight w:val="none"/>
              </w:rPr>
              <w:t>.4</w:t>
            </w:r>
          </w:p>
        </w:tc>
        <w:tc>
          <w:tcPr>
            <w:tcW w:w="1248" w:type="dxa"/>
            <w:tcBorders>
              <w:top w:val="single" w:color="auto" w:sz="4" w:space="0"/>
              <w:left w:val="single" w:color="auto" w:sz="4" w:space="0"/>
              <w:bottom w:val="single" w:color="auto" w:sz="4" w:space="0"/>
              <w:right w:val="single" w:color="auto" w:sz="4" w:space="0"/>
            </w:tcBorders>
            <w:vAlign w:val="center"/>
          </w:tcPr>
          <w:p w14:paraId="5A342C9D">
            <w:pPr>
              <w:spacing w:line="300" w:lineRule="exact"/>
              <w:jc w:val="center"/>
              <w:rPr>
                <w:color w:val="auto"/>
                <w:szCs w:val="21"/>
                <w:highlight w:val="none"/>
                <w:lang w:val="zh-CN"/>
              </w:rPr>
            </w:pPr>
            <w:r>
              <w:rPr>
                <w:rFonts w:hint="eastAsia"/>
                <w:color w:val="auto"/>
                <w:szCs w:val="21"/>
                <w:highlight w:val="none"/>
                <w:lang w:val="zh-CN"/>
              </w:rPr>
              <w:t>促进中小企业发展措施</w:t>
            </w:r>
          </w:p>
        </w:tc>
        <w:tc>
          <w:tcPr>
            <w:tcW w:w="7229" w:type="dxa"/>
            <w:tcBorders>
              <w:top w:val="single" w:color="auto" w:sz="4" w:space="0"/>
              <w:left w:val="single" w:color="auto" w:sz="4" w:space="0"/>
              <w:bottom w:val="single" w:color="auto" w:sz="4" w:space="0"/>
              <w:right w:val="single" w:color="auto" w:sz="4" w:space="0"/>
            </w:tcBorders>
            <w:vAlign w:val="center"/>
          </w:tcPr>
          <w:p w14:paraId="3A319B73">
            <w:pPr>
              <w:spacing w:line="300" w:lineRule="exact"/>
              <w:jc w:val="left"/>
              <w:rPr>
                <w:color w:val="auto"/>
                <w:szCs w:val="21"/>
                <w:highlight w:val="none"/>
              </w:rPr>
            </w:pPr>
            <w:r>
              <w:rPr>
                <w:rFonts w:hint="eastAsia"/>
                <w:color w:val="auto"/>
                <w:szCs w:val="21"/>
                <w:highlight w:val="none"/>
              </w:rPr>
              <w:t>本项目非专门面向中小微企业采购。</w:t>
            </w:r>
          </w:p>
        </w:tc>
      </w:tr>
      <w:tr w14:paraId="16AADB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vAlign w:val="center"/>
          </w:tcPr>
          <w:p w14:paraId="28CF52A0">
            <w:pPr>
              <w:spacing w:line="300" w:lineRule="exact"/>
              <w:jc w:val="center"/>
              <w:rPr>
                <w:b/>
                <w:color w:val="auto"/>
                <w:szCs w:val="21"/>
                <w:highlight w:val="none"/>
              </w:rPr>
            </w:pPr>
            <w:r>
              <w:rPr>
                <w:b/>
                <w:color w:val="auto"/>
                <w:szCs w:val="21"/>
                <w:highlight w:val="none"/>
              </w:rPr>
              <w:t>1.5.1</w:t>
            </w:r>
          </w:p>
        </w:tc>
        <w:tc>
          <w:tcPr>
            <w:tcW w:w="1248" w:type="dxa"/>
            <w:tcBorders>
              <w:top w:val="single" w:color="auto" w:sz="4" w:space="0"/>
              <w:left w:val="single" w:color="auto" w:sz="4" w:space="0"/>
              <w:bottom w:val="single" w:color="auto" w:sz="4" w:space="0"/>
              <w:right w:val="single" w:color="auto" w:sz="4" w:space="0"/>
            </w:tcBorders>
            <w:vAlign w:val="center"/>
          </w:tcPr>
          <w:p w14:paraId="7EC2EB86">
            <w:pPr>
              <w:spacing w:line="300" w:lineRule="exact"/>
              <w:jc w:val="center"/>
              <w:rPr>
                <w:color w:val="auto"/>
                <w:szCs w:val="21"/>
                <w:highlight w:val="none"/>
              </w:rPr>
            </w:pPr>
            <w:r>
              <w:rPr>
                <w:color w:val="auto"/>
                <w:szCs w:val="21"/>
                <w:highlight w:val="none"/>
                <w:lang w:val="zh-CN"/>
              </w:rPr>
              <w:t>供应商资格条件</w:t>
            </w:r>
          </w:p>
        </w:tc>
        <w:tc>
          <w:tcPr>
            <w:tcW w:w="7229" w:type="dxa"/>
            <w:tcBorders>
              <w:top w:val="single" w:color="auto" w:sz="4" w:space="0"/>
              <w:left w:val="single" w:color="auto" w:sz="4" w:space="0"/>
              <w:bottom w:val="single" w:color="auto" w:sz="4" w:space="0"/>
              <w:right w:val="single" w:color="auto" w:sz="4" w:space="0"/>
            </w:tcBorders>
            <w:vAlign w:val="center"/>
          </w:tcPr>
          <w:p w14:paraId="4CB2466F">
            <w:pPr>
              <w:spacing w:line="300" w:lineRule="exact"/>
              <w:jc w:val="left"/>
              <w:rPr>
                <w:color w:val="auto"/>
                <w:szCs w:val="21"/>
                <w:highlight w:val="none"/>
              </w:rPr>
            </w:pPr>
            <w:r>
              <w:rPr>
                <w:rFonts w:hint="eastAsia"/>
                <w:color w:val="auto"/>
                <w:szCs w:val="21"/>
                <w:highlight w:val="none"/>
              </w:rPr>
              <w:t>详</w:t>
            </w:r>
            <w:r>
              <w:rPr>
                <w:color w:val="auto"/>
                <w:szCs w:val="21"/>
                <w:highlight w:val="none"/>
              </w:rPr>
              <w:t>见谈判公告</w:t>
            </w:r>
            <w:r>
              <w:rPr>
                <w:rFonts w:hint="eastAsia"/>
                <w:color w:val="auto"/>
                <w:szCs w:val="21"/>
                <w:highlight w:val="none"/>
              </w:rPr>
              <w:t>。</w:t>
            </w:r>
          </w:p>
        </w:tc>
      </w:tr>
      <w:tr w14:paraId="6C687F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6" w:hRule="atLeast"/>
        </w:trPr>
        <w:tc>
          <w:tcPr>
            <w:tcW w:w="737" w:type="dxa"/>
            <w:tcBorders>
              <w:top w:val="single" w:color="auto" w:sz="4" w:space="0"/>
              <w:left w:val="single" w:color="auto" w:sz="4" w:space="0"/>
              <w:right w:val="single" w:color="auto" w:sz="4" w:space="0"/>
            </w:tcBorders>
            <w:vAlign w:val="center"/>
          </w:tcPr>
          <w:p w14:paraId="2CB085CC">
            <w:pPr>
              <w:spacing w:line="300" w:lineRule="exact"/>
              <w:jc w:val="center"/>
              <w:rPr>
                <w:b/>
                <w:color w:val="auto"/>
                <w:szCs w:val="21"/>
                <w:highlight w:val="none"/>
              </w:rPr>
            </w:pPr>
            <w:bookmarkStart w:id="26" w:name="_Hlk85555568"/>
            <w:r>
              <w:rPr>
                <w:b/>
                <w:color w:val="auto"/>
                <w:szCs w:val="21"/>
                <w:highlight w:val="none"/>
              </w:rPr>
              <w:t>1.5.3</w:t>
            </w:r>
          </w:p>
        </w:tc>
        <w:tc>
          <w:tcPr>
            <w:tcW w:w="1248" w:type="dxa"/>
            <w:tcBorders>
              <w:top w:val="single" w:color="auto" w:sz="4" w:space="0"/>
              <w:left w:val="single" w:color="auto" w:sz="4" w:space="0"/>
              <w:right w:val="single" w:color="auto" w:sz="4" w:space="0"/>
            </w:tcBorders>
            <w:vAlign w:val="center"/>
          </w:tcPr>
          <w:p w14:paraId="72B1401C">
            <w:pPr>
              <w:spacing w:line="300" w:lineRule="exact"/>
              <w:jc w:val="center"/>
              <w:rPr>
                <w:color w:val="auto"/>
                <w:szCs w:val="21"/>
                <w:highlight w:val="none"/>
              </w:rPr>
            </w:pPr>
            <w:r>
              <w:rPr>
                <w:rFonts w:hint="eastAsia"/>
                <w:color w:val="auto"/>
                <w:szCs w:val="21"/>
                <w:highlight w:val="none"/>
              </w:rPr>
              <w:t>联合体</w:t>
            </w:r>
          </w:p>
        </w:tc>
        <w:tc>
          <w:tcPr>
            <w:tcW w:w="7229" w:type="dxa"/>
            <w:tcBorders>
              <w:top w:val="single" w:color="auto" w:sz="4" w:space="0"/>
              <w:left w:val="single" w:color="auto" w:sz="4" w:space="0"/>
              <w:right w:val="single" w:color="auto" w:sz="4" w:space="0"/>
            </w:tcBorders>
            <w:vAlign w:val="center"/>
          </w:tcPr>
          <w:p w14:paraId="625C993E">
            <w:pPr>
              <w:spacing w:line="300" w:lineRule="exact"/>
              <w:jc w:val="left"/>
              <w:rPr>
                <w:color w:val="auto"/>
                <w:szCs w:val="21"/>
                <w:highlight w:val="none"/>
              </w:rPr>
            </w:pPr>
            <w:r>
              <w:rPr>
                <w:rFonts w:hint="eastAsia"/>
                <w:color w:val="auto"/>
                <w:szCs w:val="21"/>
                <w:highlight w:val="none"/>
              </w:rPr>
              <w:t>是否接受联合体详见谈判公告</w:t>
            </w:r>
          </w:p>
        </w:tc>
      </w:tr>
      <w:bookmarkEnd w:id="26"/>
      <w:tr w14:paraId="25BA0D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vAlign w:val="center"/>
          </w:tcPr>
          <w:p w14:paraId="54640180">
            <w:pPr>
              <w:spacing w:line="300" w:lineRule="exact"/>
              <w:jc w:val="center"/>
              <w:rPr>
                <w:b/>
                <w:color w:val="auto"/>
                <w:szCs w:val="21"/>
                <w:highlight w:val="none"/>
              </w:rPr>
            </w:pPr>
            <w:r>
              <w:rPr>
                <w:b/>
                <w:color w:val="auto"/>
                <w:szCs w:val="21"/>
                <w:highlight w:val="none"/>
              </w:rPr>
              <w:t>1.6</w:t>
            </w:r>
          </w:p>
        </w:tc>
        <w:tc>
          <w:tcPr>
            <w:tcW w:w="1248" w:type="dxa"/>
            <w:tcBorders>
              <w:top w:val="single" w:color="auto" w:sz="4" w:space="0"/>
              <w:left w:val="single" w:color="auto" w:sz="4" w:space="0"/>
              <w:bottom w:val="single" w:color="auto" w:sz="4" w:space="0"/>
              <w:right w:val="single" w:color="auto" w:sz="4" w:space="0"/>
            </w:tcBorders>
            <w:vAlign w:val="center"/>
          </w:tcPr>
          <w:p w14:paraId="67E583AA">
            <w:pPr>
              <w:spacing w:line="300" w:lineRule="exact"/>
              <w:jc w:val="center"/>
              <w:rPr>
                <w:color w:val="auto"/>
                <w:szCs w:val="21"/>
                <w:highlight w:val="none"/>
              </w:rPr>
            </w:pPr>
            <w:r>
              <w:rPr>
                <w:rFonts w:hint="eastAsia"/>
                <w:color w:val="auto"/>
                <w:szCs w:val="21"/>
                <w:highlight w:val="none"/>
              </w:rPr>
              <w:t>踏勘</w:t>
            </w:r>
          </w:p>
        </w:tc>
        <w:tc>
          <w:tcPr>
            <w:tcW w:w="7229" w:type="dxa"/>
            <w:tcBorders>
              <w:top w:val="single" w:color="auto" w:sz="4" w:space="0"/>
              <w:left w:val="single" w:color="auto" w:sz="4" w:space="0"/>
              <w:bottom w:val="single" w:color="auto" w:sz="4" w:space="0"/>
              <w:right w:val="single" w:color="auto" w:sz="4" w:space="0"/>
            </w:tcBorders>
            <w:vAlign w:val="center"/>
          </w:tcPr>
          <w:p w14:paraId="374D28FD">
            <w:pPr>
              <w:pStyle w:val="17"/>
              <w:rPr>
                <w:color w:val="auto"/>
                <w:szCs w:val="21"/>
                <w:highlight w:val="none"/>
              </w:rPr>
            </w:pPr>
            <w:r>
              <w:rPr>
                <w:color w:val="auto"/>
                <w:szCs w:val="21"/>
                <w:highlight w:val="none"/>
              </w:rPr>
              <w:sym w:font="Wingdings 2" w:char="0052"/>
            </w:r>
            <w:r>
              <w:rPr>
                <w:rFonts w:hint="eastAsia"/>
                <w:color w:val="auto"/>
                <w:szCs w:val="21"/>
                <w:highlight w:val="none"/>
              </w:rPr>
              <w:t xml:space="preserve">不组织 </w:t>
            </w:r>
          </w:p>
          <w:p w14:paraId="6ADC9926">
            <w:pPr>
              <w:pStyle w:val="17"/>
              <w:rPr>
                <w:color w:val="auto"/>
                <w:szCs w:val="21"/>
                <w:highlight w:val="none"/>
              </w:rPr>
            </w:pPr>
            <w:r>
              <w:rPr>
                <w:rFonts w:hint="eastAsia"/>
                <w:color w:val="auto"/>
                <w:szCs w:val="21"/>
                <w:highlight w:val="none"/>
              </w:rPr>
              <w:t>□组织</w:t>
            </w:r>
          </w:p>
          <w:p w14:paraId="0E19F94A">
            <w:pPr>
              <w:rPr>
                <w:color w:val="auto"/>
                <w:szCs w:val="21"/>
                <w:highlight w:val="none"/>
              </w:rPr>
            </w:pPr>
            <w:r>
              <w:rPr>
                <w:rFonts w:hint="eastAsia"/>
                <w:color w:val="auto"/>
                <w:szCs w:val="21"/>
                <w:highlight w:val="none"/>
              </w:rPr>
              <w:t xml:space="preserve">踏勘时间：              </w:t>
            </w:r>
          </w:p>
          <w:p w14:paraId="4068E468">
            <w:pPr>
              <w:rPr>
                <w:color w:val="auto"/>
                <w:szCs w:val="21"/>
                <w:highlight w:val="none"/>
              </w:rPr>
            </w:pPr>
            <w:r>
              <w:rPr>
                <w:rFonts w:hint="eastAsia"/>
                <w:color w:val="auto"/>
                <w:szCs w:val="21"/>
                <w:highlight w:val="none"/>
              </w:rPr>
              <w:t xml:space="preserve">踏勘集中地点：           </w:t>
            </w:r>
          </w:p>
          <w:p w14:paraId="18625CB2">
            <w:pPr>
              <w:pStyle w:val="17"/>
              <w:rPr>
                <w:color w:val="auto"/>
                <w:szCs w:val="21"/>
                <w:highlight w:val="none"/>
              </w:rPr>
            </w:pPr>
            <w:r>
              <w:rPr>
                <w:rFonts w:hint="eastAsia"/>
                <w:color w:val="auto"/>
                <w:szCs w:val="21"/>
                <w:highlight w:val="none"/>
              </w:rPr>
              <w:t>联系人及电话：</w:t>
            </w:r>
          </w:p>
          <w:p w14:paraId="691C2AA0">
            <w:pPr>
              <w:pStyle w:val="17"/>
              <w:rPr>
                <w:color w:val="auto"/>
                <w:szCs w:val="21"/>
                <w:highlight w:val="none"/>
              </w:rPr>
            </w:pPr>
            <w:r>
              <w:rPr>
                <w:rFonts w:hint="eastAsia"/>
                <w:color w:val="auto"/>
                <w:szCs w:val="21"/>
                <w:highlight w:val="none"/>
              </w:rPr>
              <w:t xml:space="preserve">□可申请踏勘（如有需要供应商自行与采购人联系申请踏勘）  </w:t>
            </w:r>
          </w:p>
        </w:tc>
      </w:tr>
      <w:tr w14:paraId="3EF2A0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vAlign w:val="center"/>
          </w:tcPr>
          <w:p w14:paraId="65A45627">
            <w:pPr>
              <w:spacing w:line="300" w:lineRule="exact"/>
              <w:jc w:val="center"/>
              <w:rPr>
                <w:b/>
                <w:color w:val="auto"/>
                <w:szCs w:val="21"/>
                <w:highlight w:val="none"/>
              </w:rPr>
            </w:pPr>
            <w:r>
              <w:rPr>
                <w:b/>
                <w:color w:val="auto"/>
                <w:szCs w:val="21"/>
                <w:highlight w:val="none"/>
              </w:rPr>
              <w:t>1.7.2</w:t>
            </w:r>
          </w:p>
        </w:tc>
        <w:tc>
          <w:tcPr>
            <w:tcW w:w="1248" w:type="dxa"/>
            <w:tcBorders>
              <w:top w:val="single" w:color="auto" w:sz="4" w:space="0"/>
              <w:left w:val="single" w:color="auto" w:sz="4" w:space="0"/>
              <w:bottom w:val="single" w:color="auto" w:sz="4" w:space="0"/>
              <w:right w:val="single" w:color="auto" w:sz="4" w:space="0"/>
            </w:tcBorders>
            <w:vAlign w:val="center"/>
          </w:tcPr>
          <w:p w14:paraId="599775C7">
            <w:pPr>
              <w:spacing w:line="300" w:lineRule="exact"/>
              <w:jc w:val="center"/>
              <w:rPr>
                <w:color w:val="auto"/>
                <w:szCs w:val="21"/>
                <w:highlight w:val="none"/>
              </w:rPr>
            </w:pPr>
            <w:r>
              <w:rPr>
                <w:color w:val="auto"/>
                <w:szCs w:val="21"/>
                <w:highlight w:val="none"/>
              </w:rPr>
              <w:t>分包</w:t>
            </w:r>
          </w:p>
        </w:tc>
        <w:tc>
          <w:tcPr>
            <w:tcW w:w="7229" w:type="dxa"/>
            <w:tcBorders>
              <w:top w:val="single" w:color="auto" w:sz="4" w:space="0"/>
              <w:left w:val="single" w:color="auto" w:sz="4" w:space="0"/>
              <w:bottom w:val="single" w:color="auto" w:sz="4" w:space="0"/>
              <w:right w:val="single" w:color="auto" w:sz="4" w:space="0"/>
            </w:tcBorders>
            <w:vAlign w:val="center"/>
          </w:tcPr>
          <w:p w14:paraId="6C389126">
            <w:pPr>
              <w:spacing w:line="300" w:lineRule="exact"/>
              <w:jc w:val="left"/>
              <w:rPr>
                <w:color w:val="auto"/>
                <w:szCs w:val="21"/>
                <w:highlight w:val="none"/>
                <w:u w:val="single"/>
              </w:rPr>
            </w:pPr>
            <w:r>
              <w:rPr>
                <w:rFonts w:hint="eastAsia"/>
                <w:color w:val="auto"/>
                <w:szCs w:val="21"/>
                <w:highlight w:val="none"/>
              </w:rPr>
              <w:t>是否接受分包详见谈判公告</w:t>
            </w:r>
          </w:p>
        </w:tc>
      </w:tr>
      <w:tr w14:paraId="0376B4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shd w:val="clear" w:color="auto" w:fill="auto"/>
            <w:vAlign w:val="center"/>
          </w:tcPr>
          <w:p w14:paraId="715CEE08">
            <w:pPr>
              <w:spacing w:line="300" w:lineRule="exact"/>
              <w:jc w:val="center"/>
              <w:rPr>
                <w:b/>
                <w:color w:val="auto"/>
                <w:szCs w:val="21"/>
                <w:highlight w:val="none"/>
              </w:rPr>
            </w:pPr>
            <w:r>
              <w:rPr>
                <w:rFonts w:hint="eastAsia"/>
                <w:b/>
                <w:color w:val="auto"/>
                <w:szCs w:val="21"/>
                <w:highlight w:val="none"/>
              </w:rPr>
              <w:t>1.9</w:t>
            </w:r>
          </w:p>
        </w:tc>
        <w:tc>
          <w:tcPr>
            <w:tcW w:w="1248" w:type="dxa"/>
            <w:tcBorders>
              <w:top w:val="single" w:color="auto" w:sz="4" w:space="0"/>
              <w:left w:val="single" w:color="auto" w:sz="4" w:space="0"/>
              <w:bottom w:val="single" w:color="auto" w:sz="4" w:space="0"/>
              <w:right w:val="single" w:color="auto" w:sz="4" w:space="0"/>
            </w:tcBorders>
            <w:shd w:val="clear" w:color="auto" w:fill="auto"/>
            <w:vAlign w:val="center"/>
          </w:tcPr>
          <w:p w14:paraId="562A1CD4">
            <w:pPr>
              <w:spacing w:line="300" w:lineRule="exact"/>
              <w:jc w:val="center"/>
              <w:rPr>
                <w:color w:val="auto"/>
                <w:szCs w:val="21"/>
                <w:highlight w:val="none"/>
              </w:rPr>
            </w:pPr>
            <w:r>
              <w:rPr>
                <w:rFonts w:hint="eastAsia"/>
                <w:color w:val="auto"/>
                <w:szCs w:val="21"/>
                <w:highlight w:val="none"/>
              </w:rPr>
              <w:t>对本国产品的支持政策</w:t>
            </w:r>
          </w:p>
        </w:tc>
        <w:tc>
          <w:tcPr>
            <w:tcW w:w="7229" w:type="dxa"/>
            <w:tcBorders>
              <w:top w:val="single" w:color="auto" w:sz="4" w:space="0"/>
              <w:left w:val="single" w:color="auto" w:sz="4" w:space="0"/>
              <w:bottom w:val="single" w:color="auto" w:sz="4" w:space="0"/>
              <w:right w:val="single" w:color="auto" w:sz="4" w:space="0"/>
            </w:tcBorders>
            <w:shd w:val="clear" w:color="auto" w:fill="auto"/>
            <w:vAlign w:val="center"/>
          </w:tcPr>
          <w:p w14:paraId="6A7E1732">
            <w:pPr>
              <w:spacing w:line="300" w:lineRule="exact"/>
              <w:jc w:val="left"/>
              <w:rPr>
                <w:color w:val="auto"/>
                <w:szCs w:val="21"/>
                <w:highlight w:val="none"/>
              </w:rPr>
            </w:pPr>
            <w:r>
              <w:rPr>
                <w:rFonts w:hint="eastAsia"/>
                <w:color w:val="auto"/>
                <w:szCs w:val="21"/>
                <w:highlight w:val="none"/>
              </w:rPr>
              <w:t>☑适用</w:t>
            </w:r>
          </w:p>
          <w:p w14:paraId="4901FD1A">
            <w:pPr>
              <w:spacing w:line="300" w:lineRule="exact"/>
              <w:jc w:val="left"/>
              <w:rPr>
                <w:color w:val="auto"/>
                <w:szCs w:val="21"/>
                <w:highlight w:val="none"/>
              </w:rPr>
            </w:pPr>
            <w:r>
              <w:rPr>
                <w:rFonts w:hint="eastAsia"/>
                <w:color w:val="auto"/>
                <w:szCs w:val="21"/>
                <w:highlight w:val="none"/>
              </w:rPr>
              <w:t>□不适用</w:t>
            </w:r>
          </w:p>
        </w:tc>
      </w:tr>
      <w:tr w14:paraId="0E3C82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vAlign w:val="center"/>
          </w:tcPr>
          <w:p w14:paraId="7DDDF383">
            <w:pPr>
              <w:spacing w:line="300" w:lineRule="exact"/>
              <w:jc w:val="center"/>
              <w:rPr>
                <w:b/>
                <w:color w:val="auto"/>
                <w:szCs w:val="21"/>
                <w:highlight w:val="none"/>
              </w:rPr>
            </w:pPr>
            <w:r>
              <w:rPr>
                <w:b/>
                <w:color w:val="auto"/>
                <w:szCs w:val="21"/>
                <w:highlight w:val="none"/>
              </w:rPr>
              <w:t>2.3</w:t>
            </w:r>
          </w:p>
        </w:tc>
        <w:tc>
          <w:tcPr>
            <w:tcW w:w="1248" w:type="dxa"/>
            <w:tcBorders>
              <w:top w:val="single" w:color="auto" w:sz="4" w:space="0"/>
              <w:left w:val="single" w:color="auto" w:sz="4" w:space="0"/>
              <w:bottom w:val="single" w:color="auto" w:sz="4" w:space="0"/>
              <w:right w:val="single" w:color="auto" w:sz="4" w:space="0"/>
            </w:tcBorders>
            <w:vAlign w:val="center"/>
          </w:tcPr>
          <w:p w14:paraId="0CD6A999">
            <w:pPr>
              <w:spacing w:line="300" w:lineRule="exact"/>
              <w:jc w:val="center"/>
              <w:rPr>
                <w:color w:val="auto"/>
                <w:szCs w:val="21"/>
                <w:highlight w:val="none"/>
              </w:rPr>
            </w:pPr>
            <w:r>
              <w:rPr>
                <w:color w:val="auto"/>
                <w:szCs w:val="21"/>
                <w:highlight w:val="none"/>
              </w:rPr>
              <w:t>采购文件澄清、修改</w:t>
            </w:r>
          </w:p>
        </w:tc>
        <w:tc>
          <w:tcPr>
            <w:tcW w:w="7229" w:type="dxa"/>
            <w:tcBorders>
              <w:top w:val="single" w:color="auto" w:sz="4" w:space="0"/>
              <w:left w:val="single" w:color="auto" w:sz="4" w:space="0"/>
              <w:bottom w:val="single" w:color="auto" w:sz="4" w:space="0"/>
              <w:right w:val="single" w:color="auto" w:sz="4" w:space="0"/>
            </w:tcBorders>
            <w:vAlign w:val="center"/>
          </w:tcPr>
          <w:p w14:paraId="5308851F">
            <w:pPr>
              <w:spacing w:line="300" w:lineRule="exact"/>
              <w:jc w:val="left"/>
              <w:rPr>
                <w:color w:val="auto"/>
                <w:szCs w:val="21"/>
                <w:highlight w:val="none"/>
              </w:rPr>
            </w:pPr>
            <w:r>
              <w:rPr>
                <w:color w:val="auto"/>
                <w:szCs w:val="21"/>
                <w:highlight w:val="none"/>
              </w:rPr>
              <w:t>在谈判公告发布媒介发布</w:t>
            </w:r>
            <w:r>
              <w:rPr>
                <w:rFonts w:hint="eastAsia"/>
                <w:color w:val="auto"/>
                <w:szCs w:val="21"/>
                <w:highlight w:val="none"/>
              </w:rPr>
              <w:t>。</w:t>
            </w:r>
          </w:p>
        </w:tc>
      </w:tr>
      <w:tr w14:paraId="0EC2F7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0" w:hRule="atLeast"/>
        </w:trPr>
        <w:tc>
          <w:tcPr>
            <w:tcW w:w="737" w:type="dxa"/>
            <w:tcBorders>
              <w:top w:val="single" w:color="auto" w:sz="4" w:space="0"/>
              <w:left w:val="single" w:color="auto" w:sz="4" w:space="0"/>
              <w:bottom w:val="single" w:color="auto" w:sz="4" w:space="0"/>
              <w:right w:val="single" w:color="auto" w:sz="4" w:space="0"/>
            </w:tcBorders>
            <w:vAlign w:val="center"/>
          </w:tcPr>
          <w:p w14:paraId="025F00AE">
            <w:pPr>
              <w:spacing w:line="300" w:lineRule="exact"/>
              <w:jc w:val="center"/>
              <w:rPr>
                <w:b/>
                <w:color w:val="auto"/>
                <w:szCs w:val="21"/>
                <w:highlight w:val="none"/>
              </w:rPr>
            </w:pPr>
            <w:r>
              <w:rPr>
                <w:b/>
                <w:color w:val="auto"/>
                <w:szCs w:val="21"/>
                <w:highlight w:val="none"/>
              </w:rPr>
              <w:t>2.3</w:t>
            </w:r>
          </w:p>
        </w:tc>
        <w:tc>
          <w:tcPr>
            <w:tcW w:w="1248" w:type="dxa"/>
            <w:tcBorders>
              <w:top w:val="single" w:color="auto" w:sz="4" w:space="0"/>
              <w:left w:val="single" w:color="auto" w:sz="4" w:space="0"/>
              <w:bottom w:val="single" w:color="auto" w:sz="4" w:space="0"/>
              <w:right w:val="single" w:color="auto" w:sz="4" w:space="0"/>
            </w:tcBorders>
            <w:vAlign w:val="center"/>
          </w:tcPr>
          <w:p w14:paraId="3466B2B6">
            <w:pPr>
              <w:spacing w:line="300" w:lineRule="exact"/>
              <w:jc w:val="center"/>
              <w:rPr>
                <w:color w:val="auto"/>
                <w:szCs w:val="21"/>
                <w:highlight w:val="none"/>
              </w:rPr>
            </w:pPr>
            <w:r>
              <w:rPr>
                <w:color w:val="auto"/>
                <w:szCs w:val="21"/>
                <w:highlight w:val="none"/>
              </w:rPr>
              <w:t>确认收到澄清、修改发布的方式</w:t>
            </w:r>
          </w:p>
        </w:tc>
        <w:tc>
          <w:tcPr>
            <w:tcW w:w="7229" w:type="dxa"/>
            <w:tcBorders>
              <w:top w:val="single" w:color="auto" w:sz="4" w:space="0"/>
              <w:left w:val="single" w:color="auto" w:sz="4" w:space="0"/>
              <w:bottom w:val="single" w:color="auto" w:sz="4" w:space="0"/>
              <w:right w:val="single" w:color="auto" w:sz="4" w:space="0"/>
            </w:tcBorders>
            <w:vAlign w:val="center"/>
          </w:tcPr>
          <w:p w14:paraId="26298B11">
            <w:pPr>
              <w:spacing w:line="300" w:lineRule="exact"/>
              <w:jc w:val="left"/>
              <w:rPr>
                <w:color w:val="auto"/>
                <w:szCs w:val="21"/>
                <w:highlight w:val="none"/>
              </w:rPr>
            </w:pPr>
            <w:r>
              <w:rPr>
                <w:color w:val="auto"/>
                <w:szCs w:val="21"/>
                <w:highlight w:val="none"/>
              </w:rPr>
              <w:t>澄清、修改文件</w:t>
            </w:r>
            <w:r>
              <w:rPr>
                <w:rFonts w:hint="eastAsia"/>
                <w:color w:val="auto"/>
                <w:szCs w:val="21"/>
                <w:highlight w:val="none"/>
              </w:rPr>
              <w:t>自谈判公告</w:t>
            </w:r>
            <w:r>
              <w:rPr>
                <w:color w:val="auto"/>
                <w:szCs w:val="21"/>
                <w:highlight w:val="none"/>
              </w:rPr>
              <w:t>发布媒</w:t>
            </w:r>
            <w:r>
              <w:rPr>
                <w:rFonts w:hint="eastAsia"/>
                <w:color w:val="auto"/>
                <w:szCs w:val="21"/>
                <w:highlight w:val="none"/>
              </w:rPr>
              <w:t>体</w:t>
            </w:r>
            <w:r>
              <w:rPr>
                <w:color w:val="auto"/>
                <w:szCs w:val="21"/>
                <w:highlight w:val="none"/>
              </w:rPr>
              <w:t>发布之日起，视为供应商已收到该澄清、修改。供应商未及时关注</w:t>
            </w:r>
            <w:r>
              <w:rPr>
                <w:rFonts w:hint="eastAsia"/>
                <w:color w:val="auto"/>
                <w:szCs w:val="21"/>
                <w:highlight w:val="none"/>
              </w:rPr>
              <w:t>谈判公告</w:t>
            </w:r>
            <w:r>
              <w:rPr>
                <w:color w:val="auto"/>
                <w:szCs w:val="21"/>
                <w:highlight w:val="none"/>
              </w:rPr>
              <w:t>发布媒</w:t>
            </w:r>
            <w:r>
              <w:rPr>
                <w:rFonts w:hint="eastAsia"/>
                <w:color w:val="auto"/>
                <w:szCs w:val="21"/>
                <w:highlight w:val="none"/>
              </w:rPr>
              <w:t>体</w:t>
            </w:r>
            <w:r>
              <w:rPr>
                <w:color w:val="auto"/>
                <w:szCs w:val="21"/>
                <w:highlight w:val="none"/>
              </w:rPr>
              <w:t>造成的损失，由供应商自行负责。</w:t>
            </w:r>
          </w:p>
        </w:tc>
      </w:tr>
      <w:tr w14:paraId="002D8F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737" w:type="dxa"/>
            <w:tcBorders>
              <w:top w:val="single" w:color="auto" w:sz="4" w:space="0"/>
              <w:left w:val="single" w:color="auto" w:sz="4" w:space="0"/>
              <w:bottom w:val="single" w:color="auto" w:sz="4" w:space="0"/>
              <w:right w:val="single" w:color="auto" w:sz="4" w:space="0"/>
            </w:tcBorders>
            <w:vAlign w:val="center"/>
          </w:tcPr>
          <w:p w14:paraId="0DBD28DE">
            <w:pPr>
              <w:spacing w:line="300" w:lineRule="exact"/>
              <w:jc w:val="center"/>
              <w:rPr>
                <w:b/>
                <w:color w:val="auto"/>
                <w:szCs w:val="21"/>
                <w:highlight w:val="none"/>
              </w:rPr>
            </w:pPr>
            <w:r>
              <w:rPr>
                <w:b/>
                <w:color w:val="auto"/>
                <w:szCs w:val="21"/>
                <w:highlight w:val="none"/>
              </w:rPr>
              <w:t>3.4.1</w:t>
            </w:r>
          </w:p>
        </w:tc>
        <w:tc>
          <w:tcPr>
            <w:tcW w:w="1248" w:type="dxa"/>
            <w:tcBorders>
              <w:top w:val="single" w:color="auto" w:sz="4" w:space="0"/>
              <w:left w:val="single" w:color="auto" w:sz="4" w:space="0"/>
              <w:bottom w:val="single" w:color="auto" w:sz="4" w:space="0"/>
              <w:right w:val="single" w:color="auto" w:sz="4" w:space="0"/>
            </w:tcBorders>
            <w:vAlign w:val="center"/>
          </w:tcPr>
          <w:p w14:paraId="24D91FAB">
            <w:pPr>
              <w:spacing w:line="300" w:lineRule="exact"/>
              <w:jc w:val="center"/>
              <w:rPr>
                <w:color w:val="auto"/>
                <w:szCs w:val="21"/>
                <w:highlight w:val="none"/>
              </w:rPr>
            </w:pPr>
            <w:r>
              <w:rPr>
                <w:color w:val="auto"/>
                <w:szCs w:val="21"/>
                <w:highlight w:val="none"/>
              </w:rPr>
              <w:t>响应有效期</w:t>
            </w:r>
          </w:p>
        </w:tc>
        <w:tc>
          <w:tcPr>
            <w:tcW w:w="7229" w:type="dxa"/>
            <w:tcBorders>
              <w:top w:val="single" w:color="auto" w:sz="4" w:space="0"/>
              <w:left w:val="single" w:color="auto" w:sz="4" w:space="0"/>
              <w:bottom w:val="single" w:color="auto" w:sz="4" w:space="0"/>
              <w:right w:val="single" w:color="auto" w:sz="4" w:space="0"/>
            </w:tcBorders>
            <w:vAlign w:val="center"/>
          </w:tcPr>
          <w:p w14:paraId="51F99D5A">
            <w:pPr>
              <w:spacing w:line="300" w:lineRule="exact"/>
              <w:jc w:val="left"/>
              <w:rPr>
                <w:color w:val="auto"/>
                <w:szCs w:val="21"/>
                <w:highlight w:val="none"/>
              </w:rPr>
            </w:pPr>
            <w:r>
              <w:rPr>
                <w:color w:val="auto"/>
                <w:szCs w:val="21"/>
                <w:highlight w:val="none"/>
              </w:rPr>
              <w:t>响应截止之日起90天。</w:t>
            </w:r>
          </w:p>
        </w:tc>
      </w:tr>
      <w:tr w14:paraId="1314E5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vAlign w:val="center"/>
          </w:tcPr>
          <w:p w14:paraId="3BFC4D79">
            <w:pPr>
              <w:spacing w:line="300" w:lineRule="exact"/>
              <w:jc w:val="center"/>
              <w:rPr>
                <w:b/>
                <w:color w:val="auto"/>
                <w:szCs w:val="21"/>
                <w:highlight w:val="none"/>
              </w:rPr>
            </w:pPr>
            <w:r>
              <w:rPr>
                <w:b/>
                <w:color w:val="auto"/>
                <w:szCs w:val="21"/>
                <w:highlight w:val="none"/>
              </w:rPr>
              <w:t>3.5</w:t>
            </w:r>
          </w:p>
        </w:tc>
        <w:tc>
          <w:tcPr>
            <w:tcW w:w="1248" w:type="dxa"/>
            <w:tcBorders>
              <w:top w:val="single" w:color="auto" w:sz="4" w:space="0"/>
              <w:left w:val="single" w:color="auto" w:sz="4" w:space="0"/>
              <w:bottom w:val="single" w:color="auto" w:sz="4" w:space="0"/>
              <w:right w:val="single" w:color="auto" w:sz="4" w:space="0"/>
            </w:tcBorders>
            <w:vAlign w:val="center"/>
          </w:tcPr>
          <w:p w14:paraId="71B1D2DE">
            <w:pPr>
              <w:spacing w:line="300" w:lineRule="exact"/>
              <w:jc w:val="center"/>
              <w:rPr>
                <w:color w:val="auto"/>
                <w:szCs w:val="21"/>
                <w:highlight w:val="none"/>
              </w:rPr>
            </w:pPr>
            <w:r>
              <w:rPr>
                <w:color w:val="auto"/>
                <w:szCs w:val="21"/>
                <w:highlight w:val="none"/>
              </w:rPr>
              <w:t>谈判保证金</w:t>
            </w:r>
          </w:p>
        </w:tc>
        <w:tc>
          <w:tcPr>
            <w:tcW w:w="7229" w:type="dxa"/>
            <w:tcBorders>
              <w:top w:val="single" w:color="auto" w:sz="4" w:space="0"/>
              <w:left w:val="single" w:color="auto" w:sz="4" w:space="0"/>
              <w:bottom w:val="single" w:color="auto" w:sz="4" w:space="0"/>
              <w:right w:val="single" w:color="auto" w:sz="4" w:space="0"/>
            </w:tcBorders>
            <w:vAlign w:val="center"/>
          </w:tcPr>
          <w:p w14:paraId="3C55E353">
            <w:pPr>
              <w:spacing w:line="312" w:lineRule="auto"/>
              <w:jc w:val="left"/>
              <w:rPr>
                <w:b/>
                <w:bCs/>
                <w:color w:val="auto"/>
                <w:szCs w:val="21"/>
                <w:highlight w:val="none"/>
              </w:rPr>
            </w:pPr>
            <w:r>
              <w:rPr>
                <w:rFonts w:hint="eastAsia"/>
                <w:color w:val="auto"/>
                <w:szCs w:val="21"/>
                <w:highlight w:val="none"/>
              </w:rPr>
              <w:t>本项目不收取谈判保证金。</w:t>
            </w:r>
          </w:p>
        </w:tc>
      </w:tr>
      <w:tr w14:paraId="226C68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5" w:hRule="atLeast"/>
        </w:trPr>
        <w:tc>
          <w:tcPr>
            <w:tcW w:w="737" w:type="dxa"/>
            <w:tcBorders>
              <w:left w:val="single" w:color="auto" w:sz="4" w:space="0"/>
              <w:right w:val="single" w:color="auto" w:sz="4" w:space="0"/>
            </w:tcBorders>
            <w:vAlign w:val="center"/>
          </w:tcPr>
          <w:p w14:paraId="47B34109">
            <w:pPr>
              <w:spacing w:line="300" w:lineRule="exact"/>
              <w:jc w:val="center"/>
              <w:rPr>
                <w:b/>
                <w:color w:val="auto"/>
                <w:szCs w:val="21"/>
                <w:highlight w:val="none"/>
              </w:rPr>
            </w:pPr>
            <w:r>
              <w:rPr>
                <w:rFonts w:hint="eastAsia"/>
                <w:b/>
                <w:color w:val="auto"/>
                <w:szCs w:val="21"/>
                <w:highlight w:val="none"/>
              </w:rPr>
              <w:t>3</w:t>
            </w:r>
            <w:r>
              <w:rPr>
                <w:b/>
                <w:color w:val="auto"/>
                <w:szCs w:val="21"/>
                <w:highlight w:val="none"/>
              </w:rPr>
              <w:t>.6</w:t>
            </w:r>
          </w:p>
        </w:tc>
        <w:tc>
          <w:tcPr>
            <w:tcW w:w="1248" w:type="dxa"/>
            <w:tcBorders>
              <w:top w:val="single" w:color="auto" w:sz="4" w:space="0"/>
              <w:left w:val="single" w:color="auto" w:sz="4" w:space="0"/>
              <w:right w:val="single" w:color="auto" w:sz="4" w:space="0"/>
            </w:tcBorders>
            <w:vAlign w:val="center"/>
          </w:tcPr>
          <w:p w14:paraId="6756F318">
            <w:pPr>
              <w:spacing w:line="300" w:lineRule="exact"/>
              <w:jc w:val="center"/>
              <w:rPr>
                <w:color w:val="auto"/>
                <w:szCs w:val="21"/>
                <w:highlight w:val="none"/>
              </w:rPr>
            </w:pPr>
            <w:r>
              <w:rPr>
                <w:rFonts w:hint="eastAsia"/>
                <w:color w:val="auto"/>
                <w:szCs w:val="21"/>
                <w:highlight w:val="none"/>
              </w:rPr>
              <w:t>响应文件的编制</w:t>
            </w:r>
          </w:p>
        </w:tc>
        <w:tc>
          <w:tcPr>
            <w:tcW w:w="7229" w:type="dxa"/>
            <w:tcBorders>
              <w:top w:val="single" w:color="auto" w:sz="4" w:space="0"/>
              <w:left w:val="single" w:color="auto" w:sz="4" w:space="0"/>
              <w:right w:val="single" w:color="auto" w:sz="4" w:space="0"/>
            </w:tcBorders>
            <w:vAlign w:val="center"/>
          </w:tcPr>
          <w:p w14:paraId="0617FC24">
            <w:pPr>
              <w:spacing w:line="300" w:lineRule="exact"/>
              <w:jc w:val="left"/>
              <w:rPr>
                <w:color w:val="auto"/>
                <w:szCs w:val="21"/>
                <w:highlight w:val="none"/>
              </w:rPr>
            </w:pPr>
            <w:r>
              <w:rPr>
                <w:rFonts w:hint="eastAsia" w:hAnsi="宋体"/>
                <w:color w:val="auto"/>
                <w:szCs w:val="21"/>
                <w:highlight w:val="none"/>
              </w:rPr>
              <w:t>响应文件应按第六章响应文件格式分别编制并使用下载的广西政府采购云平台新版客户端上传。</w:t>
            </w:r>
          </w:p>
        </w:tc>
      </w:tr>
      <w:tr w14:paraId="3E9EAD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37" w:type="dxa"/>
            <w:tcBorders>
              <w:top w:val="single" w:color="auto" w:sz="4" w:space="0"/>
              <w:left w:val="single" w:color="auto" w:sz="4" w:space="0"/>
              <w:bottom w:val="single" w:color="auto" w:sz="4" w:space="0"/>
              <w:right w:val="single" w:color="auto" w:sz="4" w:space="0"/>
            </w:tcBorders>
            <w:vAlign w:val="center"/>
          </w:tcPr>
          <w:p w14:paraId="2EE0DC1F">
            <w:pPr>
              <w:spacing w:line="300" w:lineRule="exact"/>
              <w:jc w:val="center"/>
              <w:rPr>
                <w:b/>
                <w:color w:val="auto"/>
                <w:szCs w:val="21"/>
                <w:highlight w:val="none"/>
              </w:rPr>
            </w:pPr>
            <w:r>
              <w:rPr>
                <w:b/>
                <w:color w:val="auto"/>
                <w:szCs w:val="21"/>
                <w:highlight w:val="none"/>
              </w:rPr>
              <w:t>3.7</w:t>
            </w:r>
          </w:p>
        </w:tc>
        <w:tc>
          <w:tcPr>
            <w:tcW w:w="1248" w:type="dxa"/>
            <w:tcBorders>
              <w:top w:val="single" w:color="auto" w:sz="4" w:space="0"/>
              <w:left w:val="single" w:color="auto" w:sz="4" w:space="0"/>
              <w:bottom w:val="single" w:color="auto" w:sz="4" w:space="0"/>
              <w:right w:val="single" w:color="auto" w:sz="4" w:space="0"/>
            </w:tcBorders>
            <w:vAlign w:val="center"/>
          </w:tcPr>
          <w:p w14:paraId="042F5347">
            <w:pPr>
              <w:spacing w:line="300" w:lineRule="exact"/>
              <w:jc w:val="center"/>
              <w:rPr>
                <w:color w:val="auto"/>
                <w:szCs w:val="21"/>
                <w:highlight w:val="none"/>
              </w:rPr>
            </w:pPr>
            <w:r>
              <w:rPr>
                <w:color w:val="auto"/>
                <w:szCs w:val="21"/>
                <w:highlight w:val="none"/>
              </w:rPr>
              <w:t>响应文件递交</w:t>
            </w:r>
            <w:r>
              <w:rPr>
                <w:rFonts w:hint="eastAsia"/>
                <w:color w:val="auto"/>
                <w:szCs w:val="21"/>
                <w:highlight w:val="none"/>
              </w:rPr>
              <w:t>截止时间及截标时间</w:t>
            </w:r>
          </w:p>
        </w:tc>
        <w:tc>
          <w:tcPr>
            <w:tcW w:w="7229" w:type="dxa"/>
            <w:tcBorders>
              <w:top w:val="single" w:color="auto" w:sz="4" w:space="0"/>
              <w:left w:val="single" w:color="auto" w:sz="4" w:space="0"/>
              <w:bottom w:val="single" w:color="auto" w:sz="4" w:space="0"/>
              <w:right w:val="single" w:color="auto" w:sz="4" w:space="0"/>
            </w:tcBorders>
            <w:vAlign w:val="center"/>
          </w:tcPr>
          <w:p w14:paraId="01BD21E3">
            <w:pPr>
              <w:spacing w:line="300" w:lineRule="exact"/>
              <w:jc w:val="left"/>
              <w:rPr>
                <w:color w:val="auto"/>
                <w:szCs w:val="21"/>
                <w:highlight w:val="none"/>
              </w:rPr>
            </w:pPr>
            <w:r>
              <w:rPr>
                <w:rFonts w:hint="eastAsia"/>
                <w:color w:val="auto"/>
                <w:kern w:val="0"/>
                <w:szCs w:val="21"/>
                <w:highlight w:val="none"/>
              </w:rPr>
              <w:t>见谈判公告要求</w:t>
            </w:r>
            <w:r>
              <w:rPr>
                <w:rFonts w:hint="eastAsia"/>
                <w:color w:val="auto"/>
                <w:szCs w:val="21"/>
                <w:highlight w:val="none"/>
              </w:rPr>
              <w:t>。</w:t>
            </w:r>
          </w:p>
        </w:tc>
      </w:tr>
      <w:tr w14:paraId="13C184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vAlign w:val="center"/>
          </w:tcPr>
          <w:p w14:paraId="1C47C3BF">
            <w:pPr>
              <w:spacing w:line="300" w:lineRule="exact"/>
              <w:jc w:val="center"/>
              <w:rPr>
                <w:b/>
                <w:color w:val="auto"/>
                <w:szCs w:val="21"/>
                <w:highlight w:val="none"/>
              </w:rPr>
            </w:pPr>
            <w:r>
              <w:rPr>
                <w:rFonts w:hint="eastAsia"/>
                <w:b/>
                <w:color w:val="auto"/>
                <w:szCs w:val="21"/>
                <w:highlight w:val="none"/>
              </w:rPr>
              <w:t>4</w:t>
            </w:r>
            <w:r>
              <w:rPr>
                <w:b/>
                <w:color w:val="auto"/>
                <w:szCs w:val="21"/>
                <w:highlight w:val="none"/>
              </w:rPr>
              <w:t>.2</w:t>
            </w:r>
          </w:p>
        </w:tc>
        <w:tc>
          <w:tcPr>
            <w:tcW w:w="1248" w:type="dxa"/>
            <w:tcBorders>
              <w:top w:val="single" w:color="auto" w:sz="4" w:space="0"/>
              <w:left w:val="single" w:color="auto" w:sz="4" w:space="0"/>
              <w:bottom w:val="single" w:color="auto" w:sz="4" w:space="0"/>
              <w:right w:val="single" w:color="auto" w:sz="4" w:space="0"/>
            </w:tcBorders>
            <w:vAlign w:val="center"/>
          </w:tcPr>
          <w:p w14:paraId="1F6B144E">
            <w:pPr>
              <w:spacing w:line="300" w:lineRule="exact"/>
              <w:jc w:val="center"/>
              <w:rPr>
                <w:color w:val="auto"/>
                <w:szCs w:val="20"/>
                <w:highlight w:val="none"/>
              </w:rPr>
            </w:pPr>
            <w:r>
              <w:rPr>
                <w:rFonts w:hint="eastAsia"/>
                <w:color w:val="auto"/>
                <w:szCs w:val="21"/>
                <w:highlight w:val="none"/>
              </w:rPr>
              <w:t>备份响应文件</w:t>
            </w:r>
          </w:p>
        </w:tc>
        <w:tc>
          <w:tcPr>
            <w:tcW w:w="7229" w:type="dxa"/>
            <w:tcBorders>
              <w:top w:val="single" w:color="auto" w:sz="4" w:space="0"/>
              <w:left w:val="single" w:color="auto" w:sz="4" w:space="0"/>
              <w:bottom w:val="single" w:color="auto" w:sz="4" w:space="0"/>
              <w:right w:val="single" w:color="auto" w:sz="4" w:space="0"/>
            </w:tcBorders>
            <w:vAlign w:val="center"/>
          </w:tcPr>
          <w:p w14:paraId="68589373">
            <w:pPr>
              <w:spacing w:line="276" w:lineRule="auto"/>
              <w:rPr>
                <w:rFonts w:ascii="宋体" w:hAnsi="宋体"/>
                <w:color w:val="auto"/>
                <w:szCs w:val="21"/>
                <w:highlight w:val="none"/>
              </w:rPr>
            </w:pPr>
            <w:r>
              <w:rPr>
                <w:rFonts w:hint="eastAsia" w:ascii="宋体" w:hAnsi="宋体"/>
                <w:color w:val="auto"/>
                <w:szCs w:val="21"/>
                <w:highlight w:val="none"/>
              </w:rPr>
              <w:t>本项目</w:t>
            </w:r>
            <w:r>
              <w:rPr>
                <w:color w:val="auto"/>
                <w:sz w:val="22"/>
                <w:szCs w:val="22"/>
                <w:highlight w:val="none"/>
              </w:rPr>
              <w:sym w:font="Wingdings 2" w:char="F052"/>
            </w:r>
            <w:r>
              <w:rPr>
                <w:rFonts w:hint="eastAsia"/>
                <w:color w:val="auto"/>
                <w:szCs w:val="21"/>
                <w:highlight w:val="none"/>
              </w:rPr>
              <w:t>接受   □不接受</w:t>
            </w:r>
            <w:r>
              <w:rPr>
                <w:rFonts w:hint="eastAsia" w:ascii="宋体" w:hAnsi="宋体"/>
                <w:color w:val="auto"/>
                <w:szCs w:val="21"/>
                <w:highlight w:val="none"/>
              </w:rPr>
              <w:t>备份响应文件</w:t>
            </w:r>
          </w:p>
          <w:p w14:paraId="2E0D2CEC">
            <w:pPr>
              <w:spacing w:line="276" w:lineRule="auto"/>
              <w:rPr>
                <w:color w:val="auto"/>
                <w:sz w:val="22"/>
                <w:szCs w:val="22"/>
                <w:highlight w:val="none"/>
              </w:rPr>
            </w:pPr>
            <w:r>
              <w:rPr>
                <w:rFonts w:hint="eastAsia" w:ascii="宋体" w:hAnsi="宋体"/>
                <w:color w:val="auto"/>
                <w:szCs w:val="21"/>
                <w:highlight w:val="none"/>
              </w:rPr>
              <w:t>以广西政府采购云平台自动生成的备份文件为依据，当项目允许接受备份响应文件时，供应商才可以按规定上传备份响应文件。</w:t>
            </w:r>
          </w:p>
        </w:tc>
      </w:tr>
      <w:tr w14:paraId="621FF3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vAlign w:val="center"/>
          </w:tcPr>
          <w:p w14:paraId="55187609">
            <w:pPr>
              <w:spacing w:line="300" w:lineRule="exact"/>
              <w:jc w:val="center"/>
              <w:rPr>
                <w:b/>
                <w:color w:val="auto"/>
                <w:szCs w:val="21"/>
                <w:highlight w:val="none"/>
              </w:rPr>
            </w:pPr>
            <w:r>
              <w:rPr>
                <w:rFonts w:hint="eastAsia"/>
                <w:b/>
                <w:color w:val="auto"/>
                <w:szCs w:val="21"/>
                <w:highlight w:val="none"/>
              </w:rPr>
              <w:t>4</w:t>
            </w:r>
            <w:r>
              <w:rPr>
                <w:b/>
                <w:color w:val="auto"/>
                <w:szCs w:val="21"/>
                <w:highlight w:val="none"/>
              </w:rPr>
              <w:t>.3</w:t>
            </w:r>
          </w:p>
        </w:tc>
        <w:tc>
          <w:tcPr>
            <w:tcW w:w="1248" w:type="dxa"/>
            <w:tcBorders>
              <w:top w:val="single" w:color="auto" w:sz="4" w:space="0"/>
              <w:left w:val="single" w:color="auto" w:sz="4" w:space="0"/>
              <w:bottom w:val="single" w:color="auto" w:sz="4" w:space="0"/>
              <w:right w:val="single" w:color="auto" w:sz="4" w:space="0"/>
            </w:tcBorders>
            <w:vAlign w:val="center"/>
          </w:tcPr>
          <w:p w14:paraId="6D07E6E7">
            <w:pPr>
              <w:spacing w:line="300" w:lineRule="exact"/>
              <w:jc w:val="center"/>
              <w:rPr>
                <w:color w:val="auto"/>
                <w:szCs w:val="21"/>
                <w:highlight w:val="none"/>
              </w:rPr>
            </w:pPr>
            <w:r>
              <w:rPr>
                <w:rFonts w:hint="eastAsia"/>
                <w:color w:val="auto"/>
                <w:szCs w:val="20"/>
                <w:highlight w:val="none"/>
              </w:rPr>
              <w:t>演示</w:t>
            </w:r>
          </w:p>
        </w:tc>
        <w:tc>
          <w:tcPr>
            <w:tcW w:w="7229" w:type="dxa"/>
            <w:tcBorders>
              <w:top w:val="single" w:color="auto" w:sz="4" w:space="0"/>
              <w:left w:val="single" w:color="auto" w:sz="4" w:space="0"/>
              <w:bottom w:val="single" w:color="auto" w:sz="4" w:space="0"/>
              <w:right w:val="single" w:color="auto" w:sz="4" w:space="0"/>
            </w:tcBorders>
            <w:vAlign w:val="center"/>
          </w:tcPr>
          <w:p w14:paraId="3FCF5618">
            <w:pPr>
              <w:spacing w:line="276" w:lineRule="auto"/>
              <w:rPr>
                <w:color w:val="auto"/>
                <w:szCs w:val="21"/>
                <w:highlight w:val="none"/>
              </w:rPr>
            </w:pPr>
            <w:r>
              <w:rPr>
                <w:color w:val="auto"/>
                <w:sz w:val="22"/>
                <w:szCs w:val="22"/>
                <w:highlight w:val="none"/>
              </w:rPr>
              <w:sym w:font="Wingdings 2" w:char="F052"/>
            </w:r>
            <w:r>
              <w:rPr>
                <w:rFonts w:hint="eastAsia"/>
                <w:color w:val="auto"/>
                <w:szCs w:val="21"/>
                <w:highlight w:val="none"/>
              </w:rPr>
              <w:t>否   □是</w:t>
            </w:r>
          </w:p>
          <w:p w14:paraId="32D717D2">
            <w:pPr>
              <w:spacing w:line="276" w:lineRule="auto"/>
              <w:rPr>
                <w:color w:val="auto"/>
                <w:szCs w:val="21"/>
                <w:highlight w:val="none"/>
                <w:u w:val="single"/>
              </w:rPr>
            </w:pPr>
            <w:r>
              <w:rPr>
                <w:rFonts w:hint="eastAsia"/>
                <w:color w:val="auto"/>
                <w:szCs w:val="21"/>
                <w:highlight w:val="none"/>
              </w:rPr>
              <w:t>演示内容：</w:t>
            </w:r>
            <w:r>
              <w:rPr>
                <w:rFonts w:hint="eastAsia"/>
                <w:color w:val="auto"/>
                <w:szCs w:val="21"/>
                <w:highlight w:val="none"/>
                <w:u w:val="single"/>
              </w:rPr>
              <w:t xml:space="preserve"> </w:t>
            </w:r>
            <w:r>
              <w:rPr>
                <w:color w:val="auto"/>
                <w:szCs w:val="21"/>
                <w:highlight w:val="none"/>
                <w:u w:val="single"/>
              </w:rPr>
              <w:t xml:space="preserve">              </w:t>
            </w:r>
          </w:p>
          <w:p w14:paraId="25185568">
            <w:pPr>
              <w:spacing w:line="276" w:lineRule="auto"/>
              <w:rPr>
                <w:color w:val="auto"/>
                <w:szCs w:val="21"/>
                <w:highlight w:val="none"/>
              </w:rPr>
            </w:pPr>
            <w:r>
              <w:rPr>
                <w:rFonts w:hint="eastAsia"/>
                <w:color w:val="auto"/>
                <w:szCs w:val="21"/>
                <w:highlight w:val="none"/>
              </w:rPr>
              <w:t>演示形式：</w:t>
            </w:r>
            <w:r>
              <w:rPr>
                <w:color w:val="auto"/>
                <w:szCs w:val="21"/>
                <w:highlight w:val="none"/>
              </w:rPr>
              <w:t xml:space="preserve"> </w:t>
            </w:r>
          </w:p>
        </w:tc>
      </w:tr>
      <w:tr w14:paraId="7173F3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vAlign w:val="center"/>
          </w:tcPr>
          <w:p w14:paraId="3DFAA093">
            <w:pPr>
              <w:spacing w:line="300" w:lineRule="exact"/>
              <w:jc w:val="center"/>
              <w:rPr>
                <w:b/>
                <w:color w:val="auto"/>
                <w:szCs w:val="21"/>
                <w:highlight w:val="none"/>
              </w:rPr>
            </w:pPr>
            <w:r>
              <w:rPr>
                <w:rFonts w:hint="eastAsia"/>
                <w:b/>
                <w:color w:val="auto"/>
                <w:szCs w:val="21"/>
                <w:highlight w:val="none"/>
              </w:rPr>
              <w:t>4</w:t>
            </w:r>
            <w:r>
              <w:rPr>
                <w:b/>
                <w:color w:val="auto"/>
                <w:szCs w:val="21"/>
                <w:highlight w:val="none"/>
              </w:rPr>
              <w:t>.4</w:t>
            </w:r>
          </w:p>
        </w:tc>
        <w:tc>
          <w:tcPr>
            <w:tcW w:w="1248" w:type="dxa"/>
            <w:tcBorders>
              <w:top w:val="single" w:color="auto" w:sz="4" w:space="0"/>
              <w:left w:val="single" w:color="auto" w:sz="4" w:space="0"/>
              <w:bottom w:val="single" w:color="auto" w:sz="4" w:space="0"/>
              <w:right w:val="single" w:color="auto" w:sz="4" w:space="0"/>
            </w:tcBorders>
            <w:vAlign w:val="center"/>
          </w:tcPr>
          <w:p w14:paraId="2C55D022">
            <w:pPr>
              <w:spacing w:line="300" w:lineRule="exact"/>
              <w:jc w:val="center"/>
              <w:rPr>
                <w:color w:val="auto"/>
                <w:szCs w:val="21"/>
                <w:highlight w:val="none"/>
              </w:rPr>
            </w:pPr>
            <w:r>
              <w:rPr>
                <w:rFonts w:hint="eastAsia"/>
                <w:color w:val="auto"/>
                <w:szCs w:val="20"/>
                <w:highlight w:val="none"/>
              </w:rPr>
              <w:t>样品</w:t>
            </w:r>
          </w:p>
        </w:tc>
        <w:tc>
          <w:tcPr>
            <w:tcW w:w="7229" w:type="dxa"/>
            <w:tcBorders>
              <w:top w:val="single" w:color="auto" w:sz="4" w:space="0"/>
              <w:left w:val="single" w:color="auto" w:sz="4" w:space="0"/>
              <w:bottom w:val="single" w:color="auto" w:sz="4" w:space="0"/>
              <w:right w:val="single" w:color="auto" w:sz="4" w:space="0"/>
            </w:tcBorders>
            <w:vAlign w:val="center"/>
          </w:tcPr>
          <w:p w14:paraId="565DB58C">
            <w:pPr>
              <w:spacing w:line="276" w:lineRule="auto"/>
              <w:rPr>
                <w:color w:val="auto"/>
                <w:szCs w:val="21"/>
                <w:highlight w:val="none"/>
              </w:rPr>
            </w:pPr>
            <w:r>
              <w:rPr>
                <w:color w:val="auto"/>
                <w:sz w:val="24"/>
                <w:highlight w:val="none"/>
              </w:rPr>
              <w:sym w:font="Wingdings 2" w:char="F052"/>
            </w:r>
            <w:r>
              <w:rPr>
                <w:rFonts w:hint="eastAsia"/>
                <w:color w:val="auto"/>
                <w:szCs w:val="21"/>
                <w:highlight w:val="none"/>
              </w:rPr>
              <w:t>否   □是</w:t>
            </w:r>
          </w:p>
          <w:p w14:paraId="37884EAC">
            <w:pPr>
              <w:spacing w:line="276" w:lineRule="auto"/>
              <w:rPr>
                <w:color w:val="auto"/>
                <w:szCs w:val="21"/>
                <w:highlight w:val="none"/>
                <w:u w:val="single"/>
              </w:rPr>
            </w:pPr>
            <w:r>
              <w:rPr>
                <w:rFonts w:hint="eastAsia"/>
                <w:color w:val="auto"/>
                <w:szCs w:val="21"/>
                <w:highlight w:val="none"/>
              </w:rPr>
              <w:t>样品制作的标准和要求：</w:t>
            </w:r>
            <w:r>
              <w:rPr>
                <w:rFonts w:hint="eastAsia"/>
                <w:color w:val="auto"/>
                <w:szCs w:val="21"/>
                <w:highlight w:val="none"/>
                <w:u w:val="single"/>
              </w:rPr>
              <w:t xml:space="preserve"> </w:t>
            </w:r>
            <w:r>
              <w:rPr>
                <w:color w:val="auto"/>
                <w:szCs w:val="21"/>
                <w:highlight w:val="none"/>
                <w:u w:val="single"/>
              </w:rPr>
              <w:t xml:space="preserve">              </w:t>
            </w:r>
          </w:p>
          <w:p w14:paraId="12415B0F">
            <w:pPr>
              <w:spacing w:line="276" w:lineRule="auto"/>
              <w:rPr>
                <w:color w:val="auto"/>
                <w:szCs w:val="21"/>
                <w:highlight w:val="none"/>
                <w:u w:val="single"/>
              </w:rPr>
            </w:pPr>
            <w:r>
              <w:rPr>
                <w:rFonts w:hint="eastAsia"/>
                <w:color w:val="auto"/>
                <w:szCs w:val="21"/>
                <w:highlight w:val="none"/>
              </w:rPr>
              <w:t>样品检测机构的要求：</w:t>
            </w:r>
            <w:r>
              <w:rPr>
                <w:rFonts w:hint="eastAsia"/>
                <w:color w:val="auto"/>
                <w:szCs w:val="21"/>
                <w:highlight w:val="none"/>
                <w:u w:val="single"/>
              </w:rPr>
              <w:t xml:space="preserve"> </w:t>
            </w:r>
            <w:r>
              <w:rPr>
                <w:color w:val="auto"/>
                <w:szCs w:val="21"/>
                <w:highlight w:val="none"/>
                <w:u w:val="single"/>
              </w:rPr>
              <w:t xml:space="preserve">               </w:t>
            </w:r>
          </w:p>
          <w:p w14:paraId="1508A5B9">
            <w:pPr>
              <w:spacing w:line="276" w:lineRule="auto"/>
              <w:rPr>
                <w:color w:val="auto"/>
                <w:szCs w:val="21"/>
                <w:highlight w:val="none"/>
                <w:u w:val="single"/>
              </w:rPr>
            </w:pPr>
            <w:r>
              <w:rPr>
                <w:rFonts w:hint="eastAsia"/>
                <w:color w:val="auto"/>
                <w:szCs w:val="21"/>
                <w:highlight w:val="none"/>
              </w:rPr>
              <w:t>检测内容：</w:t>
            </w:r>
            <w:r>
              <w:rPr>
                <w:rFonts w:hint="eastAsia"/>
                <w:color w:val="auto"/>
                <w:szCs w:val="21"/>
                <w:highlight w:val="none"/>
                <w:u w:val="single"/>
              </w:rPr>
              <w:t xml:space="preserve"> </w:t>
            </w:r>
            <w:r>
              <w:rPr>
                <w:color w:val="auto"/>
                <w:szCs w:val="21"/>
                <w:highlight w:val="none"/>
                <w:u w:val="single"/>
              </w:rPr>
              <w:t xml:space="preserve">                    </w:t>
            </w:r>
          </w:p>
          <w:p w14:paraId="3B6925FE">
            <w:pPr>
              <w:spacing w:line="276" w:lineRule="auto"/>
              <w:rPr>
                <w:color w:val="auto"/>
                <w:szCs w:val="21"/>
                <w:highlight w:val="none"/>
              </w:rPr>
            </w:pPr>
            <w:r>
              <w:rPr>
                <w:rFonts w:hint="eastAsia"/>
                <w:color w:val="auto"/>
                <w:szCs w:val="21"/>
                <w:highlight w:val="none"/>
              </w:rPr>
              <w:t>样品递交方式：</w:t>
            </w:r>
            <w:r>
              <w:rPr>
                <w:color w:val="auto"/>
                <w:szCs w:val="21"/>
                <w:highlight w:val="none"/>
              </w:rPr>
              <w:t xml:space="preserve"> </w:t>
            </w:r>
          </w:p>
        </w:tc>
      </w:tr>
      <w:tr w14:paraId="065DE1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shd w:val="clear" w:color="auto" w:fill="auto"/>
            <w:vAlign w:val="center"/>
          </w:tcPr>
          <w:p w14:paraId="706AC446">
            <w:pPr>
              <w:spacing w:line="300" w:lineRule="exact"/>
              <w:jc w:val="center"/>
              <w:rPr>
                <w:b/>
                <w:color w:val="auto"/>
                <w:szCs w:val="21"/>
                <w:highlight w:val="none"/>
              </w:rPr>
            </w:pPr>
            <w:r>
              <w:rPr>
                <w:rFonts w:hint="eastAsia"/>
                <w:b/>
                <w:color w:val="auto"/>
                <w:szCs w:val="21"/>
                <w:highlight w:val="none"/>
              </w:rPr>
              <w:t>5.3.1</w:t>
            </w:r>
          </w:p>
        </w:tc>
        <w:tc>
          <w:tcPr>
            <w:tcW w:w="1248" w:type="dxa"/>
            <w:tcBorders>
              <w:top w:val="single" w:color="auto" w:sz="4" w:space="0"/>
              <w:left w:val="single" w:color="auto" w:sz="4" w:space="0"/>
              <w:bottom w:val="single" w:color="auto" w:sz="4" w:space="0"/>
              <w:right w:val="single" w:color="auto" w:sz="4" w:space="0"/>
            </w:tcBorders>
            <w:shd w:val="clear" w:color="auto" w:fill="auto"/>
            <w:vAlign w:val="center"/>
          </w:tcPr>
          <w:p w14:paraId="7A3BD00A">
            <w:pPr>
              <w:spacing w:line="300" w:lineRule="exact"/>
              <w:jc w:val="center"/>
              <w:rPr>
                <w:color w:val="auto"/>
                <w:szCs w:val="21"/>
                <w:highlight w:val="none"/>
              </w:rPr>
            </w:pPr>
            <w:r>
              <w:rPr>
                <w:rFonts w:hint="eastAsia"/>
                <w:color w:val="auto"/>
                <w:szCs w:val="21"/>
                <w:highlight w:val="none"/>
              </w:rPr>
              <w:t>信用查询规则</w:t>
            </w:r>
          </w:p>
        </w:tc>
        <w:tc>
          <w:tcPr>
            <w:tcW w:w="7229" w:type="dxa"/>
            <w:tcBorders>
              <w:top w:val="single" w:color="auto" w:sz="4" w:space="0"/>
              <w:left w:val="single" w:color="auto" w:sz="4" w:space="0"/>
              <w:bottom w:val="single" w:color="auto" w:sz="4" w:space="0"/>
              <w:right w:val="single" w:color="auto" w:sz="4" w:space="0"/>
            </w:tcBorders>
            <w:shd w:val="clear" w:color="auto" w:fill="auto"/>
            <w:vAlign w:val="center"/>
          </w:tcPr>
          <w:p w14:paraId="333540EC">
            <w:pPr>
              <w:snapToGrid w:val="0"/>
              <w:spacing w:line="380" w:lineRule="exact"/>
              <w:rPr>
                <w:rFonts w:ascii="宋体" w:hAnsi="宋体"/>
                <w:color w:val="auto"/>
                <w:szCs w:val="21"/>
                <w:highlight w:val="none"/>
              </w:rPr>
            </w:pPr>
            <w:r>
              <w:rPr>
                <w:rFonts w:hint="eastAsia" w:ascii="宋体" w:hAnsi="宋体"/>
                <w:color w:val="auto"/>
                <w:szCs w:val="21"/>
                <w:highlight w:val="none"/>
              </w:rPr>
              <w:t>谈判小组在资格审查结束前，对供应商进行信用查询。</w:t>
            </w:r>
          </w:p>
          <w:p w14:paraId="353DEBED">
            <w:pPr>
              <w:snapToGrid w:val="0"/>
              <w:spacing w:line="380" w:lineRule="exact"/>
              <w:rPr>
                <w:rFonts w:ascii="宋体" w:hAnsi="宋体"/>
                <w:color w:val="auto"/>
                <w:szCs w:val="21"/>
                <w:highlight w:val="none"/>
              </w:rPr>
            </w:pPr>
            <w:r>
              <w:rPr>
                <w:rFonts w:hint="eastAsia" w:ascii="宋体" w:hAnsi="宋体"/>
                <w:color w:val="auto"/>
                <w:szCs w:val="21"/>
                <w:highlight w:val="none"/>
              </w:rPr>
              <w:t>（1）查询渠道：广西政府采购云平台“信用中国”网站(www.creditchina.gov.cn) 、中国政府采购网(www.ccgp.gov.cn)链接入口。</w:t>
            </w:r>
          </w:p>
          <w:p w14:paraId="3D7CE236">
            <w:pPr>
              <w:snapToGrid w:val="0"/>
              <w:spacing w:line="380" w:lineRule="exact"/>
              <w:rPr>
                <w:rFonts w:ascii="宋体" w:hAnsi="宋体"/>
                <w:color w:val="auto"/>
                <w:szCs w:val="21"/>
                <w:highlight w:val="none"/>
              </w:rPr>
            </w:pPr>
            <w:r>
              <w:rPr>
                <w:rFonts w:hint="eastAsia" w:ascii="宋体" w:hAnsi="宋体"/>
                <w:color w:val="auto"/>
                <w:szCs w:val="21"/>
                <w:highlight w:val="none"/>
              </w:rPr>
              <w:t>（2）信用查询截止时点：资格审查结束前</w:t>
            </w:r>
          </w:p>
          <w:p w14:paraId="49FA4172">
            <w:pPr>
              <w:snapToGrid w:val="0"/>
              <w:spacing w:line="380" w:lineRule="exact"/>
              <w:rPr>
                <w:rFonts w:ascii="宋体" w:hAnsi="宋体"/>
                <w:color w:val="auto"/>
                <w:szCs w:val="21"/>
                <w:highlight w:val="none"/>
              </w:rPr>
            </w:pPr>
            <w:r>
              <w:rPr>
                <w:rFonts w:hint="eastAsia" w:ascii="宋体" w:hAnsi="宋体"/>
                <w:color w:val="auto"/>
                <w:szCs w:val="21"/>
                <w:highlight w:val="none"/>
              </w:rPr>
              <w:t>（3）查询记录和证据留存方式：在查询网站中直接截图查询记录，截图作为在“广西政府采购云”平台作为附件上传保存。</w:t>
            </w:r>
          </w:p>
          <w:p w14:paraId="6EA07456">
            <w:pPr>
              <w:snapToGrid w:val="0"/>
              <w:spacing w:line="380" w:lineRule="exact"/>
              <w:rPr>
                <w:rFonts w:ascii="宋体" w:hAnsi="宋体"/>
                <w:color w:val="auto"/>
                <w:szCs w:val="21"/>
                <w:highlight w:val="none"/>
              </w:rPr>
            </w:pPr>
            <w:r>
              <w:rPr>
                <w:rFonts w:hint="eastAsia" w:ascii="宋体" w:hAnsi="宋体"/>
                <w:color w:val="auto"/>
                <w:szCs w:val="21"/>
                <w:highlight w:val="none"/>
              </w:rPr>
              <w:t>（4）信用信息使用规则：对在“信用中国”网站(www.creditchina.gov.cn)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采购人或者采购代理机构应当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3A22F7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shd w:val="clear" w:color="auto" w:fill="auto"/>
            <w:vAlign w:val="center"/>
          </w:tcPr>
          <w:p w14:paraId="4D1BED9A">
            <w:pPr>
              <w:spacing w:line="300" w:lineRule="exact"/>
              <w:jc w:val="center"/>
              <w:rPr>
                <w:b/>
                <w:color w:val="auto"/>
                <w:szCs w:val="21"/>
                <w:highlight w:val="none"/>
              </w:rPr>
            </w:pPr>
            <w:r>
              <w:rPr>
                <w:rFonts w:hint="eastAsia"/>
                <w:b/>
                <w:color w:val="auto"/>
                <w:szCs w:val="21"/>
                <w:highlight w:val="none"/>
              </w:rPr>
              <w:t>6.</w:t>
            </w:r>
            <w:r>
              <w:rPr>
                <w:b/>
                <w:color w:val="auto"/>
                <w:szCs w:val="21"/>
                <w:highlight w:val="none"/>
              </w:rPr>
              <w:t>3</w:t>
            </w:r>
            <w:r>
              <w:rPr>
                <w:rFonts w:hint="eastAsia"/>
                <w:b/>
                <w:color w:val="auto"/>
                <w:szCs w:val="21"/>
                <w:highlight w:val="none"/>
              </w:rPr>
              <w:t>.</w:t>
            </w:r>
            <w:r>
              <w:rPr>
                <w:b/>
                <w:color w:val="auto"/>
                <w:szCs w:val="21"/>
                <w:highlight w:val="none"/>
              </w:rPr>
              <w:t>5</w:t>
            </w:r>
          </w:p>
        </w:tc>
        <w:tc>
          <w:tcPr>
            <w:tcW w:w="1248" w:type="dxa"/>
            <w:tcBorders>
              <w:top w:val="single" w:color="auto" w:sz="4" w:space="0"/>
              <w:left w:val="single" w:color="auto" w:sz="4" w:space="0"/>
              <w:bottom w:val="single" w:color="auto" w:sz="4" w:space="0"/>
              <w:right w:val="single" w:color="auto" w:sz="4" w:space="0"/>
            </w:tcBorders>
            <w:shd w:val="clear" w:color="auto" w:fill="auto"/>
            <w:vAlign w:val="center"/>
          </w:tcPr>
          <w:p w14:paraId="04A7AA8D">
            <w:pPr>
              <w:spacing w:line="300" w:lineRule="exact"/>
              <w:jc w:val="center"/>
              <w:rPr>
                <w:color w:val="auto"/>
                <w:szCs w:val="21"/>
                <w:highlight w:val="none"/>
              </w:rPr>
            </w:pPr>
            <w:r>
              <w:rPr>
                <w:rFonts w:hint="eastAsia"/>
                <w:color w:val="auto"/>
                <w:szCs w:val="21"/>
                <w:highlight w:val="none"/>
              </w:rPr>
              <w:t>异常低价审查</w:t>
            </w:r>
          </w:p>
          <w:p w14:paraId="107DAA48">
            <w:pPr>
              <w:spacing w:line="300" w:lineRule="exact"/>
              <w:jc w:val="center"/>
              <w:rPr>
                <w:color w:val="auto"/>
                <w:szCs w:val="21"/>
                <w:highlight w:val="none"/>
              </w:rPr>
            </w:pPr>
          </w:p>
        </w:tc>
        <w:tc>
          <w:tcPr>
            <w:tcW w:w="7229" w:type="dxa"/>
            <w:tcBorders>
              <w:top w:val="single" w:color="auto" w:sz="4" w:space="0"/>
              <w:left w:val="single" w:color="auto" w:sz="4" w:space="0"/>
              <w:bottom w:val="single" w:color="auto" w:sz="4" w:space="0"/>
              <w:right w:val="single" w:color="auto" w:sz="4" w:space="0"/>
            </w:tcBorders>
            <w:shd w:val="clear" w:color="auto" w:fill="auto"/>
            <w:vAlign w:val="center"/>
          </w:tcPr>
          <w:p w14:paraId="5534260A">
            <w:pPr>
              <w:spacing w:line="300" w:lineRule="exact"/>
              <w:jc w:val="left"/>
              <w:rPr>
                <w:color w:val="auto"/>
                <w:szCs w:val="21"/>
                <w:highlight w:val="none"/>
              </w:rPr>
            </w:pPr>
            <w:r>
              <w:rPr>
                <w:rFonts w:hint="eastAsia"/>
                <w:color w:val="auto"/>
                <w:szCs w:val="21"/>
                <w:highlight w:val="none"/>
              </w:rPr>
              <w:t>评审中出现下列情形之一的，评审委员会应当启动异常低价响应审查程序：</w:t>
            </w:r>
          </w:p>
          <w:p w14:paraId="7147F05D">
            <w:pPr>
              <w:spacing w:line="276" w:lineRule="auto"/>
              <w:rPr>
                <w:color w:val="auto"/>
                <w:szCs w:val="21"/>
                <w:highlight w:val="none"/>
              </w:rPr>
            </w:pPr>
            <w:r>
              <w:rPr>
                <w:rFonts w:hint="eastAsia"/>
                <w:color w:val="auto"/>
                <w:szCs w:val="21"/>
                <w:highlight w:val="none"/>
              </w:rPr>
              <w:t>（1）投标（响应）报价低于全部通过符合性审查供应商投标（响应）报价平均值50%的，即投标（响应）报价&lt;全部通过符合性审查供应商投标（响应）报价平均值×50%；</w:t>
            </w:r>
          </w:p>
          <w:p w14:paraId="22F34340">
            <w:pPr>
              <w:spacing w:line="276" w:lineRule="auto"/>
              <w:rPr>
                <w:color w:val="auto"/>
                <w:szCs w:val="21"/>
                <w:highlight w:val="none"/>
              </w:rPr>
            </w:pPr>
            <w:r>
              <w:rPr>
                <w:rFonts w:hint="eastAsia"/>
                <w:color w:val="auto"/>
                <w:szCs w:val="21"/>
                <w:highlight w:val="none"/>
              </w:rPr>
              <w:t>（2）投标（响应）报价低于通过符合性审查的次低报价供应商投标（响应）报价50%的，即投标（响应）报价&lt;通过符合性审查的次低报价供应商投标（响应）报价×50%；</w:t>
            </w:r>
          </w:p>
          <w:p w14:paraId="5A3CDD0F">
            <w:pPr>
              <w:spacing w:line="276" w:lineRule="auto"/>
              <w:rPr>
                <w:color w:val="auto"/>
                <w:szCs w:val="21"/>
                <w:highlight w:val="none"/>
              </w:rPr>
            </w:pPr>
            <w:r>
              <w:rPr>
                <w:rFonts w:hint="eastAsia"/>
                <w:color w:val="auto"/>
                <w:szCs w:val="21"/>
                <w:highlight w:val="none"/>
              </w:rPr>
              <w:t>（3）投标（响应）报价低于采购项目最高限价45%的，即投标（响应）报价&lt;采购项目最高限价×45%；</w:t>
            </w:r>
          </w:p>
          <w:p w14:paraId="751DA6D9">
            <w:pPr>
              <w:spacing w:line="276" w:lineRule="auto"/>
              <w:rPr>
                <w:color w:val="auto"/>
                <w:sz w:val="22"/>
                <w:szCs w:val="22"/>
                <w:highlight w:val="none"/>
              </w:rPr>
            </w:pPr>
            <w:r>
              <w:rPr>
                <w:rFonts w:hint="eastAsia"/>
                <w:color w:val="auto"/>
                <w:szCs w:val="21"/>
                <w:highlight w:val="none"/>
              </w:rPr>
              <w:t>（4）评审委员会基于专业判断，认为供应商报价过低，有可能影响产品质量或者不能诚信履约的其他情形。</w:t>
            </w:r>
          </w:p>
        </w:tc>
      </w:tr>
      <w:tr w14:paraId="2A9E40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vAlign w:val="center"/>
          </w:tcPr>
          <w:p w14:paraId="1B114B50">
            <w:pPr>
              <w:spacing w:line="300" w:lineRule="exact"/>
              <w:jc w:val="center"/>
              <w:rPr>
                <w:b/>
                <w:color w:val="auto"/>
                <w:szCs w:val="21"/>
                <w:highlight w:val="none"/>
              </w:rPr>
            </w:pPr>
            <w:r>
              <w:rPr>
                <w:rFonts w:hint="eastAsia"/>
                <w:b/>
                <w:color w:val="auto"/>
                <w:szCs w:val="21"/>
                <w:highlight w:val="none"/>
              </w:rPr>
              <w:t>6.</w:t>
            </w:r>
            <w:r>
              <w:rPr>
                <w:b/>
                <w:color w:val="auto"/>
                <w:szCs w:val="21"/>
                <w:highlight w:val="none"/>
              </w:rPr>
              <w:t>3</w:t>
            </w:r>
            <w:r>
              <w:rPr>
                <w:rFonts w:hint="eastAsia"/>
                <w:b/>
                <w:color w:val="auto"/>
                <w:szCs w:val="21"/>
                <w:highlight w:val="none"/>
              </w:rPr>
              <w:t>.6</w:t>
            </w:r>
          </w:p>
        </w:tc>
        <w:tc>
          <w:tcPr>
            <w:tcW w:w="1248" w:type="dxa"/>
            <w:tcBorders>
              <w:top w:val="single" w:color="auto" w:sz="4" w:space="0"/>
              <w:left w:val="single" w:color="auto" w:sz="4" w:space="0"/>
              <w:bottom w:val="single" w:color="auto" w:sz="4" w:space="0"/>
              <w:right w:val="single" w:color="auto" w:sz="4" w:space="0"/>
            </w:tcBorders>
            <w:vAlign w:val="center"/>
          </w:tcPr>
          <w:p w14:paraId="70B4199E">
            <w:pPr>
              <w:spacing w:line="300" w:lineRule="exact"/>
              <w:jc w:val="center"/>
              <w:rPr>
                <w:color w:val="auto"/>
                <w:szCs w:val="21"/>
                <w:highlight w:val="none"/>
              </w:rPr>
            </w:pPr>
            <w:r>
              <w:rPr>
                <w:rFonts w:hint="eastAsia"/>
                <w:color w:val="auto"/>
                <w:szCs w:val="21"/>
                <w:highlight w:val="none"/>
              </w:rPr>
              <w:t>相同品牌推荐方式</w:t>
            </w:r>
          </w:p>
        </w:tc>
        <w:tc>
          <w:tcPr>
            <w:tcW w:w="7229" w:type="dxa"/>
            <w:tcBorders>
              <w:top w:val="single" w:color="auto" w:sz="4" w:space="0"/>
              <w:left w:val="single" w:color="auto" w:sz="4" w:space="0"/>
              <w:bottom w:val="single" w:color="auto" w:sz="4" w:space="0"/>
              <w:right w:val="single" w:color="auto" w:sz="4" w:space="0"/>
            </w:tcBorders>
            <w:vAlign w:val="center"/>
          </w:tcPr>
          <w:p w14:paraId="133F5496">
            <w:pPr>
              <w:spacing w:line="276" w:lineRule="auto"/>
              <w:rPr>
                <w:color w:val="auto"/>
                <w:szCs w:val="21"/>
                <w:highlight w:val="none"/>
              </w:rPr>
            </w:pPr>
            <w:r>
              <w:rPr>
                <w:color w:val="auto"/>
                <w:sz w:val="22"/>
                <w:szCs w:val="22"/>
                <w:highlight w:val="none"/>
              </w:rPr>
              <w:sym w:font="Wingdings 2" w:char="F052"/>
            </w:r>
            <w:r>
              <w:rPr>
                <w:rFonts w:hint="eastAsia"/>
                <w:color w:val="auto"/>
                <w:szCs w:val="21"/>
                <w:highlight w:val="none"/>
              </w:rPr>
              <w:t>采购人委托谈判小组确定   □采购人确定</w:t>
            </w:r>
          </w:p>
        </w:tc>
      </w:tr>
      <w:tr w14:paraId="647BF7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vAlign w:val="center"/>
          </w:tcPr>
          <w:p w14:paraId="020A7CD0">
            <w:pPr>
              <w:spacing w:line="300" w:lineRule="exact"/>
              <w:jc w:val="center"/>
              <w:rPr>
                <w:b/>
                <w:color w:val="auto"/>
                <w:szCs w:val="21"/>
                <w:highlight w:val="none"/>
              </w:rPr>
            </w:pPr>
            <w:r>
              <w:rPr>
                <w:b/>
                <w:color w:val="auto"/>
                <w:szCs w:val="21"/>
                <w:highlight w:val="none"/>
              </w:rPr>
              <w:t>6.5</w:t>
            </w:r>
            <w:r>
              <w:rPr>
                <w:rFonts w:hint="eastAsia"/>
                <w:b/>
                <w:color w:val="auto"/>
                <w:szCs w:val="21"/>
                <w:highlight w:val="none"/>
              </w:rPr>
              <w:t>.1</w:t>
            </w:r>
          </w:p>
        </w:tc>
        <w:tc>
          <w:tcPr>
            <w:tcW w:w="1248" w:type="dxa"/>
            <w:tcBorders>
              <w:top w:val="single" w:color="auto" w:sz="4" w:space="0"/>
              <w:left w:val="single" w:color="auto" w:sz="4" w:space="0"/>
              <w:bottom w:val="single" w:color="auto" w:sz="4" w:space="0"/>
              <w:right w:val="single" w:color="auto" w:sz="4" w:space="0"/>
            </w:tcBorders>
            <w:vAlign w:val="center"/>
          </w:tcPr>
          <w:p w14:paraId="2B2DAF57">
            <w:pPr>
              <w:spacing w:line="300" w:lineRule="exact"/>
              <w:jc w:val="center"/>
              <w:rPr>
                <w:color w:val="auto"/>
                <w:szCs w:val="21"/>
                <w:highlight w:val="none"/>
              </w:rPr>
            </w:pPr>
            <w:r>
              <w:rPr>
                <w:rFonts w:hint="eastAsia"/>
                <w:color w:val="auto"/>
                <w:szCs w:val="21"/>
                <w:highlight w:val="none"/>
              </w:rPr>
              <w:t>结果</w:t>
            </w:r>
            <w:r>
              <w:rPr>
                <w:color w:val="auto"/>
                <w:szCs w:val="21"/>
                <w:highlight w:val="none"/>
              </w:rPr>
              <w:t>公告</w:t>
            </w:r>
          </w:p>
        </w:tc>
        <w:tc>
          <w:tcPr>
            <w:tcW w:w="7229" w:type="dxa"/>
            <w:tcBorders>
              <w:top w:val="single" w:color="auto" w:sz="4" w:space="0"/>
              <w:left w:val="single" w:color="auto" w:sz="4" w:space="0"/>
              <w:bottom w:val="single" w:color="auto" w:sz="4" w:space="0"/>
              <w:right w:val="single" w:color="auto" w:sz="4" w:space="0"/>
            </w:tcBorders>
            <w:vAlign w:val="center"/>
          </w:tcPr>
          <w:p w14:paraId="51799421">
            <w:pPr>
              <w:spacing w:line="300" w:lineRule="exact"/>
              <w:jc w:val="left"/>
              <w:rPr>
                <w:color w:val="auto"/>
                <w:szCs w:val="21"/>
                <w:highlight w:val="none"/>
              </w:rPr>
            </w:pPr>
            <w:r>
              <w:rPr>
                <w:color w:val="auto"/>
                <w:szCs w:val="21"/>
                <w:highlight w:val="none"/>
              </w:rPr>
              <w:t>采购代理机构在采购人依法确认成交供应商后2个工作日内在</w:t>
            </w:r>
            <w:r>
              <w:rPr>
                <w:rFonts w:hint="eastAsia"/>
                <w:color w:val="auto"/>
                <w:szCs w:val="21"/>
                <w:highlight w:val="none"/>
              </w:rPr>
              <w:t>谈判</w:t>
            </w:r>
            <w:r>
              <w:rPr>
                <w:color w:val="auto"/>
                <w:szCs w:val="21"/>
                <w:highlight w:val="none"/>
              </w:rPr>
              <w:t>公告发布的媒体上发布</w:t>
            </w:r>
            <w:r>
              <w:rPr>
                <w:rFonts w:hint="eastAsia"/>
                <w:color w:val="auto"/>
                <w:szCs w:val="21"/>
                <w:highlight w:val="none"/>
              </w:rPr>
              <w:t>结果</w:t>
            </w:r>
            <w:r>
              <w:rPr>
                <w:color w:val="auto"/>
                <w:szCs w:val="21"/>
                <w:highlight w:val="none"/>
              </w:rPr>
              <w:t>公告</w:t>
            </w:r>
            <w:r>
              <w:rPr>
                <w:rFonts w:hint="eastAsia"/>
                <w:color w:val="auto"/>
                <w:szCs w:val="21"/>
                <w:highlight w:val="none"/>
              </w:rPr>
              <w:t>。</w:t>
            </w:r>
          </w:p>
        </w:tc>
      </w:tr>
      <w:tr w14:paraId="721AEF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vAlign w:val="center"/>
          </w:tcPr>
          <w:p w14:paraId="4AC7569A">
            <w:pPr>
              <w:spacing w:line="300" w:lineRule="exact"/>
              <w:jc w:val="center"/>
              <w:rPr>
                <w:b/>
                <w:color w:val="auto"/>
                <w:szCs w:val="21"/>
                <w:highlight w:val="none"/>
              </w:rPr>
            </w:pPr>
            <w:r>
              <w:rPr>
                <w:b/>
                <w:color w:val="auto"/>
                <w:szCs w:val="21"/>
                <w:highlight w:val="none"/>
              </w:rPr>
              <w:t>6.5.2</w:t>
            </w:r>
          </w:p>
        </w:tc>
        <w:tc>
          <w:tcPr>
            <w:tcW w:w="1248" w:type="dxa"/>
            <w:tcBorders>
              <w:top w:val="single" w:color="auto" w:sz="4" w:space="0"/>
              <w:left w:val="single" w:color="auto" w:sz="4" w:space="0"/>
              <w:bottom w:val="single" w:color="auto" w:sz="4" w:space="0"/>
              <w:right w:val="single" w:color="auto" w:sz="4" w:space="0"/>
            </w:tcBorders>
            <w:vAlign w:val="center"/>
          </w:tcPr>
          <w:p w14:paraId="464F48D0">
            <w:pPr>
              <w:spacing w:line="300" w:lineRule="exact"/>
              <w:jc w:val="center"/>
              <w:rPr>
                <w:color w:val="auto"/>
                <w:szCs w:val="21"/>
                <w:highlight w:val="none"/>
              </w:rPr>
            </w:pPr>
            <w:r>
              <w:rPr>
                <w:rFonts w:hint="eastAsia"/>
                <w:color w:val="auto"/>
                <w:szCs w:val="21"/>
                <w:highlight w:val="none"/>
              </w:rPr>
              <w:t>成交通知书</w:t>
            </w:r>
          </w:p>
        </w:tc>
        <w:tc>
          <w:tcPr>
            <w:tcW w:w="7229" w:type="dxa"/>
            <w:tcBorders>
              <w:top w:val="single" w:color="auto" w:sz="4" w:space="0"/>
              <w:left w:val="single" w:color="auto" w:sz="4" w:space="0"/>
              <w:bottom w:val="single" w:color="auto" w:sz="4" w:space="0"/>
              <w:right w:val="single" w:color="auto" w:sz="4" w:space="0"/>
            </w:tcBorders>
            <w:vAlign w:val="center"/>
          </w:tcPr>
          <w:p w14:paraId="39724499">
            <w:pPr>
              <w:spacing w:line="300" w:lineRule="exact"/>
              <w:jc w:val="left"/>
              <w:rPr>
                <w:color w:val="auto"/>
                <w:szCs w:val="21"/>
                <w:highlight w:val="none"/>
              </w:rPr>
            </w:pPr>
            <w:r>
              <w:rPr>
                <w:rFonts w:hint="eastAsia"/>
                <w:color w:val="auto"/>
                <w:szCs w:val="21"/>
                <w:highlight w:val="none"/>
              </w:rPr>
              <w:t>采购代理机构通过广西政府采购云平台发出</w:t>
            </w:r>
            <w:r>
              <w:rPr>
                <w:color w:val="auto"/>
                <w:szCs w:val="21"/>
                <w:highlight w:val="none"/>
              </w:rPr>
              <w:t>成交通知书。</w:t>
            </w:r>
          </w:p>
          <w:p w14:paraId="2AB7DC73">
            <w:pPr>
              <w:spacing w:line="300" w:lineRule="exact"/>
              <w:jc w:val="left"/>
              <w:rPr>
                <w:color w:val="auto"/>
                <w:szCs w:val="21"/>
                <w:highlight w:val="none"/>
              </w:rPr>
            </w:pPr>
            <w:r>
              <w:rPr>
                <w:rFonts w:hint="eastAsia"/>
                <w:color w:val="auto"/>
                <w:szCs w:val="21"/>
                <w:highlight w:val="none"/>
              </w:rPr>
              <w:t>成交通知书在广西政府采购云平台推送之日起，视为成交供应商已收到，成交供应商自行承担未及时查收的后果。</w:t>
            </w:r>
          </w:p>
        </w:tc>
      </w:tr>
      <w:tr w14:paraId="77F01B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vAlign w:val="center"/>
          </w:tcPr>
          <w:p w14:paraId="0B6E8C43">
            <w:pPr>
              <w:spacing w:line="300" w:lineRule="exact"/>
              <w:jc w:val="center"/>
              <w:rPr>
                <w:b/>
                <w:color w:val="auto"/>
                <w:szCs w:val="21"/>
                <w:highlight w:val="none"/>
              </w:rPr>
            </w:pPr>
            <w:r>
              <w:rPr>
                <w:b/>
                <w:color w:val="auto"/>
                <w:szCs w:val="21"/>
                <w:highlight w:val="none"/>
              </w:rPr>
              <w:t>8.1</w:t>
            </w:r>
          </w:p>
        </w:tc>
        <w:tc>
          <w:tcPr>
            <w:tcW w:w="1248" w:type="dxa"/>
            <w:tcBorders>
              <w:top w:val="single" w:color="auto" w:sz="4" w:space="0"/>
              <w:left w:val="single" w:color="auto" w:sz="4" w:space="0"/>
              <w:bottom w:val="single" w:color="auto" w:sz="4" w:space="0"/>
              <w:right w:val="single" w:color="auto" w:sz="4" w:space="0"/>
            </w:tcBorders>
            <w:vAlign w:val="center"/>
          </w:tcPr>
          <w:p w14:paraId="589BD307">
            <w:pPr>
              <w:spacing w:line="300" w:lineRule="exact"/>
              <w:jc w:val="center"/>
              <w:rPr>
                <w:color w:val="auto"/>
                <w:szCs w:val="21"/>
                <w:highlight w:val="none"/>
              </w:rPr>
            </w:pPr>
            <w:r>
              <w:rPr>
                <w:rFonts w:hint="eastAsia"/>
                <w:color w:val="auto"/>
                <w:szCs w:val="21"/>
                <w:highlight w:val="none"/>
              </w:rPr>
              <w:t>质疑</w:t>
            </w:r>
          </w:p>
        </w:tc>
        <w:tc>
          <w:tcPr>
            <w:tcW w:w="7229" w:type="dxa"/>
            <w:tcBorders>
              <w:top w:val="single" w:color="auto" w:sz="4" w:space="0"/>
              <w:left w:val="single" w:color="auto" w:sz="4" w:space="0"/>
              <w:bottom w:val="single" w:color="auto" w:sz="4" w:space="0"/>
              <w:right w:val="single" w:color="auto" w:sz="4" w:space="0"/>
            </w:tcBorders>
            <w:vAlign w:val="center"/>
          </w:tcPr>
          <w:p w14:paraId="75654F77">
            <w:pPr>
              <w:spacing w:line="300" w:lineRule="exact"/>
              <w:jc w:val="left"/>
              <w:rPr>
                <w:color w:val="auto"/>
                <w:szCs w:val="21"/>
                <w:highlight w:val="none"/>
              </w:rPr>
            </w:pPr>
            <w:r>
              <w:rPr>
                <w:rFonts w:hint="eastAsia"/>
                <w:color w:val="auto"/>
                <w:szCs w:val="21"/>
                <w:highlight w:val="none"/>
              </w:rPr>
              <w:t>（1）供应商</w:t>
            </w:r>
            <w:r>
              <w:rPr>
                <w:color w:val="auto"/>
                <w:szCs w:val="21"/>
                <w:highlight w:val="none"/>
              </w:rPr>
              <w:t>认为</w:t>
            </w:r>
            <w:r>
              <w:rPr>
                <w:rFonts w:hint="eastAsia"/>
                <w:color w:val="auto"/>
                <w:szCs w:val="21"/>
                <w:highlight w:val="none"/>
              </w:rPr>
              <w:t>采购文件</w:t>
            </w:r>
            <w:r>
              <w:rPr>
                <w:color w:val="auto"/>
                <w:szCs w:val="21"/>
                <w:highlight w:val="none"/>
              </w:rPr>
              <w:t>、</w:t>
            </w:r>
            <w:r>
              <w:rPr>
                <w:rFonts w:hint="eastAsia"/>
                <w:color w:val="auto"/>
                <w:szCs w:val="21"/>
                <w:highlight w:val="none"/>
              </w:rPr>
              <w:t>采购</w:t>
            </w:r>
            <w:r>
              <w:rPr>
                <w:color w:val="auto"/>
                <w:szCs w:val="21"/>
                <w:highlight w:val="none"/>
              </w:rPr>
              <w:t>过程、中标</w:t>
            </w:r>
            <w:r>
              <w:rPr>
                <w:rFonts w:hint="eastAsia"/>
                <w:color w:val="auto"/>
                <w:szCs w:val="21"/>
                <w:highlight w:val="none"/>
              </w:rPr>
              <w:t>或者成交</w:t>
            </w:r>
            <w:r>
              <w:rPr>
                <w:color w:val="auto"/>
                <w:szCs w:val="21"/>
                <w:highlight w:val="none"/>
              </w:rPr>
              <w:t>结果使自己的权益受到损害的，可以在知道或者应知其权益受到损害之日起7个工作日内，</w:t>
            </w:r>
            <w:r>
              <w:rPr>
                <w:rFonts w:hint="eastAsia"/>
                <w:color w:val="auto"/>
                <w:szCs w:val="21"/>
                <w:highlight w:val="none"/>
              </w:rPr>
              <w:t>通过以下方式</w:t>
            </w:r>
            <w:r>
              <w:rPr>
                <w:color w:val="auto"/>
                <w:szCs w:val="21"/>
                <w:highlight w:val="none"/>
              </w:rPr>
              <w:t>向采购人、采购代理机构提出质疑。提出质疑的</w:t>
            </w:r>
            <w:r>
              <w:rPr>
                <w:rFonts w:hint="eastAsia"/>
                <w:color w:val="auto"/>
                <w:szCs w:val="21"/>
                <w:highlight w:val="none"/>
              </w:rPr>
              <w:t>供应商</w:t>
            </w:r>
            <w:r>
              <w:rPr>
                <w:color w:val="auto"/>
                <w:szCs w:val="21"/>
                <w:highlight w:val="none"/>
              </w:rPr>
              <w:t>必须是参与本项目采购活动的供应商</w:t>
            </w:r>
            <w:r>
              <w:rPr>
                <w:rFonts w:hint="eastAsia"/>
                <w:color w:val="auto"/>
                <w:szCs w:val="21"/>
                <w:highlight w:val="none"/>
              </w:rPr>
              <w:t>，并须在</w:t>
            </w:r>
            <w:r>
              <w:rPr>
                <w:color w:val="auto"/>
                <w:szCs w:val="21"/>
                <w:highlight w:val="none"/>
              </w:rPr>
              <w:t>法定质疑期内一次性提出针对同一采购程序环节的质疑。质疑函应使用财政部发布的</w:t>
            </w:r>
            <w:r>
              <w:rPr>
                <w:rFonts w:hint="eastAsia"/>
                <w:color w:val="auto"/>
                <w:szCs w:val="21"/>
                <w:highlight w:val="none"/>
              </w:rPr>
              <w:t>政府采购供应商质疑函范本，并应按照“质疑函制作说明”进行制作。</w:t>
            </w:r>
          </w:p>
          <w:p w14:paraId="2541C17E">
            <w:pPr>
              <w:spacing w:line="300" w:lineRule="exact"/>
              <w:ind w:firstLine="420" w:firstLineChars="200"/>
              <w:jc w:val="left"/>
              <w:rPr>
                <w:color w:val="auto"/>
                <w:szCs w:val="21"/>
                <w:highlight w:val="none"/>
              </w:rPr>
            </w:pPr>
            <w:r>
              <w:rPr>
                <w:rFonts w:hint="eastAsia"/>
                <w:color w:val="auto"/>
                <w:szCs w:val="21"/>
                <w:highlight w:val="none"/>
              </w:rPr>
              <w:t>（2）</w:t>
            </w:r>
            <w:r>
              <w:rPr>
                <w:color w:val="auto"/>
                <w:szCs w:val="21"/>
                <w:highlight w:val="none"/>
              </w:rPr>
              <w:t>本项目不接受传真、移动通信</w:t>
            </w:r>
            <w:r>
              <w:rPr>
                <w:rFonts w:hint="eastAsia"/>
                <w:color w:val="auto"/>
                <w:szCs w:val="21"/>
                <w:highlight w:val="none"/>
              </w:rPr>
              <w:t>、广西政府采购云平台</w:t>
            </w:r>
            <w:r>
              <w:rPr>
                <w:color w:val="auto"/>
                <w:szCs w:val="21"/>
                <w:highlight w:val="none"/>
              </w:rPr>
              <w:t>等</w:t>
            </w:r>
            <w:r>
              <w:rPr>
                <w:rFonts w:hint="eastAsia"/>
                <w:color w:val="auto"/>
                <w:szCs w:val="21"/>
                <w:highlight w:val="none"/>
              </w:rPr>
              <w:t>方式</w:t>
            </w:r>
            <w:r>
              <w:rPr>
                <w:color w:val="auto"/>
                <w:szCs w:val="21"/>
                <w:highlight w:val="none"/>
              </w:rPr>
              <w:t>送达的质疑材料</w:t>
            </w:r>
            <w:r>
              <w:rPr>
                <w:rFonts w:hint="eastAsia"/>
                <w:color w:val="auto"/>
                <w:szCs w:val="21"/>
                <w:highlight w:val="none"/>
              </w:rPr>
              <w:t>，供应商可通过现场或邮寄方式递交书面质疑材料。供应商应于质疑有效期内将质疑函原件递交或邮寄至谈判公告中采购代理机构信息中的联系人。</w:t>
            </w:r>
          </w:p>
        </w:tc>
      </w:tr>
      <w:tr w14:paraId="380C2D1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49" w:hRule="atLeast"/>
        </w:trPr>
        <w:tc>
          <w:tcPr>
            <w:tcW w:w="737" w:type="dxa"/>
            <w:tcBorders>
              <w:top w:val="single" w:color="auto" w:sz="4" w:space="0"/>
              <w:left w:val="single" w:color="auto" w:sz="4" w:space="0"/>
              <w:bottom w:val="single" w:color="auto" w:sz="4" w:space="0"/>
              <w:right w:val="single" w:color="auto" w:sz="4" w:space="0"/>
            </w:tcBorders>
            <w:vAlign w:val="center"/>
          </w:tcPr>
          <w:p w14:paraId="396B53DA">
            <w:pPr>
              <w:spacing w:line="300" w:lineRule="exact"/>
              <w:jc w:val="center"/>
              <w:rPr>
                <w:b/>
                <w:color w:val="auto"/>
                <w:szCs w:val="21"/>
                <w:highlight w:val="none"/>
              </w:rPr>
            </w:pPr>
            <w:r>
              <w:rPr>
                <w:b/>
                <w:color w:val="auto"/>
                <w:szCs w:val="21"/>
                <w:highlight w:val="none"/>
              </w:rPr>
              <w:t>9.1</w:t>
            </w:r>
          </w:p>
        </w:tc>
        <w:tc>
          <w:tcPr>
            <w:tcW w:w="1248" w:type="dxa"/>
            <w:tcBorders>
              <w:top w:val="single" w:color="auto" w:sz="4" w:space="0"/>
              <w:left w:val="single" w:color="auto" w:sz="4" w:space="0"/>
              <w:bottom w:val="single" w:color="auto" w:sz="4" w:space="0"/>
              <w:right w:val="single" w:color="auto" w:sz="4" w:space="0"/>
            </w:tcBorders>
            <w:vAlign w:val="center"/>
          </w:tcPr>
          <w:p w14:paraId="3000FB71">
            <w:pPr>
              <w:spacing w:line="300" w:lineRule="exact"/>
              <w:jc w:val="center"/>
              <w:rPr>
                <w:color w:val="auto"/>
                <w:szCs w:val="21"/>
                <w:highlight w:val="none"/>
              </w:rPr>
            </w:pPr>
            <w:r>
              <w:rPr>
                <w:color w:val="auto"/>
                <w:szCs w:val="20"/>
                <w:highlight w:val="none"/>
              </w:rPr>
              <w:t>代理服务费</w:t>
            </w:r>
          </w:p>
        </w:tc>
        <w:tc>
          <w:tcPr>
            <w:tcW w:w="7229" w:type="dxa"/>
            <w:tcBorders>
              <w:top w:val="single" w:color="auto" w:sz="4" w:space="0"/>
              <w:left w:val="single" w:color="auto" w:sz="4" w:space="0"/>
              <w:bottom w:val="single" w:color="auto" w:sz="4" w:space="0"/>
              <w:right w:val="single" w:color="auto" w:sz="4" w:space="0"/>
            </w:tcBorders>
            <w:vAlign w:val="center"/>
          </w:tcPr>
          <w:p w14:paraId="78D6346E">
            <w:pPr>
              <w:rPr>
                <w:color w:val="auto"/>
                <w:szCs w:val="21"/>
                <w:highlight w:val="none"/>
              </w:rPr>
            </w:pPr>
            <w:r>
              <w:rPr>
                <w:color w:val="auto"/>
                <w:szCs w:val="21"/>
                <w:highlight w:val="none"/>
              </w:rPr>
              <w:t>（1）</w:t>
            </w:r>
            <w:r>
              <w:rPr>
                <w:color w:val="auto"/>
                <w:szCs w:val="20"/>
                <w:highlight w:val="none"/>
              </w:rPr>
              <w:t>代理服务费</w:t>
            </w:r>
          </w:p>
          <w:p w14:paraId="55AF83C1">
            <w:pPr>
              <w:spacing w:line="300" w:lineRule="exact"/>
              <w:jc w:val="left"/>
              <w:rPr>
                <w:color w:val="auto"/>
                <w:szCs w:val="21"/>
                <w:highlight w:val="none"/>
              </w:rPr>
            </w:pPr>
            <w:r>
              <w:rPr>
                <w:color w:val="auto"/>
                <w:szCs w:val="21"/>
                <w:highlight w:val="none"/>
              </w:rPr>
              <w:sym w:font="Wingdings 2" w:char="F052"/>
            </w:r>
            <w:r>
              <w:rPr>
                <w:rFonts w:hint="eastAsia"/>
                <w:color w:val="auto"/>
                <w:szCs w:val="21"/>
                <w:highlight w:val="none"/>
              </w:rPr>
              <w:t>采购代理机构向成交供应商收取代理服务费。本项目代理服务费按照《招标代理服务费管理暂行办法》(计价格〔2002〕1980号)、《国家发展改革委关于降低部分建设项目收费标准规范收费行为等有关问题的通知》(发改价格﹝2011﹞534号)的规定采用差额定率累进法下浮20%计算。</w:t>
            </w:r>
            <w:r>
              <w:rPr>
                <w:color w:val="auto"/>
                <w:szCs w:val="21"/>
                <w:highlight w:val="none"/>
              </w:rPr>
              <w:t>具体费率</w:t>
            </w:r>
            <w:r>
              <w:rPr>
                <w:rFonts w:hint="eastAsia"/>
                <w:color w:val="auto"/>
                <w:szCs w:val="21"/>
                <w:highlight w:val="none"/>
              </w:rPr>
              <w:t>如下：</w:t>
            </w:r>
          </w:p>
          <w:p w14:paraId="1CD93145">
            <w:pPr>
              <w:spacing w:line="300" w:lineRule="exact"/>
              <w:jc w:val="left"/>
              <w:rPr>
                <w:color w:val="auto"/>
                <w:szCs w:val="21"/>
                <w:highlight w:val="none"/>
              </w:rPr>
            </w:pPr>
            <w:r>
              <w:rPr>
                <w:rFonts w:hint="eastAsia"/>
                <w:color w:val="auto"/>
                <w:szCs w:val="21"/>
                <w:highlight w:val="none"/>
              </w:rPr>
              <w:t>①成交金额在1</w:t>
            </w:r>
            <w:r>
              <w:rPr>
                <w:color w:val="auto"/>
                <w:szCs w:val="21"/>
                <w:highlight w:val="none"/>
              </w:rPr>
              <w:t>00</w:t>
            </w:r>
            <w:r>
              <w:rPr>
                <w:rFonts w:hint="eastAsia"/>
                <w:color w:val="auto"/>
                <w:szCs w:val="21"/>
                <w:highlight w:val="none"/>
              </w:rPr>
              <w:t>万元以下的：</w:t>
            </w:r>
          </w:p>
          <w:p w14:paraId="06E41EE0">
            <w:pPr>
              <w:spacing w:line="300" w:lineRule="exact"/>
              <w:jc w:val="left"/>
              <w:rPr>
                <w:color w:val="auto"/>
                <w:szCs w:val="21"/>
                <w:highlight w:val="none"/>
              </w:rPr>
            </w:pPr>
            <w:r>
              <w:rPr>
                <w:rFonts w:hint="eastAsia"/>
                <w:color w:val="auto"/>
                <w:szCs w:val="21"/>
                <w:highlight w:val="none"/>
              </w:rPr>
              <w:t>货物</w:t>
            </w:r>
            <w:r>
              <w:rPr>
                <w:color w:val="auto"/>
                <w:szCs w:val="21"/>
                <w:highlight w:val="none"/>
              </w:rPr>
              <w:t>1.5％</w:t>
            </w:r>
            <w:r>
              <w:rPr>
                <w:rFonts w:hint="eastAsia"/>
                <w:color w:val="auto"/>
                <w:szCs w:val="21"/>
                <w:highlight w:val="none"/>
              </w:rPr>
              <w:t>；</w:t>
            </w:r>
            <w:r>
              <w:rPr>
                <w:color w:val="auto"/>
                <w:szCs w:val="21"/>
                <w:highlight w:val="none"/>
              </w:rPr>
              <w:t>服务招标1.5％</w:t>
            </w:r>
            <w:r>
              <w:rPr>
                <w:rFonts w:hint="eastAsia"/>
                <w:color w:val="auto"/>
                <w:szCs w:val="21"/>
                <w:highlight w:val="none"/>
              </w:rPr>
              <w:t>；</w:t>
            </w:r>
            <w:r>
              <w:rPr>
                <w:color w:val="auto"/>
                <w:szCs w:val="21"/>
                <w:highlight w:val="none"/>
              </w:rPr>
              <w:t>工程招标1.0％</w:t>
            </w:r>
            <w:r>
              <w:rPr>
                <w:rFonts w:hint="eastAsia"/>
                <w:color w:val="auto"/>
                <w:szCs w:val="21"/>
                <w:highlight w:val="none"/>
              </w:rPr>
              <w:t>；</w:t>
            </w:r>
          </w:p>
          <w:p w14:paraId="7FB5A811">
            <w:pPr>
              <w:spacing w:line="300" w:lineRule="exact"/>
              <w:jc w:val="left"/>
              <w:rPr>
                <w:color w:val="auto"/>
                <w:szCs w:val="21"/>
                <w:highlight w:val="none"/>
              </w:rPr>
            </w:pPr>
            <w:r>
              <w:rPr>
                <w:rFonts w:hint="eastAsia"/>
                <w:color w:val="auto"/>
                <w:szCs w:val="21"/>
                <w:highlight w:val="none"/>
              </w:rPr>
              <w:t>②成交金额在</w:t>
            </w:r>
            <w:r>
              <w:rPr>
                <w:color w:val="auto"/>
                <w:szCs w:val="21"/>
                <w:highlight w:val="none"/>
              </w:rPr>
              <w:t>100-500</w:t>
            </w:r>
            <w:r>
              <w:rPr>
                <w:rFonts w:hint="eastAsia"/>
                <w:color w:val="auto"/>
                <w:szCs w:val="21"/>
                <w:highlight w:val="none"/>
              </w:rPr>
              <w:t>万元之间：</w:t>
            </w:r>
          </w:p>
          <w:p w14:paraId="75EF9B8E">
            <w:pPr>
              <w:spacing w:line="300" w:lineRule="exact"/>
              <w:jc w:val="left"/>
              <w:rPr>
                <w:color w:val="auto"/>
                <w:szCs w:val="21"/>
                <w:highlight w:val="none"/>
              </w:rPr>
            </w:pPr>
            <w:r>
              <w:rPr>
                <w:rFonts w:hint="eastAsia"/>
                <w:color w:val="auto"/>
                <w:szCs w:val="21"/>
                <w:highlight w:val="none"/>
              </w:rPr>
              <w:t>货物</w:t>
            </w:r>
            <w:r>
              <w:rPr>
                <w:color w:val="auto"/>
                <w:szCs w:val="21"/>
                <w:highlight w:val="none"/>
              </w:rPr>
              <w:t>1.1％</w:t>
            </w:r>
            <w:r>
              <w:rPr>
                <w:rFonts w:hint="eastAsia"/>
                <w:color w:val="auto"/>
                <w:szCs w:val="21"/>
                <w:highlight w:val="none"/>
              </w:rPr>
              <w:t>；</w:t>
            </w:r>
            <w:r>
              <w:rPr>
                <w:color w:val="auto"/>
                <w:szCs w:val="21"/>
                <w:highlight w:val="none"/>
              </w:rPr>
              <w:t>服务招标0.8％</w:t>
            </w:r>
            <w:r>
              <w:rPr>
                <w:rFonts w:hint="eastAsia"/>
                <w:color w:val="auto"/>
                <w:szCs w:val="21"/>
                <w:highlight w:val="none"/>
              </w:rPr>
              <w:t>；</w:t>
            </w:r>
            <w:r>
              <w:rPr>
                <w:color w:val="auto"/>
                <w:szCs w:val="21"/>
                <w:highlight w:val="none"/>
              </w:rPr>
              <w:t>工程招标0.7％</w:t>
            </w:r>
            <w:r>
              <w:rPr>
                <w:rFonts w:hint="eastAsia"/>
                <w:color w:val="auto"/>
                <w:szCs w:val="21"/>
                <w:highlight w:val="none"/>
              </w:rPr>
              <w:t>；</w:t>
            </w:r>
          </w:p>
          <w:p w14:paraId="7F7D3F26">
            <w:pPr>
              <w:spacing w:line="300" w:lineRule="exact"/>
              <w:jc w:val="left"/>
              <w:rPr>
                <w:color w:val="auto"/>
                <w:szCs w:val="21"/>
                <w:highlight w:val="none"/>
              </w:rPr>
            </w:pPr>
            <w:r>
              <w:rPr>
                <w:rFonts w:hint="eastAsia"/>
                <w:color w:val="auto"/>
                <w:szCs w:val="21"/>
                <w:highlight w:val="none"/>
              </w:rPr>
              <w:t>③成交金额在</w:t>
            </w:r>
            <w:r>
              <w:rPr>
                <w:color w:val="auto"/>
                <w:szCs w:val="21"/>
                <w:highlight w:val="none"/>
              </w:rPr>
              <w:t>5</w:t>
            </w:r>
            <w:r>
              <w:rPr>
                <w:rFonts w:hint="eastAsia"/>
                <w:color w:val="auto"/>
                <w:szCs w:val="21"/>
                <w:highlight w:val="none"/>
              </w:rPr>
              <w:t>0</w:t>
            </w:r>
            <w:r>
              <w:rPr>
                <w:color w:val="auto"/>
                <w:szCs w:val="21"/>
                <w:highlight w:val="none"/>
              </w:rPr>
              <w:t>0-1</w:t>
            </w:r>
            <w:r>
              <w:rPr>
                <w:rFonts w:hint="eastAsia"/>
                <w:color w:val="auto"/>
                <w:szCs w:val="21"/>
                <w:highlight w:val="none"/>
              </w:rPr>
              <w:t>00</w:t>
            </w:r>
            <w:r>
              <w:rPr>
                <w:color w:val="auto"/>
                <w:szCs w:val="21"/>
                <w:highlight w:val="none"/>
              </w:rPr>
              <w:t>0</w:t>
            </w:r>
            <w:r>
              <w:rPr>
                <w:rFonts w:hint="eastAsia"/>
                <w:color w:val="auto"/>
                <w:szCs w:val="21"/>
                <w:highlight w:val="none"/>
              </w:rPr>
              <w:t>万元之间：</w:t>
            </w:r>
          </w:p>
          <w:p w14:paraId="62089A2C">
            <w:pPr>
              <w:spacing w:line="300" w:lineRule="exact"/>
              <w:jc w:val="left"/>
              <w:rPr>
                <w:color w:val="auto"/>
                <w:szCs w:val="21"/>
                <w:highlight w:val="none"/>
              </w:rPr>
            </w:pPr>
            <w:r>
              <w:rPr>
                <w:rFonts w:hint="eastAsia"/>
                <w:color w:val="auto"/>
                <w:szCs w:val="21"/>
                <w:highlight w:val="none"/>
              </w:rPr>
              <w:t>货物</w:t>
            </w:r>
            <w:r>
              <w:rPr>
                <w:color w:val="auto"/>
                <w:szCs w:val="21"/>
                <w:highlight w:val="none"/>
              </w:rPr>
              <w:t>0.8％</w:t>
            </w:r>
            <w:r>
              <w:rPr>
                <w:rFonts w:hint="eastAsia"/>
                <w:color w:val="auto"/>
                <w:szCs w:val="21"/>
                <w:highlight w:val="none"/>
              </w:rPr>
              <w:t>；</w:t>
            </w:r>
            <w:r>
              <w:rPr>
                <w:color w:val="auto"/>
                <w:szCs w:val="21"/>
                <w:highlight w:val="none"/>
              </w:rPr>
              <w:t>服务招标0.45％</w:t>
            </w:r>
            <w:r>
              <w:rPr>
                <w:rFonts w:hint="eastAsia"/>
                <w:color w:val="auto"/>
                <w:szCs w:val="21"/>
                <w:highlight w:val="none"/>
              </w:rPr>
              <w:t>；</w:t>
            </w:r>
            <w:r>
              <w:rPr>
                <w:color w:val="auto"/>
                <w:szCs w:val="21"/>
                <w:highlight w:val="none"/>
              </w:rPr>
              <w:t>工程招标0.55％</w:t>
            </w:r>
            <w:r>
              <w:rPr>
                <w:rFonts w:hint="eastAsia"/>
                <w:color w:val="auto"/>
                <w:szCs w:val="21"/>
                <w:highlight w:val="none"/>
              </w:rPr>
              <w:t>；</w:t>
            </w:r>
          </w:p>
          <w:p w14:paraId="20EE1601">
            <w:pPr>
              <w:spacing w:line="300" w:lineRule="exact"/>
              <w:jc w:val="left"/>
              <w:rPr>
                <w:color w:val="auto"/>
                <w:szCs w:val="21"/>
                <w:highlight w:val="none"/>
              </w:rPr>
            </w:pPr>
            <w:r>
              <w:rPr>
                <w:rFonts w:hint="eastAsia"/>
                <w:color w:val="auto"/>
                <w:szCs w:val="21"/>
                <w:highlight w:val="none"/>
              </w:rPr>
              <w:t>④成交金额在</w:t>
            </w:r>
            <w:r>
              <w:rPr>
                <w:color w:val="auto"/>
                <w:szCs w:val="21"/>
                <w:highlight w:val="none"/>
              </w:rPr>
              <w:t>1000-5000</w:t>
            </w:r>
            <w:r>
              <w:rPr>
                <w:rFonts w:hint="eastAsia"/>
                <w:color w:val="auto"/>
                <w:szCs w:val="21"/>
                <w:highlight w:val="none"/>
              </w:rPr>
              <w:t>万元之间：</w:t>
            </w:r>
          </w:p>
          <w:p w14:paraId="77A9DD03">
            <w:pPr>
              <w:spacing w:line="300" w:lineRule="exact"/>
              <w:jc w:val="left"/>
              <w:rPr>
                <w:color w:val="auto"/>
                <w:szCs w:val="21"/>
                <w:highlight w:val="none"/>
              </w:rPr>
            </w:pPr>
            <w:r>
              <w:rPr>
                <w:rFonts w:hint="eastAsia"/>
                <w:color w:val="auto"/>
                <w:szCs w:val="21"/>
                <w:highlight w:val="none"/>
              </w:rPr>
              <w:t>货物</w:t>
            </w:r>
            <w:r>
              <w:rPr>
                <w:color w:val="auto"/>
                <w:szCs w:val="21"/>
                <w:highlight w:val="none"/>
              </w:rPr>
              <w:t>0.5％</w:t>
            </w:r>
            <w:r>
              <w:rPr>
                <w:rFonts w:hint="eastAsia"/>
                <w:color w:val="auto"/>
                <w:szCs w:val="21"/>
                <w:highlight w:val="none"/>
              </w:rPr>
              <w:t>；</w:t>
            </w:r>
            <w:r>
              <w:rPr>
                <w:color w:val="auto"/>
                <w:szCs w:val="21"/>
                <w:highlight w:val="none"/>
              </w:rPr>
              <w:t>服务招标0.25％</w:t>
            </w:r>
            <w:r>
              <w:rPr>
                <w:rFonts w:hint="eastAsia"/>
                <w:color w:val="auto"/>
                <w:szCs w:val="21"/>
                <w:highlight w:val="none"/>
              </w:rPr>
              <w:t>；</w:t>
            </w:r>
            <w:r>
              <w:rPr>
                <w:color w:val="auto"/>
                <w:szCs w:val="21"/>
                <w:highlight w:val="none"/>
              </w:rPr>
              <w:t>工程招标0.35％</w:t>
            </w:r>
            <w:r>
              <w:rPr>
                <w:rFonts w:hint="eastAsia"/>
                <w:color w:val="auto"/>
                <w:szCs w:val="21"/>
                <w:highlight w:val="none"/>
              </w:rPr>
              <w:t>；</w:t>
            </w:r>
          </w:p>
          <w:p w14:paraId="3911298B">
            <w:pPr>
              <w:spacing w:line="300" w:lineRule="exact"/>
              <w:jc w:val="left"/>
              <w:rPr>
                <w:color w:val="auto"/>
                <w:szCs w:val="21"/>
                <w:highlight w:val="none"/>
              </w:rPr>
            </w:pPr>
            <w:r>
              <w:rPr>
                <w:rFonts w:hint="eastAsia"/>
                <w:color w:val="auto"/>
                <w:szCs w:val="21"/>
                <w:highlight w:val="none"/>
              </w:rPr>
              <w:t>……</w:t>
            </w:r>
          </w:p>
          <w:p w14:paraId="7DC2ED48">
            <w:pPr>
              <w:spacing w:line="300" w:lineRule="exact"/>
              <w:jc w:val="left"/>
              <w:rPr>
                <w:color w:val="auto"/>
                <w:szCs w:val="21"/>
                <w:highlight w:val="none"/>
              </w:rPr>
            </w:pPr>
            <w:r>
              <w:rPr>
                <w:color w:val="auto"/>
                <w:szCs w:val="21"/>
                <w:highlight w:val="none"/>
              </w:rPr>
              <w:t>差额定率累进</w:t>
            </w:r>
            <w:r>
              <w:rPr>
                <w:rFonts w:hint="eastAsia"/>
                <w:color w:val="auto"/>
                <w:szCs w:val="21"/>
                <w:highlight w:val="none"/>
              </w:rPr>
              <w:t>法</w:t>
            </w:r>
            <w:r>
              <w:rPr>
                <w:color w:val="auto"/>
                <w:szCs w:val="21"/>
                <w:highlight w:val="none"/>
              </w:rPr>
              <w:t>计算</w:t>
            </w:r>
            <w:r>
              <w:rPr>
                <w:rFonts w:hint="eastAsia"/>
                <w:color w:val="auto"/>
                <w:szCs w:val="21"/>
                <w:highlight w:val="none"/>
              </w:rPr>
              <w:t>过程示例：</w:t>
            </w:r>
          </w:p>
          <w:p w14:paraId="4138E4A6">
            <w:pPr>
              <w:spacing w:line="300" w:lineRule="exact"/>
              <w:jc w:val="left"/>
              <w:rPr>
                <w:color w:val="auto"/>
                <w:szCs w:val="21"/>
                <w:highlight w:val="none"/>
              </w:rPr>
            </w:pPr>
            <w:r>
              <w:rPr>
                <w:color w:val="auto"/>
                <w:szCs w:val="21"/>
                <w:highlight w:val="none"/>
              </w:rPr>
              <w:t>例如：某货物招标代理业务成交金额为300万元，招标代理服务费金额按如下计算：</w:t>
            </w:r>
          </w:p>
          <w:p w14:paraId="6782DD67">
            <w:pPr>
              <w:spacing w:line="300" w:lineRule="exact"/>
              <w:jc w:val="left"/>
              <w:rPr>
                <w:color w:val="auto"/>
                <w:szCs w:val="21"/>
                <w:highlight w:val="none"/>
              </w:rPr>
            </w:pPr>
            <w:r>
              <w:rPr>
                <w:color w:val="auto"/>
                <w:szCs w:val="21"/>
                <w:highlight w:val="none"/>
              </w:rPr>
              <w:t>100万元×1.5%＝1.5万元</w:t>
            </w:r>
          </w:p>
          <w:p w14:paraId="7609B66C">
            <w:pPr>
              <w:spacing w:line="300" w:lineRule="exact"/>
              <w:jc w:val="left"/>
              <w:rPr>
                <w:color w:val="auto"/>
                <w:szCs w:val="21"/>
                <w:highlight w:val="none"/>
              </w:rPr>
            </w:pPr>
            <w:r>
              <w:rPr>
                <w:color w:val="auto"/>
                <w:szCs w:val="21"/>
                <w:highlight w:val="none"/>
              </w:rPr>
              <w:t>（300－100）万元×1.1%＝2.2万元</w:t>
            </w:r>
          </w:p>
          <w:p w14:paraId="3AF4CC28">
            <w:pPr>
              <w:spacing w:line="300" w:lineRule="exact"/>
              <w:jc w:val="left"/>
              <w:rPr>
                <w:color w:val="auto"/>
                <w:szCs w:val="21"/>
                <w:highlight w:val="none"/>
              </w:rPr>
            </w:pPr>
            <w:r>
              <w:rPr>
                <w:color w:val="auto"/>
                <w:szCs w:val="21"/>
                <w:highlight w:val="none"/>
              </w:rPr>
              <w:t>合计收费＝1.5＋2.2=3.7万元</w:t>
            </w:r>
          </w:p>
          <w:p w14:paraId="07A9047E">
            <w:pPr>
              <w:spacing w:line="300" w:lineRule="exact"/>
              <w:jc w:val="left"/>
              <w:rPr>
                <w:color w:val="auto"/>
                <w:szCs w:val="21"/>
                <w:highlight w:val="none"/>
                <w:u w:val="single"/>
              </w:rPr>
            </w:pPr>
            <w:r>
              <w:rPr>
                <w:color w:val="auto"/>
                <w:szCs w:val="21"/>
                <w:highlight w:val="none"/>
              </w:rPr>
              <w:sym w:font="Wingdings 2" w:char="F0A3"/>
            </w:r>
            <w:r>
              <w:rPr>
                <w:color w:val="auto"/>
                <w:szCs w:val="21"/>
                <w:highlight w:val="none"/>
              </w:rPr>
              <w:t>采购代理机构</w:t>
            </w:r>
            <w:r>
              <w:rPr>
                <w:color w:val="auto"/>
                <w:szCs w:val="20"/>
                <w:highlight w:val="none"/>
              </w:rPr>
              <w:t>向成交供应商收取代理服务费</w:t>
            </w:r>
            <w:r>
              <w:rPr>
                <w:rFonts w:hint="eastAsia"/>
                <w:color w:val="auto"/>
                <w:szCs w:val="20"/>
                <w:highlight w:val="none"/>
              </w:rPr>
              <w:t>，</w:t>
            </w:r>
            <w:r>
              <w:rPr>
                <w:color w:val="auto"/>
                <w:szCs w:val="20"/>
                <w:highlight w:val="none"/>
              </w:rPr>
              <w:t>具体金额为</w:t>
            </w:r>
            <w:r>
              <w:rPr>
                <w:rFonts w:hint="eastAsia"/>
                <w:color w:val="auto"/>
                <w:szCs w:val="20"/>
                <w:highlight w:val="none"/>
                <w:u w:val="single"/>
              </w:rPr>
              <w:t xml:space="preserve">             </w:t>
            </w:r>
            <w:r>
              <w:rPr>
                <w:rFonts w:hint="eastAsia"/>
                <w:color w:val="auto"/>
                <w:szCs w:val="20"/>
                <w:highlight w:val="none"/>
              </w:rPr>
              <w:t>。</w:t>
            </w:r>
          </w:p>
          <w:p w14:paraId="2B882C42">
            <w:pPr>
              <w:spacing w:line="300" w:lineRule="exact"/>
              <w:jc w:val="left"/>
              <w:rPr>
                <w:color w:val="auto"/>
                <w:szCs w:val="21"/>
                <w:highlight w:val="none"/>
              </w:rPr>
            </w:pPr>
            <w:r>
              <w:rPr>
                <w:color w:val="auto"/>
                <w:szCs w:val="21"/>
                <w:highlight w:val="none"/>
              </w:rPr>
              <w:t>（2）成交供应商在成交通知书发出前以银行转账或现金形式支付代理服务费；采购代理机构也可以从成交供应商的谈判保证金中扣除上述金额的代理服务费，余款按供应商所汇入谈判保证金的账户原路退回，如无法原路返回，则按《代理服务费承诺书》列明的账户退回。</w:t>
            </w:r>
          </w:p>
          <w:p w14:paraId="48551D8E">
            <w:pPr>
              <w:spacing w:line="300" w:lineRule="exact"/>
              <w:jc w:val="left"/>
              <w:rPr>
                <w:color w:val="auto"/>
                <w:kern w:val="0"/>
                <w:szCs w:val="21"/>
                <w:highlight w:val="none"/>
              </w:rPr>
            </w:pPr>
            <w:r>
              <w:rPr>
                <w:rFonts w:hint="eastAsia"/>
                <w:color w:val="auto"/>
                <w:kern w:val="0"/>
                <w:szCs w:val="21"/>
                <w:highlight w:val="none"/>
              </w:rPr>
              <w:t>开户银行：广西北部湾银行南宁市金湖支行</w:t>
            </w:r>
          </w:p>
          <w:p w14:paraId="0F8274E9">
            <w:pPr>
              <w:spacing w:line="300" w:lineRule="exact"/>
              <w:jc w:val="left"/>
              <w:rPr>
                <w:color w:val="auto"/>
                <w:kern w:val="0"/>
                <w:szCs w:val="21"/>
                <w:highlight w:val="none"/>
              </w:rPr>
            </w:pPr>
            <w:r>
              <w:rPr>
                <w:rFonts w:hint="eastAsia"/>
                <w:color w:val="auto"/>
                <w:kern w:val="0"/>
                <w:szCs w:val="21"/>
                <w:highlight w:val="none"/>
              </w:rPr>
              <w:t>（银行地址：南宁市金湖路57号文德大厦1楼）</w:t>
            </w:r>
          </w:p>
          <w:p w14:paraId="16886B13">
            <w:pPr>
              <w:spacing w:line="300" w:lineRule="exact"/>
              <w:jc w:val="left"/>
              <w:rPr>
                <w:color w:val="auto"/>
                <w:kern w:val="0"/>
                <w:szCs w:val="21"/>
                <w:highlight w:val="none"/>
              </w:rPr>
            </w:pPr>
            <w:r>
              <w:rPr>
                <w:rFonts w:hint="eastAsia"/>
                <w:color w:val="auto"/>
                <w:kern w:val="0"/>
                <w:szCs w:val="21"/>
                <w:highlight w:val="none"/>
              </w:rPr>
              <w:t>开户名称：广西机电设备招标有限公司</w:t>
            </w:r>
          </w:p>
          <w:p w14:paraId="12B7FA3E">
            <w:pPr>
              <w:spacing w:line="300" w:lineRule="exact"/>
              <w:jc w:val="left"/>
              <w:rPr>
                <w:color w:val="auto"/>
                <w:kern w:val="0"/>
                <w:szCs w:val="21"/>
                <w:highlight w:val="none"/>
              </w:rPr>
            </w:pPr>
            <w:r>
              <w:rPr>
                <w:rFonts w:hint="eastAsia"/>
                <w:color w:val="auto"/>
                <w:kern w:val="0"/>
                <w:szCs w:val="21"/>
                <w:highlight w:val="none"/>
              </w:rPr>
              <w:t>银行账号：1705012090027723 (联行号 313611017053)</w:t>
            </w:r>
          </w:p>
          <w:p w14:paraId="1C56FA47">
            <w:pPr>
              <w:spacing w:line="300" w:lineRule="exact"/>
              <w:jc w:val="left"/>
              <w:rPr>
                <w:color w:val="auto"/>
                <w:kern w:val="0"/>
                <w:szCs w:val="21"/>
                <w:highlight w:val="none"/>
              </w:rPr>
            </w:pPr>
            <w:r>
              <w:rPr>
                <w:rFonts w:hint="eastAsia"/>
                <w:color w:val="auto"/>
                <w:kern w:val="0"/>
                <w:szCs w:val="21"/>
                <w:highlight w:val="none"/>
              </w:rPr>
              <w:t>财务联系人：吴茜（电话：0771-2821398）</w:t>
            </w:r>
          </w:p>
        </w:tc>
      </w:tr>
      <w:tr w14:paraId="77364C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2" w:hRule="atLeast"/>
        </w:trPr>
        <w:tc>
          <w:tcPr>
            <w:tcW w:w="737" w:type="dxa"/>
            <w:tcBorders>
              <w:top w:val="single" w:color="auto" w:sz="4" w:space="0"/>
              <w:left w:val="single" w:color="auto" w:sz="4" w:space="0"/>
              <w:bottom w:val="single" w:color="auto" w:sz="4" w:space="0"/>
              <w:right w:val="single" w:color="auto" w:sz="4" w:space="0"/>
            </w:tcBorders>
            <w:vAlign w:val="center"/>
          </w:tcPr>
          <w:p w14:paraId="78603CFD">
            <w:pPr>
              <w:spacing w:line="300" w:lineRule="exact"/>
              <w:jc w:val="center"/>
              <w:rPr>
                <w:b/>
                <w:color w:val="auto"/>
                <w:szCs w:val="21"/>
                <w:highlight w:val="none"/>
              </w:rPr>
            </w:pPr>
            <w:r>
              <w:rPr>
                <w:b/>
                <w:color w:val="auto"/>
                <w:szCs w:val="21"/>
                <w:highlight w:val="none"/>
              </w:rPr>
              <w:t>9.3</w:t>
            </w:r>
          </w:p>
        </w:tc>
        <w:tc>
          <w:tcPr>
            <w:tcW w:w="1248" w:type="dxa"/>
            <w:tcBorders>
              <w:top w:val="single" w:color="auto" w:sz="4" w:space="0"/>
              <w:left w:val="single" w:color="auto" w:sz="4" w:space="0"/>
              <w:bottom w:val="single" w:color="auto" w:sz="4" w:space="0"/>
              <w:right w:val="single" w:color="auto" w:sz="4" w:space="0"/>
            </w:tcBorders>
            <w:vAlign w:val="center"/>
          </w:tcPr>
          <w:p w14:paraId="2191469A">
            <w:pPr>
              <w:spacing w:line="300" w:lineRule="exact"/>
              <w:jc w:val="center"/>
              <w:rPr>
                <w:color w:val="auto"/>
                <w:szCs w:val="20"/>
                <w:highlight w:val="none"/>
              </w:rPr>
            </w:pPr>
            <w:r>
              <w:rPr>
                <w:rFonts w:hint="eastAsia"/>
                <w:color w:val="auto"/>
                <w:szCs w:val="20"/>
                <w:highlight w:val="none"/>
              </w:rPr>
              <w:t>附件</w:t>
            </w:r>
          </w:p>
        </w:tc>
        <w:tc>
          <w:tcPr>
            <w:tcW w:w="7229" w:type="dxa"/>
            <w:tcBorders>
              <w:top w:val="single" w:color="auto" w:sz="4" w:space="0"/>
              <w:left w:val="single" w:color="auto" w:sz="4" w:space="0"/>
              <w:bottom w:val="single" w:color="auto" w:sz="4" w:space="0"/>
              <w:right w:val="single" w:color="auto" w:sz="4" w:space="0"/>
            </w:tcBorders>
            <w:vAlign w:val="center"/>
          </w:tcPr>
          <w:p w14:paraId="5B7E6B83">
            <w:pPr>
              <w:spacing w:line="276" w:lineRule="auto"/>
              <w:rPr>
                <w:color w:val="auto"/>
                <w:szCs w:val="21"/>
                <w:highlight w:val="none"/>
              </w:rPr>
            </w:pPr>
            <w:r>
              <w:rPr>
                <w:color w:val="auto"/>
                <w:sz w:val="22"/>
                <w:szCs w:val="22"/>
                <w:highlight w:val="none"/>
              </w:rPr>
              <w:sym w:font="Wingdings 2" w:char="F052"/>
            </w:r>
            <w:r>
              <w:rPr>
                <w:rFonts w:hint="eastAsia"/>
                <w:color w:val="auto"/>
                <w:szCs w:val="21"/>
                <w:highlight w:val="none"/>
              </w:rPr>
              <w:t>无</w:t>
            </w:r>
          </w:p>
          <w:p w14:paraId="2403D02D">
            <w:pPr>
              <w:spacing w:line="276" w:lineRule="auto"/>
              <w:rPr>
                <w:color w:val="auto"/>
                <w:szCs w:val="21"/>
                <w:highlight w:val="none"/>
                <w:u w:val="single"/>
              </w:rPr>
            </w:pPr>
            <w:r>
              <w:rPr>
                <w:rFonts w:hint="eastAsia"/>
                <w:color w:val="auto"/>
                <w:szCs w:val="21"/>
                <w:highlight w:val="none"/>
              </w:rPr>
              <w:t>□有，详见：</w:t>
            </w:r>
            <w:r>
              <w:rPr>
                <w:rFonts w:hint="eastAsia"/>
                <w:color w:val="auto"/>
                <w:szCs w:val="21"/>
                <w:highlight w:val="none"/>
                <w:u w:val="single"/>
              </w:rPr>
              <w:t xml:space="preserve"> </w:t>
            </w:r>
            <w:r>
              <w:rPr>
                <w:color w:val="auto"/>
                <w:szCs w:val="21"/>
                <w:highlight w:val="none"/>
                <w:u w:val="single"/>
              </w:rPr>
              <w:t xml:space="preserve">         </w:t>
            </w:r>
          </w:p>
        </w:tc>
      </w:tr>
      <w:tr w14:paraId="732383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36" w:hRule="atLeast"/>
        </w:trPr>
        <w:tc>
          <w:tcPr>
            <w:tcW w:w="737" w:type="dxa"/>
            <w:tcBorders>
              <w:top w:val="single" w:color="auto" w:sz="4" w:space="0"/>
              <w:left w:val="single" w:color="auto" w:sz="4" w:space="0"/>
              <w:bottom w:val="single" w:color="auto" w:sz="4" w:space="0"/>
              <w:right w:val="single" w:color="auto" w:sz="4" w:space="0"/>
            </w:tcBorders>
            <w:vAlign w:val="center"/>
          </w:tcPr>
          <w:p w14:paraId="3338382F">
            <w:pPr>
              <w:spacing w:line="300" w:lineRule="exact"/>
              <w:jc w:val="center"/>
              <w:rPr>
                <w:b/>
                <w:color w:val="auto"/>
                <w:szCs w:val="21"/>
                <w:highlight w:val="none"/>
              </w:rPr>
            </w:pPr>
            <w:r>
              <w:rPr>
                <w:b/>
                <w:color w:val="auto"/>
                <w:szCs w:val="21"/>
                <w:highlight w:val="none"/>
              </w:rPr>
              <w:t>9.3</w:t>
            </w:r>
          </w:p>
        </w:tc>
        <w:tc>
          <w:tcPr>
            <w:tcW w:w="1248" w:type="dxa"/>
            <w:tcBorders>
              <w:top w:val="single" w:color="auto" w:sz="4" w:space="0"/>
              <w:left w:val="single" w:color="auto" w:sz="4" w:space="0"/>
              <w:bottom w:val="single" w:color="auto" w:sz="4" w:space="0"/>
              <w:right w:val="single" w:color="auto" w:sz="4" w:space="0"/>
            </w:tcBorders>
            <w:vAlign w:val="center"/>
          </w:tcPr>
          <w:p w14:paraId="7007AC6B">
            <w:pPr>
              <w:spacing w:line="300" w:lineRule="exact"/>
              <w:jc w:val="center"/>
              <w:rPr>
                <w:color w:val="auto"/>
                <w:szCs w:val="20"/>
                <w:highlight w:val="none"/>
              </w:rPr>
            </w:pPr>
            <w:r>
              <w:rPr>
                <w:rFonts w:hint="eastAsia"/>
                <w:color w:val="auto"/>
                <w:szCs w:val="20"/>
                <w:highlight w:val="none"/>
              </w:rPr>
              <w:t>图纸</w:t>
            </w:r>
          </w:p>
        </w:tc>
        <w:tc>
          <w:tcPr>
            <w:tcW w:w="7229" w:type="dxa"/>
            <w:tcBorders>
              <w:top w:val="single" w:color="auto" w:sz="4" w:space="0"/>
              <w:left w:val="single" w:color="auto" w:sz="4" w:space="0"/>
              <w:bottom w:val="single" w:color="auto" w:sz="4" w:space="0"/>
              <w:right w:val="single" w:color="auto" w:sz="4" w:space="0"/>
            </w:tcBorders>
            <w:vAlign w:val="center"/>
          </w:tcPr>
          <w:p w14:paraId="539030B2">
            <w:pPr>
              <w:spacing w:line="276" w:lineRule="auto"/>
              <w:rPr>
                <w:color w:val="auto"/>
                <w:szCs w:val="21"/>
                <w:highlight w:val="none"/>
              </w:rPr>
            </w:pPr>
            <w:r>
              <w:rPr>
                <w:color w:val="auto"/>
                <w:sz w:val="22"/>
                <w:szCs w:val="22"/>
                <w:highlight w:val="none"/>
              </w:rPr>
              <w:sym w:font="Wingdings 2" w:char="F052"/>
            </w:r>
            <w:r>
              <w:rPr>
                <w:rFonts w:hint="eastAsia"/>
                <w:color w:val="auto"/>
                <w:szCs w:val="21"/>
                <w:highlight w:val="none"/>
              </w:rPr>
              <w:t>无</w:t>
            </w:r>
          </w:p>
          <w:p w14:paraId="1680DAF7">
            <w:pPr>
              <w:spacing w:line="276" w:lineRule="auto"/>
              <w:rPr>
                <w:color w:val="auto"/>
                <w:szCs w:val="21"/>
                <w:highlight w:val="none"/>
                <w:u w:val="single"/>
              </w:rPr>
            </w:pPr>
            <w:r>
              <w:rPr>
                <w:rFonts w:hint="eastAsia"/>
                <w:color w:val="auto"/>
                <w:szCs w:val="21"/>
                <w:highlight w:val="none"/>
              </w:rPr>
              <w:t>□有，详见：</w:t>
            </w:r>
            <w:r>
              <w:rPr>
                <w:rFonts w:hint="eastAsia"/>
                <w:color w:val="auto"/>
                <w:szCs w:val="21"/>
                <w:highlight w:val="none"/>
                <w:u w:val="single"/>
              </w:rPr>
              <w:t xml:space="preserve"> </w:t>
            </w:r>
            <w:r>
              <w:rPr>
                <w:color w:val="auto"/>
                <w:szCs w:val="21"/>
                <w:highlight w:val="none"/>
                <w:u w:val="single"/>
              </w:rPr>
              <w:t xml:space="preserve">            </w:t>
            </w:r>
          </w:p>
        </w:tc>
      </w:tr>
      <w:tr w14:paraId="66E0D3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trPr>
        <w:tc>
          <w:tcPr>
            <w:tcW w:w="737" w:type="dxa"/>
            <w:tcBorders>
              <w:top w:val="single" w:color="auto" w:sz="4" w:space="0"/>
              <w:left w:val="single" w:color="auto" w:sz="4" w:space="0"/>
              <w:bottom w:val="single" w:color="auto" w:sz="4" w:space="0"/>
              <w:right w:val="single" w:color="auto" w:sz="4" w:space="0"/>
            </w:tcBorders>
            <w:vAlign w:val="center"/>
          </w:tcPr>
          <w:p w14:paraId="498F8E45">
            <w:pPr>
              <w:spacing w:line="300" w:lineRule="exact"/>
              <w:jc w:val="center"/>
              <w:rPr>
                <w:b/>
                <w:color w:val="auto"/>
                <w:szCs w:val="21"/>
                <w:highlight w:val="none"/>
              </w:rPr>
            </w:pPr>
            <w:r>
              <w:rPr>
                <w:b/>
                <w:color w:val="auto"/>
                <w:szCs w:val="21"/>
                <w:highlight w:val="none"/>
              </w:rPr>
              <w:t>9.4</w:t>
            </w:r>
          </w:p>
        </w:tc>
        <w:tc>
          <w:tcPr>
            <w:tcW w:w="1248" w:type="dxa"/>
            <w:tcBorders>
              <w:top w:val="single" w:color="auto" w:sz="4" w:space="0"/>
              <w:left w:val="single" w:color="auto" w:sz="4" w:space="0"/>
              <w:bottom w:val="single" w:color="auto" w:sz="4" w:space="0"/>
              <w:right w:val="single" w:color="auto" w:sz="4" w:space="0"/>
            </w:tcBorders>
            <w:vAlign w:val="center"/>
          </w:tcPr>
          <w:p w14:paraId="498960CD">
            <w:pPr>
              <w:spacing w:line="300" w:lineRule="exact"/>
              <w:jc w:val="center"/>
              <w:rPr>
                <w:color w:val="auto"/>
                <w:szCs w:val="20"/>
                <w:highlight w:val="none"/>
              </w:rPr>
            </w:pPr>
            <w:r>
              <w:rPr>
                <w:rFonts w:hint="eastAsia"/>
                <w:color w:val="auto"/>
                <w:szCs w:val="20"/>
                <w:highlight w:val="none"/>
              </w:rPr>
              <w:t>其他事项</w:t>
            </w:r>
          </w:p>
        </w:tc>
        <w:tc>
          <w:tcPr>
            <w:tcW w:w="7229" w:type="dxa"/>
            <w:tcBorders>
              <w:top w:val="single" w:color="auto" w:sz="4" w:space="0"/>
              <w:left w:val="single" w:color="auto" w:sz="4" w:space="0"/>
              <w:bottom w:val="single" w:color="auto" w:sz="4" w:space="0"/>
              <w:right w:val="single" w:color="auto" w:sz="4" w:space="0"/>
            </w:tcBorders>
            <w:vAlign w:val="center"/>
          </w:tcPr>
          <w:p w14:paraId="73D0E564">
            <w:pPr>
              <w:spacing w:line="276" w:lineRule="auto"/>
              <w:rPr>
                <w:color w:val="auto"/>
                <w:szCs w:val="21"/>
                <w:highlight w:val="none"/>
              </w:rPr>
            </w:pPr>
            <w:r>
              <w:rPr>
                <w:rFonts w:hint="eastAsia"/>
                <w:color w:val="auto"/>
                <w:szCs w:val="21"/>
                <w:highlight w:val="none"/>
              </w:rPr>
              <w:t>构成本采购文件的各个组成文件应互为解释，互为说明：</w:t>
            </w:r>
          </w:p>
          <w:p w14:paraId="02C8369A">
            <w:pPr>
              <w:spacing w:line="276" w:lineRule="auto"/>
              <w:rPr>
                <w:color w:val="auto"/>
                <w:sz w:val="24"/>
                <w:highlight w:val="none"/>
              </w:rPr>
            </w:pPr>
            <w:r>
              <w:rPr>
                <w:rFonts w:hint="eastAsia"/>
                <w:color w:val="auto"/>
                <w:szCs w:val="21"/>
                <w:highlight w:val="none"/>
              </w:rPr>
              <w:t>除采购文件中有特别规定外，仅适用于招标投标阶段的规定，按更正公告（澄清公告）、谈判公告、采购需求、供应商须知、评审方法及标准、合同条款格式、响应文件格式的先后顺序解释；同一组成文件中就同一事项的规定或者约定不一致的，以编排顺序在后者为准；同一组成文件不同版本之间有不一致的，以形成时间在后者为准；更正公告（澄清公告）与同步更新的采购文件不一致时以更正公告（澄清公告）为准。按本款前述规定仍不能形成结论的，由采购人或者采购代理机构负责解释。</w:t>
            </w:r>
          </w:p>
        </w:tc>
      </w:tr>
    </w:tbl>
    <w:p w14:paraId="334C6A35">
      <w:pPr>
        <w:rPr>
          <w:color w:val="auto"/>
          <w:highlight w:val="none"/>
        </w:rPr>
      </w:pPr>
    </w:p>
    <w:p w14:paraId="70807BC4">
      <w:pPr>
        <w:spacing w:before="120" w:line="320" w:lineRule="atLeast"/>
        <w:outlineLvl w:val="1"/>
        <w:rPr>
          <w:b/>
          <w:bCs/>
          <w:color w:val="auto"/>
          <w:kern w:val="0"/>
          <w:szCs w:val="21"/>
          <w:highlight w:val="none"/>
        </w:rPr>
      </w:pPr>
      <w:r>
        <w:rPr>
          <w:color w:val="auto"/>
          <w:highlight w:val="none"/>
        </w:rPr>
        <w:br w:type="page"/>
      </w:r>
      <w:bookmarkStart w:id="27" w:name="_Hlk88949215"/>
      <w:bookmarkStart w:id="28" w:name="_Hlk89180124"/>
      <w:r>
        <w:rPr>
          <w:b/>
          <w:bCs/>
          <w:color w:val="auto"/>
          <w:kern w:val="0"/>
          <w:szCs w:val="21"/>
          <w:highlight w:val="none"/>
        </w:rPr>
        <w:t>1．总则</w:t>
      </w:r>
    </w:p>
    <w:p w14:paraId="0DCCF31C">
      <w:pPr>
        <w:spacing w:before="120" w:line="320" w:lineRule="atLeast"/>
        <w:ind w:firstLine="422" w:firstLineChars="200"/>
        <w:outlineLvl w:val="2"/>
        <w:rPr>
          <w:b/>
          <w:bCs/>
          <w:color w:val="auto"/>
          <w:kern w:val="0"/>
          <w:szCs w:val="21"/>
          <w:highlight w:val="none"/>
        </w:rPr>
      </w:pPr>
      <w:bookmarkStart w:id="29" w:name="_Toc254970668"/>
      <w:bookmarkStart w:id="30" w:name="_Toc254970527"/>
      <w:r>
        <w:rPr>
          <w:b/>
          <w:bCs/>
          <w:color w:val="auto"/>
          <w:kern w:val="0"/>
          <w:szCs w:val="21"/>
          <w:highlight w:val="none"/>
        </w:rPr>
        <w:t>1.1适用范围</w:t>
      </w:r>
      <w:bookmarkEnd w:id="29"/>
      <w:bookmarkEnd w:id="30"/>
    </w:p>
    <w:p w14:paraId="212EA614">
      <w:pPr>
        <w:spacing w:before="120" w:line="320" w:lineRule="atLeast"/>
        <w:ind w:firstLine="420" w:firstLineChars="200"/>
        <w:rPr>
          <w:color w:val="auto"/>
          <w:szCs w:val="21"/>
          <w:highlight w:val="none"/>
        </w:rPr>
      </w:pPr>
      <w:r>
        <w:rPr>
          <w:color w:val="auto"/>
          <w:szCs w:val="21"/>
          <w:highlight w:val="none"/>
        </w:rPr>
        <w:t>本采购文件适用于供应商须知前附表所述项目的</w:t>
      </w:r>
      <w:r>
        <w:rPr>
          <w:rFonts w:hint="eastAsia"/>
          <w:color w:val="auto"/>
          <w:szCs w:val="21"/>
          <w:highlight w:val="none"/>
        </w:rPr>
        <w:t>政府采购活动。</w:t>
      </w:r>
    </w:p>
    <w:p w14:paraId="55E0E3ED">
      <w:pPr>
        <w:spacing w:before="120" w:line="320" w:lineRule="atLeast"/>
        <w:ind w:firstLine="422" w:firstLineChars="200"/>
        <w:outlineLvl w:val="2"/>
        <w:rPr>
          <w:b/>
          <w:bCs/>
          <w:color w:val="auto"/>
          <w:kern w:val="0"/>
          <w:szCs w:val="21"/>
          <w:highlight w:val="none"/>
        </w:rPr>
      </w:pPr>
      <w:bookmarkStart w:id="31" w:name="_Toc254970669"/>
      <w:bookmarkStart w:id="32" w:name="_Toc254970528"/>
      <w:r>
        <w:rPr>
          <w:b/>
          <w:bCs/>
          <w:color w:val="auto"/>
          <w:kern w:val="0"/>
          <w:szCs w:val="21"/>
          <w:highlight w:val="none"/>
        </w:rPr>
        <w:t>1.2定义</w:t>
      </w:r>
      <w:bookmarkEnd w:id="31"/>
      <w:bookmarkEnd w:id="32"/>
    </w:p>
    <w:p w14:paraId="6F213121">
      <w:pPr>
        <w:spacing w:before="120" w:line="320" w:lineRule="atLeast"/>
        <w:ind w:firstLine="420" w:firstLineChars="200"/>
        <w:rPr>
          <w:color w:val="auto"/>
          <w:szCs w:val="21"/>
          <w:highlight w:val="none"/>
        </w:rPr>
      </w:pPr>
      <w:r>
        <w:rPr>
          <w:color w:val="auto"/>
          <w:szCs w:val="21"/>
          <w:highlight w:val="none"/>
        </w:rPr>
        <w:t>1.2.1“采购人”系指依法进行政府采购的国家机关、事业单位、团体组织。</w:t>
      </w:r>
    </w:p>
    <w:p w14:paraId="4514D160">
      <w:pPr>
        <w:spacing w:before="120" w:line="320" w:lineRule="atLeast"/>
        <w:ind w:firstLine="420" w:firstLineChars="200"/>
        <w:rPr>
          <w:color w:val="auto"/>
          <w:szCs w:val="21"/>
          <w:highlight w:val="none"/>
        </w:rPr>
      </w:pPr>
      <w:r>
        <w:rPr>
          <w:color w:val="auto"/>
          <w:szCs w:val="21"/>
          <w:highlight w:val="none"/>
        </w:rPr>
        <w:t>1.2.2“供应商”系</w:t>
      </w:r>
      <w:r>
        <w:rPr>
          <w:color w:val="auto"/>
          <w:highlight w:val="none"/>
        </w:rPr>
        <w:t>指响应招标、参加响应竞争的法人、其他组织或者自然人</w:t>
      </w:r>
      <w:r>
        <w:rPr>
          <w:color w:val="auto"/>
          <w:szCs w:val="21"/>
          <w:highlight w:val="none"/>
        </w:rPr>
        <w:t>。</w:t>
      </w:r>
    </w:p>
    <w:p w14:paraId="41F16ECA">
      <w:pPr>
        <w:spacing w:before="120" w:line="360" w:lineRule="auto"/>
        <w:ind w:firstLine="420" w:firstLineChars="200"/>
        <w:rPr>
          <w:color w:val="auto"/>
          <w:highlight w:val="none"/>
        </w:rPr>
      </w:pPr>
      <w:r>
        <w:rPr>
          <w:rFonts w:hint="eastAsia"/>
          <w:color w:val="auto"/>
          <w:highlight w:val="none"/>
        </w:rPr>
        <w:t>1.2.3</w:t>
      </w:r>
      <w:r>
        <w:rPr>
          <w:color w:val="auto"/>
          <w:highlight w:val="none"/>
        </w:rPr>
        <w:t>本</w:t>
      </w:r>
      <w:r>
        <w:rPr>
          <w:rFonts w:hint="eastAsia"/>
          <w:color w:val="auto"/>
          <w:highlight w:val="none"/>
        </w:rPr>
        <w:t>文件</w:t>
      </w:r>
      <w:r>
        <w:rPr>
          <w:color w:val="auto"/>
          <w:highlight w:val="none"/>
        </w:rPr>
        <w:t>中的</w:t>
      </w:r>
      <w:r>
        <w:rPr>
          <w:rFonts w:hint="eastAsia"/>
          <w:color w:val="auto"/>
          <w:highlight w:val="none"/>
        </w:rPr>
        <w:t>“法定代表人”若无特别说明，当</w:t>
      </w:r>
      <w:r>
        <w:rPr>
          <w:color w:val="auto"/>
          <w:highlight w:val="none"/>
        </w:rPr>
        <w:t>供应商是</w:t>
      </w:r>
      <w:r>
        <w:rPr>
          <w:rFonts w:hint="eastAsia"/>
          <w:color w:val="auto"/>
          <w:highlight w:val="none"/>
        </w:rPr>
        <w:t>企业的，是指企业法人营业执照上的法定代表人；当</w:t>
      </w:r>
      <w:r>
        <w:rPr>
          <w:color w:val="auto"/>
          <w:highlight w:val="none"/>
        </w:rPr>
        <w:t>供应商是</w:t>
      </w:r>
      <w:r>
        <w:rPr>
          <w:rFonts w:hint="eastAsia"/>
          <w:color w:val="auto"/>
          <w:highlight w:val="none"/>
        </w:rPr>
        <w:t>事业单位的，是指事业单位法人证书上的法定代表人；当</w:t>
      </w:r>
      <w:r>
        <w:rPr>
          <w:color w:val="auto"/>
          <w:highlight w:val="none"/>
        </w:rPr>
        <w:t>供应商是</w:t>
      </w:r>
      <w:r>
        <w:rPr>
          <w:rFonts w:hint="eastAsia"/>
          <w:color w:val="auto"/>
          <w:highlight w:val="none"/>
        </w:rPr>
        <w:t>社会团体、民办非企业的，是指法人登记证书中的法定代表人；当</w:t>
      </w:r>
      <w:r>
        <w:rPr>
          <w:color w:val="auto"/>
          <w:highlight w:val="none"/>
        </w:rPr>
        <w:t>供应商是</w:t>
      </w:r>
      <w:r>
        <w:rPr>
          <w:rFonts w:hint="eastAsia"/>
          <w:color w:val="auto"/>
          <w:highlight w:val="none"/>
        </w:rPr>
        <w:t>个体工商户的，是指个体工商户营业执照上的经营者；</w:t>
      </w:r>
      <w:r>
        <w:rPr>
          <w:color w:val="auto"/>
          <w:highlight w:val="none"/>
        </w:rPr>
        <w:t>当供应商是自然人</w:t>
      </w:r>
      <w:r>
        <w:rPr>
          <w:rFonts w:hint="eastAsia"/>
          <w:color w:val="auto"/>
          <w:highlight w:val="none"/>
        </w:rPr>
        <w:t>的，是指参与本项目响应的自然人本人。</w:t>
      </w:r>
      <w:r>
        <w:rPr>
          <w:color w:val="auto"/>
          <w:highlight w:val="none"/>
        </w:rPr>
        <w:br w:type="textWrapping"/>
      </w:r>
      <w:r>
        <w:rPr>
          <w:color w:val="auto"/>
          <w:highlight w:val="none"/>
        </w:rPr>
        <w:t xml:space="preserve">    </w:t>
      </w:r>
      <w:r>
        <w:rPr>
          <w:rFonts w:hint="eastAsia"/>
          <w:color w:val="auto"/>
          <w:highlight w:val="none"/>
        </w:rPr>
        <w:t>1.2.4本文件中的“公章”是指根据我国对公章的管理规定，用供应商法定主体行为名称制作的印章，除本文件有特殊规定外，供应商的财务章、部门章、分公司章、工会章、合同章、投标专用章、业务专用章及银行的转账章、现金收讫章、现金付讫章等其他形式印章均不能代替公章。本文件中的“签章”是指电子签名的一种表现形式，利用图像处理技术将电子签名操作转化为与纸质文件盖章操作相同的可视效果，同时利用电子签名技术保障电子信息的真实性和完整性以及签名人的不可否认性。</w:t>
      </w:r>
    </w:p>
    <w:p w14:paraId="28CD3B13">
      <w:pPr>
        <w:widowControl/>
        <w:spacing w:line="360" w:lineRule="auto"/>
        <w:ind w:firstLine="420" w:firstLineChars="200"/>
        <w:jc w:val="left"/>
        <w:rPr>
          <w:color w:val="auto"/>
          <w:szCs w:val="21"/>
          <w:highlight w:val="none"/>
        </w:rPr>
      </w:pPr>
      <w:r>
        <w:rPr>
          <w:color w:val="auto"/>
          <w:szCs w:val="21"/>
          <w:highlight w:val="none"/>
        </w:rPr>
        <w:t>1.2.</w:t>
      </w:r>
      <w:r>
        <w:rPr>
          <w:rFonts w:hint="eastAsia"/>
          <w:color w:val="auto"/>
          <w:szCs w:val="21"/>
          <w:highlight w:val="none"/>
        </w:rPr>
        <w:t>5</w:t>
      </w:r>
      <w:r>
        <w:rPr>
          <w:color w:val="auto"/>
          <w:szCs w:val="21"/>
          <w:highlight w:val="none"/>
        </w:rPr>
        <w:t>“书面形式”如无特殊规定，</w:t>
      </w:r>
      <w:r>
        <w:rPr>
          <w:rFonts w:hint="eastAsia"/>
          <w:color w:val="auto"/>
          <w:szCs w:val="21"/>
          <w:highlight w:val="none"/>
        </w:rPr>
        <w:t>书面形式是合同书、信件、电报、电传等可以有形地表现所载内容的形式。以电子数据交换、电子邮件等方式能够有形地表现所载内容，并可以随时调取查用的数据电文，视为书面形式。</w:t>
      </w:r>
      <w:r>
        <w:rPr>
          <w:color w:val="auto"/>
          <w:szCs w:val="21"/>
          <w:highlight w:val="none"/>
        </w:rPr>
        <w:t xml:space="preserve">采购文件如有特殊规定，以采购文件规定为准。 </w:t>
      </w:r>
    </w:p>
    <w:p w14:paraId="3C426C4B">
      <w:pPr>
        <w:spacing w:before="120" w:line="320" w:lineRule="atLeast"/>
        <w:ind w:firstLine="420" w:firstLineChars="200"/>
        <w:rPr>
          <w:color w:val="auto"/>
          <w:szCs w:val="21"/>
          <w:highlight w:val="none"/>
        </w:rPr>
      </w:pPr>
      <w:r>
        <w:rPr>
          <w:color w:val="auto"/>
          <w:szCs w:val="21"/>
          <w:highlight w:val="none"/>
        </w:rPr>
        <w:t>1.2.</w:t>
      </w:r>
      <w:r>
        <w:rPr>
          <w:rFonts w:hint="eastAsia"/>
          <w:color w:val="auto"/>
          <w:szCs w:val="21"/>
          <w:highlight w:val="none"/>
        </w:rPr>
        <w:t>6本项目的技术商务要求重要性分为“▲”（如有）、“#”（如有）和一般无标识指标。▲代表实质性要求指标，</w:t>
      </w:r>
      <w:r>
        <w:rPr>
          <w:rFonts w:hint="eastAsia"/>
          <w:b/>
          <w:bCs/>
          <w:color w:val="auto"/>
          <w:szCs w:val="21"/>
          <w:highlight w:val="none"/>
        </w:rPr>
        <w:t>不满足该指标项将导致响应被否决</w:t>
      </w:r>
      <w:r>
        <w:rPr>
          <w:rFonts w:hint="eastAsia"/>
          <w:color w:val="auto"/>
          <w:szCs w:val="21"/>
          <w:highlight w:val="none"/>
        </w:rPr>
        <w:t>，#代表重要指标，无标识则表示一般指标项。</w:t>
      </w:r>
    </w:p>
    <w:p w14:paraId="18318408">
      <w:pPr>
        <w:spacing w:before="120" w:line="320" w:lineRule="atLeast"/>
        <w:ind w:firstLine="420" w:firstLineChars="200"/>
        <w:rPr>
          <w:color w:val="auto"/>
          <w:szCs w:val="21"/>
          <w:highlight w:val="none"/>
        </w:rPr>
      </w:pPr>
      <w:r>
        <w:rPr>
          <w:color w:val="auto"/>
          <w:szCs w:val="21"/>
          <w:highlight w:val="none"/>
        </w:rPr>
        <w:t>1.2.</w:t>
      </w:r>
      <w:r>
        <w:rPr>
          <w:rFonts w:hint="eastAsia"/>
          <w:color w:val="auto"/>
          <w:szCs w:val="21"/>
          <w:highlight w:val="none"/>
        </w:rPr>
        <w:t>7 本</w:t>
      </w:r>
      <w:r>
        <w:rPr>
          <w:color w:val="auto"/>
          <w:szCs w:val="21"/>
          <w:highlight w:val="none"/>
        </w:rPr>
        <w:t>采购文件</w:t>
      </w:r>
      <w:r>
        <w:rPr>
          <w:rFonts w:hint="eastAsia"/>
          <w:color w:val="auto"/>
          <w:szCs w:val="21"/>
          <w:highlight w:val="none"/>
        </w:rPr>
        <w:t>出现多种选项的条款，以“</w:t>
      </w:r>
      <w:r>
        <w:rPr>
          <w:color w:val="auto"/>
          <w:highlight w:val="none"/>
        </w:rPr>
        <w:sym w:font="Wingdings 2" w:char="F052"/>
      </w:r>
      <w:r>
        <w:rPr>
          <w:rFonts w:hint="eastAsia"/>
          <w:color w:val="auto"/>
          <w:szCs w:val="21"/>
          <w:highlight w:val="none"/>
        </w:rPr>
        <w:t>”表示本条款所选择的方式。</w:t>
      </w:r>
    </w:p>
    <w:p w14:paraId="7A277903">
      <w:pPr>
        <w:spacing w:before="120" w:line="320" w:lineRule="atLeast"/>
        <w:ind w:firstLine="420" w:firstLineChars="200"/>
        <w:rPr>
          <w:color w:val="auto"/>
          <w:szCs w:val="21"/>
          <w:highlight w:val="none"/>
        </w:rPr>
      </w:pPr>
      <w:r>
        <w:rPr>
          <w:rFonts w:hint="eastAsia"/>
          <w:color w:val="auto"/>
          <w:szCs w:val="21"/>
          <w:highlight w:val="none"/>
        </w:rPr>
        <w:t>1.</w:t>
      </w:r>
      <w:r>
        <w:rPr>
          <w:color w:val="auto"/>
          <w:szCs w:val="21"/>
          <w:highlight w:val="none"/>
        </w:rPr>
        <w:t>2</w:t>
      </w:r>
      <w:r>
        <w:rPr>
          <w:rFonts w:hint="eastAsia"/>
          <w:color w:val="auto"/>
          <w:szCs w:val="21"/>
          <w:highlight w:val="none"/>
        </w:rPr>
        <w:t>.</w:t>
      </w:r>
      <w:r>
        <w:rPr>
          <w:color w:val="auto"/>
          <w:szCs w:val="21"/>
          <w:highlight w:val="none"/>
        </w:rPr>
        <w:t>8 “</w:t>
      </w:r>
      <w:r>
        <w:rPr>
          <w:rFonts w:hint="eastAsia"/>
          <w:color w:val="auto"/>
          <w:szCs w:val="21"/>
          <w:highlight w:val="none"/>
        </w:rPr>
        <w:t>电子交易平台</w:t>
      </w:r>
      <w:r>
        <w:rPr>
          <w:color w:val="auto"/>
          <w:szCs w:val="21"/>
          <w:highlight w:val="none"/>
        </w:rPr>
        <w:t>”</w:t>
      </w:r>
      <w:r>
        <w:rPr>
          <w:rFonts w:hint="eastAsia"/>
          <w:color w:val="auto"/>
          <w:szCs w:val="21"/>
          <w:highlight w:val="none"/>
        </w:rPr>
        <w:t>是指以数据电文形式在线完成采购活动的信息平台，本采购文件中也称</w:t>
      </w:r>
      <w:r>
        <w:rPr>
          <w:color w:val="auto"/>
          <w:szCs w:val="21"/>
          <w:highlight w:val="none"/>
        </w:rPr>
        <w:t>“</w:t>
      </w:r>
      <w:r>
        <w:rPr>
          <w:rFonts w:hint="eastAsia"/>
          <w:color w:val="auto"/>
          <w:szCs w:val="21"/>
          <w:highlight w:val="none"/>
        </w:rPr>
        <w:t>广西政府采购云平台</w:t>
      </w:r>
      <w:r>
        <w:rPr>
          <w:color w:val="auto"/>
          <w:szCs w:val="21"/>
          <w:highlight w:val="none"/>
        </w:rPr>
        <w:t>”</w:t>
      </w:r>
      <w:r>
        <w:rPr>
          <w:rFonts w:hint="eastAsia"/>
          <w:color w:val="auto"/>
          <w:szCs w:val="21"/>
          <w:highlight w:val="none"/>
        </w:rPr>
        <w:t>。</w:t>
      </w:r>
    </w:p>
    <w:p w14:paraId="521A2836">
      <w:pPr>
        <w:spacing w:before="120" w:line="320" w:lineRule="atLeast"/>
        <w:ind w:firstLine="422" w:firstLineChars="200"/>
        <w:outlineLvl w:val="2"/>
        <w:rPr>
          <w:b/>
          <w:bCs/>
          <w:color w:val="auto"/>
          <w:kern w:val="0"/>
          <w:szCs w:val="21"/>
          <w:highlight w:val="none"/>
        </w:rPr>
      </w:pPr>
      <w:r>
        <w:rPr>
          <w:rFonts w:hint="eastAsia"/>
          <w:b/>
          <w:bCs/>
          <w:color w:val="auto"/>
          <w:kern w:val="0"/>
          <w:szCs w:val="21"/>
          <w:highlight w:val="none"/>
        </w:rPr>
        <w:t>1</w:t>
      </w:r>
      <w:r>
        <w:rPr>
          <w:b/>
          <w:bCs/>
          <w:color w:val="auto"/>
          <w:kern w:val="0"/>
          <w:szCs w:val="21"/>
          <w:highlight w:val="none"/>
        </w:rPr>
        <w:t>.3</w:t>
      </w:r>
      <w:r>
        <w:rPr>
          <w:rFonts w:hint="eastAsia"/>
          <w:b/>
          <w:bCs/>
          <w:color w:val="auto"/>
          <w:kern w:val="0"/>
          <w:szCs w:val="21"/>
          <w:highlight w:val="none"/>
        </w:rPr>
        <w:t>项目信息</w:t>
      </w:r>
    </w:p>
    <w:p w14:paraId="2827DC7C">
      <w:pPr>
        <w:spacing w:before="120" w:line="320" w:lineRule="atLeast"/>
        <w:ind w:firstLine="420" w:firstLineChars="200"/>
        <w:rPr>
          <w:color w:val="auto"/>
          <w:szCs w:val="21"/>
          <w:highlight w:val="none"/>
        </w:rPr>
      </w:pPr>
      <w:r>
        <w:rPr>
          <w:rFonts w:hint="eastAsia"/>
          <w:color w:val="auto"/>
          <w:szCs w:val="21"/>
          <w:highlight w:val="none"/>
        </w:rPr>
        <w:t>1</w:t>
      </w:r>
      <w:r>
        <w:rPr>
          <w:color w:val="auto"/>
          <w:szCs w:val="21"/>
          <w:highlight w:val="none"/>
        </w:rPr>
        <w:t>.3.1</w:t>
      </w:r>
      <w:r>
        <w:rPr>
          <w:rFonts w:hint="eastAsia"/>
          <w:color w:val="auto"/>
          <w:szCs w:val="21"/>
          <w:highlight w:val="none"/>
        </w:rPr>
        <w:t>项目名称及编号：详见供应商须知前附表</w:t>
      </w:r>
    </w:p>
    <w:p w14:paraId="537D0D41">
      <w:pPr>
        <w:spacing w:before="120" w:line="320" w:lineRule="atLeast"/>
        <w:ind w:firstLine="420" w:firstLineChars="200"/>
        <w:rPr>
          <w:color w:val="auto"/>
          <w:szCs w:val="21"/>
          <w:highlight w:val="none"/>
        </w:rPr>
      </w:pPr>
      <w:r>
        <w:rPr>
          <w:rFonts w:hint="eastAsia"/>
          <w:color w:val="auto"/>
          <w:szCs w:val="21"/>
          <w:highlight w:val="none"/>
        </w:rPr>
        <w:t>1</w:t>
      </w:r>
      <w:r>
        <w:rPr>
          <w:color w:val="auto"/>
          <w:szCs w:val="21"/>
          <w:highlight w:val="none"/>
        </w:rPr>
        <w:t>.3.2</w:t>
      </w:r>
      <w:r>
        <w:rPr>
          <w:rFonts w:hint="eastAsia"/>
          <w:color w:val="auto"/>
          <w:szCs w:val="21"/>
          <w:highlight w:val="none"/>
        </w:rPr>
        <w:t>采购方式：详见供应商须知前附表</w:t>
      </w:r>
    </w:p>
    <w:p w14:paraId="03E74A78">
      <w:pPr>
        <w:spacing w:before="120" w:line="320" w:lineRule="atLeast"/>
        <w:ind w:firstLine="422" w:firstLineChars="200"/>
        <w:outlineLvl w:val="2"/>
        <w:rPr>
          <w:b/>
          <w:bCs/>
          <w:color w:val="auto"/>
          <w:kern w:val="0"/>
          <w:szCs w:val="21"/>
          <w:highlight w:val="none"/>
        </w:rPr>
      </w:pPr>
      <w:r>
        <w:rPr>
          <w:rFonts w:hint="eastAsia"/>
          <w:b/>
          <w:bCs/>
          <w:color w:val="auto"/>
          <w:kern w:val="0"/>
          <w:szCs w:val="21"/>
          <w:highlight w:val="none"/>
        </w:rPr>
        <w:t>1.4促进中小企业发展政策</w:t>
      </w:r>
    </w:p>
    <w:p w14:paraId="7DBF1D9D">
      <w:pPr>
        <w:spacing w:before="120" w:line="320" w:lineRule="atLeast"/>
        <w:ind w:firstLine="420" w:firstLineChars="200"/>
        <w:rPr>
          <w:color w:val="auto"/>
          <w:szCs w:val="21"/>
          <w:highlight w:val="none"/>
        </w:rPr>
      </w:pPr>
      <w:r>
        <w:rPr>
          <w:rFonts w:hint="eastAsia"/>
          <w:color w:val="auto"/>
          <w:szCs w:val="21"/>
          <w:highlight w:val="none"/>
        </w:rPr>
        <w:t>1.4.1本项目落实促进中小企业发展政策措施在前附表规定。依据促进中小企业发展政策获得政府采购合同的，小微企业不得将合同分包给大中型企业，中型企业不得将合同分包给大型企业。</w:t>
      </w:r>
    </w:p>
    <w:p w14:paraId="6E5A7C72">
      <w:pPr>
        <w:spacing w:before="120" w:line="320" w:lineRule="atLeast"/>
        <w:ind w:firstLine="420" w:firstLineChars="200"/>
        <w:rPr>
          <w:color w:val="auto"/>
          <w:szCs w:val="21"/>
          <w:highlight w:val="none"/>
        </w:rPr>
      </w:pPr>
      <w:r>
        <w:rPr>
          <w:rFonts w:hint="eastAsia"/>
          <w:color w:val="auto"/>
          <w:szCs w:val="21"/>
          <w:highlight w:val="none"/>
        </w:rPr>
        <w:t>根据《政府采购促进中小企业发展管理办法》（财库〔2020〕46号）第九条以及《广西壮族自治区财政厅 广西壮族自治区工业和信息化厅转发财政部 工业和信息化部政府采购促进中小企业发展管理办法的通知》（桂财采〔2021〕70号）规定，价格扣除比例在第四章评审方法及标准中规定，对小型企业和微型企业同等对待，不作区分。</w:t>
      </w:r>
    </w:p>
    <w:p w14:paraId="1E28F7CC">
      <w:pPr>
        <w:spacing w:before="120" w:line="320" w:lineRule="atLeast"/>
        <w:ind w:firstLine="420" w:firstLineChars="200"/>
        <w:rPr>
          <w:color w:val="auto"/>
          <w:szCs w:val="21"/>
          <w:highlight w:val="none"/>
        </w:rPr>
      </w:pPr>
      <w:r>
        <w:rPr>
          <w:rFonts w:hint="eastAsia"/>
          <w:color w:val="auto"/>
          <w:szCs w:val="21"/>
          <w:highlight w:val="none"/>
        </w:rPr>
        <w:t>1.4.2中小企业定义</w:t>
      </w:r>
    </w:p>
    <w:p w14:paraId="5BFB8441">
      <w:pPr>
        <w:spacing w:before="120" w:line="320" w:lineRule="atLeast"/>
        <w:ind w:firstLine="420" w:firstLineChars="200"/>
        <w:rPr>
          <w:color w:val="auto"/>
          <w:szCs w:val="21"/>
          <w:highlight w:val="none"/>
        </w:rPr>
      </w:pPr>
      <w:r>
        <w:rPr>
          <w:rFonts w:hint="eastAsia"/>
          <w:color w:val="auto"/>
          <w:szCs w:val="21"/>
          <w:highlight w:val="none"/>
        </w:rPr>
        <w:t>1.4.2.1中小企业是指在中华人民共和国境内依法设立，依据国务院批准的中小企业划分标准确定的中型企业、小型企业和微型企业，但与大企业的负责人为同一人，或者与大企业存在直接控股、管理关系的除外。</w:t>
      </w:r>
    </w:p>
    <w:p w14:paraId="121745AF">
      <w:pPr>
        <w:spacing w:before="120" w:line="320" w:lineRule="atLeast"/>
        <w:ind w:firstLine="420" w:firstLineChars="200"/>
        <w:rPr>
          <w:color w:val="auto"/>
          <w:szCs w:val="21"/>
          <w:highlight w:val="none"/>
        </w:rPr>
      </w:pPr>
      <w:r>
        <w:rPr>
          <w:rFonts w:hint="eastAsia"/>
          <w:color w:val="auto"/>
          <w:szCs w:val="21"/>
          <w:highlight w:val="none"/>
        </w:rPr>
        <w:t>1.4.</w:t>
      </w:r>
      <w:r>
        <w:rPr>
          <w:color w:val="auto"/>
          <w:szCs w:val="21"/>
          <w:highlight w:val="none"/>
        </w:rPr>
        <w:t>2</w:t>
      </w:r>
      <w:r>
        <w:rPr>
          <w:rFonts w:hint="eastAsia"/>
          <w:color w:val="auto"/>
          <w:szCs w:val="21"/>
          <w:highlight w:val="none"/>
        </w:rPr>
        <w:t>.2供应商提供的货物、工程或者服务符合下列情形的，享受本款规定的促进中小企业发展政策：</w:t>
      </w:r>
    </w:p>
    <w:p w14:paraId="53920696">
      <w:pPr>
        <w:spacing w:before="120" w:line="320" w:lineRule="atLeast"/>
        <w:ind w:firstLine="420" w:firstLineChars="200"/>
        <w:rPr>
          <w:color w:val="auto"/>
          <w:szCs w:val="21"/>
          <w:highlight w:val="none"/>
        </w:rPr>
      </w:pPr>
      <w:r>
        <w:rPr>
          <w:rFonts w:hint="eastAsia"/>
          <w:color w:val="auto"/>
          <w:szCs w:val="21"/>
          <w:highlight w:val="none"/>
        </w:rPr>
        <w:t>在货物采购项目中，货物由中小企业制造，即货物由中小企业生产且使用该中小企业商号或者注册商标；</w:t>
      </w:r>
    </w:p>
    <w:p w14:paraId="00755A96">
      <w:pPr>
        <w:spacing w:before="120" w:line="320" w:lineRule="atLeast"/>
        <w:ind w:firstLine="420" w:firstLineChars="200"/>
        <w:rPr>
          <w:color w:val="auto"/>
          <w:szCs w:val="21"/>
          <w:highlight w:val="none"/>
        </w:rPr>
      </w:pPr>
      <w:r>
        <w:rPr>
          <w:rFonts w:hint="eastAsia"/>
          <w:color w:val="auto"/>
          <w:szCs w:val="21"/>
          <w:highlight w:val="none"/>
        </w:rPr>
        <w:t>在工程采购项目中，工程由中小企业承建，即工程施工单位为中小企业；</w:t>
      </w:r>
    </w:p>
    <w:p w14:paraId="3CF53629">
      <w:pPr>
        <w:spacing w:before="120" w:line="320" w:lineRule="atLeast"/>
        <w:ind w:firstLine="420" w:firstLineChars="200"/>
        <w:rPr>
          <w:color w:val="auto"/>
          <w:szCs w:val="21"/>
          <w:highlight w:val="none"/>
        </w:rPr>
      </w:pPr>
      <w:r>
        <w:rPr>
          <w:rFonts w:hint="eastAsia"/>
          <w:color w:val="auto"/>
          <w:szCs w:val="21"/>
          <w:highlight w:val="none"/>
        </w:rPr>
        <w:t>在服务采购项目中，服务由中小企业承接，即提供服务的人员为中小企业依照《中华人民共和国劳动合同法》订立劳动合同的从业人员。</w:t>
      </w:r>
    </w:p>
    <w:p w14:paraId="6537E1E1">
      <w:pPr>
        <w:spacing w:before="120" w:line="320" w:lineRule="atLeast"/>
        <w:ind w:firstLine="420" w:firstLineChars="200"/>
        <w:rPr>
          <w:color w:val="auto"/>
          <w:szCs w:val="21"/>
          <w:highlight w:val="none"/>
        </w:rPr>
      </w:pPr>
      <w:r>
        <w:rPr>
          <w:rFonts w:hint="eastAsia"/>
          <w:color w:val="auto"/>
          <w:szCs w:val="21"/>
          <w:highlight w:val="none"/>
        </w:rPr>
        <w:t>在货物采购项目中，供应商提供的货物既有中小企业制造货物，也有大型企业制造货物的，不享受本款规定的促进中小企业发展政策。</w:t>
      </w:r>
    </w:p>
    <w:p w14:paraId="0089AD06">
      <w:pPr>
        <w:spacing w:before="120" w:line="320" w:lineRule="atLeast"/>
        <w:ind w:firstLine="420" w:firstLineChars="200"/>
        <w:rPr>
          <w:color w:val="auto"/>
          <w:szCs w:val="21"/>
          <w:highlight w:val="none"/>
        </w:rPr>
      </w:pPr>
      <w:r>
        <w:rPr>
          <w:rFonts w:hint="eastAsia"/>
          <w:color w:val="auto"/>
          <w:szCs w:val="21"/>
          <w:highlight w:val="none"/>
        </w:rPr>
        <w:t>1.4.</w:t>
      </w:r>
      <w:r>
        <w:rPr>
          <w:color w:val="auto"/>
          <w:szCs w:val="21"/>
          <w:highlight w:val="none"/>
        </w:rPr>
        <w:t>2</w:t>
      </w:r>
      <w:r>
        <w:rPr>
          <w:rFonts w:hint="eastAsia"/>
          <w:color w:val="auto"/>
          <w:szCs w:val="21"/>
          <w:highlight w:val="none"/>
        </w:rPr>
        <w:t>.3本项目标的所属行业在第二章采购需求中规定。供应商根据中小企业划分标准（《关于印发中小企业划型标准规定的通知》（工信部联企业〔2011〕300号）判断是否为中小企业。（见附件）</w:t>
      </w:r>
    </w:p>
    <w:p w14:paraId="4E36FD54">
      <w:pPr>
        <w:spacing w:before="120" w:line="320" w:lineRule="atLeast"/>
        <w:ind w:firstLine="420" w:firstLineChars="200"/>
        <w:rPr>
          <w:color w:val="auto"/>
          <w:szCs w:val="21"/>
          <w:highlight w:val="none"/>
        </w:rPr>
      </w:pPr>
      <w:r>
        <w:rPr>
          <w:rFonts w:hint="eastAsia"/>
          <w:color w:val="auto"/>
          <w:szCs w:val="21"/>
          <w:highlight w:val="none"/>
        </w:rPr>
        <w:t>符合条件的货物制造商、工程施工单位、服务承接单位为中小企业的，应按采购文件规定在响应文件中提供声明函。</w:t>
      </w:r>
    </w:p>
    <w:p w14:paraId="312E4497">
      <w:pPr>
        <w:spacing w:before="120" w:line="320" w:lineRule="atLeast"/>
        <w:ind w:firstLine="420" w:firstLineChars="200"/>
        <w:rPr>
          <w:color w:val="auto"/>
          <w:szCs w:val="21"/>
          <w:highlight w:val="none"/>
        </w:rPr>
      </w:pPr>
      <w:r>
        <w:rPr>
          <w:rFonts w:hint="eastAsia"/>
          <w:color w:val="auto"/>
          <w:szCs w:val="21"/>
          <w:highlight w:val="none"/>
        </w:rPr>
        <w:t>1.4.</w:t>
      </w:r>
      <w:r>
        <w:rPr>
          <w:color w:val="auto"/>
          <w:szCs w:val="21"/>
          <w:highlight w:val="none"/>
        </w:rPr>
        <w:t>2</w:t>
      </w:r>
      <w:r>
        <w:rPr>
          <w:rFonts w:hint="eastAsia"/>
          <w:color w:val="auto"/>
          <w:szCs w:val="21"/>
          <w:highlight w:val="none"/>
        </w:rPr>
        <w:t>.4视同中小企业情形</w:t>
      </w:r>
    </w:p>
    <w:p w14:paraId="76AEAC7D">
      <w:pPr>
        <w:spacing w:before="120" w:line="320" w:lineRule="atLeast"/>
        <w:ind w:firstLine="420" w:firstLineChars="200"/>
        <w:rPr>
          <w:color w:val="auto"/>
          <w:szCs w:val="21"/>
          <w:highlight w:val="none"/>
        </w:rPr>
      </w:pPr>
      <w:r>
        <w:rPr>
          <w:rFonts w:hint="eastAsia"/>
          <w:color w:val="auto"/>
          <w:szCs w:val="21"/>
          <w:highlight w:val="none"/>
        </w:rPr>
        <w:t>（1）符合中小企业划分标准的个体工商户，视同中小企业。</w:t>
      </w:r>
    </w:p>
    <w:p w14:paraId="7FC27072">
      <w:pPr>
        <w:spacing w:before="120" w:line="320" w:lineRule="atLeast"/>
        <w:ind w:firstLine="420" w:firstLineChars="200"/>
        <w:rPr>
          <w:color w:val="auto"/>
          <w:szCs w:val="21"/>
          <w:highlight w:val="none"/>
        </w:rPr>
      </w:pPr>
      <w:r>
        <w:rPr>
          <w:rFonts w:hint="eastAsia"/>
          <w:color w:val="auto"/>
          <w:szCs w:val="21"/>
          <w:highlight w:val="none"/>
        </w:rPr>
        <w:t>（2）以联合体形式参加政府采购活动，联合体各方均为中小企业的，联合体视同中小企业。其中，联合体各方均为小微企业的，联合体视同小微企业。</w:t>
      </w:r>
    </w:p>
    <w:p w14:paraId="61C9C398">
      <w:pPr>
        <w:spacing w:before="120" w:line="320" w:lineRule="atLeast"/>
        <w:ind w:firstLine="420" w:firstLineChars="200"/>
        <w:rPr>
          <w:color w:val="auto"/>
          <w:szCs w:val="21"/>
          <w:highlight w:val="none"/>
        </w:rPr>
      </w:pPr>
      <w:r>
        <w:rPr>
          <w:rFonts w:hint="eastAsia"/>
          <w:color w:val="auto"/>
          <w:szCs w:val="21"/>
          <w:highlight w:val="none"/>
        </w:rPr>
        <w:t>（3）符合《财政部、司法部关于政府采购支持监狱企业发展有关问题的通知》（财库〔2014〕68号）规定的监狱企业，或符合《关于促进残疾人就业政府采购政策的通知》（财库〔2017〕141号）规定的残疾人福利性单位，视同小型、微型企业。</w:t>
      </w:r>
    </w:p>
    <w:p w14:paraId="131C3D3B">
      <w:pPr>
        <w:spacing w:before="120" w:line="320" w:lineRule="atLeast"/>
        <w:ind w:firstLine="420" w:firstLineChars="200"/>
        <w:rPr>
          <w:color w:val="auto"/>
          <w:szCs w:val="21"/>
          <w:highlight w:val="none"/>
        </w:rPr>
      </w:pPr>
      <w:r>
        <w:rPr>
          <w:rFonts w:hint="eastAsia"/>
          <w:color w:val="auto"/>
          <w:szCs w:val="21"/>
          <w:highlight w:val="none"/>
        </w:rPr>
        <w:t>符合条件的货物制造商、工程施工单位、服务承接单位为监狱企业或残疾人福利性单位的，应按采购文件规定在响应文件中提供相关证明文件。</w:t>
      </w:r>
    </w:p>
    <w:p w14:paraId="4E78B9E8">
      <w:pPr>
        <w:spacing w:before="120" w:line="320" w:lineRule="atLeast"/>
        <w:ind w:firstLine="422" w:firstLineChars="200"/>
        <w:outlineLvl w:val="2"/>
        <w:rPr>
          <w:b/>
          <w:bCs/>
          <w:color w:val="auto"/>
          <w:kern w:val="0"/>
          <w:szCs w:val="21"/>
          <w:highlight w:val="none"/>
        </w:rPr>
      </w:pPr>
      <w:r>
        <w:rPr>
          <w:b/>
          <w:bCs/>
          <w:color w:val="auto"/>
          <w:kern w:val="0"/>
          <w:szCs w:val="21"/>
          <w:highlight w:val="none"/>
        </w:rPr>
        <w:t>1.5供应商资格</w:t>
      </w:r>
      <w:r>
        <w:rPr>
          <w:rFonts w:hint="eastAsia"/>
          <w:b/>
          <w:bCs/>
          <w:color w:val="auto"/>
          <w:kern w:val="0"/>
          <w:szCs w:val="21"/>
          <w:highlight w:val="none"/>
        </w:rPr>
        <w:t>要求</w:t>
      </w:r>
    </w:p>
    <w:p w14:paraId="0798CCAB">
      <w:pPr>
        <w:spacing w:before="120" w:line="320" w:lineRule="atLeast"/>
        <w:ind w:firstLine="420" w:firstLineChars="200"/>
        <w:rPr>
          <w:color w:val="auto"/>
          <w:szCs w:val="21"/>
          <w:highlight w:val="none"/>
        </w:rPr>
      </w:pPr>
      <w:r>
        <w:rPr>
          <w:color w:val="auto"/>
          <w:szCs w:val="21"/>
          <w:highlight w:val="none"/>
        </w:rPr>
        <w:t>1.5.1</w:t>
      </w:r>
      <w:r>
        <w:rPr>
          <w:rFonts w:hint="eastAsia"/>
          <w:color w:val="auto"/>
          <w:szCs w:val="21"/>
          <w:highlight w:val="none"/>
        </w:rPr>
        <w:t>供应商资格要求：详见供应商须知前附表</w:t>
      </w:r>
    </w:p>
    <w:p w14:paraId="2FF39169">
      <w:pPr>
        <w:spacing w:before="120" w:line="320" w:lineRule="atLeast"/>
        <w:ind w:firstLine="420" w:firstLineChars="200"/>
        <w:rPr>
          <w:color w:val="auto"/>
          <w:szCs w:val="21"/>
          <w:highlight w:val="none"/>
        </w:rPr>
      </w:pPr>
      <w:r>
        <w:rPr>
          <w:color w:val="auto"/>
          <w:szCs w:val="21"/>
          <w:highlight w:val="none"/>
        </w:rPr>
        <w:t>1.5.2按照谈判公告的规定获得采购文件。</w:t>
      </w:r>
    </w:p>
    <w:p w14:paraId="62B0F0B4">
      <w:pPr>
        <w:spacing w:before="120" w:line="320" w:lineRule="atLeast"/>
        <w:ind w:firstLine="420" w:firstLineChars="200"/>
        <w:rPr>
          <w:color w:val="auto"/>
          <w:szCs w:val="21"/>
          <w:highlight w:val="none"/>
        </w:rPr>
      </w:pPr>
      <w:r>
        <w:rPr>
          <w:color w:val="auto"/>
          <w:szCs w:val="21"/>
          <w:highlight w:val="none"/>
        </w:rPr>
        <w:t>1.5.3本项目是否接受联合体响应，见“供应商须知前附表”规定。</w:t>
      </w:r>
    </w:p>
    <w:p w14:paraId="68AA5152">
      <w:pPr>
        <w:spacing w:before="120" w:line="320" w:lineRule="atLeast"/>
        <w:ind w:firstLine="420" w:firstLineChars="200"/>
        <w:rPr>
          <w:color w:val="auto"/>
          <w:szCs w:val="21"/>
          <w:highlight w:val="none"/>
        </w:rPr>
      </w:pPr>
      <w:r>
        <w:rPr>
          <w:rFonts w:hint="eastAsia"/>
          <w:color w:val="auto"/>
          <w:szCs w:val="21"/>
          <w:highlight w:val="none"/>
        </w:rPr>
        <w:t xml:space="preserve">如接受联合体响应，联合体响应要求如下： </w:t>
      </w:r>
    </w:p>
    <w:p w14:paraId="23C4EA27">
      <w:pPr>
        <w:spacing w:before="120" w:line="320" w:lineRule="atLeast"/>
        <w:ind w:firstLine="420" w:firstLineChars="200"/>
        <w:rPr>
          <w:color w:val="auto"/>
          <w:szCs w:val="21"/>
          <w:highlight w:val="none"/>
        </w:rPr>
      </w:pPr>
      <w:r>
        <w:rPr>
          <w:rFonts w:hint="eastAsia"/>
          <w:color w:val="auto"/>
          <w:szCs w:val="21"/>
          <w:highlight w:val="none"/>
        </w:rPr>
        <w:t>（</w:t>
      </w:r>
      <w:r>
        <w:rPr>
          <w:color w:val="auto"/>
          <w:szCs w:val="21"/>
          <w:highlight w:val="none"/>
        </w:rPr>
        <w:t>1</w:t>
      </w:r>
      <w:r>
        <w:rPr>
          <w:rFonts w:hint="eastAsia"/>
          <w:color w:val="auto"/>
          <w:szCs w:val="21"/>
          <w:highlight w:val="none"/>
        </w:rPr>
        <w:t>）供应商可以组成一个响应联合体，以一个供应商的身份共同参加响应。联合体响应的，须提供《联合体协议书》（格式后附）</w:t>
      </w:r>
    </w:p>
    <w:p w14:paraId="48011496">
      <w:pPr>
        <w:spacing w:before="120" w:line="320" w:lineRule="atLeast"/>
        <w:ind w:firstLine="420" w:firstLineChars="200"/>
        <w:rPr>
          <w:color w:val="auto"/>
          <w:szCs w:val="21"/>
          <w:highlight w:val="none"/>
        </w:rPr>
      </w:pPr>
      <w:r>
        <w:rPr>
          <w:rFonts w:hint="eastAsia"/>
          <w:color w:val="auto"/>
          <w:szCs w:val="21"/>
          <w:highlight w:val="none"/>
        </w:rPr>
        <w:t>（2）以联合体形式参加响应的，联合体各方均必须具备《中华人民共和国政府采购法》第二十二条第一款规定的基本条件。本项目有特殊要求规定供应商特定条件的，联合体各方中至少有一方必须符合采购文件规定的特定条件。</w:t>
      </w:r>
    </w:p>
    <w:p w14:paraId="3C87B98B">
      <w:pPr>
        <w:spacing w:before="120" w:line="320" w:lineRule="atLeast"/>
        <w:ind w:firstLine="420" w:firstLineChars="200"/>
        <w:rPr>
          <w:color w:val="auto"/>
          <w:szCs w:val="21"/>
          <w:highlight w:val="none"/>
        </w:rPr>
      </w:pPr>
      <w:r>
        <w:rPr>
          <w:rFonts w:hint="eastAsia"/>
          <w:color w:val="auto"/>
          <w:szCs w:val="21"/>
          <w:highlight w:val="none"/>
        </w:rPr>
        <w:t>（3）联合体各方之间必须签订联合体协议，协议书必须明确主体方（或者牵头方）并明确约定联合体各方承担的工作和相应的责任，并将联合响应协议放入响应文件。联合体各方必须共同与采购人签订采购合同，就采购合同约定的事项对采购人承担连带责任。</w:t>
      </w:r>
    </w:p>
    <w:p w14:paraId="00224EA8">
      <w:pPr>
        <w:spacing w:before="120" w:line="320" w:lineRule="atLeast"/>
        <w:ind w:firstLine="420" w:firstLineChars="200"/>
        <w:rPr>
          <w:color w:val="auto"/>
          <w:szCs w:val="21"/>
          <w:highlight w:val="none"/>
        </w:rPr>
      </w:pPr>
      <w:r>
        <w:rPr>
          <w:rFonts w:hint="eastAsia"/>
          <w:color w:val="auto"/>
          <w:szCs w:val="21"/>
          <w:highlight w:val="none"/>
        </w:rPr>
        <w:t>（4）以联合体形式参加政府采购活动的，联合体各方不得再单独参加或者与其他供应商另外组成联合体参加同一合同项下的政府采购活动。</w:t>
      </w:r>
    </w:p>
    <w:p w14:paraId="11E07FFB">
      <w:pPr>
        <w:spacing w:before="120" w:line="320" w:lineRule="atLeast"/>
        <w:ind w:firstLine="420" w:firstLineChars="200"/>
        <w:rPr>
          <w:color w:val="auto"/>
          <w:szCs w:val="21"/>
          <w:highlight w:val="none"/>
        </w:rPr>
      </w:pPr>
      <w:r>
        <w:rPr>
          <w:rFonts w:hint="eastAsia"/>
          <w:color w:val="auto"/>
          <w:szCs w:val="21"/>
          <w:highlight w:val="none"/>
        </w:rPr>
        <w:t>（5）联合体中有同类资质的供应商按照联合体分工承担相同工作的，应当按照资质等级较低的供应商确定资质等级。</w:t>
      </w:r>
    </w:p>
    <w:p w14:paraId="65A5B04C">
      <w:pPr>
        <w:spacing w:before="120" w:line="320" w:lineRule="atLeast"/>
        <w:ind w:firstLine="420" w:firstLineChars="200"/>
        <w:rPr>
          <w:color w:val="auto"/>
          <w:szCs w:val="21"/>
          <w:highlight w:val="none"/>
        </w:rPr>
      </w:pPr>
      <w:r>
        <w:rPr>
          <w:rFonts w:hint="eastAsia"/>
          <w:color w:val="auto"/>
          <w:szCs w:val="21"/>
          <w:highlight w:val="none"/>
        </w:rPr>
        <w:t>（6）联合体响应业绩、履约能力按照联合体各方其中较高的一方认定并计算（采购文件其他章节另有规定的除外）。</w:t>
      </w:r>
    </w:p>
    <w:p w14:paraId="74F3AB89">
      <w:pPr>
        <w:spacing w:before="120" w:line="320" w:lineRule="atLeast"/>
        <w:ind w:firstLine="420" w:firstLineChars="200"/>
        <w:rPr>
          <w:color w:val="auto"/>
          <w:szCs w:val="21"/>
          <w:highlight w:val="none"/>
        </w:rPr>
      </w:pPr>
      <w:r>
        <w:rPr>
          <w:rFonts w:hint="eastAsia"/>
          <w:color w:val="auto"/>
          <w:szCs w:val="21"/>
          <w:highlight w:val="none"/>
        </w:rPr>
        <w:t>（7）供应商为联合体的，可以由联合体中的一方或者多方共同交纳谈判保证金，其交纳的保证金对联合体各方均具有约束力。</w:t>
      </w:r>
    </w:p>
    <w:p w14:paraId="591F37B2">
      <w:pPr>
        <w:spacing w:before="120" w:line="320" w:lineRule="atLeast"/>
        <w:ind w:firstLine="420" w:firstLineChars="200"/>
        <w:rPr>
          <w:color w:val="auto"/>
          <w:szCs w:val="21"/>
          <w:highlight w:val="none"/>
        </w:rPr>
      </w:pPr>
      <w:r>
        <w:rPr>
          <w:rFonts w:hint="eastAsia"/>
          <w:color w:val="auto"/>
          <w:szCs w:val="21"/>
          <w:highlight w:val="none"/>
        </w:rPr>
        <w:t>（8）联合体各方均应按照采购文件的规定提交资格证明文件。</w:t>
      </w:r>
    </w:p>
    <w:p w14:paraId="49B0FA3E">
      <w:pPr>
        <w:spacing w:before="120" w:line="320" w:lineRule="atLeast"/>
        <w:ind w:firstLine="422" w:firstLineChars="200"/>
        <w:outlineLvl w:val="2"/>
        <w:rPr>
          <w:b/>
          <w:bCs/>
          <w:color w:val="auto"/>
          <w:kern w:val="0"/>
          <w:szCs w:val="21"/>
          <w:highlight w:val="none"/>
        </w:rPr>
      </w:pPr>
      <w:bookmarkStart w:id="33" w:name="_Toc254970672"/>
      <w:bookmarkStart w:id="34" w:name="_Toc254970531"/>
      <w:r>
        <w:rPr>
          <w:b/>
          <w:bCs/>
          <w:color w:val="auto"/>
          <w:kern w:val="0"/>
          <w:szCs w:val="21"/>
          <w:highlight w:val="none"/>
        </w:rPr>
        <w:t>1.6现场踏勘及响应费用</w:t>
      </w:r>
      <w:bookmarkEnd w:id="33"/>
      <w:bookmarkEnd w:id="34"/>
    </w:p>
    <w:p w14:paraId="59E8266E">
      <w:pPr>
        <w:spacing w:before="120" w:line="320" w:lineRule="atLeast"/>
        <w:ind w:firstLine="420" w:firstLineChars="200"/>
        <w:rPr>
          <w:color w:val="auto"/>
          <w:szCs w:val="21"/>
          <w:highlight w:val="none"/>
        </w:rPr>
      </w:pPr>
      <w:r>
        <w:rPr>
          <w:color w:val="auto"/>
          <w:szCs w:val="21"/>
          <w:highlight w:val="none"/>
        </w:rPr>
        <w:t>1.6.1前附表如规定现场踏勘的，供应商应按规定时间地点参加踏勘。</w:t>
      </w:r>
    </w:p>
    <w:p w14:paraId="49E567FD">
      <w:pPr>
        <w:spacing w:before="120" w:line="320" w:lineRule="atLeast"/>
        <w:ind w:firstLine="420" w:firstLineChars="200"/>
        <w:rPr>
          <w:color w:val="auto"/>
          <w:szCs w:val="21"/>
          <w:highlight w:val="none"/>
        </w:rPr>
      </w:pPr>
      <w:r>
        <w:rPr>
          <w:color w:val="auto"/>
          <w:szCs w:val="21"/>
          <w:highlight w:val="none"/>
        </w:rPr>
        <w:t>1.6.2供应商均应自行承担所有与响应有关的全部费用（采购文件有相关的规定除外）。</w:t>
      </w:r>
    </w:p>
    <w:p w14:paraId="1DAEDFD6">
      <w:pPr>
        <w:spacing w:before="120" w:line="320" w:lineRule="atLeast"/>
        <w:ind w:firstLine="422" w:firstLineChars="200"/>
        <w:outlineLvl w:val="2"/>
        <w:rPr>
          <w:b/>
          <w:bCs/>
          <w:color w:val="auto"/>
          <w:kern w:val="0"/>
          <w:szCs w:val="21"/>
          <w:highlight w:val="none"/>
        </w:rPr>
      </w:pPr>
      <w:r>
        <w:rPr>
          <w:b/>
          <w:bCs/>
          <w:color w:val="auto"/>
          <w:kern w:val="0"/>
          <w:szCs w:val="21"/>
          <w:highlight w:val="none"/>
        </w:rPr>
        <w:t>1.7转包与分包</w:t>
      </w:r>
    </w:p>
    <w:p w14:paraId="346D3F77">
      <w:pPr>
        <w:spacing w:before="120" w:line="320" w:lineRule="atLeast"/>
        <w:ind w:firstLine="420" w:firstLineChars="200"/>
        <w:rPr>
          <w:color w:val="auto"/>
          <w:szCs w:val="21"/>
          <w:highlight w:val="none"/>
        </w:rPr>
      </w:pPr>
      <w:r>
        <w:rPr>
          <w:color w:val="auto"/>
          <w:szCs w:val="21"/>
          <w:highlight w:val="none"/>
        </w:rPr>
        <w:t>1.7.1如</w:t>
      </w:r>
      <w:r>
        <w:rPr>
          <w:rFonts w:hint="eastAsia"/>
          <w:color w:val="auto"/>
          <w:szCs w:val="21"/>
          <w:highlight w:val="none"/>
        </w:rPr>
        <w:t>采购文件</w:t>
      </w:r>
      <w:r>
        <w:rPr>
          <w:color w:val="auto"/>
          <w:szCs w:val="21"/>
          <w:highlight w:val="none"/>
        </w:rPr>
        <w:t>其他地方无特别规定</w:t>
      </w:r>
      <w:r>
        <w:rPr>
          <w:rFonts w:hint="eastAsia"/>
          <w:color w:val="auto"/>
          <w:szCs w:val="21"/>
          <w:highlight w:val="none"/>
        </w:rPr>
        <w:t>，</w:t>
      </w:r>
      <w:r>
        <w:rPr>
          <w:color w:val="auto"/>
          <w:szCs w:val="21"/>
          <w:highlight w:val="none"/>
        </w:rPr>
        <w:t>本项目不允许转包。</w:t>
      </w:r>
    </w:p>
    <w:p w14:paraId="49886E99">
      <w:pPr>
        <w:spacing w:before="120" w:line="320" w:lineRule="atLeast"/>
        <w:ind w:firstLine="420" w:firstLineChars="200"/>
        <w:rPr>
          <w:color w:val="auto"/>
          <w:szCs w:val="21"/>
          <w:highlight w:val="none"/>
        </w:rPr>
      </w:pPr>
      <w:r>
        <w:rPr>
          <w:color w:val="auto"/>
          <w:szCs w:val="21"/>
          <w:highlight w:val="none"/>
        </w:rPr>
        <w:t>1.7.2</w:t>
      </w:r>
      <w:r>
        <w:rPr>
          <w:rFonts w:hint="eastAsia"/>
          <w:color w:val="auto"/>
          <w:szCs w:val="21"/>
          <w:highlight w:val="none"/>
        </w:rPr>
        <w:t>本项目是否允许分包详见供应商须知前附表，本项目不允许违法分包。供应商根据采购文件的规定和采购项目的实际情况，拟在成交后将成交项目的非主体、非关键性工作分包的，应当在响应文件中载明分包承担主体，分包承担主体应当具备相应资质条件且不得再次分包。</w:t>
      </w:r>
    </w:p>
    <w:p w14:paraId="490042D3">
      <w:pPr>
        <w:spacing w:before="120" w:line="276" w:lineRule="auto"/>
        <w:ind w:firstLine="422" w:firstLineChars="200"/>
        <w:outlineLvl w:val="2"/>
        <w:rPr>
          <w:b/>
          <w:bCs/>
          <w:color w:val="auto"/>
          <w:kern w:val="0"/>
          <w:szCs w:val="21"/>
          <w:highlight w:val="none"/>
        </w:rPr>
      </w:pPr>
      <w:bookmarkStart w:id="35" w:name="_Toc254970673"/>
      <w:bookmarkStart w:id="36" w:name="_Toc254970532"/>
      <w:r>
        <w:rPr>
          <w:b/>
          <w:bCs/>
          <w:color w:val="auto"/>
          <w:kern w:val="0"/>
          <w:szCs w:val="21"/>
          <w:highlight w:val="none"/>
        </w:rPr>
        <w:t>1.8特别说明</w:t>
      </w:r>
      <w:bookmarkEnd w:id="35"/>
      <w:bookmarkEnd w:id="36"/>
    </w:p>
    <w:p w14:paraId="004B03E6">
      <w:pPr>
        <w:spacing w:line="276" w:lineRule="auto"/>
        <w:ind w:firstLine="420" w:firstLineChars="200"/>
        <w:rPr>
          <w:color w:val="auto"/>
          <w:szCs w:val="21"/>
          <w:highlight w:val="none"/>
        </w:rPr>
      </w:pPr>
      <w:r>
        <w:rPr>
          <w:color w:val="auto"/>
          <w:szCs w:val="21"/>
          <w:highlight w:val="none"/>
        </w:rPr>
        <w:t>1.8.1 供应商应保证其提供的联系方式（电话、传真、电子邮件）有效，以保证往来函件（澄清、修改等）能及时通知供应商，并能及时反馈，否则采购人</w:t>
      </w:r>
      <w:r>
        <w:rPr>
          <w:rFonts w:hint="eastAsia"/>
          <w:color w:val="auto"/>
          <w:szCs w:val="21"/>
          <w:highlight w:val="none"/>
        </w:rPr>
        <w:t>及代理机构</w:t>
      </w:r>
      <w:r>
        <w:rPr>
          <w:color w:val="auto"/>
          <w:szCs w:val="21"/>
          <w:highlight w:val="none"/>
        </w:rPr>
        <w:t>不承担由此引起的一切后果。</w:t>
      </w:r>
    </w:p>
    <w:p w14:paraId="2467A0F6">
      <w:pPr>
        <w:spacing w:before="120" w:line="320" w:lineRule="atLeast"/>
        <w:ind w:firstLine="420" w:firstLineChars="200"/>
        <w:rPr>
          <w:color w:val="auto"/>
          <w:szCs w:val="21"/>
          <w:highlight w:val="none"/>
        </w:rPr>
      </w:pPr>
      <w:r>
        <w:rPr>
          <w:color w:val="auto"/>
          <w:szCs w:val="21"/>
          <w:highlight w:val="none"/>
        </w:rPr>
        <w:t>1.8.2供应商应仔细阅读采购文件的所有内容，按照采购文件的要求提交响应文件，并对所提供的全部资料的真实性承担法律责任。</w:t>
      </w:r>
    </w:p>
    <w:p w14:paraId="13A9AE75">
      <w:pPr>
        <w:spacing w:before="120" w:line="360" w:lineRule="auto"/>
        <w:ind w:firstLine="420" w:firstLineChars="200"/>
        <w:rPr>
          <w:color w:val="auto"/>
          <w:szCs w:val="21"/>
          <w:highlight w:val="none"/>
        </w:rPr>
      </w:pPr>
      <w:r>
        <w:rPr>
          <w:color w:val="auto"/>
          <w:szCs w:val="21"/>
          <w:highlight w:val="none"/>
        </w:rPr>
        <w:t>1.8.3供应商在响应活动中提供任何虚假材料，</w:t>
      </w:r>
      <w:r>
        <w:rPr>
          <w:rFonts w:hint="eastAsia"/>
          <w:color w:val="auto"/>
          <w:szCs w:val="21"/>
          <w:highlight w:val="none"/>
        </w:rPr>
        <w:t>将</w:t>
      </w:r>
      <w:r>
        <w:rPr>
          <w:color w:val="auto"/>
          <w:szCs w:val="21"/>
          <w:highlight w:val="none"/>
        </w:rPr>
        <w:t xml:space="preserve">报监管部门查处； </w:t>
      </w:r>
    </w:p>
    <w:p w14:paraId="37836E6E">
      <w:pPr>
        <w:spacing w:before="120" w:line="276" w:lineRule="auto"/>
        <w:ind w:firstLine="422" w:firstLineChars="200"/>
        <w:outlineLvl w:val="2"/>
        <w:rPr>
          <w:b/>
          <w:bCs/>
          <w:color w:val="auto"/>
          <w:kern w:val="0"/>
          <w:szCs w:val="21"/>
          <w:highlight w:val="none"/>
        </w:rPr>
      </w:pPr>
      <w:r>
        <w:rPr>
          <w:rFonts w:hint="eastAsia"/>
          <w:b/>
          <w:bCs/>
          <w:color w:val="auto"/>
          <w:kern w:val="0"/>
          <w:szCs w:val="21"/>
          <w:highlight w:val="none"/>
        </w:rPr>
        <w:t>1</w:t>
      </w:r>
      <w:r>
        <w:rPr>
          <w:b/>
          <w:bCs/>
          <w:color w:val="auto"/>
          <w:kern w:val="0"/>
          <w:szCs w:val="21"/>
          <w:highlight w:val="none"/>
        </w:rPr>
        <w:t>.</w:t>
      </w:r>
      <w:r>
        <w:rPr>
          <w:rFonts w:hint="eastAsia"/>
          <w:b/>
          <w:bCs/>
          <w:color w:val="auto"/>
          <w:kern w:val="0"/>
          <w:szCs w:val="21"/>
          <w:highlight w:val="none"/>
        </w:rPr>
        <w:t>9 对本国产品的支持政策</w:t>
      </w:r>
    </w:p>
    <w:p w14:paraId="09F467F6">
      <w:pPr>
        <w:spacing w:before="120" w:line="360" w:lineRule="auto"/>
        <w:ind w:left="819" w:leftChars="190" w:hanging="420" w:hangingChars="200"/>
        <w:rPr>
          <w:color w:val="auto"/>
          <w:szCs w:val="21"/>
          <w:highlight w:val="none"/>
        </w:rPr>
      </w:pPr>
      <w:r>
        <w:rPr>
          <w:rFonts w:hint="eastAsia"/>
          <w:color w:val="auto"/>
          <w:szCs w:val="21"/>
          <w:highlight w:val="none"/>
        </w:rPr>
        <w:t>1.9.1</w:t>
      </w:r>
      <w:r>
        <w:rPr>
          <w:color w:val="auto"/>
          <w:szCs w:val="21"/>
          <w:highlight w:val="none"/>
        </w:rPr>
        <w:t>本国产品标准</w:t>
      </w:r>
    </w:p>
    <w:p w14:paraId="3BD9FEED">
      <w:pPr>
        <w:spacing w:line="276" w:lineRule="auto"/>
        <w:ind w:firstLine="420" w:firstLineChars="200"/>
        <w:rPr>
          <w:color w:val="auto"/>
          <w:szCs w:val="21"/>
          <w:highlight w:val="none"/>
        </w:rPr>
      </w:pPr>
      <w:r>
        <w:rPr>
          <w:rFonts w:hint="eastAsia"/>
          <w:color w:val="auto"/>
          <w:szCs w:val="21"/>
          <w:highlight w:val="none"/>
        </w:rPr>
        <w:t>“本国产品标准的产品”是指：符合《国务院办公厅关于在政府采购中实施本国产品标准及相关政策的通知》（国办发〔2025〕34号）规定的本国产品标准的产品。</w:t>
      </w:r>
    </w:p>
    <w:p w14:paraId="46D74750">
      <w:pPr>
        <w:spacing w:line="276" w:lineRule="auto"/>
        <w:ind w:firstLine="420" w:firstLineChars="200"/>
        <w:rPr>
          <w:color w:val="auto"/>
          <w:szCs w:val="21"/>
          <w:highlight w:val="none"/>
        </w:rPr>
      </w:pPr>
      <w:r>
        <w:rPr>
          <w:rFonts w:hint="eastAsia"/>
          <w:color w:val="auto"/>
          <w:szCs w:val="21"/>
          <w:highlight w:val="none"/>
        </w:rPr>
        <w:t>本国产品标准的产品应当符合以下条件：</w:t>
      </w:r>
    </w:p>
    <w:p w14:paraId="57181283">
      <w:pPr>
        <w:spacing w:line="276" w:lineRule="auto"/>
        <w:ind w:firstLine="420" w:firstLineChars="200"/>
        <w:rPr>
          <w:color w:val="auto"/>
          <w:szCs w:val="21"/>
          <w:highlight w:val="none"/>
        </w:rPr>
      </w:pPr>
      <w:r>
        <w:rPr>
          <w:rFonts w:hint="eastAsia"/>
          <w:color w:val="auto"/>
          <w:szCs w:val="21"/>
          <w:highlight w:val="none"/>
        </w:rPr>
        <w:t>（1）</w:t>
      </w:r>
      <w:r>
        <w:rPr>
          <w:color w:val="auto"/>
          <w:szCs w:val="21"/>
          <w:highlight w:val="none"/>
        </w:rPr>
        <w:t>在中国境内生产</w:t>
      </w:r>
      <w:r>
        <w:rPr>
          <w:rFonts w:hint="eastAsia"/>
          <w:color w:val="auto"/>
          <w:szCs w:val="21"/>
          <w:highlight w:val="none"/>
        </w:rPr>
        <w:t>。</w:t>
      </w:r>
      <w:r>
        <w:rPr>
          <w:color w:val="auto"/>
          <w:szCs w:val="21"/>
          <w:highlight w:val="none"/>
        </w:rPr>
        <w:t>产品应当在中国境内生产，即在中华人民共和国关境内</w:t>
      </w:r>
      <w:r>
        <w:rPr>
          <w:rFonts w:hint="eastAsia"/>
          <w:color w:val="auto"/>
          <w:szCs w:val="21"/>
          <w:highlight w:val="none"/>
        </w:rPr>
        <w:t>（含保税区、综合保税区等海关特殊监管区域）</w:t>
      </w:r>
      <w:r>
        <w:rPr>
          <w:color w:val="auto"/>
          <w:szCs w:val="21"/>
          <w:highlight w:val="none"/>
        </w:rPr>
        <w:t>实现从原材料、组件到产品的属性改变；属性改变是指经过制造、加工或者组装等工序，产生完全不同于原材料、组件的新产品，并具有新的名称和特征（用途），属性改变不包括以下细微操作：</w:t>
      </w:r>
    </w:p>
    <w:p w14:paraId="64ADFF71">
      <w:pPr>
        <w:spacing w:line="276" w:lineRule="auto"/>
        <w:ind w:firstLine="420" w:firstLineChars="200"/>
        <w:rPr>
          <w:color w:val="auto"/>
          <w:szCs w:val="21"/>
          <w:highlight w:val="none"/>
        </w:rPr>
      </w:pPr>
      <w:r>
        <w:rPr>
          <w:color w:val="auto"/>
          <w:szCs w:val="21"/>
          <w:highlight w:val="none"/>
        </w:rPr>
        <w:t>①为确保产品在运输或者储存期间保持某种状态而进行的操作；</w:t>
      </w:r>
    </w:p>
    <w:p w14:paraId="7057179E">
      <w:pPr>
        <w:spacing w:line="276" w:lineRule="auto"/>
        <w:ind w:firstLine="420" w:firstLineChars="200"/>
        <w:rPr>
          <w:color w:val="auto"/>
          <w:szCs w:val="21"/>
          <w:highlight w:val="none"/>
        </w:rPr>
      </w:pPr>
      <w:r>
        <w:rPr>
          <w:color w:val="auto"/>
          <w:szCs w:val="21"/>
          <w:highlight w:val="none"/>
        </w:rPr>
        <w:t>②为产品运输或者销售进行的包装或者展示；</w:t>
      </w:r>
    </w:p>
    <w:p w14:paraId="5E1D6A40">
      <w:pPr>
        <w:spacing w:line="276" w:lineRule="auto"/>
        <w:ind w:firstLine="420" w:firstLineChars="200"/>
        <w:rPr>
          <w:color w:val="auto"/>
          <w:szCs w:val="21"/>
          <w:highlight w:val="none"/>
        </w:rPr>
      </w:pPr>
      <w:r>
        <w:rPr>
          <w:color w:val="auto"/>
          <w:szCs w:val="21"/>
          <w:highlight w:val="none"/>
        </w:rPr>
        <w:t>③在产品或者其包装上粘贴或者印刷品牌、标志、标识以及其他用于区别的标记；</w:t>
      </w:r>
    </w:p>
    <w:p w14:paraId="67B6D602">
      <w:pPr>
        <w:spacing w:line="276" w:lineRule="auto"/>
        <w:ind w:firstLine="420" w:firstLineChars="200"/>
        <w:rPr>
          <w:color w:val="auto"/>
          <w:szCs w:val="21"/>
          <w:highlight w:val="none"/>
        </w:rPr>
      </w:pPr>
      <w:r>
        <w:rPr>
          <w:color w:val="auto"/>
          <w:szCs w:val="21"/>
          <w:highlight w:val="none"/>
        </w:rPr>
        <w:t>④简单的上漆、磨光和分装；</w:t>
      </w:r>
    </w:p>
    <w:p w14:paraId="5C9ED75E">
      <w:pPr>
        <w:spacing w:line="276" w:lineRule="auto"/>
        <w:ind w:firstLine="420" w:firstLineChars="200"/>
        <w:rPr>
          <w:color w:val="auto"/>
          <w:szCs w:val="21"/>
          <w:highlight w:val="none"/>
        </w:rPr>
      </w:pPr>
      <w:r>
        <w:rPr>
          <w:color w:val="auto"/>
          <w:szCs w:val="21"/>
          <w:highlight w:val="none"/>
        </w:rPr>
        <w:t>⑤其他不属于属性改变的情形；</w:t>
      </w:r>
    </w:p>
    <w:p w14:paraId="6AD84726">
      <w:pPr>
        <w:spacing w:line="276" w:lineRule="auto"/>
        <w:ind w:firstLine="420" w:firstLineChars="200"/>
        <w:rPr>
          <w:color w:val="auto"/>
          <w:szCs w:val="21"/>
          <w:highlight w:val="none"/>
        </w:rPr>
      </w:pPr>
      <w:r>
        <w:rPr>
          <w:rFonts w:hint="eastAsia"/>
          <w:color w:val="auto"/>
          <w:szCs w:val="21"/>
          <w:highlight w:val="none"/>
        </w:rPr>
        <w:t>（2）</w:t>
      </w:r>
      <w:r>
        <w:rPr>
          <w:color w:val="auto"/>
          <w:szCs w:val="21"/>
          <w:highlight w:val="none"/>
        </w:rPr>
        <w:t>中国境内生产的组件成本占比达到规定比例</w:t>
      </w:r>
      <w:r>
        <w:rPr>
          <w:rFonts w:hint="eastAsia"/>
          <w:color w:val="auto"/>
          <w:szCs w:val="21"/>
          <w:highlight w:val="none"/>
        </w:rPr>
        <w:t>。</w:t>
      </w:r>
    </w:p>
    <w:p w14:paraId="772042AF">
      <w:pPr>
        <w:spacing w:line="276" w:lineRule="auto"/>
        <w:ind w:firstLine="420" w:firstLineChars="200"/>
        <w:rPr>
          <w:color w:val="auto"/>
          <w:szCs w:val="21"/>
          <w:highlight w:val="none"/>
        </w:rPr>
      </w:pPr>
      <w:r>
        <w:rPr>
          <w:rFonts w:hint="eastAsia"/>
          <w:color w:val="auto"/>
          <w:szCs w:val="21"/>
          <w:highlight w:val="none"/>
        </w:rPr>
        <w:t>①产品在中国境内生产的组件成本占比应当达到规定比例，计算公式为：产品在中国境内生产的组件成本/产品总成本≥规定比例；</w:t>
      </w:r>
    </w:p>
    <w:p w14:paraId="01FF2F04">
      <w:pPr>
        <w:spacing w:line="276" w:lineRule="auto"/>
        <w:ind w:firstLine="420" w:firstLineChars="200"/>
        <w:rPr>
          <w:color w:val="auto"/>
          <w:szCs w:val="21"/>
          <w:highlight w:val="none"/>
        </w:rPr>
      </w:pPr>
      <w:r>
        <w:rPr>
          <w:rFonts w:hint="eastAsia"/>
          <w:color w:val="auto"/>
          <w:szCs w:val="21"/>
          <w:highlight w:val="none"/>
        </w:rPr>
        <w:t>②产品在中国境内生产的组件成本，按照《中国境内生产的组件成本核算基本规则》计算；</w:t>
      </w:r>
    </w:p>
    <w:p w14:paraId="5763F76C">
      <w:pPr>
        <w:spacing w:line="276" w:lineRule="auto"/>
        <w:ind w:firstLine="420" w:firstLineChars="200"/>
        <w:rPr>
          <w:color w:val="auto"/>
          <w:szCs w:val="21"/>
          <w:highlight w:val="none"/>
        </w:rPr>
      </w:pPr>
      <w:r>
        <w:rPr>
          <w:rFonts w:hint="eastAsia"/>
          <w:color w:val="auto"/>
          <w:szCs w:val="21"/>
          <w:highlight w:val="none"/>
        </w:rPr>
        <w:t>③中国境内生产的组件成本占比相关要求实施前，符合第（1）项条件的产品在政府采购活动中视同本国产品。</w:t>
      </w:r>
    </w:p>
    <w:p w14:paraId="33929741">
      <w:pPr>
        <w:spacing w:line="276" w:lineRule="auto"/>
        <w:ind w:firstLine="420" w:firstLineChars="200"/>
        <w:rPr>
          <w:color w:val="auto"/>
          <w:szCs w:val="21"/>
          <w:highlight w:val="none"/>
        </w:rPr>
      </w:pPr>
      <w:r>
        <w:rPr>
          <w:rFonts w:hint="eastAsia"/>
          <w:color w:val="auto"/>
          <w:szCs w:val="21"/>
          <w:highlight w:val="none"/>
        </w:rPr>
        <w:t>（3）</w:t>
      </w:r>
      <w:r>
        <w:rPr>
          <w:color w:val="auto"/>
          <w:szCs w:val="21"/>
          <w:highlight w:val="none"/>
        </w:rPr>
        <w:t>特定产品的关键组件和工序在中国境内完成。</w:t>
      </w:r>
    </w:p>
    <w:p w14:paraId="467B4386">
      <w:pPr>
        <w:spacing w:line="276" w:lineRule="auto"/>
        <w:ind w:firstLine="420" w:firstLineChars="200"/>
        <w:rPr>
          <w:color w:val="auto"/>
          <w:szCs w:val="21"/>
          <w:highlight w:val="none"/>
        </w:rPr>
      </w:pPr>
      <w:r>
        <w:rPr>
          <w:rFonts w:hint="eastAsia"/>
          <w:color w:val="auto"/>
          <w:szCs w:val="21"/>
          <w:highlight w:val="none"/>
        </w:rPr>
        <w:t>①对特定产品，在符合第（1）项和第（2）项条件的基础上，应当符合财政部会同有关行业主管部门确定的其关键组件、关键工序在中国境内生产、完成等要求；</w:t>
      </w:r>
    </w:p>
    <w:p w14:paraId="4FE28037">
      <w:pPr>
        <w:spacing w:line="276" w:lineRule="auto"/>
        <w:ind w:firstLine="420" w:firstLineChars="200"/>
        <w:rPr>
          <w:color w:val="auto"/>
          <w:szCs w:val="21"/>
          <w:highlight w:val="none"/>
        </w:rPr>
      </w:pPr>
      <w:r>
        <w:rPr>
          <w:rFonts w:hint="eastAsia"/>
          <w:color w:val="auto"/>
          <w:szCs w:val="21"/>
          <w:highlight w:val="none"/>
        </w:rPr>
        <w:t>②特定产品的关键组件、关键工序符合相关要求实施前，符合第（1）项和第（2）项条件的产品在政府采购活动中视同本国产品。</w:t>
      </w:r>
    </w:p>
    <w:p w14:paraId="5C909D94">
      <w:pPr>
        <w:spacing w:before="120" w:line="360" w:lineRule="auto"/>
        <w:ind w:left="819" w:leftChars="190" w:hanging="420" w:hangingChars="200"/>
        <w:rPr>
          <w:color w:val="auto"/>
          <w:szCs w:val="21"/>
          <w:highlight w:val="none"/>
        </w:rPr>
      </w:pPr>
      <w:r>
        <w:rPr>
          <w:rFonts w:hint="eastAsia"/>
          <w:color w:val="auto"/>
          <w:szCs w:val="21"/>
          <w:highlight w:val="none"/>
        </w:rPr>
        <w:t>1.9.2 本国产品标准的适用范围</w:t>
      </w:r>
    </w:p>
    <w:p w14:paraId="4809401A">
      <w:pPr>
        <w:spacing w:line="276" w:lineRule="auto"/>
        <w:ind w:firstLine="420" w:firstLineChars="200"/>
        <w:rPr>
          <w:color w:val="auto"/>
          <w:szCs w:val="21"/>
          <w:highlight w:val="none"/>
        </w:rPr>
      </w:pPr>
      <w:r>
        <w:rPr>
          <w:color w:val="auto"/>
          <w:szCs w:val="21"/>
          <w:highlight w:val="none"/>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r>
        <w:rPr>
          <w:rFonts w:hint="eastAsia"/>
          <w:b/>
          <w:bCs/>
          <w:color w:val="auto"/>
          <w:szCs w:val="21"/>
          <w:highlight w:val="none"/>
        </w:rPr>
        <w:t>本项目是否适用对本国产品的支持政策详见供应商须知前附表。</w:t>
      </w:r>
    </w:p>
    <w:p w14:paraId="377CE111">
      <w:pPr>
        <w:spacing w:line="276" w:lineRule="auto"/>
        <w:ind w:firstLine="420" w:firstLineChars="200"/>
        <w:rPr>
          <w:color w:val="auto"/>
          <w:szCs w:val="21"/>
          <w:highlight w:val="none"/>
        </w:rPr>
      </w:pPr>
      <w:r>
        <w:rPr>
          <w:color w:val="auto"/>
          <w:szCs w:val="21"/>
          <w:highlight w:val="none"/>
        </w:rPr>
        <w:t>中华人民共和国缔结或者共同参加的国际条约、协定对政府采购中本国产品政策另有规定的，按照有关条约、协定执行。</w:t>
      </w:r>
    </w:p>
    <w:p w14:paraId="60B364D5">
      <w:pPr>
        <w:spacing w:before="120" w:line="320" w:lineRule="atLeast"/>
        <w:ind w:firstLine="420" w:firstLineChars="200"/>
        <w:rPr>
          <w:color w:val="auto"/>
          <w:szCs w:val="21"/>
          <w:highlight w:val="none"/>
        </w:rPr>
      </w:pPr>
      <w:r>
        <w:rPr>
          <w:rFonts w:hint="eastAsia"/>
          <w:color w:val="auto"/>
          <w:szCs w:val="21"/>
          <w:highlight w:val="none"/>
        </w:rPr>
        <w:t>1.9.3 价格评审优惠</w:t>
      </w:r>
    </w:p>
    <w:p w14:paraId="148A94BE">
      <w:pPr>
        <w:spacing w:before="120" w:line="320" w:lineRule="atLeast"/>
        <w:ind w:firstLine="420" w:firstLineChars="200"/>
        <w:rPr>
          <w:color w:val="auto"/>
          <w:szCs w:val="21"/>
          <w:highlight w:val="none"/>
        </w:rPr>
      </w:pPr>
      <w:r>
        <w:rPr>
          <w:rFonts w:hint="eastAsia"/>
          <w:color w:val="auto"/>
          <w:szCs w:val="21"/>
          <w:highlight w:val="none"/>
        </w:rPr>
        <w:t>既有本国产品又有非本国产品参与竞争的，依法对本国产品给予价格评审优惠，对本国产品的报价给予20%的价格扣除，用扣除后的价格参与评审。</w:t>
      </w:r>
    </w:p>
    <w:p w14:paraId="468030BC">
      <w:pPr>
        <w:spacing w:before="120" w:line="320" w:lineRule="atLeast"/>
        <w:ind w:firstLine="420" w:firstLineChars="200"/>
        <w:rPr>
          <w:color w:val="auto"/>
          <w:szCs w:val="21"/>
          <w:highlight w:val="none"/>
        </w:rPr>
      </w:pPr>
      <w:r>
        <w:rPr>
          <w:rFonts w:hint="eastAsia"/>
          <w:color w:val="auto"/>
          <w:szCs w:val="21"/>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2DA413C2">
      <w:pPr>
        <w:spacing w:before="120" w:line="320" w:lineRule="atLeast"/>
        <w:ind w:firstLine="420" w:firstLineChars="200"/>
        <w:rPr>
          <w:color w:val="auto"/>
          <w:szCs w:val="21"/>
          <w:highlight w:val="none"/>
        </w:rPr>
      </w:pPr>
      <w:r>
        <w:rPr>
          <w:rFonts w:hint="eastAsia"/>
          <w:color w:val="auto"/>
          <w:szCs w:val="21"/>
          <w:highlight w:val="none"/>
        </w:rPr>
        <w:t>价格扣除比例在第四章评审方法及标准中规定。</w:t>
      </w:r>
    </w:p>
    <w:p w14:paraId="3207C4E3">
      <w:pPr>
        <w:spacing w:before="120" w:line="320" w:lineRule="atLeast"/>
        <w:ind w:firstLine="420" w:firstLineChars="200"/>
        <w:rPr>
          <w:color w:val="auto"/>
          <w:szCs w:val="21"/>
          <w:highlight w:val="none"/>
        </w:rPr>
      </w:pPr>
      <w:r>
        <w:rPr>
          <w:rFonts w:hint="eastAsia"/>
          <w:color w:val="auto"/>
          <w:szCs w:val="21"/>
          <w:highlight w:val="none"/>
        </w:rPr>
        <w:t>1.9.4政策执行要求</w:t>
      </w:r>
    </w:p>
    <w:p w14:paraId="00889C1A">
      <w:pPr>
        <w:spacing w:before="120" w:line="320" w:lineRule="atLeast"/>
        <w:ind w:firstLine="420" w:firstLineChars="200"/>
        <w:rPr>
          <w:color w:val="auto"/>
          <w:szCs w:val="21"/>
          <w:highlight w:val="none"/>
        </w:rPr>
      </w:pPr>
      <w:r>
        <w:rPr>
          <w:rFonts w:hint="eastAsia"/>
          <w:color w:val="auto"/>
          <w:szCs w:val="21"/>
          <w:highlight w:val="none"/>
        </w:rPr>
        <w:t>1.9.4.1产品在中国境内生产的组件成本核算规则：产品在中国境内生产的组件成本，按照《中国境内生产的组件成本核算基本规则》计算。</w:t>
      </w:r>
    </w:p>
    <w:p w14:paraId="33651A44">
      <w:pPr>
        <w:spacing w:before="120" w:line="360" w:lineRule="auto"/>
        <w:ind w:firstLine="2520" w:firstLineChars="1200"/>
        <w:rPr>
          <w:color w:val="auto"/>
          <w:szCs w:val="21"/>
          <w:highlight w:val="none"/>
        </w:rPr>
      </w:pPr>
      <w:r>
        <w:rPr>
          <w:rFonts w:hint="eastAsia"/>
          <w:color w:val="auto"/>
          <w:szCs w:val="21"/>
          <w:highlight w:val="none"/>
        </w:rPr>
        <w:t>《中国境内生产的组件成本核算基本规则》</w:t>
      </w:r>
    </w:p>
    <w:p w14:paraId="18B24E7F">
      <w:pPr>
        <w:spacing w:before="120"/>
        <w:ind w:firstLine="420" w:firstLineChars="200"/>
        <w:rPr>
          <w:color w:val="auto"/>
          <w:szCs w:val="21"/>
          <w:highlight w:val="none"/>
        </w:rPr>
      </w:pPr>
      <w:r>
        <w:rPr>
          <w:rFonts w:hint="eastAsia"/>
          <w:color w:val="auto"/>
          <w:szCs w:val="21"/>
          <w:highlight w:val="none"/>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675637A5">
      <w:pPr>
        <w:spacing w:before="120"/>
        <w:ind w:firstLine="420" w:firstLineChars="200"/>
        <w:rPr>
          <w:color w:val="auto"/>
          <w:szCs w:val="21"/>
          <w:highlight w:val="none"/>
        </w:rPr>
      </w:pPr>
      <w:r>
        <w:rPr>
          <w:rFonts w:hint="eastAsia"/>
          <w:color w:val="auto"/>
          <w:szCs w:val="21"/>
          <w:highlight w:val="none"/>
        </w:rPr>
        <w:t>1.产品的一级组件是指直接组成产品的组件。产品的二级组件是指直接组成产品一级组件的组件。一级组件不可分解的，视同二级组件。</w:t>
      </w:r>
    </w:p>
    <w:p w14:paraId="36AE7709">
      <w:pPr>
        <w:spacing w:before="120"/>
        <w:ind w:firstLine="420" w:firstLineChars="200"/>
        <w:rPr>
          <w:color w:val="auto"/>
          <w:szCs w:val="21"/>
          <w:highlight w:val="none"/>
        </w:rPr>
      </w:pPr>
      <w:r>
        <w:rPr>
          <w:rFonts w:hint="eastAsia"/>
          <w:color w:val="auto"/>
          <w:szCs w:val="21"/>
          <w:highlight w:val="none"/>
        </w:rPr>
        <w:t>2.二级组件在中国境内生产的，其全部成本计入中国境内生产的组件成本；二级组件不在中国境内生产的，其成本不计入中国境内生产的组件成本。</w:t>
      </w:r>
    </w:p>
    <w:p w14:paraId="41285885">
      <w:pPr>
        <w:spacing w:before="120"/>
        <w:ind w:firstLine="420" w:firstLineChars="200"/>
        <w:rPr>
          <w:color w:val="auto"/>
          <w:szCs w:val="21"/>
          <w:highlight w:val="none"/>
        </w:rPr>
      </w:pPr>
      <w:r>
        <w:rPr>
          <w:rFonts w:hint="eastAsia"/>
          <w:color w:val="auto"/>
          <w:szCs w:val="21"/>
          <w:highlight w:val="none"/>
        </w:rPr>
        <w:t>3.产品总成本和组件成本以相关会计核算数据、采购合同、进货记录等为基础进行计算。</w:t>
      </w:r>
    </w:p>
    <w:p w14:paraId="1B548628">
      <w:pPr>
        <w:spacing w:before="120"/>
        <w:ind w:firstLine="420" w:firstLineChars="200"/>
        <w:rPr>
          <w:color w:val="auto"/>
          <w:szCs w:val="21"/>
          <w:highlight w:val="none"/>
        </w:rPr>
      </w:pPr>
      <w:r>
        <w:rPr>
          <w:rFonts w:hint="eastAsia"/>
          <w:color w:val="auto"/>
          <w:szCs w:val="21"/>
          <w:highlight w:val="none"/>
        </w:rPr>
        <w:t>4.需要对成本核算规则予以进一步明确的其他有关事项，由财政部会同有关部门另行规定。</w:t>
      </w:r>
    </w:p>
    <w:p w14:paraId="79CAE564">
      <w:pPr>
        <w:spacing w:before="120" w:line="320" w:lineRule="atLeast"/>
        <w:ind w:firstLine="420" w:firstLineChars="200"/>
        <w:rPr>
          <w:color w:val="auto"/>
          <w:szCs w:val="21"/>
          <w:highlight w:val="none"/>
        </w:rPr>
      </w:pPr>
      <w:r>
        <w:rPr>
          <w:rFonts w:hint="eastAsia"/>
          <w:color w:val="auto"/>
          <w:szCs w:val="21"/>
          <w:highlight w:val="none"/>
        </w:rPr>
        <w:t>1.9.4.2证明材料提交与审查：供应商需在投标（响应）文件中对其提供的产品出具《关于符合本国产品标准的声明函》（样式见响应文件格式）或财政部会同有关部门规定的有关证明文件。</w:t>
      </w:r>
      <w:r>
        <w:rPr>
          <w:rFonts w:hint="eastAsia"/>
          <w:b/>
          <w:bCs/>
          <w:color w:val="auto"/>
          <w:szCs w:val="21"/>
          <w:highlight w:val="none"/>
        </w:rPr>
        <w:t>医疗器械产品凭药品监督管理部门授予的准字号注册证直接认定属于在中国境内生产的产品。</w:t>
      </w:r>
      <w:r>
        <w:rPr>
          <w:rFonts w:hint="eastAsia"/>
          <w:color w:val="auto"/>
          <w:szCs w:val="21"/>
          <w:highlight w:val="none"/>
        </w:rPr>
        <w:t>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采购人、采购代理机构应当随中标、成交结果同时公告中标、成交供应商提供的《声明函》或有关证明文件。</w:t>
      </w:r>
    </w:p>
    <w:p w14:paraId="5E3BFA9B">
      <w:pPr>
        <w:pStyle w:val="19"/>
        <w:ind w:firstLine="420" w:firstLineChars="200"/>
        <w:rPr>
          <w:color w:val="auto"/>
          <w:sz w:val="21"/>
          <w:szCs w:val="21"/>
          <w:highlight w:val="none"/>
        </w:rPr>
      </w:pPr>
      <w:r>
        <w:rPr>
          <w:rFonts w:hint="eastAsia"/>
          <w:color w:val="auto"/>
          <w:sz w:val="21"/>
          <w:szCs w:val="21"/>
          <w:highlight w:val="none"/>
        </w:rPr>
        <w:t>评审委员会应对《声明函》的完整性、准确性进行审查，对《声明函》内容含义不明确、同类事项与投标（响应）文件表述不一致或存在明显文字错误的，应当以书面形式要求供应商澄清、说明或者补正；经澄清、说明或者补正后仍不符合要求的，不认定为本国产品。</w:t>
      </w:r>
    </w:p>
    <w:p w14:paraId="4DF3AA34">
      <w:pPr>
        <w:pStyle w:val="19"/>
        <w:ind w:firstLine="420" w:firstLineChars="200"/>
        <w:rPr>
          <w:color w:val="auto"/>
          <w:sz w:val="21"/>
          <w:szCs w:val="21"/>
          <w:highlight w:val="none"/>
        </w:rPr>
      </w:pPr>
      <w:r>
        <w:rPr>
          <w:rFonts w:hint="eastAsia"/>
          <w:color w:val="auto"/>
          <w:sz w:val="21"/>
          <w:szCs w:val="21"/>
          <w:highlight w:val="none"/>
        </w:rPr>
        <w:t>澄清补正应当按照“6.3.3澄清、说明或补正”的规定提交。</w:t>
      </w:r>
    </w:p>
    <w:p w14:paraId="083CC8DD">
      <w:pPr>
        <w:pStyle w:val="19"/>
        <w:ind w:firstLine="420" w:firstLineChars="200"/>
        <w:rPr>
          <w:color w:val="auto"/>
          <w:sz w:val="21"/>
          <w:szCs w:val="21"/>
          <w:highlight w:val="none"/>
        </w:rPr>
      </w:pPr>
      <w:r>
        <w:rPr>
          <w:rFonts w:hint="eastAsia"/>
          <w:color w:val="auto"/>
          <w:sz w:val="21"/>
          <w:szCs w:val="21"/>
          <w:highlight w:val="none"/>
        </w:rPr>
        <w:t>1.9.4.3成本核算与承诺</w:t>
      </w:r>
    </w:p>
    <w:p w14:paraId="406C190A">
      <w:pPr>
        <w:pStyle w:val="19"/>
        <w:ind w:firstLine="420" w:firstLineChars="200"/>
        <w:rPr>
          <w:color w:val="auto"/>
          <w:sz w:val="21"/>
          <w:szCs w:val="21"/>
          <w:highlight w:val="none"/>
        </w:rPr>
      </w:pPr>
      <w:r>
        <w:rPr>
          <w:color w:val="auto"/>
          <w:sz w:val="21"/>
          <w:szCs w:val="21"/>
          <w:highlight w:val="none"/>
        </w:rPr>
        <w:t>供应商应依据《中国境内生产的组件成本核算基本规则》核算产品成本占比，并对核算结果负责，按要求提交《</w:t>
      </w:r>
      <w:r>
        <w:rPr>
          <w:rFonts w:hint="eastAsia"/>
          <w:color w:val="auto"/>
          <w:sz w:val="21"/>
          <w:szCs w:val="21"/>
          <w:highlight w:val="none"/>
        </w:rPr>
        <w:t>关于符合</w:t>
      </w:r>
      <w:r>
        <w:rPr>
          <w:color w:val="auto"/>
          <w:sz w:val="21"/>
          <w:szCs w:val="21"/>
          <w:highlight w:val="none"/>
        </w:rPr>
        <w:t>本国产品</w:t>
      </w:r>
      <w:r>
        <w:rPr>
          <w:rFonts w:hint="eastAsia"/>
          <w:color w:val="auto"/>
          <w:sz w:val="21"/>
          <w:szCs w:val="21"/>
          <w:highlight w:val="none"/>
        </w:rPr>
        <w:t>标准的</w:t>
      </w:r>
      <w:r>
        <w:rPr>
          <w:color w:val="auto"/>
          <w:sz w:val="21"/>
          <w:szCs w:val="21"/>
          <w:highlight w:val="none"/>
        </w:rPr>
        <w:t>成本占比承诺函》</w:t>
      </w:r>
      <w:r>
        <w:rPr>
          <w:rFonts w:hint="eastAsia"/>
          <w:color w:val="auto"/>
          <w:sz w:val="21"/>
          <w:szCs w:val="21"/>
          <w:highlight w:val="none"/>
        </w:rPr>
        <w:t>（如适用）</w:t>
      </w:r>
      <w:r>
        <w:rPr>
          <w:color w:val="auto"/>
          <w:sz w:val="21"/>
          <w:szCs w:val="21"/>
          <w:highlight w:val="none"/>
        </w:rPr>
        <w:t>（参考模板</w:t>
      </w:r>
      <w:r>
        <w:rPr>
          <w:rFonts w:hint="eastAsia"/>
          <w:color w:val="auto"/>
          <w:sz w:val="21"/>
          <w:szCs w:val="21"/>
          <w:highlight w:val="none"/>
        </w:rPr>
        <w:t>详见响应文件格式</w:t>
      </w:r>
      <w:r>
        <w:rPr>
          <w:color w:val="auto"/>
          <w:sz w:val="21"/>
          <w:szCs w:val="21"/>
          <w:highlight w:val="none"/>
        </w:rPr>
        <w:t>）。相关成本核算的原始凭证应妥善留存，以备核查。采购人可在履约验收环节对相关材料进行抽查。</w:t>
      </w:r>
    </w:p>
    <w:p w14:paraId="19C0DB1C">
      <w:pPr>
        <w:spacing w:before="120" w:line="320" w:lineRule="atLeast"/>
        <w:ind w:firstLine="420" w:firstLineChars="200"/>
        <w:rPr>
          <w:color w:val="auto"/>
          <w:szCs w:val="21"/>
          <w:highlight w:val="none"/>
        </w:rPr>
      </w:pPr>
      <w:r>
        <w:rPr>
          <w:rFonts w:hint="eastAsia"/>
          <w:color w:val="auto"/>
          <w:szCs w:val="21"/>
          <w:highlight w:val="none"/>
        </w:rPr>
        <w:t>1.9.5 争议处理</w:t>
      </w:r>
    </w:p>
    <w:p w14:paraId="3612D52E">
      <w:pPr>
        <w:spacing w:before="120" w:line="320" w:lineRule="atLeast"/>
        <w:ind w:firstLine="420" w:firstLineChars="200"/>
        <w:rPr>
          <w:color w:val="auto"/>
          <w:szCs w:val="21"/>
          <w:highlight w:val="none"/>
        </w:rPr>
      </w:pPr>
      <w:r>
        <w:rPr>
          <w:rFonts w:hint="eastAsia"/>
          <w:color w:val="auto"/>
          <w:szCs w:val="21"/>
          <w:highlight w:val="none"/>
        </w:rPr>
        <w:t>政府采购投诉处理、监督检查中，相关供应商及制造商未按上述要求提供证明材料或提供的材料不足以证明产品符合本国产品标准的，不应当享受对本国产品的政府采购支持政策，由此影响或者可能影响采购结果的，财政部门按照政府采购相关法律法规规定等处理。</w:t>
      </w:r>
    </w:p>
    <w:p w14:paraId="2AD68713">
      <w:pPr>
        <w:spacing w:before="120" w:line="320" w:lineRule="atLeast"/>
        <w:ind w:left="2" w:leftChars="1" w:firstLine="422" w:firstLineChars="200"/>
        <w:outlineLvl w:val="1"/>
        <w:rPr>
          <w:b/>
          <w:bCs/>
          <w:color w:val="auto"/>
          <w:kern w:val="0"/>
          <w:szCs w:val="21"/>
          <w:highlight w:val="none"/>
        </w:rPr>
      </w:pPr>
      <w:bookmarkStart w:id="37" w:name="_Toc254970675"/>
      <w:bookmarkStart w:id="38" w:name="_Toc254970534"/>
      <w:r>
        <w:rPr>
          <w:b/>
          <w:bCs/>
          <w:color w:val="auto"/>
          <w:kern w:val="0"/>
          <w:szCs w:val="21"/>
          <w:highlight w:val="none"/>
        </w:rPr>
        <w:t>2．采购文件</w:t>
      </w:r>
      <w:bookmarkEnd w:id="37"/>
      <w:bookmarkEnd w:id="38"/>
    </w:p>
    <w:p w14:paraId="123A35E4">
      <w:pPr>
        <w:spacing w:before="120" w:line="320" w:lineRule="atLeast"/>
        <w:ind w:firstLine="422" w:firstLineChars="200"/>
        <w:outlineLvl w:val="2"/>
        <w:rPr>
          <w:b/>
          <w:bCs/>
          <w:color w:val="auto"/>
          <w:kern w:val="0"/>
          <w:szCs w:val="21"/>
          <w:highlight w:val="none"/>
        </w:rPr>
      </w:pPr>
      <w:r>
        <w:rPr>
          <w:b/>
          <w:bCs/>
          <w:color w:val="auto"/>
          <w:kern w:val="0"/>
          <w:szCs w:val="21"/>
          <w:highlight w:val="none"/>
        </w:rPr>
        <w:t>2.1采购文件的构成</w:t>
      </w:r>
    </w:p>
    <w:p w14:paraId="196E7E51">
      <w:pPr>
        <w:spacing w:before="120" w:line="320" w:lineRule="atLeast"/>
        <w:ind w:firstLine="420" w:firstLineChars="200"/>
        <w:rPr>
          <w:color w:val="auto"/>
          <w:szCs w:val="21"/>
          <w:highlight w:val="none"/>
        </w:rPr>
      </w:pPr>
      <w:r>
        <w:rPr>
          <w:color w:val="auto"/>
          <w:szCs w:val="21"/>
          <w:highlight w:val="none"/>
        </w:rPr>
        <w:t>第一章 谈判公告</w:t>
      </w:r>
    </w:p>
    <w:p w14:paraId="25F4D678">
      <w:pPr>
        <w:spacing w:before="120" w:line="320" w:lineRule="atLeast"/>
        <w:ind w:firstLine="420" w:firstLineChars="200"/>
        <w:rPr>
          <w:color w:val="auto"/>
          <w:szCs w:val="21"/>
          <w:highlight w:val="none"/>
        </w:rPr>
      </w:pPr>
      <w:r>
        <w:rPr>
          <w:color w:val="auto"/>
          <w:szCs w:val="21"/>
          <w:highlight w:val="none"/>
        </w:rPr>
        <w:t>第二章 采购需求</w:t>
      </w:r>
    </w:p>
    <w:p w14:paraId="214271C1">
      <w:pPr>
        <w:spacing w:before="120" w:line="320" w:lineRule="atLeast"/>
        <w:ind w:firstLine="420" w:firstLineChars="200"/>
        <w:rPr>
          <w:color w:val="auto"/>
          <w:szCs w:val="21"/>
          <w:highlight w:val="none"/>
        </w:rPr>
      </w:pPr>
      <w:r>
        <w:rPr>
          <w:color w:val="auto"/>
          <w:szCs w:val="21"/>
          <w:highlight w:val="none"/>
        </w:rPr>
        <w:t>第三章 供应商须知</w:t>
      </w:r>
    </w:p>
    <w:p w14:paraId="17F1253A">
      <w:pPr>
        <w:spacing w:before="120" w:line="320" w:lineRule="atLeast"/>
        <w:ind w:firstLine="420" w:firstLineChars="200"/>
        <w:rPr>
          <w:color w:val="auto"/>
          <w:szCs w:val="21"/>
          <w:highlight w:val="none"/>
        </w:rPr>
      </w:pPr>
      <w:r>
        <w:rPr>
          <w:color w:val="auto"/>
          <w:szCs w:val="21"/>
          <w:highlight w:val="none"/>
        </w:rPr>
        <w:t>第四章 评审方法及标准</w:t>
      </w:r>
    </w:p>
    <w:p w14:paraId="15B147F3">
      <w:pPr>
        <w:spacing w:before="120" w:line="320" w:lineRule="atLeast"/>
        <w:ind w:firstLine="420" w:firstLineChars="200"/>
        <w:rPr>
          <w:color w:val="auto"/>
          <w:szCs w:val="21"/>
          <w:highlight w:val="none"/>
        </w:rPr>
      </w:pPr>
      <w:r>
        <w:rPr>
          <w:color w:val="auto"/>
          <w:szCs w:val="21"/>
          <w:highlight w:val="none"/>
        </w:rPr>
        <w:t>第五章 合同主要条款格式</w:t>
      </w:r>
    </w:p>
    <w:p w14:paraId="1537D84F">
      <w:pPr>
        <w:spacing w:before="120" w:line="320" w:lineRule="atLeast"/>
        <w:ind w:firstLine="420" w:firstLineChars="200"/>
        <w:rPr>
          <w:color w:val="auto"/>
          <w:szCs w:val="21"/>
          <w:highlight w:val="none"/>
        </w:rPr>
      </w:pPr>
      <w:r>
        <w:rPr>
          <w:color w:val="auto"/>
          <w:szCs w:val="21"/>
          <w:highlight w:val="none"/>
        </w:rPr>
        <w:t>第六章 响应文件格式</w:t>
      </w:r>
    </w:p>
    <w:p w14:paraId="178C52C4">
      <w:pPr>
        <w:spacing w:before="120" w:line="320" w:lineRule="atLeast"/>
        <w:ind w:firstLine="422" w:firstLineChars="200"/>
        <w:outlineLvl w:val="2"/>
        <w:rPr>
          <w:b/>
          <w:bCs/>
          <w:color w:val="auto"/>
          <w:kern w:val="0"/>
          <w:szCs w:val="21"/>
          <w:highlight w:val="none"/>
        </w:rPr>
      </w:pPr>
      <w:r>
        <w:rPr>
          <w:b/>
          <w:bCs/>
          <w:color w:val="auto"/>
          <w:kern w:val="0"/>
          <w:szCs w:val="21"/>
          <w:highlight w:val="none"/>
        </w:rPr>
        <w:t>2.2供应商的风险</w:t>
      </w:r>
    </w:p>
    <w:p w14:paraId="1CE64E89">
      <w:pPr>
        <w:spacing w:before="120" w:line="320" w:lineRule="atLeast"/>
        <w:ind w:firstLine="420" w:firstLineChars="200"/>
        <w:rPr>
          <w:color w:val="auto"/>
          <w:szCs w:val="21"/>
          <w:highlight w:val="none"/>
        </w:rPr>
      </w:pPr>
      <w:r>
        <w:rPr>
          <w:color w:val="auto"/>
          <w:szCs w:val="21"/>
          <w:highlight w:val="none"/>
        </w:rPr>
        <w:t>供应商没有按照采购文件要求提供全部资料，或者供应商没有对采购文件在各方面作出实质性响应是供应商的风险，并可能导致其响应被否决。</w:t>
      </w:r>
    </w:p>
    <w:p w14:paraId="76622113">
      <w:pPr>
        <w:spacing w:before="120" w:line="320" w:lineRule="atLeast"/>
        <w:ind w:firstLine="422" w:firstLineChars="200"/>
        <w:outlineLvl w:val="2"/>
        <w:rPr>
          <w:b/>
          <w:color w:val="auto"/>
          <w:szCs w:val="21"/>
          <w:highlight w:val="none"/>
        </w:rPr>
      </w:pPr>
      <w:r>
        <w:rPr>
          <w:b/>
          <w:bCs/>
          <w:color w:val="auto"/>
          <w:kern w:val="0"/>
          <w:szCs w:val="21"/>
          <w:highlight w:val="none"/>
        </w:rPr>
        <w:t>2.3采购文件的澄清与修改</w:t>
      </w:r>
    </w:p>
    <w:p w14:paraId="40D522B1">
      <w:pPr>
        <w:spacing w:before="120" w:line="320" w:lineRule="atLeast"/>
        <w:ind w:firstLine="420" w:firstLineChars="200"/>
        <w:rPr>
          <w:color w:val="auto"/>
          <w:szCs w:val="21"/>
          <w:highlight w:val="none"/>
        </w:rPr>
      </w:pPr>
      <w:r>
        <w:rPr>
          <w:color w:val="auto"/>
          <w:szCs w:val="21"/>
          <w:highlight w:val="none"/>
        </w:rPr>
        <w:t>2.3.1</w:t>
      </w:r>
      <w:r>
        <w:rPr>
          <w:rFonts w:hint="eastAsia"/>
          <w:color w:val="auto"/>
          <w:szCs w:val="21"/>
          <w:highlight w:val="none"/>
        </w:rPr>
        <w:t>任何已获得采购文件的潜在供应商，均可</w:t>
      </w:r>
      <w:r>
        <w:rPr>
          <w:color w:val="auto"/>
          <w:szCs w:val="21"/>
          <w:highlight w:val="none"/>
        </w:rPr>
        <w:t>以书面形式要求采购代理机构作出书面解释、澄清</w:t>
      </w:r>
      <w:r>
        <w:rPr>
          <w:rFonts w:hint="eastAsia"/>
          <w:color w:val="auto"/>
          <w:szCs w:val="21"/>
          <w:highlight w:val="none"/>
        </w:rPr>
        <w:t>。</w:t>
      </w:r>
    </w:p>
    <w:p w14:paraId="03F19C27">
      <w:pPr>
        <w:spacing w:before="120" w:line="320" w:lineRule="atLeast"/>
        <w:ind w:firstLine="420" w:firstLineChars="200"/>
        <w:rPr>
          <w:color w:val="auto"/>
          <w:szCs w:val="21"/>
          <w:highlight w:val="none"/>
        </w:rPr>
      </w:pPr>
      <w:r>
        <w:rPr>
          <w:color w:val="auto"/>
          <w:szCs w:val="21"/>
          <w:highlight w:val="none"/>
        </w:rPr>
        <w:t>2.3.2</w:t>
      </w:r>
      <w:r>
        <w:rPr>
          <w:rFonts w:hint="eastAsia"/>
          <w:color w:val="auto"/>
          <w:szCs w:val="21"/>
          <w:highlight w:val="none"/>
        </w:rPr>
        <w:t>采购人、采购代理机构可以对已发出的采购文件进行必要的澄清或者修改，澄清或者修改的内容可能影响响应文件编制的，采购人、采购代理机构应当在提交首次响应文件截止之日3个工作日前，</w:t>
      </w:r>
      <w:bookmarkStart w:id="39" w:name="_Hlk132790706"/>
      <w:r>
        <w:rPr>
          <w:rFonts w:hint="eastAsia"/>
          <w:color w:val="auto"/>
          <w:szCs w:val="21"/>
          <w:highlight w:val="none"/>
        </w:rPr>
        <w:t>在供应商须知前附表规定的方式通知所有获取采购文件的潜在</w:t>
      </w:r>
      <w:bookmarkEnd w:id="39"/>
      <w:r>
        <w:rPr>
          <w:rFonts w:hint="eastAsia"/>
          <w:color w:val="auto"/>
          <w:szCs w:val="21"/>
          <w:highlight w:val="none"/>
        </w:rPr>
        <w:t xml:space="preserve">供应商，不足3个工作日的，应当顺延提交首次响应文件截止之日。 </w:t>
      </w:r>
    </w:p>
    <w:p w14:paraId="41ACAEDF">
      <w:pPr>
        <w:spacing w:before="120" w:line="320" w:lineRule="atLeast"/>
        <w:ind w:firstLine="420" w:firstLineChars="200"/>
        <w:rPr>
          <w:color w:val="auto"/>
          <w:szCs w:val="21"/>
          <w:highlight w:val="none"/>
        </w:rPr>
      </w:pPr>
      <w:r>
        <w:rPr>
          <w:color w:val="auto"/>
          <w:szCs w:val="21"/>
          <w:highlight w:val="none"/>
        </w:rPr>
        <w:t>2.3.3采购文件澄清、答复、修改、补充的内容为采购文件的组成部分。当采购文件与采购文件的答复、澄清、修改、补充通知就同一内容的表述不一致时，以最后发出的公告或书面文件为准。</w:t>
      </w:r>
    </w:p>
    <w:p w14:paraId="7A549774">
      <w:pPr>
        <w:spacing w:before="120" w:line="320" w:lineRule="atLeast"/>
        <w:ind w:left="2" w:leftChars="1" w:firstLine="422" w:firstLineChars="200"/>
        <w:outlineLvl w:val="1"/>
        <w:rPr>
          <w:b/>
          <w:bCs/>
          <w:color w:val="auto"/>
          <w:kern w:val="0"/>
          <w:szCs w:val="21"/>
          <w:highlight w:val="none"/>
        </w:rPr>
      </w:pPr>
      <w:bookmarkStart w:id="40" w:name="_Toc254970535"/>
      <w:bookmarkStart w:id="41" w:name="_Toc254970676"/>
      <w:r>
        <w:rPr>
          <w:b/>
          <w:bCs/>
          <w:color w:val="auto"/>
          <w:kern w:val="0"/>
          <w:szCs w:val="21"/>
          <w:highlight w:val="none"/>
        </w:rPr>
        <w:t>3．响应文件</w:t>
      </w:r>
      <w:bookmarkEnd w:id="40"/>
      <w:bookmarkEnd w:id="41"/>
    </w:p>
    <w:p w14:paraId="6AF565D8">
      <w:pPr>
        <w:spacing w:before="120" w:line="320" w:lineRule="atLeast"/>
        <w:ind w:firstLine="422" w:firstLineChars="200"/>
        <w:outlineLvl w:val="2"/>
        <w:rPr>
          <w:b/>
          <w:bCs/>
          <w:color w:val="auto"/>
          <w:kern w:val="0"/>
          <w:szCs w:val="21"/>
          <w:highlight w:val="none"/>
        </w:rPr>
      </w:pPr>
      <w:bookmarkStart w:id="42" w:name="_Toc254970536"/>
      <w:bookmarkStart w:id="43" w:name="_Toc254970677"/>
      <w:r>
        <w:rPr>
          <w:b/>
          <w:bCs/>
          <w:color w:val="auto"/>
          <w:kern w:val="0"/>
          <w:szCs w:val="21"/>
          <w:highlight w:val="none"/>
        </w:rPr>
        <w:t>3.1响应文件的组成</w:t>
      </w:r>
      <w:bookmarkEnd w:id="42"/>
      <w:bookmarkEnd w:id="43"/>
    </w:p>
    <w:p w14:paraId="305979E0">
      <w:pPr>
        <w:spacing w:before="120" w:line="320" w:lineRule="atLeast"/>
        <w:ind w:firstLine="420" w:firstLineChars="200"/>
        <w:rPr>
          <w:color w:val="auto"/>
          <w:szCs w:val="21"/>
          <w:highlight w:val="none"/>
        </w:rPr>
      </w:pPr>
      <w:r>
        <w:rPr>
          <w:color w:val="auto"/>
          <w:szCs w:val="21"/>
          <w:highlight w:val="none"/>
        </w:rPr>
        <w:t>响应文件由第六章“响应文件格式”规定的</w:t>
      </w:r>
      <w:r>
        <w:rPr>
          <w:rFonts w:hint="eastAsia"/>
          <w:color w:val="auto"/>
          <w:szCs w:val="21"/>
          <w:highlight w:val="none"/>
        </w:rPr>
        <w:t>内容</w:t>
      </w:r>
      <w:r>
        <w:rPr>
          <w:color w:val="auto"/>
          <w:szCs w:val="21"/>
          <w:highlight w:val="none"/>
        </w:rPr>
        <w:t>和供应商所作的一切有效补充、修改和承诺等文件组成</w:t>
      </w:r>
      <w:r>
        <w:rPr>
          <w:rFonts w:hint="eastAsia"/>
          <w:color w:val="auto"/>
          <w:szCs w:val="21"/>
          <w:highlight w:val="none"/>
        </w:rPr>
        <w:t>。</w:t>
      </w:r>
    </w:p>
    <w:p w14:paraId="4D89C564">
      <w:pPr>
        <w:spacing w:before="120" w:line="320" w:lineRule="atLeast"/>
        <w:ind w:firstLine="422" w:firstLineChars="200"/>
        <w:outlineLvl w:val="2"/>
        <w:rPr>
          <w:b/>
          <w:bCs/>
          <w:color w:val="auto"/>
          <w:kern w:val="0"/>
          <w:szCs w:val="21"/>
          <w:highlight w:val="none"/>
        </w:rPr>
      </w:pPr>
      <w:bookmarkStart w:id="44" w:name="_Toc254970678"/>
      <w:bookmarkStart w:id="45" w:name="_Toc254970537"/>
      <w:r>
        <w:rPr>
          <w:b/>
          <w:color w:val="auto"/>
          <w:szCs w:val="21"/>
          <w:highlight w:val="none"/>
        </w:rPr>
        <w:t>3.2</w:t>
      </w:r>
      <w:r>
        <w:rPr>
          <w:b/>
          <w:bCs/>
          <w:color w:val="auto"/>
          <w:kern w:val="0"/>
          <w:szCs w:val="21"/>
          <w:highlight w:val="none"/>
        </w:rPr>
        <w:t>响应文件的语言及计量</w:t>
      </w:r>
      <w:bookmarkEnd w:id="44"/>
      <w:bookmarkEnd w:id="45"/>
    </w:p>
    <w:p w14:paraId="31C5C229">
      <w:pPr>
        <w:spacing w:before="120" w:line="320" w:lineRule="atLeast"/>
        <w:ind w:firstLine="420" w:firstLineChars="200"/>
        <w:rPr>
          <w:color w:val="auto"/>
          <w:szCs w:val="21"/>
          <w:highlight w:val="none"/>
        </w:rPr>
      </w:pPr>
      <w:r>
        <w:rPr>
          <w:color w:val="auto"/>
          <w:szCs w:val="21"/>
          <w:highlight w:val="none"/>
        </w:rPr>
        <w:t>3.2.1</w:t>
      </w:r>
      <w:r>
        <w:rPr>
          <w:rFonts w:hint="eastAsia"/>
          <w:color w:val="auto"/>
          <w:szCs w:val="21"/>
          <w:highlight w:val="none"/>
        </w:rPr>
        <w:t>响应文件以及供应商与采购人就有关响应事宜的所有来往函电，均应以中文书写（除专用术语外，与招标响应有关的语言均使用中文。必要时专用术语应附有中文注释）。供应商提交的支持文件和印刷的文献可以使用别的语言，但其相应内容应同时附中文翻译文本，在解释响应文件时以中文翻译文本为主。对不同文字文本响应文件的解释发生异议的，以中文文本为准。</w:t>
      </w:r>
    </w:p>
    <w:p w14:paraId="4537FCD6">
      <w:pPr>
        <w:spacing w:before="120" w:line="320" w:lineRule="atLeast"/>
        <w:ind w:firstLine="420" w:firstLineChars="200"/>
        <w:rPr>
          <w:color w:val="auto"/>
          <w:szCs w:val="21"/>
          <w:highlight w:val="none"/>
        </w:rPr>
      </w:pPr>
      <w:r>
        <w:rPr>
          <w:color w:val="auto"/>
          <w:szCs w:val="21"/>
          <w:highlight w:val="none"/>
        </w:rPr>
        <w:t>3.2.2计量单位采购文件已有明确规定的，响应使用采购文件规定的计量单位；采购文件没有规定的，应采用中华人民共和国法定计量单位。</w:t>
      </w:r>
    </w:p>
    <w:p w14:paraId="6D3989CB">
      <w:pPr>
        <w:spacing w:before="120" w:line="320" w:lineRule="atLeast"/>
        <w:ind w:firstLine="422" w:firstLineChars="200"/>
        <w:outlineLvl w:val="2"/>
        <w:rPr>
          <w:b/>
          <w:bCs/>
          <w:color w:val="auto"/>
          <w:kern w:val="0"/>
          <w:szCs w:val="21"/>
          <w:highlight w:val="none"/>
        </w:rPr>
      </w:pPr>
      <w:bookmarkStart w:id="46" w:name="_Toc254970538"/>
      <w:bookmarkStart w:id="47" w:name="_Toc254970679"/>
      <w:r>
        <w:rPr>
          <w:b/>
          <w:bCs/>
          <w:color w:val="auto"/>
          <w:kern w:val="0"/>
          <w:szCs w:val="21"/>
          <w:highlight w:val="none"/>
        </w:rPr>
        <w:t>3.3响应报价</w:t>
      </w:r>
      <w:bookmarkEnd w:id="46"/>
      <w:bookmarkEnd w:id="47"/>
    </w:p>
    <w:p w14:paraId="3F59449C">
      <w:pPr>
        <w:spacing w:before="120" w:line="320" w:lineRule="atLeast"/>
        <w:ind w:firstLine="420" w:firstLineChars="200"/>
        <w:rPr>
          <w:color w:val="auto"/>
          <w:szCs w:val="21"/>
          <w:highlight w:val="none"/>
        </w:rPr>
      </w:pPr>
      <w:r>
        <w:rPr>
          <w:color w:val="auto"/>
          <w:szCs w:val="21"/>
          <w:highlight w:val="none"/>
        </w:rPr>
        <w:t>3.3.1响应报价应按采购文件中相关附表格式填写。</w:t>
      </w:r>
    </w:p>
    <w:p w14:paraId="5864D34A">
      <w:pPr>
        <w:spacing w:before="120" w:line="320" w:lineRule="atLeast"/>
        <w:ind w:firstLine="420" w:firstLineChars="200"/>
        <w:rPr>
          <w:color w:val="auto"/>
          <w:szCs w:val="21"/>
          <w:highlight w:val="none"/>
        </w:rPr>
      </w:pPr>
      <w:r>
        <w:rPr>
          <w:color w:val="auto"/>
          <w:szCs w:val="21"/>
          <w:highlight w:val="none"/>
        </w:rPr>
        <w:t>3.3.2响应文件只允许有一个报价，有选择的或有条件的报价将不予接受。</w:t>
      </w:r>
    </w:p>
    <w:p w14:paraId="6FB3D338">
      <w:pPr>
        <w:suppressAutoHyphens/>
        <w:spacing w:before="120" w:line="320" w:lineRule="atLeast"/>
        <w:ind w:firstLine="420" w:firstLineChars="200"/>
        <w:rPr>
          <w:color w:val="auto"/>
          <w:kern w:val="1"/>
          <w:szCs w:val="21"/>
          <w:highlight w:val="none"/>
        </w:rPr>
      </w:pPr>
      <w:r>
        <w:rPr>
          <w:color w:val="auto"/>
          <w:kern w:val="1"/>
          <w:szCs w:val="21"/>
          <w:highlight w:val="none"/>
        </w:rPr>
        <w:t>3.3.3对于本文件中未列明，而供应商认为必需的费用也需列入</w:t>
      </w:r>
      <w:r>
        <w:rPr>
          <w:rFonts w:hint="eastAsia"/>
          <w:color w:val="auto"/>
          <w:kern w:val="1"/>
          <w:szCs w:val="21"/>
          <w:highlight w:val="none"/>
        </w:rPr>
        <w:t>响应报价</w:t>
      </w:r>
      <w:r>
        <w:rPr>
          <w:color w:val="auto"/>
          <w:kern w:val="1"/>
          <w:szCs w:val="21"/>
          <w:highlight w:val="none"/>
        </w:rPr>
        <w:t>。在合同实施时，采购人将不予支付成交供应商没有列入的项目费用，并认为此项目的费用已包括在</w:t>
      </w:r>
      <w:r>
        <w:rPr>
          <w:rFonts w:hint="eastAsia"/>
          <w:color w:val="auto"/>
          <w:kern w:val="1"/>
          <w:szCs w:val="21"/>
          <w:highlight w:val="none"/>
        </w:rPr>
        <w:t>响应报价</w:t>
      </w:r>
      <w:r>
        <w:rPr>
          <w:color w:val="auto"/>
          <w:kern w:val="1"/>
          <w:szCs w:val="21"/>
          <w:highlight w:val="none"/>
        </w:rPr>
        <w:t>中。</w:t>
      </w:r>
    </w:p>
    <w:p w14:paraId="611D5028">
      <w:pPr>
        <w:suppressAutoHyphens/>
        <w:spacing w:before="120" w:line="320" w:lineRule="atLeast"/>
        <w:ind w:firstLine="420" w:firstLineChars="200"/>
        <w:rPr>
          <w:b/>
          <w:bCs/>
          <w:color w:val="auto"/>
          <w:kern w:val="1"/>
          <w:szCs w:val="21"/>
          <w:highlight w:val="none"/>
        </w:rPr>
      </w:pPr>
      <w:r>
        <w:rPr>
          <w:rFonts w:hint="eastAsia"/>
          <w:color w:val="auto"/>
          <w:kern w:val="1"/>
          <w:szCs w:val="21"/>
          <w:highlight w:val="none"/>
        </w:rPr>
        <w:t>3</w:t>
      </w:r>
      <w:r>
        <w:rPr>
          <w:color w:val="auto"/>
          <w:kern w:val="1"/>
          <w:szCs w:val="21"/>
          <w:highlight w:val="none"/>
        </w:rPr>
        <w:t>.3.4</w:t>
      </w:r>
      <w:r>
        <w:rPr>
          <w:rFonts w:hint="eastAsia"/>
          <w:color w:val="auto"/>
          <w:kern w:val="1"/>
          <w:szCs w:val="21"/>
          <w:highlight w:val="none"/>
        </w:rPr>
        <w:t>采购人不接受供应商给予的赠品、回扣或者与采购无关的其他商品、服务。</w:t>
      </w:r>
    </w:p>
    <w:p w14:paraId="1E14DF87">
      <w:pPr>
        <w:spacing w:before="120" w:line="320" w:lineRule="atLeast"/>
        <w:ind w:firstLine="422" w:firstLineChars="200"/>
        <w:outlineLvl w:val="2"/>
        <w:rPr>
          <w:b/>
          <w:bCs/>
          <w:color w:val="auto"/>
          <w:kern w:val="0"/>
          <w:szCs w:val="21"/>
          <w:highlight w:val="none"/>
        </w:rPr>
      </w:pPr>
      <w:r>
        <w:rPr>
          <w:b/>
          <w:bCs/>
          <w:color w:val="auto"/>
          <w:kern w:val="0"/>
          <w:szCs w:val="21"/>
          <w:highlight w:val="none"/>
        </w:rPr>
        <w:t>3.4响应有效期</w:t>
      </w:r>
    </w:p>
    <w:p w14:paraId="3C01C30A">
      <w:pPr>
        <w:spacing w:before="120" w:line="320" w:lineRule="atLeast"/>
        <w:ind w:firstLine="420" w:firstLineChars="200"/>
        <w:rPr>
          <w:color w:val="auto"/>
          <w:szCs w:val="21"/>
          <w:highlight w:val="none"/>
        </w:rPr>
      </w:pPr>
      <w:r>
        <w:rPr>
          <w:color w:val="auto"/>
          <w:szCs w:val="21"/>
          <w:highlight w:val="none"/>
        </w:rPr>
        <w:t>3.4.1如采购文件其他地方无特别规定</w:t>
      </w:r>
      <w:r>
        <w:rPr>
          <w:rFonts w:hint="eastAsia"/>
          <w:color w:val="auto"/>
          <w:szCs w:val="21"/>
          <w:highlight w:val="none"/>
        </w:rPr>
        <w:t>，</w:t>
      </w:r>
      <w:r>
        <w:rPr>
          <w:color w:val="auto"/>
          <w:szCs w:val="21"/>
          <w:highlight w:val="none"/>
        </w:rPr>
        <w:t>响应有效期则为响应截止之日起90天</w:t>
      </w:r>
      <w:r>
        <w:rPr>
          <w:rFonts w:hint="eastAsia"/>
          <w:color w:val="auto"/>
          <w:szCs w:val="21"/>
          <w:highlight w:val="none"/>
        </w:rPr>
        <w:t>。</w:t>
      </w:r>
      <w:r>
        <w:rPr>
          <w:color w:val="auto"/>
          <w:szCs w:val="21"/>
          <w:highlight w:val="none"/>
        </w:rPr>
        <w:t>在响应有效期内响应文件应保持有效。</w:t>
      </w:r>
      <w:r>
        <w:rPr>
          <w:b/>
          <w:bCs/>
          <w:color w:val="auto"/>
          <w:szCs w:val="21"/>
          <w:highlight w:val="none"/>
        </w:rPr>
        <w:t>有效期不足的响应文件将被否决</w:t>
      </w:r>
      <w:r>
        <w:rPr>
          <w:color w:val="auto"/>
          <w:szCs w:val="21"/>
          <w:highlight w:val="none"/>
        </w:rPr>
        <w:t>。</w:t>
      </w:r>
    </w:p>
    <w:p w14:paraId="03286B53">
      <w:pPr>
        <w:spacing w:before="120" w:line="320" w:lineRule="atLeast"/>
        <w:ind w:firstLine="420" w:firstLineChars="200"/>
        <w:rPr>
          <w:color w:val="auto"/>
          <w:szCs w:val="21"/>
          <w:highlight w:val="none"/>
        </w:rPr>
      </w:pPr>
      <w:r>
        <w:rPr>
          <w:color w:val="auto"/>
          <w:szCs w:val="21"/>
          <w:highlight w:val="none"/>
        </w:rPr>
        <w:t>3.4.2在特殊情况下，采购人可与供应商协商延长响应文件的有效期，这种要求和答复均以书面形式进行。</w:t>
      </w:r>
    </w:p>
    <w:p w14:paraId="54E2BA99">
      <w:pPr>
        <w:spacing w:before="120" w:line="320" w:lineRule="atLeast"/>
        <w:ind w:firstLine="420" w:firstLineChars="200"/>
        <w:rPr>
          <w:color w:val="auto"/>
          <w:szCs w:val="21"/>
          <w:highlight w:val="none"/>
        </w:rPr>
      </w:pPr>
      <w:r>
        <w:rPr>
          <w:color w:val="auto"/>
          <w:szCs w:val="21"/>
          <w:highlight w:val="none"/>
        </w:rPr>
        <w:t>3.4.3</w:t>
      </w:r>
      <w:r>
        <w:rPr>
          <w:rFonts w:hint="eastAsia"/>
          <w:color w:val="auto"/>
          <w:szCs w:val="21"/>
          <w:highlight w:val="none"/>
        </w:rPr>
        <w:t>供应商同意延长的响应有效期的，如本项目要求提交保证金则应相应延长其谈判保证金的有效期，但不得要求或被允许修改或撤销其响应文件；供应商拒绝延长的，其响应无效，但供应商有权收回其谈判保证金。</w:t>
      </w:r>
    </w:p>
    <w:p w14:paraId="5F827AAB">
      <w:pPr>
        <w:spacing w:before="120" w:line="320" w:lineRule="atLeast"/>
        <w:ind w:firstLine="422" w:firstLineChars="200"/>
        <w:outlineLvl w:val="2"/>
        <w:rPr>
          <w:b/>
          <w:bCs/>
          <w:color w:val="auto"/>
          <w:kern w:val="0"/>
          <w:szCs w:val="21"/>
          <w:highlight w:val="none"/>
        </w:rPr>
      </w:pPr>
      <w:bookmarkStart w:id="48" w:name="_Toc254970682"/>
      <w:bookmarkStart w:id="49" w:name="_Toc254970541"/>
      <w:r>
        <w:rPr>
          <w:b/>
          <w:bCs/>
          <w:color w:val="auto"/>
          <w:kern w:val="0"/>
          <w:szCs w:val="21"/>
          <w:highlight w:val="none"/>
        </w:rPr>
        <w:t>3.5谈判保证金</w:t>
      </w:r>
      <w:bookmarkEnd w:id="48"/>
      <w:bookmarkEnd w:id="49"/>
    </w:p>
    <w:p w14:paraId="34E27C34">
      <w:pPr>
        <w:spacing w:before="120" w:line="320" w:lineRule="atLeast"/>
        <w:ind w:firstLine="420" w:firstLineChars="200"/>
        <w:rPr>
          <w:color w:val="auto"/>
          <w:szCs w:val="21"/>
          <w:highlight w:val="none"/>
        </w:rPr>
      </w:pPr>
      <w:r>
        <w:rPr>
          <w:color w:val="auto"/>
          <w:szCs w:val="21"/>
          <w:highlight w:val="none"/>
        </w:rPr>
        <w:t>3.5.1供应商须按须知前附表规定提交谈判保证金，</w:t>
      </w:r>
      <w:r>
        <w:rPr>
          <w:b/>
          <w:bCs/>
          <w:color w:val="auto"/>
          <w:szCs w:val="21"/>
          <w:highlight w:val="none"/>
        </w:rPr>
        <w:t>否则其响应将被否决</w:t>
      </w:r>
      <w:r>
        <w:rPr>
          <w:color w:val="auto"/>
          <w:szCs w:val="21"/>
          <w:highlight w:val="none"/>
        </w:rPr>
        <w:t>。除采购文件规定不予退还保证金的情形外，代理机构在规定时间内退回供应商的谈判保证金（供应商自行承担因未按供应商须知前附表要求交纳导致谈判保证金无法及时退还的责任）。</w:t>
      </w:r>
    </w:p>
    <w:p w14:paraId="6E244FC7">
      <w:pPr>
        <w:spacing w:before="120" w:line="320" w:lineRule="atLeast"/>
        <w:ind w:firstLine="420" w:firstLineChars="200"/>
        <w:rPr>
          <w:color w:val="auto"/>
          <w:szCs w:val="21"/>
          <w:highlight w:val="none"/>
        </w:rPr>
      </w:pPr>
      <w:r>
        <w:rPr>
          <w:color w:val="auto"/>
          <w:szCs w:val="21"/>
          <w:highlight w:val="none"/>
        </w:rPr>
        <w:t>3.5.2谈判保证金币种应与响应报价币种相同。</w:t>
      </w:r>
    </w:p>
    <w:p w14:paraId="11D18759">
      <w:pPr>
        <w:spacing w:before="120" w:line="320" w:lineRule="atLeast"/>
        <w:ind w:firstLine="420" w:firstLineChars="200"/>
        <w:rPr>
          <w:color w:val="auto"/>
          <w:szCs w:val="21"/>
          <w:highlight w:val="none"/>
        </w:rPr>
      </w:pPr>
      <w:r>
        <w:rPr>
          <w:color w:val="auto"/>
          <w:szCs w:val="21"/>
          <w:highlight w:val="none"/>
        </w:rPr>
        <w:t>3.5.3未成交供应商的谈判保证金在成交通知书发出后5个工作日内退还。成交供应商的谈判保证金在合同签订后5个工作日内退还（办理退还手续时需要向采购代理机构提供两份合同复印件）。</w:t>
      </w:r>
    </w:p>
    <w:p w14:paraId="73781F84">
      <w:pPr>
        <w:spacing w:before="120" w:line="320" w:lineRule="atLeast"/>
        <w:ind w:firstLine="420" w:firstLineChars="200"/>
        <w:rPr>
          <w:color w:val="auto"/>
          <w:szCs w:val="21"/>
          <w:highlight w:val="none"/>
        </w:rPr>
      </w:pPr>
      <w:r>
        <w:rPr>
          <w:color w:val="auto"/>
          <w:szCs w:val="21"/>
          <w:highlight w:val="none"/>
        </w:rPr>
        <w:t>3.5.4供应商有下列情形之一的，谈判保证金将不予退还：</w:t>
      </w:r>
    </w:p>
    <w:p w14:paraId="0A0EEA05">
      <w:pPr>
        <w:numPr>
          <w:ilvl w:val="0"/>
          <w:numId w:val="3"/>
        </w:numPr>
        <w:spacing w:before="120" w:line="320" w:lineRule="atLeast"/>
        <w:rPr>
          <w:color w:val="auto"/>
          <w:szCs w:val="21"/>
          <w:highlight w:val="none"/>
        </w:rPr>
      </w:pPr>
      <w:r>
        <w:rPr>
          <w:color w:val="auto"/>
          <w:szCs w:val="21"/>
          <w:highlight w:val="none"/>
        </w:rPr>
        <w:t>供应商在响应有效期内撤销响应文件的；</w:t>
      </w:r>
    </w:p>
    <w:p w14:paraId="360E94E2">
      <w:pPr>
        <w:numPr>
          <w:ilvl w:val="0"/>
          <w:numId w:val="3"/>
        </w:numPr>
        <w:spacing w:before="120" w:line="320" w:lineRule="atLeast"/>
        <w:rPr>
          <w:color w:val="auto"/>
          <w:szCs w:val="21"/>
          <w:highlight w:val="none"/>
        </w:rPr>
      </w:pPr>
      <w:r>
        <w:rPr>
          <w:rFonts w:hint="eastAsia"/>
          <w:color w:val="auto"/>
          <w:szCs w:val="21"/>
          <w:highlight w:val="none"/>
        </w:rPr>
        <w:t>供应商在提交响应文件截止时间后撤回响应文件的，但采取竞争性谈判方式采购且在提交最后报价之前退出谈判的情况除外；</w:t>
      </w:r>
    </w:p>
    <w:p w14:paraId="655EAB0B">
      <w:pPr>
        <w:numPr>
          <w:ilvl w:val="0"/>
          <w:numId w:val="3"/>
        </w:numPr>
        <w:spacing w:before="120" w:line="320" w:lineRule="atLeast"/>
        <w:rPr>
          <w:color w:val="auto"/>
          <w:szCs w:val="21"/>
          <w:highlight w:val="none"/>
        </w:rPr>
      </w:pPr>
      <w:r>
        <w:rPr>
          <w:color w:val="auto"/>
          <w:szCs w:val="21"/>
          <w:highlight w:val="none"/>
        </w:rPr>
        <w:t>供应商在响应过程中弄虚作假，提供虚假材料的；</w:t>
      </w:r>
    </w:p>
    <w:p w14:paraId="686B584D">
      <w:pPr>
        <w:numPr>
          <w:ilvl w:val="0"/>
          <w:numId w:val="3"/>
        </w:numPr>
        <w:spacing w:before="120" w:line="320" w:lineRule="atLeast"/>
        <w:rPr>
          <w:color w:val="auto"/>
          <w:szCs w:val="21"/>
          <w:highlight w:val="none"/>
        </w:rPr>
      </w:pPr>
      <w:r>
        <w:rPr>
          <w:color w:val="auto"/>
          <w:szCs w:val="21"/>
          <w:highlight w:val="none"/>
        </w:rPr>
        <w:t>成交供应商无正当理由不与采购人签订合同的；</w:t>
      </w:r>
    </w:p>
    <w:p w14:paraId="31B3850D">
      <w:pPr>
        <w:numPr>
          <w:ilvl w:val="0"/>
          <w:numId w:val="3"/>
        </w:numPr>
        <w:spacing w:before="120" w:line="320" w:lineRule="atLeast"/>
        <w:rPr>
          <w:color w:val="auto"/>
          <w:szCs w:val="21"/>
          <w:highlight w:val="none"/>
        </w:rPr>
      </w:pPr>
      <w:r>
        <w:rPr>
          <w:color w:val="auto"/>
          <w:szCs w:val="21"/>
          <w:highlight w:val="none"/>
        </w:rPr>
        <w:t>将成交项目转让给他人或者在响应文件中未说明且未经采购人同意，将成交项目分包给他人的；</w:t>
      </w:r>
    </w:p>
    <w:p w14:paraId="66A1A6ED">
      <w:pPr>
        <w:numPr>
          <w:ilvl w:val="0"/>
          <w:numId w:val="3"/>
        </w:numPr>
        <w:spacing w:before="120" w:line="320" w:lineRule="atLeast"/>
        <w:rPr>
          <w:color w:val="auto"/>
          <w:szCs w:val="21"/>
          <w:highlight w:val="none"/>
        </w:rPr>
      </w:pPr>
      <w:r>
        <w:rPr>
          <w:rFonts w:hint="eastAsia"/>
          <w:color w:val="auto"/>
          <w:szCs w:val="21"/>
          <w:highlight w:val="none"/>
        </w:rPr>
        <w:t>供应商与采购人、其他供应商或者采购代理机构恶意串通的；</w:t>
      </w:r>
    </w:p>
    <w:p w14:paraId="41F4F183">
      <w:pPr>
        <w:numPr>
          <w:ilvl w:val="0"/>
          <w:numId w:val="3"/>
        </w:numPr>
        <w:spacing w:before="120" w:line="320" w:lineRule="atLeast"/>
        <w:rPr>
          <w:color w:val="auto"/>
          <w:szCs w:val="21"/>
          <w:highlight w:val="none"/>
        </w:rPr>
      </w:pPr>
      <w:r>
        <w:rPr>
          <w:color w:val="auto"/>
          <w:szCs w:val="21"/>
          <w:highlight w:val="none"/>
        </w:rPr>
        <w:t>拒绝履行合同义务的；</w:t>
      </w:r>
    </w:p>
    <w:p w14:paraId="19FD0CE1">
      <w:pPr>
        <w:numPr>
          <w:ilvl w:val="0"/>
          <w:numId w:val="3"/>
        </w:numPr>
        <w:spacing w:before="120" w:line="320" w:lineRule="atLeast"/>
        <w:rPr>
          <w:color w:val="auto"/>
          <w:szCs w:val="21"/>
          <w:highlight w:val="none"/>
        </w:rPr>
      </w:pPr>
      <w:r>
        <w:rPr>
          <w:color w:val="auto"/>
          <w:szCs w:val="21"/>
          <w:highlight w:val="none"/>
        </w:rPr>
        <w:t>其他严重扰乱招</w:t>
      </w:r>
      <w:r>
        <w:rPr>
          <w:rFonts w:hint="eastAsia"/>
          <w:color w:val="auto"/>
          <w:szCs w:val="21"/>
          <w:highlight w:val="none"/>
        </w:rPr>
        <w:t>投标</w:t>
      </w:r>
      <w:r>
        <w:rPr>
          <w:color w:val="auto"/>
          <w:szCs w:val="21"/>
          <w:highlight w:val="none"/>
        </w:rPr>
        <w:t>程序的</w:t>
      </w:r>
      <w:r>
        <w:rPr>
          <w:rFonts w:hint="eastAsia"/>
          <w:color w:val="auto"/>
          <w:szCs w:val="21"/>
          <w:highlight w:val="none"/>
        </w:rPr>
        <w:t>。</w:t>
      </w:r>
    </w:p>
    <w:p w14:paraId="48D0C350">
      <w:pPr>
        <w:spacing w:before="120" w:line="320" w:lineRule="atLeast"/>
        <w:ind w:firstLine="422" w:firstLineChars="200"/>
        <w:outlineLvl w:val="2"/>
        <w:rPr>
          <w:b/>
          <w:bCs/>
          <w:color w:val="auto"/>
          <w:kern w:val="0"/>
          <w:szCs w:val="21"/>
          <w:highlight w:val="none"/>
        </w:rPr>
      </w:pPr>
      <w:bookmarkStart w:id="50" w:name="_Toc254970683"/>
      <w:bookmarkStart w:id="51" w:name="_Toc254970542"/>
      <w:r>
        <w:rPr>
          <w:b/>
          <w:bCs/>
          <w:color w:val="auto"/>
          <w:kern w:val="0"/>
          <w:szCs w:val="21"/>
          <w:highlight w:val="none"/>
        </w:rPr>
        <w:t>3.6响应文件的</w:t>
      </w:r>
      <w:bookmarkEnd w:id="50"/>
      <w:bookmarkEnd w:id="51"/>
      <w:r>
        <w:rPr>
          <w:b/>
          <w:bCs/>
          <w:color w:val="auto"/>
          <w:kern w:val="0"/>
          <w:szCs w:val="21"/>
          <w:highlight w:val="none"/>
        </w:rPr>
        <w:t>编制要求</w:t>
      </w:r>
    </w:p>
    <w:p w14:paraId="261C6AC4">
      <w:pPr>
        <w:spacing w:before="120" w:line="320" w:lineRule="atLeast"/>
        <w:ind w:firstLine="420" w:firstLineChars="200"/>
        <w:rPr>
          <w:b/>
          <w:bCs/>
          <w:color w:val="auto"/>
          <w:kern w:val="0"/>
          <w:szCs w:val="21"/>
          <w:highlight w:val="none"/>
        </w:rPr>
      </w:pPr>
      <w:r>
        <w:rPr>
          <w:rFonts w:hint="eastAsia"/>
          <w:color w:val="auto"/>
          <w:kern w:val="0"/>
          <w:szCs w:val="21"/>
          <w:highlight w:val="none"/>
        </w:rPr>
        <w:t>3</w:t>
      </w:r>
      <w:r>
        <w:rPr>
          <w:color w:val="auto"/>
          <w:kern w:val="0"/>
          <w:szCs w:val="21"/>
          <w:highlight w:val="none"/>
        </w:rPr>
        <w:t>.6.1</w:t>
      </w:r>
      <w:r>
        <w:rPr>
          <w:rFonts w:hint="eastAsia"/>
          <w:color w:val="auto"/>
          <w:szCs w:val="21"/>
          <w:highlight w:val="none"/>
        </w:rPr>
        <w:t>供应商应先安装广西政府采购云平台新版客户端，通过账号密码或C</w:t>
      </w:r>
      <w:r>
        <w:rPr>
          <w:color w:val="auto"/>
          <w:szCs w:val="21"/>
          <w:highlight w:val="none"/>
        </w:rPr>
        <w:t>A</w:t>
      </w:r>
      <w:r>
        <w:rPr>
          <w:rFonts w:hint="eastAsia"/>
          <w:color w:val="auto"/>
          <w:szCs w:val="21"/>
          <w:highlight w:val="none"/>
        </w:rPr>
        <w:t>登录客户端制作响应文件。</w:t>
      </w:r>
    </w:p>
    <w:p w14:paraId="3E803120">
      <w:pPr>
        <w:spacing w:before="120" w:line="320" w:lineRule="atLeast"/>
        <w:ind w:firstLine="420" w:firstLineChars="200"/>
        <w:rPr>
          <w:color w:val="auto"/>
          <w:szCs w:val="21"/>
          <w:highlight w:val="none"/>
        </w:rPr>
      </w:pPr>
      <w:r>
        <w:rPr>
          <w:rFonts w:hint="eastAsia"/>
          <w:color w:val="auto"/>
          <w:szCs w:val="21"/>
          <w:highlight w:val="none"/>
        </w:rPr>
        <w:t>3.6.2供应商应按本采购文件规定的格式和顺序编制响应文件并进行关联定位，以便谈判小组在评审时，点击评分项可直接定位到该评分项内容。如对采购文件的某项要求，供应商的响应文件未能关联定位提供相应的内容与其对应，则谈判小组在评审时如做出对供应商不利的评审由供应商自行承担。响应文件如内容不完整、编排混乱导致响应文件被误读、漏读，或者在按采购文件规定的部位查找不到相关内容的，由供应商自行承担。</w:t>
      </w:r>
    </w:p>
    <w:p w14:paraId="1464B93C">
      <w:pPr>
        <w:spacing w:before="120" w:line="320" w:lineRule="atLeast"/>
        <w:ind w:firstLine="420" w:firstLineChars="200"/>
        <w:rPr>
          <w:color w:val="auto"/>
          <w:szCs w:val="21"/>
          <w:highlight w:val="none"/>
        </w:rPr>
      </w:pPr>
      <w:r>
        <w:rPr>
          <w:rFonts w:hint="eastAsia"/>
          <w:color w:val="auto"/>
          <w:szCs w:val="21"/>
          <w:highlight w:val="none"/>
        </w:rPr>
        <w:t>3.6.3 供应商的响应文件未按照采购文件要求签署、盖章的，其响应无效。</w:t>
      </w:r>
    </w:p>
    <w:p w14:paraId="4D351F69">
      <w:pPr>
        <w:spacing w:before="120" w:line="320" w:lineRule="atLeast"/>
        <w:ind w:firstLine="420" w:firstLineChars="200"/>
        <w:rPr>
          <w:color w:val="auto"/>
          <w:szCs w:val="21"/>
          <w:highlight w:val="none"/>
        </w:rPr>
      </w:pPr>
      <w:r>
        <w:rPr>
          <w:color w:val="auto"/>
          <w:szCs w:val="21"/>
          <w:highlight w:val="none"/>
        </w:rPr>
        <w:t>3.6.4</w:t>
      </w:r>
      <w:r>
        <w:rPr>
          <w:rFonts w:hint="eastAsia"/>
          <w:color w:val="auto"/>
          <w:szCs w:val="21"/>
          <w:highlight w:val="none"/>
        </w:rPr>
        <w:t>为确保网上操作合法、有效和安全，供应商应当在响应截止时间前完成在广西政府采购云平台的身份认证，确保在电子投标过程中能够对相关数据电文进行加密和使用电子签名。</w:t>
      </w:r>
    </w:p>
    <w:p w14:paraId="7BD458DA">
      <w:pPr>
        <w:spacing w:before="120" w:line="320" w:lineRule="atLeast"/>
        <w:ind w:firstLine="420" w:firstLineChars="200"/>
        <w:rPr>
          <w:color w:val="auto"/>
          <w:szCs w:val="21"/>
          <w:highlight w:val="none"/>
        </w:rPr>
      </w:pPr>
      <w:r>
        <w:rPr>
          <w:rFonts w:hint="eastAsia"/>
          <w:color w:val="auto"/>
          <w:szCs w:val="21"/>
          <w:highlight w:val="none"/>
        </w:rPr>
        <w:t>3</w:t>
      </w:r>
      <w:r>
        <w:rPr>
          <w:color w:val="auto"/>
          <w:szCs w:val="21"/>
          <w:highlight w:val="none"/>
        </w:rPr>
        <w:t>.6.5</w:t>
      </w:r>
      <w:r>
        <w:rPr>
          <w:rFonts w:hint="eastAsia"/>
          <w:color w:val="auto"/>
          <w:szCs w:val="21"/>
          <w:highlight w:val="none"/>
        </w:rPr>
        <w:t>响应文件中标注的供应商名称应与主体资格证明（如营业执照、事业单位法人证书、执业许可证、个体工商户营业执照、自然人身份证等）和公章/电子签章一致，</w:t>
      </w:r>
      <w:r>
        <w:rPr>
          <w:rFonts w:hint="eastAsia"/>
          <w:b/>
          <w:bCs/>
          <w:color w:val="auto"/>
          <w:szCs w:val="21"/>
          <w:highlight w:val="none"/>
        </w:rPr>
        <w:t>否则作无效响应处理。</w:t>
      </w:r>
    </w:p>
    <w:p w14:paraId="68B51863">
      <w:pPr>
        <w:spacing w:before="120" w:line="320" w:lineRule="atLeast"/>
        <w:ind w:firstLine="422" w:firstLineChars="200"/>
        <w:outlineLvl w:val="2"/>
        <w:rPr>
          <w:b/>
          <w:bCs/>
          <w:color w:val="auto"/>
          <w:kern w:val="0"/>
          <w:szCs w:val="21"/>
          <w:highlight w:val="none"/>
        </w:rPr>
      </w:pPr>
      <w:r>
        <w:rPr>
          <w:b/>
          <w:bCs/>
          <w:color w:val="auto"/>
          <w:kern w:val="0"/>
          <w:szCs w:val="21"/>
          <w:highlight w:val="none"/>
        </w:rPr>
        <w:t>3.7响应文件的递交、修改和撤回</w:t>
      </w:r>
    </w:p>
    <w:p w14:paraId="758E87B6">
      <w:pPr>
        <w:spacing w:before="120" w:line="320" w:lineRule="atLeast"/>
        <w:ind w:firstLine="420" w:firstLineChars="200"/>
        <w:rPr>
          <w:color w:val="auto"/>
          <w:szCs w:val="21"/>
          <w:highlight w:val="none"/>
        </w:rPr>
      </w:pPr>
      <w:r>
        <w:rPr>
          <w:color w:val="auto"/>
          <w:szCs w:val="21"/>
          <w:highlight w:val="none"/>
        </w:rPr>
        <w:t>3.7.1</w:t>
      </w:r>
      <w:r>
        <w:rPr>
          <w:rFonts w:hint="eastAsia"/>
          <w:color w:val="auto"/>
          <w:szCs w:val="21"/>
          <w:highlight w:val="none"/>
        </w:rPr>
        <w:t xml:space="preserve">供应商必须在“供应商须知前附表”规定的响应文件截标时间和响应地点提交电子版响应文件。电子响应文件应在制作完成后，在响应截止时间前通过有效数字证书（CA认证锁）进行电子签章、加密，然后通过网络将加密的电子响应文件递交至广西政府采购云平台。 </w:t>
      </w:r>
    </w:p>
    <w:p w14:paraId="1CB909B4">
      <w:pPr>
        <w:spacing w:before="120" w:line="320" w:lineRule="atLeast"/>
        <w:ind w:firstLine="420" w:firstLineChars="200"/>
        <w:rPr>
          <w:color w:val="auto"/>
          <w:szCs w:val="21"/>
          <w:highlight w:val="none"/>
        </w:rPr>
      </w:pPr>
      <w:r>
        <w:rPr>
          <w:rFonts w:hint="eastAsia"/>
          <w:color w:val="auto"/>
          <w:szCs w:val="21"/>
          <w:highlight w:val="none"/>
        </w:rPr>
        <w:t>3</w:t>
      </w:r>
      <w:r>
        <w:rPr>
          <w:color w:val="auto"/>
          <w:szCs w:val="21"/>
          <w:highlight w:val="none"/>
        </w:rPr>
        <w:t>.7.2</w:t>
      </w:r>
      <w:r>
        <w:rPr>
          <w:rFonts w:hint="eastAsia"/>
          <w:color w:val="auto"/>
          <w:szCs w:val="21"/>
          <w:highlight w:val="none"/>
        </w:rPr>
        <w:t xml:space="preserve">未在规定时间内提交或者未按照采购文件要求签章、加密的电子响应文件，广西政府采购云平台将拒收。 </w:t>
      </w:r>
    </w:p>
    <w:p w14:paraId="03FBD369">
      <w:pPr>
        <w:spacing w:before="120" w:line="320" w:lineRule="atLeast"/>
        <w:ind w:left="2" w:leftChars="1" w:firstLine="420" w:firstLineChars="200"/>
        <w:rPr>
          <w:color w:val="auto"/>
          <w:szCs w:val="21"/>
          <w:highlight w:val="none"/>
        </w:rPr>
      </w:pPr>
      <w:bookmarkStart w:id="52" w:name="_Toc254970685"/>
      <w:bookmarkStart w:id="53" w:name="_Toc254970544"/>
      <w:r>
        <w:rPr>
          <w:rFonts w:hint="eastAsia"/>
          <w:color w:val="auto"/>
          <w:szCs w:val="21"/>
          <w:highlight w:val="none"/>
        </w:rPr>
        <w:t>3</w:t>
      </w:r>
      <w:r>
        <w:rPr>
          <w:color w:val="auto"/>
          <w:szCs w:val="21"/>
          <w:highlight w:val="none"/>
        </w:rPr>
        <w:t>.7.3</w:t>
      </w:r>
      <w:r>
        <w:rPr>
          <w:rFonts w:hint="eastAsia"/>
          <w:color w:val="auto"/>
          <w:szCs w:val="21"/>
          <w:highlight w:val="none"/>
        </w:rPr>
        <w:t>供应商应当在响应截止时间前完成响应文件的传输递交，并可以补充、修改或者撤回响应文件。补充或者修改响应文件的，应当先行撤回原文件，补充、修改后重新传输递交。响应截止时间前未完成传输的，视为撤回响应文件。响应截止时间后递交的响应文件，广西政府采购云平台将拒收。</w:t>
      </w:r>
    </w:p>
    <w:p w14:paraId="344F81F0">
      <w:pPr>
        <w:spacing w:before="120" w:line="320" w:lineRule="atLeast"/>
        <w:ind w:left="2" w:leftChars="1" w:firstLine="420" w:firstLineChars="200"/>
        <w:rPr>
          <w:color w:val="auto"/>
          <w:szCs w:val="21"/>
          <w:highlight w:val="none"/>
        </w:rPr>
      </w:pPr>
      <w:r>
        <w:rPr>
          <w:color w:val="auto"/>
          <w:szCs w:val="21"/>
          <w:highlight w:val="none"/>
        </w:rPr>
        <w:t>3.7.4</w:t>
      </w:r>
      <w:r>
        <w:rPr>
          <w:rFonts w:hint="eastAsia"/>
          <w:color w:val="auto"/>
          <w:szCs w:val="21"/>
          <w:highlight w:val="none"/>
        </w:rPr>
        <w:t>在响应截止时间前，除供应商补充、修改或者撤回响应文件外，任何单位和个人不得解密或提取响应文件。</w:t>
      </w:r>
    </w:p>
    <w:p w14:paraId="6B50EF36">
      <w:pPr>
        <w:spacing w:before="120" w:line="320" w:lineRule="atLeast"/>
        <w:ind w:left="2" w:leftChars="1" w:firstLine="420" w:firstLineChars="200"/>
        <w:rPr>
          <w:color w:val="auto"/>
          <w:szCs w:val="21"/>
          <w:highlight w:val="none"/>
        </w:rPr>
      </w:pPr>
      <w:r>
        <w:rPr>
          <w:color w:val="auto"/>
          <w:szCs w:val="21"/>
          <w:highlight w:val="none"/>
        </w:rPr>
        <w:t>3.7.5</w:t>
      </w:r>
      <w:r>
        <w:rPr>
          <w:rFonts w:hint="eastAsia"/>
          <w:color w:val="auto"/>
          <w:szCs w:val="21"/>
          <w:highlight w:val="none"/>
        </w:rPr>
        <w:t>在响应截止时间止提交电子版响应文件的供应商不足3家时，电子版响应文件由代理机构在广西政府采购云平台操作退回，除此之外采购人和采购代理机构对已提交的响应文件概不退回。</w:t>
      </w:r>
    </w:p>
    <w:p w14:paraId="7428BA41">
      <w:pPr>
        <w:spacing w:before="120" w:line="320" w:lineRule="atLeast"/>
        <w:ind w:left="2" w:leftChars="1" w:firstLine="420" w:firstLineChars="200"/>
        <w:rPr>
          <w:color w:val="auto"/>
          <w:szCs w:val="21"/>
          <w:highlight w:val="none"/>
        </w:rPr>
      </w:pPr>
      <w:bookmarkStart w:id="54" w:name="_Hlk93046827"/>
      <w:r>
        <w:rPr>
          <w:rFonts w:hint="eastAsia"/>
          <w:color w:val="auto"/>
          <w:szCs w:val="21"/>
          <w:highlight w:val="none"/>
        </w:rPr>
        <w:t>3</w:t>
      </w:r>
      <w:r>
        <w:rPr>
          <w:color w:val="auto"/>
          <w:szCs w:val="21"/>
          <w:highlight w:val="none"/>
        </w:rPr>
        <w:t>.7.6</w:t>
      </w:r>
      <w:r>
        <w:rPr>
          <w:rFonts w:hint="eastAsia"/>
          <w:color w:val="auto"/>
          <w:szCs w:val="21"/>
          <w:highlight w:val="none"/>
        </w:rPr>
        <w:t>采购文件未允许同一供应商提交两个或以上不同的响应文件，但存在</w:t>
      </w:r>
      <w:r>
        <w:rPr>
          <w:rFonts w:hint="eastAsia"/>
          <w:color w:val="auto"/>
          <w:highlight w:val="none"/>
        </w:rPr>
        <w:t>同</w:t>
      </w:r>
      <w:r>
        <w:rPr>
          <w:rFonts w:hint="eastAsia"/>
          <w:color w:val="auto"/>
          <w:szCs w:val="21"/>
          <w:highlight w:val="none"/>
        </w:rPr>
        <w:t>一供应商提交两个或以上不同的响应文件的，</w:t>
      </w:r>
      <w:r>
        <w:rPr>
          <w:rFonts w:hint="eastAsia"/>
          <w:b/>
          <w:bCs/>
          <w:color w:val="auto"/>
          <w:szCs w:val="21"/>
          <w:highlight w:val="none"/>
        </w:rPr>
        <w:t>其响应无效。</w:t>
      </w:r>
      <w:r>
        <w:rPr>
          <w:rFonts w:hint="eastAsia"/>
          <w:color w:val="auto"/>
          <w:szCs w:val="21"/>
          <w:highlight w:val="none"/>
        </w:rPr>
        <w:t>供应商在同一响应文件中对某项技术、商务要求提供有选择性的响应参数或方案等同于提交两个或以上不同的响应文件。</w:t>
      </w:r>
      <w:bookmarkEnd w:id="54"/>
    </w:p>
    <w:p w14:paraId="3191C336">
      <w:pPr>
        <w:spacing w:before="120" w:line="320" w:lineRule="atLeast"/>
        <w:ind w:left="2" w:leftChars="1" w:firstLine="422" w:firstLineChars="200"/>
        <w:outlineLvl w:val="1"/>
        <w:rPr>
          <w:b/>
          <w:bCs/>
          <w:color w:val="auto"/>
          <w:kern w:val="0"/>
          <w:szCs w:val="21"/>
          <w:highlight w:val="none"/>
        </w:rPr>
      </w:pPr>
      <w:r>
        <w:rPr>
          <w:b/>
          <w:bCs/>
          <w:color w:val="auto"/>
          <w:kern w:val="0"/>
          <w:szCs w:val="21"/>
          <w:highlight w:val="none"/>
        </w:rPr>
        <w:t>4．截标</w:t>
      </w:r>
      <w:bookmarkEnd w:id="52"/>
      <w:bookmarkEnd w:id="53"/>
    </w:p>
    <w:p w14:paraId="13EC3186">
      <w:pPr>
        <w:spacing w:before="120" w:line="320" w:lineRule="atLeast"/>
        <w:ind w:firstLine="422" w:firstLineChars="200"/>
        <w:outlineLvl w:val="2"/>
        <w:rPr>
          <w:b/>
          <w:bCs/>
          <w:color w:val="auto"/>
          <w:kern w:val="0"/>
          <w:szCs w:val="21"/>
          <w:highlight w:val="none"/>
        </w:rPr>
      </w:pPr>
      <w:r>
        <w:rPr>
          <w:b/>
          <w:bCs/>
          <w:color w:val="auto"/>
          <w:kern w:val="0"/>
          <w:szCs w:val="21"/>
          <w:highlight w:val="none"/>
        </w:rPr>
        <w:t>4.1截标准备</w:t>
      </w:r>
    </w:p>
    <w:p w14:paraId="7E758156">
      <w:pPr>
        <w:spacing w:before="120" w:line="276" w:lineRule="auto"/>
        <w:ind w:firstLine="420" w:firstLineChars="200"/>
        <w:rPr>
          <w:color w:val="auto"/>
          <w:szCs w:val="21"/>
          <w:highlight w:val="none"/>
        </w:rPr>
      </w:pPr>
      <w:r>
        <w:rPr>
          <w:color w:val="auto"/>
          <w:szCs w:val="21"/>
          <w:highlight w:val="none"/>
        </w:rPr>
        <w:t>本项目响应截止时间及地点见“供应商须知前附表”规定。</w:t>
      </w:r>
    </w:p>
    <w:p w14:paraId="46EC8BF1">
      <w:pPr>
        <w:autoSpaceDE w:val="0"/>
        <w:autoSpaceDN w:val="0"/>
        <w:adjustRightInd w:val="0"/>
        <w:spacing w:line="276" w:lineRule="auto"/>
        <w:ind w:firstLine="420" w:firstLineChars="200"/>
        <w:rPr>
          <w:color w:val="auto"/>
          <w:szCs w:val="21"/>
          <w:highlight w:val="none"/>
        </w:rPr>
      </w:pPr>
      <w:r>
        <w:rPr>
          <w:rFonts w:hint="eastAsia"/>
          <w:color w:val="auto"/>
          <w:szCs w:val="21"/>
          <w:highlight w:val="none"/>
        </w:rPr>
        <w:t>全流程电子化项目没有现场递交响应文件及现场截标环节。采购代理机构将按照采购文件规定的时间通过广西政府采购云平台组织线上截标活动、开启响应文件，所有供应商均应当准时在线参加。供应商</w:t>
      </w:r>
      <w:r>
        <w:rPr>
          <w:color w:val="auto"/>
          <w:szCs w:val="21"/>
          <w:highlight w:val="none"/>
        </w:rPr>
        <w:t>如不</w:t>
      </w:r>
      <w:r>
        <w:rPr>
          <w:rFonts w:hint="eastAsia"/>
          <w:color w:val="auto"/>
          <w:szCs w:val="21"/>
          <w:highlight w:val="none"/>
        </w:rPr>
        <w:t>参加</w:t>
      </w:r>
      <w:r>
        <w:rPr>
          <w:color w:val="auto"/>
          <w:szCs w:val="21"/>
          <w:highlight w:val="none"/>
        </w:rPr>
        <w:t>截标大会的，</w:t>
      </w:r>
      <w:r>
        <w:rPr>
          <w:rFonts w:hint="eastAsia"/>
          <w:color w:val="auto"/>
          <w:szCs w:val="21"/>
          <w:highlight w:val="none"/>
        </w:rPr>
        <w:t>视同认可截标结果，</w:t>
      </w:r>
      <w:r>
        <w:rPr>
          <w:color w:val="auto"/>
          <w:szCs w:val="21"/>
          <w:highlight w:val="none"/>
        </w:rPr>
        <w:t>事后不得对采购相关人员、截标过程和截标结果提出异议</w:t>
      </w:r>
      <w:r>
        <w:rPr>
          <w:rFonts w:hint="eastAsia"/>
          <w:color w:val="auto"/>
          <w:szCs w:val="21"/>
          <w:highlight w:val="none"/>
        </w:rPr>
        <w:t>，同时供应商因未在线参加截标而导致响应文件无法按时解密等一切后果由供应商自己承担。</w:t>
      </w:r>
    </w:p>
    <w:p w14:paraId="2C89F505">
      <w:pPr>
        <w:spacing w:before="120" w:line="276" w:lineRule="auto"/>
        <w:ind w:firstLine="420" w:firstLineChars="200"/>
        <w:rPr>
          <w:color w:val="auto"/>
          <w:szCs w:val="21"/>
          <w:highlight w:val="none"/>
        </w:rPr>
      </w:pPr>
      <w:r>
        <w:rPr>
          <w:rFonts w:hint="eastAsia"/>
          <w:color w:val="auto"/>
          <w:szCs w:val="21"/>
          <w:highlight w:val="none"/>
        </w:rPr>
        <w:t xml:space="preserve">如供应商成功解密响应文件，但未在广西政府采购云平台电子开标大厅参加截标的，视同认可截标过程和结果，由此产生的后果由供应商自行负责。 </w:t>
      </w:r>
    </w:p>
    <w:p w14:paraId="0E493378">
      <w:pPr>
        <w:spacing w:before="120" w:line="320" w:lineRule="atLeast"/>
        <w:ind w:firstLine="422" w:firstLineChars="200"/>
        <w:outlineLvl w:val="2"/>
        <w:rPr>
          <w:b/>
          <w:bCs/>
          <w:color w:val="auto"/>
          <w:kern w:val="0"/>
          <w:szCs w:val="21"/>
          <w:highlight w:val="none"/>
        </w:rPr>
      </w:pPr>
      <w:r>
        <w:rPr>
          <w:b/>
          <w:bCs/>
          <w:color w:val="auto"/>
          <w:kern w:val="0"/>
          <w:szCs w:val="21"/>
          <w:highlight w:val="none"/>
        </w:rPr>
        <w:t>4.2截标程序</w:t>
      </w:r>
    </w:p>
    <w:p w14:paraId="5CA39557">
      <w:pPr>
        <w:spacing w:before="120" w:line="320" w:lineRule="atLeast"/>
        <w:ind w:firstLine="420" w:firstLineChars="200"/>
        <w:rPr>
          <w:color w:val="auto"/>
          <w:szCs w:val="21"/>
          <w:highlight w:val="none"/>
        </w:rPr>
      </w:pPr>
      <w:r>
        <w:rPr>
          <w:color w:val="auto"/>
          <w:szCs w:val="21"/>
          <w:highlight w:val="none"/>
        </w:rPr>
        <w:t>4.2.1</w:t>
      </w:r>
      <w:r>
        <w:rPr>
          <w:rFonts w:hint="eastAsia"/>
          <w:color w:val="auto"/>
          <w:szCs w:val="21"/>
          <w:highlight w:val="none"/>
        </w:rPr>
        <w:t>供应商登录广西政府采购云平台进入开标大厅签到。</w:t>
      </w:r>
    </w:p>
    <w:p w14:paraId="3E3B9301">
      <w:pPr>
        <w:spacing w:before="120" w:line="320" w:lineRule="atLeast"/>
        <w:ind w:firstLine="420" w:firstLineChars="200"/>
        <w:rPr>
          <w:color w:val="auto"/>
          <w:szCs w:val="21"/>
          <w:highlight w:val="none"/>
        </w:rPr>
      </w:pPr>
      <w:r>
        <w:rPr>
          <w:rFonts w:hint="eastAsia"/>
          <w:color w:val="auto"/>
          <w:szCs w:val="21"/>
          <w:highlight w:val="none"/>
        </w:rPr>
        <w:t>4</w:t>
      </w:r>
      <w:r>
        <w:rPr>
          <w:color w:val="auto"/>
          <w:szCs w:val="21"/>
          <w:highlight w:val="none"/>
        </w:rPr>
        <w:t>.2.2</w:t>
      </w:r>
      <w:r>
        <w:rPr>
          <w:rFonts w:hint="eastAsia"/>
          <w:color w:val="auto"/>
          <w:szCs w:val="21"/>
          <w:highlight w:val="none"/>
        </w:rPr>
        <w:t>解密电子响应文件。广西政府采购云平台按截标时间自动提取所有响应文件。采购代理机构在广西政府采购云平台向各供应商发出电子加密响应文件开始解密通知，由供应商平台设置时间内自行进行响应文件解密。供应商须使用加密时所用的CA锁准时登录到广西政府采购云平台电子开标大厅签到并对电子响应文件解密。截标后供应商未及时进行解密的，代理机构可通知供应商。</w:t>
      </w:r>
      <w:bookmarkStart w:id="55" w:name="_Hlk106637960"/>
      <w:r>
        <w:rPr>
          <w:rFonts w:hint="eastAsia"/>
          <w:color w:val="auto"/>
          <w:highlight w:val="none"/>
        </w:rPr>
        <w:t>通知后供应商仍未在上述规定时间内解密响应文件</w:t>
      </w:r>
      <w:bookmarkEnd w:id="55"/>
      <w:r>
        <w:rPr>
          <w:rFonts w:hint="eastAsia"/>
          <w:color w:val="auto"/>
          <w:szCs w:val="21"/>
          <w:highlight w:val="none"/>
        </w:rPr>
        <w:t>，或者供应商没预留联系方式或预留联系方式无效导致代理机构无法联系到供应商进行解密的，均视为无效响应。</w:t>
      </w:r>
    </w:p>
    <w:p w14:paraId="03A06AD3">
      <w:pPr>
        <w:spacing w:before="120" w:line="320" w:lineRule="atLeast"/>
        <w:ind w:firstLine="420" w:firstLineChars="200"/>
        <w:rPr>
          <w:color w:val="auto"/>
          <w:szCs w:val="21"/>
          <w:highlight w:val="none"/>
        </w:rPr>
      </w:pPr>
      <w:r>
        <w:rPr>
          <w:rFonts w:hint="eastAsia"/>
          <w:color w:val="auto"/>
          <w:szCs w:val="21"/>
          <w:highlight w:val="none"/>
        </w:rPr>
        <w:t>4</w:t>
      </w:r>
      <w:r>
        <w:rPr>
          <w:color w:val="auto"/>
          <w:szCs w:val="21"/>
          <w:highlight w:val="none"/>
        </w:rPr>
        <w:t>.2.3</w:t>
      </w:r>
      <w:bookmarkStart w:id="56" w:name="_Hlk106637968"/>
      <w:r>
        <w:rPr>
          <w:rFonts w:hint="eastAsia"/>
          <w:color w:val="auto"/>
          <w:szCs w:val="21"/>
          <w:highlight w:val="none"/>
        </w:rPr>
        <w:t>广西政府采购云平台设置有备份响应文件功能。备份响应文件是指平台设置为接受备份响应文件时，如出现供应商上传的响应文件存在问题或其他供应商原因引起解密异常时，供应商可以在规定时间内将备份响应文件通过邮箱发送至采购代理机构，由代理机构上传备份响应文件后自动解密从而避免被视为无效响应。是否接受备份响应文件详见供应商须知前附表，如接受备份文件，供应商未在规定时间内发送备份响应文件的将视为无效响应。</w:t>
      </w:r>
    </w:p>
    <w:bookmarkEnd w:id="56"/>
    <w:p w14:paraId="3C0D8795">
      <w:pPr>
        <w:spacing w:before="120" w:line="320" w:lineRule="atLeast"/>
        <w:ind w:firstLine="420" w:firstLineChars="200"/>
        <w:rPr>
          <w:color w:val="auto"/>
          <w:szCs w:val="21"/>
          <w:highlight w:val="none"/>
        </w:rPr>
      </w:pPr>
      <w:r>
        <w:rPr>
          <w:rFonts w:hint="eastAsia"/>
          <w:color w:val="auto"/>
          <w:szCs w:val="21"/>
          <w:highlight w:val="none"/>
        </w:rPr>
        <w:t>4</w:t>
      </w:r>
      <w:r>
        <w:rPr>
          <w:color w:val="auto"/>
          <w:szCs w:val="21"/>
          <w:highlight w:val="none"/>
        </w:rPr>
        <w:t>.2.4</w:t>
      </w:r>
      <w:r>
        <w:rPr>
          <w:rFonts w:hint="eastAsia"/>
          <w:color w:val="auto"/>
          <w:szCs w:val="21"/>
          <w:highlight w:val="none"/>
        </w:rPr>
        <w:t>解密异常情况处理：详见本章</w:t>
      </w:r>
      <w:r>
        <w:rPr>
          <w:color w:val="auto"/>
          <w:szCs w:val="21"/>
          <w:highlight w:val="none"/>
        </w:rPr>
        <w:t>9.2</w:t>
      </w:r>
      <w:r>
        <w:rPr>
          <w:rFonts w:hint="eastAsia"/>
          <w:color w:val="auto"/>
          <w:szCs w:val="21"/>
          <w:highlight w:val="none"/>
        </w:rPr>
        <w:t>电子交易活动的中止。</w:t>
      </w:r>
    </w:p>
    <w:p w14:paraId="3209ADA6">
      <w:pPr>
        <w:spacing w:before="120" w:line="320" w:lineRule="atLeast"/>
        <w:ind w:firstLine="420" w:firstLineChars="200"/>
        <w:rPr>
          <w:color w:val="auto"/>
          <w:szCs w:val="21"/>
          <w:highlight w:val="none"/>
        </w:rPr>
      </w:pPr>
      <w:r>
        <w:rPr>
          <w:color w:val="auto"/>
          <w:szCs w:val="21"/>
          <w:highlight w:val="none"/>
        </w:rPr>
        <w:t>4.2.5截标结束。</w:t>
      </w:r>
    </w:p>
    <w:p w14:paraId="27BEA0A1">
      <w:pPr>
        <w:pStyle w:val="26"/>
        <w:snapToGrid w:val="0"/>
        <w:spacing w:line="440" w:lineRule="exact"/>
        <w:ind w:firstLine="422" w:firstLineChars="200"/>
        <w:rPr>
          <w:rFonts w:hAnsi="宋体"/>
          <w:color w:val="auto"/>
          <w:highlight w:val="none"/>
        </w:rPr>
      </w:pPr>
      <w:r>
        <w:rPr>
          <w:rFonts w:hint="eastAsia" w:hAnsi="宋体"/>
          <w:b/>
          <w:bCs/>
          <w:color w:val="auto"/>
          <w:highlight w:val="none"/>
        </w:rPr>
        <w:t>特别说明：</w:t>
      </w:r>
      <w:r>
        <w:rPr>
          <w:rFonts w:hint="eastAsia" w:hAnsi="宋体"/>
          <w:color w:val="auto"/>
          <w:highlight w:val="none"/>
        </w:rPr>
        <w:t>如遇广西政府采购云平台电子化截标或评审程序调整的，按调整后的程序执行。</w:t>
      </w:r>
    </w:p>
    <w:p w14:paraId="7E258080">
      <w:pPr>
        <w:spacing w:before="120" w:line="320" w:lineRule="atLeast"/>
        <w:ind w:firstLine="422" w:firstLineChars="200"/>
        <w:outlineLvl w:val="2"/>
        <w:rPr>
          <w:b/>
          <w:bCs/>
          <w:color w:val="auto"/>
          <w:kern w:val="0"/>
          <w:szCs w:val="21"/>
          <w:highlight w:val="none"/>
        </w:rPr>
      </w:pPr>
      <w:r>
        <w:rPr>
          <w:b/>
          <w:bCs/>
          <w:color w:val="auto"/>
          <w:kern w:val="0"/>
          <w:szCs w:val="21"/>
          <w:highlight w:val="none"/>
        </w:rPr>
        <w:t>4.3演示</w:t>
      </w:r>
    </w:p>
    <w:p w14:paraId="365B9646">
      <w:pPr>
        <w:spacing w:before="120" w:line="320" w:lineRule="atLeast"/>
        <w:ind w:firstLine="420" w:firstLineChars="200"/>
        <w:rPr>
          <w:color w:val="auto"/>
          <w:szCs w:val="21"/>
          <w:highlight w:val="none"/>
        </w:rPr>
      </w:pPr>
      <w:r>
        <w:rPr>
          <w:color w:val="auto"/>
          <w:szCs w:val="21"/>
          <w:highlight w:val="none"/>
        </w:rPr>
        <w:t>4.3.1“供应商须知前附表”规定在截标会议结束后进行演示的，供应商应按规定进行演示。</w:t>
      </w:r>
    </w:p>
    <w:p w14:paraId="6A7BD186">
      <w:pPr>
        <w:spacing w:before="120" w:line="320" w:lineRule="atLeast"/>
        <w:ind w:firstLine="420" w:firstLineChars="200"/>
        <w:rPr>
          <w:color w:val="auto"/>
          <w:szCs w:val="21"/>
          <w:highlight w:val="none"/>
        </w:rPr>
      </w:pPr>
      <w:r>
        <w:rPr>
          <w:color w:val="auto"/>
          <w:szCs w:val="21"/>
          <w:highlight w:val="none"/>
        </w:rPr>
        <w:t>4.3.2未按规定时间进行演示可能引起的演示分数被计为0分或响应无效等后果由供应商自行承担。</w:t>
      </w:r>
    </w:p>
    <w:p w14:paraId="441B516E">
      <w:pPr>
        <w:spacing w:before="120" w:line="320" w:lineRule="atLeast"/>
        <w:ind w:firstLine="422" w:firstLineChars="200"/>
        <w:outlineLvl w:val="2"/>
        <w:rPr>
          <w:color w:val="auto"/>
          <w:szCs w:val="21"/>
          <w:highlight w:val="none"/>
        </w:rPr>
      </w:pPr>
      <w:r>
        <w:rPr>
          <w:b/>
          <w:bCs/>
          <w:color w:val="auto"/>
          <w:kern w:val="0"/>
          <w:szCs w:val="21"/>
          <w:highlight w:val="none"/>
        </w:rPr>
        <w:t>4.4样品</w:t>
      </w:r>
    </w:p>
    <w:p w14:paraId="4CFFB32A">
      <w:pPr>
        <w:spacing w:before="120" w:line="320" w:lineRule="atLeast"/>
        <w:ind w:firstLine="420" w:firstLineChars="200"/>
        <w:rPr>
          <w:color w:val="auto"/>
          <w:szCs w:val="21"/>
          <w:highlight w:val="none"/>
        </w:rPr>
      </w:pPr>
      <w:r>
        <w:rPr>
          <w:color w:val="auto"/>
          <w:szCs w:val="21"/>
          <w:highlight w:val="none"/>
        </w:rPr>
        <w:t>4.4.1“供应商须知前附表”规定递交样品的，供应商应按前附表规定递交样品，递交样品时应附样品递交表（格式见第六章）。</w:t>
      </w:r>
    </w:p>
    <w:p w14:paraId="60931D6F">
      <w:pPr>
        <w:spacing w:before="120" w:line="320" w:lineRule="atLeast"/>
        <w:ind w:firstLine="420" w:firstLineChars="200"/>
        <w:rPr>
          <w:color w:val="auto"/>
          <w:szCs w:val="21"/>
          <w:highlight w:val="none"/>
        </w:rPr>
      </w:pPr>
      <w:r>
        <w:rPr>
          <w:color w:val="auto"/>
          <w:szCs w:val="21"/>
          <w:highlight w:val="none"/>
        </w:rPr>
        <w:t>4.4.2未按规定时间递交样品可能引起的样品分数被计为0分或响应无效等后果由供应商自行承担。</w:t>
      </w:r>
    </w:p>
    <w:p w14:paraId="7AF06C70">
      <w:pPr>
        <w:spacing w:before="120" w:line="320" w:lineRule="atLeast"/>
        <w:ind w:firstLine="420" w:firstLineChars="200"/>
        <w:rPr>
          <w:color w:val="auto"/>
          <w:szCs w:val="21"/>
          <w:highlight w:val="none"/>
        </w:rPr>
      </w:pPr>
      <w:bookmarkStart w:id="57" w:name="_Toc254970545"/>
      <w:bookmarkStart w:id="58" w:name="_Toc254970686"/>
      <w:r>
        <w:rPr>
          <w:color w:val="auto"/>
          <w:szCs w:val="21"/>
          <w:highlight w:val="none"/>
        </w:rPr>
        <w:t>4.4.3样品封存或退还的说明请见第六章响应文件格式所附样品递交表。</w:t>
      </w:r>
    </w:p>
    <w:p w14:paraId="3CCE99DA">
      <w:pPr>
        <w:spacing w:before="120" w:line="320" w:lineRule="atLeast"/>
        <w:ind w:left="2" w:leftChars="1" w:firstLine="422" w:firstLineChars="200"/>
        <w:outlineLvl w:val="1"/>
        <w:rPr>
          <w:b/>
          <w:bCs/>
          <w:color w:val="auto"/>
          <w:kern w:val="0"/>
          <w:szCs w:val="21"/>
          <w:highlight w:val="none"/>
        </w:rPr>
      </w:pPr>
      <w:r>
        <w:rPr>
          <w:b/>
          <w:bCs/>
          <w:color w:val="auto"/>
          <w:kern w:val="0"/>
          <w:szCs w:val="21"/>
          <w:highlight w:val="none"/>
        </w:rPr>
        <w:t>5．</w:t>
      </w:r>
      <w:r>
        <w:rPr>
          <w:rFonts w:hint="eastAsia"/>
          <w:b/>
          <w:bCs/>
          <w:color w:val="auto"/>
          <w:kern w:val="0"/>
          <w:szCs w:val="21"/>
          <w:highlight w:val="none"/>
        </w:rPr>
        <w:t>资格审查</w:t>
      </w:r>
    </w:p>
    <w:p w14:paraId="0081D503">
      <w:pPr>
        <w:spacing w:before="120" w:line="320" w:lineRule="atLeast"/>
        <w:ind w:left="2" w:leftChars="1" w:firstLine="420" w:firstLineChars="200"/>
        <w:outlineLvl w:val="2"/>
        <w:rPr>
          <w:bCs/>
          <w:color w:val="auto"/>
          <w:kern w:val="0"/>
          <w:szCs w:val="21"/>
          <w:highlight w:val="none"/>
        </w:rPr>
      </w:pPr>
      <w:r>
        <w:rPr>
          <w:rFonts w:hint="eastAsia"/>
          <w:bCs/>
          <w:color w:val="auto"/>
          <w:kern w:val="0"/>
          <w:szCs w:val="21"/>
          <w:highlight w:val="none"/>
        </w:rPr>
        <w:t>5</w:t>
      </w:r>
      <w:r>
        <w:rPr>
          <w:bCs/>
          <w:color w:val="auto"/>
          <w:kern w:val="0"/>
          <w:szCs w:val="21"/>
          <w:highlight w:val="none"/>
        </w:rPr>
        <w:t>.1</w:t>
      </w:r>
      <w:r>
        <w:rPr>
          <w:rFonts w:hint="eastAsia"/>
          <w:bCs/>
          <w:color w:val="auto"/>
          <w:kern w:val="0"/>
          <w:szCs w:val="21"/>
          <w:highlight w:val="none"/>
        </w:rPr>
        <w:t>截标</w:t>
      </w:r>
      <w:r>
        <w:rPr>
          <w:rFonts w:ascii="宋体" w:hAnsi="宋体"/>
          <w:bCs/>
          <w:color w:val="auto"/>
          <w:szCs w:val="21"/>
          <w:highlight w:val="none"/>
        </w:rPr>
        <w:t>后，</w:t>
      </w:r>
      <w:r>
        <w:rPr>
          <w:rFonts w:hint="eastAsia" w:ascii="宋体" w:hAnsi="宋体"/>
          <w:bCs/>
          <w:color w:val="auto"/>
          <w:szCs w:val="21"/>
          <w:highlight w:val="none"/>
        </w:rPr>
        <w:t>谈判小组通过电子交易平台</w:t>
      </w:r>
      <w:r>
        <w:rPr>
          <w:rFonts w:ascii="宋体" w:hAnsi="宋体"/>
          <w:bCs/>
          <w:color w:val="auto"/>
          <w:szCs w:val="21"/>
          <w:highlight w:val="none"/>
        </w:rPr>
        <w:t>对供应商的资格进行审查。</w:t>
      </w:r>
      <w:r>
        <w:rPr>
          <w:rFonts w:hint="eastAsia" w:ascii="宋体" w:hAnsi="宋体"/>
          <w:bCs/>
          <w:color w:val="auto"/>
          <w:szCs w:val="21"/>
          <w:highlight w:val="none"/>
        </w:rPr>
        <w:t>资格审查</w:t>
      </w:r>
      <w:r>
        <w:rPr>
          <w:rFonts w:hint="eastAsia"/>
          <w:bCs/>
          <w:color w:val="auto"/>
          <w:kern w:val="0"/>
          <w:szCs w:val="21"/>
          <w:highlight w:val="none"/>
        </w:rPr>
        <w:t>是根据法律法规和采购文件的规定，对供应商的基本资格条件、特定资格条件进行审查。</w:t>
      </w:r>
    </w:p>
    <w:p w14:paraId="36FD41FE">
      <w:pPr>
        <w:spacing w:before="120" w:line="320" w:lineRule="atLeast"/>
        <w:ind w:left="2" w:leftChars="1" w:firstLine="420" w:firstLineChars="200"/>
        <w:outlineLvl w:val="2"/>
        <w:rPr>
          <w:bCs/>
          <w:color w:val="auto"/>
          <w:kern w:val="0"/>
          <w:szCs w:val="21"/>
          <w:highlight w:val="none"/>
        </w:rPr>
      </w:pPr>
      <w:r>
        <w:rPr>
          <w:rFonts w:hint="eastAsia"/>
          <w:bCs/>
          <w:color w:val="auto"/>
          <w:kern w:val="0"/>
          <w:szCs w:val="21"/>
          <w:highlight w:val="none"/>
        </w:rPr>
        <w:t>5.</w:t>
      </w:r>
      <w:r>
        <w:rPr>
          <w:bCs/>
          <w:color w:val="auto"/>
          <w:kern w:val="0"/>
          <w:szCs w:val="21"/>
          <w:highlight w:val="none"/>
        </w:rPr>
        <w:t>2</w:t>
      </w:r>
      <w:r>
        <w:rPr>
          <w:rFonts w:hint="eastAsia"/>
          <w:bCs/>
          <w:color w:val="auto"/>
          <w:kern w:val="0"/>
          <w:szCs w:val="21"/>
          <w:highlight w:val="none"/>
        </w:rPr>
        <w:t>资格审查标准在第四章评审方法及标准中规定，符合资格审查标准要求的供应商即为资格审查合格。</w:t>
      </w:r>
    </w:p>
    <w:p w14:paraId="258386D1">
      <w:pPr>
        <w:spacing w:before="120" w:line="276" w:lineRule="auto"/>
        <w:ind w:left="2" w:leftChars="1" w:firstLine="420" w:firstLineChars="200"/>
        <w:outlineLvl w:val="2"/>
        <w:rPr>
          <w:bCs/>
          <w:color w:val="auto"/>
          <w:kern w:val="0"/>
          <w:szCs w:val="21"/>
          <w:highlight w:val="none"/>
        </w:rPr>
      </w:pPr>
      <w:r>
        <w:rPr>
          <w:bCs/>
          <w:color w:val="auto"/>
          <w:kern w:val="0"/>
          <w:szCs w:val="21"/>
          <w:highlight w:val="none"/>
        </w:rPr>
        <w:t>5.3</w:t>
      </w:r>
      <w:r>
        <w:rPr>
          <w:rFonts w:hint="eastAsia"/>
          <w:bCs/>
          <w:color w:val="auto"/>
          <w:kern w:val="0"/>
          <w:szCs w:val="21"/>
          <w:highlight w:val="none"/>
        </w:rPr>
        <w:t>供应商有下列情形之一的，资格审查不合格，作无效响应处理：</w:t>
      </w:r>
    </w:p>
    <w:p w14:paraId="2BBFECC0">
      <w:pPr>
        <w:spacing w:line="276" w:lineRule="auto"/>
        <w:ind w:firstLine="420" w:firstLineChars="200"/>
        <w:rPr>
          <w:rFonts w:hAnsi="宋体"/>
          <w:color w:val="auto"/>
          <w:highlight w:val="none"/>
        </w:rPr>
      </w:pPr>
      <w:r>
        <w:rPr>
          <w:rFonts w:hint="eastAsia"/>
          <w:color w:val="auto"/>
          <w:szCs w:val="21"/>
          <w:highlight w:val="none"/>
        </w:rPr>
        <w:t>5</w:t>
      </w:r>
      <w:r>
        <w:rPr>
          <w:color w:val="auto"/>
          <w:szCs w:val="21"/>
          <w:highlight w:val="none"/>
        </w:rPr>
        <w:t>.3.1</w:t>
      </w:r>
      <w:r>
        <w:rPr>
          <w:rFonts w:hint="eastAsia"/>
          <w:color w:val="auto"/>
          <w:szCs w:val="21"/>
          <w:highlight w:val="none"/>
        </w:rPr>
        <w:t>不具备招标文件中规定的资格要求或资格条件的； （注：其中信用查询规则见“供应商须知前附表”，广西政府采购云平台已与“信用中国”平台做接口，可直接在线查询）</w:t>
      </w:r>
    </w:p>
    <w:p w14:paraId="71411C70">
      <w:pPr>
        <w:spacing w:before="120" w:line="276" w:lineRule="auto"/>
        <w:ind w:firstLine="420" w:firstLineChars="200"/>
        <w:rPr>
          <w:color w:val="auto"/>
          <w:szCs w:val="21"/>
          <w:highlight w:val="none"/>
        </w:rPr>
      </w:pPr>
      <w:r>
        <w:rPr>
          <w:rFonts w:hint="eastAsia"/>
          <w:color w:val="auto"/>
          <w:szCs w:val="21"/>
          <w:highlight w:val="none"/>
        </w:rPr>
        <w:t>5</w:t>
      </w:r>
      <w:r>
        <w:rPr>
          <w:color w:val="auto"/>
          <w:szCs w:val="21"/>
          <w:highlight w:val="none"/>
        </w:rPr>
        <w:t>.3.2</w:t>
      </w:r>
      <w:r>
        <w:rPr>
          <w:rFonts w:hint="eastAsia"/>
          <w:color w:val="auto"/>
          <w:szCs w:val="21"/>
          <w:highlight w:val="none"/>
        </w:rPr>
        <w:t>响应文件缺少任何一项资格证明文件或不符合第四章评审方法及标准中资格审查标准规定的评审内容的。</w:t>
      </w:r>
    </w:p>
    <w:bookmarkEnd w:id="57"/>
    <w:bookmarkEnd w:id="58"/>
    <w:p w14:paraId="2A160849">
      <w:pPr>
        <w:spacing w:before="120" w:line="320" w:lineRule="atLeast"/>
        <w:ind w:left="2" w:leftChars="1" w:firstLine="422" w:firstLineChars="200"/>
        <w:outlineLvl w:val="1"/>
        <w:rPr>
          <w:b/>
          <w:bCs/>
          <w:color w:val="auto"/>
          <w:kern w:val="0"/>
          <w:szCs w:val="21"/>
          <w:highlight w:val="none"/>
        </w:rPr>
      </w:pPr>
      <w:r>
        <w:rPr>
          <w:b/>
          <w:bCs/>
          <w:color w:val="auto"/>
          <w:kern w:val="0"/>
          <w:szCs w:val="21"/>
          <w:highlight w:val="none"/>
        </w:rPr>
        <w:t>6．评审</w:t>
      </w:r>
    </w:p>
    <w:p w14:paraId="1BCE4DF5">
      <w:pPr>
        <w:spacing w:before="120" w:line="320" w:lineRule="atLeast"/>
        <w:ind w:firstLine="422" w:firstLineChars="200"/>
        <w:outlineLvl w:val="2"/>
        <w:rPr>
          <w:b/>
          <w:bCs/>
          <w:color w:val="auto"/>
          <w:kern w:val="0"/>
          <w:szCs w:val="21"/>
          <w:highlight w:val="none"/>
        </w:rPr>
      </w:pPr>
      <w:r>
        <w:rPr>
          <w:b/>
          <w:bCs/>
          <w:color w:val="auto"/>
          <w:kern w:val="0"/>
          <w:szCs w:val="21"/>
          <w:highlight w:val="none"/>
        </w:rPr>
        <w:t>6.1组建</w:t>
      </w:r>
      <w:r>
        <w:rPr>
          <w:rFonts w:hint="eastAsia"/>
          <w:b/>
          <w:bCs/>
          <w:color w:val="auto"/>
          <w:kern w:val="0"/>
          <w:szCs w:val="21"/>
          <w:highlight w:val="none"/>
        </w:rPr>
        <w:t>谈判</w:t>
      </w:r>
      <w:r>
        <w:rPr>
          <w:b/>
          <w:bCs/>
          <w:color w:val="auto"/>
          <w:kern w:val="0"/>
          <w:szCs w:val="21"/>
          <w:highlight w:val="none"/>
        </w:rPr>
        <w:t>小组</w:t>
      </w:r>
    </w:p>
    <w:p w14:paraId="6992FEED">
      <w:pPr>
        <w:spacing w:before="120" w:line="320" w:lineRule="atLeast"/>
        <w:ind w:firstLine="420" w:firstLineChars="200"/>
        <w:rPr>
          <w:color w:val="auto"/>
          <w:szCs w:val="21"/>
          <w:highlight w:val="none"/>
        </w:rPr>
      </w:pPr>
      <w:r>
        <w:rPr>
          <w:rFonts w:hint="eastAsia"/>
          <w:color w:val="auto"/>
          <w:szCs w:val="21"/>
          <w:highlight w:val="none"/>
        </w:rPr>
        <w:t>6.1.1</w:t>
      </w:r>
      <w:r>
        <w:rPr>
          <w:color w:val="auto"/>
          <w:szCs w:val="21"/>
          <w:highlight w:val="none"/>
        </w:rPr>
        <w:t>本项目</w:t>
      </w:r>
      <w:r>
        <w:rPr>
          <w:rFonts w:hint="eastAsia"/>
          <w:color w:val="auto"/>
          <w:szCs w:val="21"/>
          <w:highlight w:val="none"/>
        </w:rPr>
        <w:t>评审工作由谈判</w:t>
      </w:r>
      <w:r>
        <w:rPr>
          <w:color w:val="auto"/>
          <w:szCs w:val="21"/>
          <w:highlight w:val="none"/>
        </w:rPr>
        <w:t>小组</w:t>
      </w:r>
      <w:r>
        <w:rPr>
          <w:rFonts w:hint="eastAsia"/>
          <w:color w:val="auto"/>
          <w:szCs w:val="21"/>
          <w:highlight w:val="none"/>
        </w:rPr>
        <w:t>负责，谈判小组</w:t>
      </w:r>
      <w:r>
        <w:rPr>
          <w:color w:val="auto"/>
          <w:szCs w:val="21"/>
          <w:highlight w:val="none"/>
        </w:rPr>
        <w:t>由</w:t>
      </w:r>
      <w:r>
        <w:rPr>
          <w:rFonts w:hint="eastAsia"/>
          <w:color w:val="auto"/>
          <w:szCs w:val="21"/>
          <w:highlight w:val="none"/>
        </w:rPr>
        <w:t>评审专家</w:t>
      </w:r>
      <w:r>
        <w:rPr>
          <w:color w:val="auto"/>
          <w:szCs w:val="21"/>
          <w:highlight w:val="none"/>
        </w:rPr>
        <w:t>和采购人代表</w:t>
      </w:r>
      <w:r>
        <w:rPr>
          <w:rFonts w:hint="eastAsia"/>
          <w:color w:val="auto"/>
          <w:szCs w:val="21"/>
          <w:highlight w:val="none"/>
        </w:rPr>
        <w:t>（如有）</w:t>
      </w:r>
      <w:r>
        <w:rPr>
          <w:color w:val="auto"/>
          <w:szCs w:val="21"/>
          <w:highlight w:val="none"/>
        </w:rPr>
        <w:t>组成。</w:t>
      </w:r>
      <w:r>
        <w:rPr>
          <w:rFonts w:hint="eastAsia"/>
          <w:color w:val="auto"/>
          <w:szCs w:val="21"/>
          <w:highlight w:val="none"/>
        </w:rPr>
        <w:t>谈判小组评审时必须公平、公正、客观，不带任何倾向性和启发性；不得向外界透露任何与评审有关的内容；任何单位和个人不得干扰、影响评标的正常进行；谈判小组及有关工作人员不得私下与供应商接触，不得收受利害关系人的财物或者其他好处；</w:t>
      </w:r>
      <w:r>
        <w:rPr>
          <w:color w:val="auto"/>
          <w:szCs w:val="21"/>
          <w:highlight w:val="none"/>
        </w:rPr>
        <w:t>评审专家发现本人与参加采购活动的供应商有利害关系的，应当主动提出回避</w:t>
      </w:r>
      <w:r>
        <w:rPr>
          <w:rFonts w:hint="eastAsia"/>
          <w:color w:val="auto"/>
          <w:szCs w:val="21"/>
          <w:highlight w:val="none"/>
        </w:rPr>
        <w:t>。</w:t>
      </w:r>
    </w:p>
    <w:p w14:paraId="02076240">
      <w:pPr>
        <w:spacing w:before="120" w:line="320" w:lineRule="atLeast"/>
        <w:ind w:firstLine="420" w:firstLineChars="200"/>
        <w:rPr>
          <w:color w:val="auto"/>
          <w:szCs w:val="21"/>
          <w:highlight w:val="none"/>
        </w:rPr>
      </w:pPr>
      <w:r>
        <w:rPr>
          <w:rFonts w:hint="eastAsia"/>
          <w:color w:val="auto"/>
          <w:szCs w:val="21"/>
          <w:highlight w:val="none"/>
        </w:rPr>
        <w:t>6.1.2谈判小组成员应当通过电子交易平台进行独立评审，谈判小组成员对需要共同认定的事项存在争议的，应当按照少数服从多数的原则作出结论。持不同意见的谈判小组成员应当在评审报告上签署不同意见及理由，否则视为同意评审报告。如果在评审过程中出现法律法规和采购文件均没有明确规定的情形时，由谈判小组现场协商确定，协商不一致的，由全体谈判小组成员投票表决，应当按照少数服从多数的原则作出结论并记录在评审报告中。</w:t>
      </w:r>
    </w:p>
    <w:p w14:paraId="5D804FE4">
      <w:pPr>
        <w:spacing w:before="120" w:line="320" w:lineRule="atLeast"/>
        <w:ind w:firstLine="420" w:firstLineChars="200"/>
        <w:rPr>
          <w:color w:val="auto"/>
          <w:szCs w:val="21"/>
          <w:highlight w:val="none"/>
        </w:rPr>
      </w:pPr>
      <w:r>
        <w:rPr>
          <w:rFonts w:hint="eastAsia"/>
          <w:color w:val="auto"/>
          <w:szCs w:val="21"/>
          <w:highlight w:val="none"/>
        </w:rPr>
        <w:t>6.1.3采购人、采购代理机构应当采取必要措施，保证评审在严格保密（封闭式评审）的情况下进行。除采购人代表、评审现场组织人员外，采购人的其他工作人员以及与评审工作无关的人员不得进入评审现场。有关人员对评审情况以及在评审过程中获悉的国家秘密、商业秘密负有保密责任。</w:t>
      </w:r>
    </w:p>
    <w:p w14:paraId="5FBBE058">
      <w:pPr>
        <w:spacing w:before="120" w:line="320" w:lineRule="atLeast"/>
        <w:ind w:firstLine="420" w:firstLineChars="200"/>
        <w:rPr>
          <w:color w:val="auto"/>
          <w:szCs w:val="21"/>
          <w:highlight w:val="none"/>
        </w:rPr>
      </w:pPr>
      <w:r>
        <w:rPr>
          <w:rFonts w:hint="eastAsia"/>
          <w:color w:val="auto"/>
          <w:szCs w:val="21"/>
          <w:highlight w:val="none"/>
        </w:rPr>
        <w:t>6.1.4本项目评审过程实行全程网上留痕及录音、录像监控，供应商在评审过程中所进行的试图影响评审结果的不公正活动，可能导致其响应按无效处理。</w:t>
      </w:r>
    </w:p>
    <w:p w14:paraId="184D852F">
      <w:pPr>
        <w:spacing w:before="120" w:line="320" w:lineRule="atLeast"/>
        <w:ind w:firstLine="422" w:firstLineChars="200"/>
        <w:outlineLvl w:val="2"/>
        <w:rPr>
          <w:b/>
          <w:bCs/>
          <w:color w:val="auto"/>
          <w:kern w:val="0"/>
          <w:szCs w:val="21"/>
          <w:highlight w:val="none"/>
        </w:rPr>
      </w:pPr>
      <w:r>
        <w:rPr>
          <w:b/>
          <w:bCs/>
          <w:color w:val="auto"/>
          <w:kern w:val="0"/>
          <w:szCs w:val="21"/>
          <w:highlight w:val="none"/>
        </w:rPr>
        <w:t>6.2</w:t>
      </w:r>
      <w:r>
        <w:rPr>
          <w:rFonts w:hint="eastAsia"/>
          <w:b/>
          <w:bCs/>
          <w:color w:val="auto"/>
          <w:kern w:val="0"/>
          <w:szCs w:val="21"/>
          <w:highlight w:val="none"/>
        </w:rPr>
        <w:t>评审方法及依据</w:t>
      </w:r>
    </w:p>
    <w:p w14:paraId="085F0BEE">
      <w:pPr>
        <w:spacing w:before="120" w:line="320" w:lineRule="atLeast"/>
        <w:ind w:firstLine="420" w:firstLineChars="200"/>
        <w:rPr>
          <w:bCs/>
          <w:color w:val="auto"/>
          <w:kern w:val="0"/>
          <w:szCs w:val="21"/>
          <w:highlight w:val="none"/>
        </w:rPr>
      </w:pPr>
      <w:r>
        <w:rPr>
          <w:bCs/>
          <w:color w:val="auto"/>
          <w:kern w:val="0"/>
          <w:szCs w:val="21"/>
          <w:highlight w:val="none"/>
        </w:rPr>
        <w:t>6.2.1</w:t>
      </w:r>
      <w:r>
        <w:rPr>
          <w:rFonts w:hint="eastAsia"/>
          <w:bCs/>
          <w:color w:val="auto"/>
          <w:kern w:val="0"/>
          <w:szCs w:val="21"/>
          <w:highlight w:val="none"/>
        </w:rPr>
        <w:t>本项目采用第四章评审方法及标准规定的方法进行评审。</w:t>
      </w:r>
    </w:p>
    <w:p w14:paraId="03092AD8">
      <w:pPr>
        <w:suppressAutoHyphens/>
        <w:spacing w:before="120" w:line="320" w:lineRule="atLeast"/>
        <w:ind w:firstLine="420" w:firstLineChars="200"/>
        <w:rPr>
          <w:bCs/>
          <w:color w:val="auto"/>
          <w:kern w:val="0"/>
          <w:szCs w:val="21"/>
          <w:highlight w:val="none"/>
        </w:rPr>
      </w:pPr>
      <w:r>
        <w:rPr>
          <w:bCs/>
          <w:color w:val="auto"/>
          <w:kern w:val="0"/>
          <w:szCs w:val="21"/>
          <w:highlight w:val="none"/>
        </w:rPr>
        <w:t>6.2.2</w:t>
      </w:r>
      <w:r>
        <w:rPr>
          <w:rFonts w:hint="eastAsia"/>
          <w:bCs/>
          <w:color w:val="auto"/>
          <w:kern w:val="0"/>
          <w:szCs w:val="21"/>
          <w:highlight w:val="none"/>
        </w:rPr>
        <w:t>谈判小组</w:t>
      </w:r>
      <w:r>
        <w:rPr>
          <w:color w:val="auto"/>
          <w:highlight w:val="none"/>
        </w:rPr>
        <w:t>以</w:t>
      </w:r>
      <w:r>
        <w:rPr>
          <w:rFonts w:hint="eastAsia"/>
          <w:color w:val="auto"/>
          <w:highlight w:val="none"/>
        </w:rPr>
        <w:t>采购</w:t>
      </w:r>
      <w:r>
        <w:rPr>
          <w:color w:val="auto"/>
          <w:highlight w:val="none"/>
        </w:rPr>
        <w:t>文件、补充文件、</w:t>
      </w:r>
      <w:r>
        <w:rPr>
          <w:rFonts w:hint="eastAsia"/>
          <w:color w:val="auto"/>
          <w:highlight w:val="none"/>
        </w:rPr>
        <w:t>响应</w:t>
      </w:r>
      <w:r>
        <w:rPr>
          <w:color w:val="auto"/>
          <w:highlight w:val="none"/>
        </w:rPr>
        <w:t>文件、澄清及答复为评审依据</w:t>
      </w:r>
      <w:r>
        <w:rPr>
          <w:rFonts w:hint="eastAsia"/>
          <w:color w:val="auto"/>
          <w:highlight w:val="none"/>
        </w:rPr>
        <w:t>，</w:t>
      </w:r>
      <w:r>
        <w:rPr>
          <w:rFonts w:hint="eastAsia"/>
          <w:bCs/>
          <w:color w:val="auto"/>
          <w:kern w:val="0"/>
          <w:szCs w:val="21"/>
          <w:highlight w:val="none"/>
        </w:rPr>
        <w:t>第四章评审方法及标准没有规定的评审方法、标准及因素，不得作为评审依据。</w:t>
      </w:r>
    </w:p>
    <w:p w14:paraId="2CE7B6CB">
      <w:pPr>
        <w:spacing w:before="120" w:line="320" w:lineRule="atLeast"/>
        <w:ind w:firstLine="422" w:firstLineChars="200"/>
        <w:outlineLvl w:val="2"/>
        <w:rPr>
          <w:b/>
          <w:bCs/>
          <w:color w:val="auto"/>
          <w:kern w:val="0"/>
          <w:szCs w:val="21"/>
          <w:highlight w:val="none"/>
        </w:rPr>
      </w:pPr>
      <w:r>
        <w:rPr>
          <w:b/>
          <w:bCs/>
          <w:color w:val="auto"/>
          <w:kern w:val="0"/>
          <w:szCs w:val="21"/>
          <w:highlight w:val="none"/>
        </w:rPr>
        <w:t>6.3评审</w:t>
      </w:r>
      <w:r>
        <w:rPr>
          <w:rFonts w:hint="eastAsia"/>
          <w:b/>
          <w:bCs/>
          <w:color w:val="auto"/>
          <w:kern w:val="0"/>
          <w:szCs w:val="21"/>
          <w:highlight w:val="none"/>
        </w:rPr>
        <w:t>程序</w:t>
      </w:r>
    </w:p>
    <w:p w14:paraId="7343DFF2">
      <w:pPr>
        <w:spacing w:before="120" w:line="320" w:lineRule="atLeast"/>
        <w:ind w:firstLine="420" w:firstLineChars="200"/>
        <w:rPr>
          <w:color w:val="auto"/>
          <w:highlight w:val="none"/>
        </w:rPr>
      </w:pPr>
      <w:r>
        <w:rPr>
          <w:color w:val="auto"/>
          <w:highlight w:val="none"/>
        </w:rPr>
        <w:t>6.</w:t>
      </w:r>
      <w:bookmarkStart w:id="59" w:name="_Hlk19175507"/>
      <w:bookmarkStart w:id="60" w:name="_Hlk80956880"/>
      <w:r>
        <w:rPr>
          <w:color w:val="auto"/>
          <w:highlight w:val="none"/>
        </w:rPr>
        <w:t>3.1</w:t>
      </w:r>
      <w:r>
        <w:rPr>
          <w:rFonts w:hint="eastAsia"/>
          <w:color w:val="auto"/>
          <w:highlight w:val="none"/>
        </w:rPr>
        <w:t>符合性审查</w:t>
      </w:r>
    </w:p>
    <w:p w14:paraId="060D3E53">
      <w:pPr>
        <w:spacing w:before="120" w:line="320" w:lineRule="atLeast"/>
        <w:ind w:firstLine="420" w:firstLineChars="200"/>
        <w:rPr>
          <w:color w:val="auto"/>
          <w:szCs w:val="21"/>
          <w:highlight w:val="none"/>
        </w:rPr>
      </w:pPr>
      <w:r>
        <w:rPr>
          <w:bCs/>
          <w:color w:val="auto"/>
          <w:kern w:val="1"/>
          <w:szCs w:val="21"/>
          <w:highlight w:val="none"/>
        </w:rPr>
        <w:t>资格审查结束后，</w:t>
      </w:r>
      <w:r>
        <w:rPr>
          <w:rFonts w:hint="eastAsia" w:hAnsi="宋体"/>
          <w:color w:val="auto"/>
          <w:highlight w:val="none"/>
        </w:rPr>
        <w:t>谈判小组对</w:t>
      </w:r>
      <w:r>
        <w:rPr>
          <w:color w:val="auto"/>
          <w:highlight w:val="none"/>
        </w:rPr>
        <w:t>通过资格审查的供应商</w:t>
      </w:r>
      <w:r>
        <w:rPr>
          <w:rFonts w:hint="eastAsia" w:hAnsi="宋体"/>
          <w:color w:val="auto"/>
          <w:highlight w:val="none"/>
        </w:rPr>
        <w:t>的响应文件报价、商务资信、技术等方面实质性内容进行符合性审查，</w:t>
      </w:r>
      <w:r>
        <w:rPr>
          <w:rFonts w:hint="eastAsia"/>
          <w:color w:val="auto"/>
          <w:szCs w:val="21"/>
          <w:highlight w:val="none"/>
        </w:rPr>
        <w:t>符合性审查标准</w:t>
      </w:r>
      <w:r>
        <w:rPr>
          <w:color w:val="auto"/>
          <w:szCs w:val="21"/>
          <w:highlight w:val="none"/>
        </w:rPr>
        <w:t>详见第四章评审方法及标准。</w:t>
      </w:r>
    </w:p>
    <w:bookmarkEnd w:id="59"/>
    <w:bookmarkEnd w:id="60"/>
    <w:p w14:paraId="720CB48B">
      <w:pPr>
        <w:spacing w:before="120" w:line="320" w:lineRule="atLeast"/>
        <w:ind w:firstLine="420" w:firstLineChars="200"/>
        <w:rPr>
          <w:color w:val="auto"/>
          <w:szCs w:val="21"/>
          <w:highlight w:val="none"/>
        </w:rPr>
      </w:pPr>
      <w:r>
        <w:rPr>
          <w:rFonts w:hint="eastAsia"/>
          <w:color w:val="auto"/>
          <w:szCs w:val="21"/>
          <w:highlight w:val="none"/>
        </w:rPr>
        <w:t>6</w:t>
      </w:r>
      <w:r>
        <w:rPr>
          <w:color w:val="auto"/>
          <w:szCs w:val="21"/>
          <w:highlight w:val="none"/>
        </w:rPr>
        <w:t>.3.2</w:t>
      </w:r>
      <w:r>
        <w:rPr>
          <w:rFonts w:hAnsi="宋体"/>
          <w:color w:val="auto"/>
          <w:highlight w:val="none"/>
        </w:rPr>
        <w:t>强制性</w:t>
      </w:r>
      <w:r>
        <w:rPr>
          <w:color w:val="auto"/>
          <w:szCs w:val="21"/>
          <w:highlight w:val="none"/>
        </w:rPr>
        <w:t>采购要求</w:t>
      </w:r>
      <w:r>
        <w:rPr>
          <w:rFonts w:hint="eastAsia"/>
          <w:color w:val="auto"/>
          <w:szCs w:val="21"/>
          <w:highlight w:val="none"/>
        </w:rPr>
        <w:t>（仅适用于货物采购项目）</w:t>
      </w:r>
    </w:p>
    <w:p w14:paraId="4073A4C1">
      <w:pPr>
        <w:suppressAutoHyphens/>
        <w:spacing w:before="120" w:line="320" w:lineRule="atLeast"/>
        <w:ind w:firstLine="422" w:firstLineChars="201"/>
        <w:rPr>
          <w:color w:val="auto"/>
          <w:szCs w:val="21"/>
          <w:highlight w:val="none"/>
        </w:rPr>
      </w:pPr>
      <w:bookmarkStart w:id="61" w:name="_Hlk47714684"/>
      <w:r>
        <w:rPr>
          <w:rFonts w:hint="eastAsia"/>
          <w:color w:val="auto"/>
          <w:szCs w:val="21"/>
          <w:highlight w:val="none"/>
        </w:rPr>
        <w:t>（1）</w:t>
      </w:r>
      <w:bookmarkEnd w:id="61"/>
      <w:r>
        <w:rPr>
          <w:rFonts w:hint="eastAsia"/>
          <w:color w:val="auto"/>
          <w:szCs w:val="21"/>
          <w:highlight w:val="none"/>
        </w:rPr>
        <w:t>根据《财政部 发展改革委 生态环境部 市场监管总局关于调整优化节能产品、环境标志产品政府采购执行机制的通知》（财库〔2019〕9号）和《关于印发节能产品政府采购品目清单的通知》（财库〔2019〕19号）规定，本项目采购需求中的产品属于节能产品政府采购品目清单内标注“★”的，供应商的响应货物必须使用政府强制采购的节能产品，否则响应文件作无效处理；属于品目清单内非标注“★”的产品时，应优先采购。</w:t>
      </w:r>
    </w:p>
    <w:p w14:paraId="42062E7B">
      <w:pPr>
        <w:spacing w:before="120" w:line="320" w:lineRule="atLeast"/>
        <w:ind w:firstLine="420" w:firstLineChars="200"/>
        <w:rPr>
          <w:color w:val="auto"/>
          <w:szCs w:val="21"/>
          <w:highlight w:val="none"/>
        </w:rPr>
      </w:pPr>
      <w:bookmarkStart w:id="62" w:name="_Hlk19176155"/>
      <w:r>
        <w:rPr>
          <w:rFonts w:hint="eastAsia"/>
          <w:color w:val="auto"/>
          <w:szCs w:val="21"/>
          <w:highlight w:val="none"/>
        </w:rPr>
        <w:t>（2）根据《关于调整网络安全专用产品安全管理有关事项的公告》（2023年1号）及关于调整《网络关键设备和网络安全专用产品目录》（2023年2号）的公告规定，本项目采购需求中的产品如果包括《网络关键设备和网络安全专用产品目录》的网络安全专用产品，投标人在投标文件中应主动列明供货范围中属于网络安全专用产品的投标产品，并提供由中共中央网络安全和信息化委员会办公室网站最新发布的《网络关键设备和网络安全专用产品安全认证和安全检测结果》截图证明材料，不在《网络关键设备和网络安全专用产品安全认证和安全检测结果》中或不在有效期内或未提供有效的《计算机信息系统安全专用产品销售许可证》的，投标无效。</w:t>
      </w:r>
    </w:p>
    <w:p w14:paraId="48E7A14B">
      <w:pPr>
        <w:spacing w:before="120" w:line="320" w:lineRule="atLeast"/>
        <w:ind w:firstLine="420" w:firstLineChars="200"/>
        <w:rPr>
          <w:color w:val="auto"/>
          <w:highlight w:val="none"/>
        </w:rPr>
      </w:pPr>
      <w:r>
        <w:rPr>
          <w:rFonts w:hint="eastAsia"/>
          <w:color w:val="auto"/>
          <w:szCs w:val="21"/>
          <w:highlight w:val="none"/>
        </w:rPr>
        <w:t>注：网络安全专用产品在中共中央网络安全和信息化委员会办公室网站上发布的《网络关键设备和网络安全专用产品目录》中查询。 “网络安全专用产品”内“产品类别”共34类：数据备份与恢复产品、防火墙、入侵检测系统（IDS）、入侵防御系统（IPS）、网络和终端隔离产品、反垃圾邮件产品、网络综合审计产品、网络脆弱性扫描产品、安全数据库系统、网站恢复产品、虚拟专用网产品、防病毒网关、统一威胁管理产品（UTM）、病毒防治产品、安全操作系统、安全网络存储、公钥基础设施、网络安全态势感知产品、信息系统安全管理平台、网络型流量控制产品、负载均衡产品、信息过滤产品、抗拒绝服务攻击产品、终端接入控制产品、USB移动存储介质管理系统、文件加密产品、数据泄露防护产品、数据销毁软件产品、安全配置检查产品、运维安全管理产品、日志分析产品、身份鉴别产品、终端安全监护产品、电子文档安全管理产品。</w:t>
      </w:r>
    </w:p>
    <w:p w14:paraId="0DF1C292">
      <w:pPr>
        <w:spacing w:before="120" w:line="320" w:lineRule="atLeast"/>
        <w:ind w:firstLine="420" w:firstLineChars="200"/>
        <w:rPr>
          <w:color w:val="auto"/>
          <w:highlight w:val="none"/>
        </w:rPr>
      </w:pPr>
      <w:r>
        <w:rPr>
          <w:color w:val="auto"/>
          <w:highlight w:val="none"/>
        </w:rPr>
        <w:t>6.3.3澄清、说明或补正</w:t>
      </w:r>
    </w:p>
    <w:p w14:paraId="41825FC9">
      <w:pPr>
        <w:spacing w:before="120" w:line="320" w:lineRule="atLeast"/>
        <w:ind w:firstLine="420" w:firstLineChars="200"/>
        <w:rPr>
          <w:color w:val="auto"/>
          <w:highlight w:val="none"/>
        </w:rPr>
      </w:pPr>
      <w:r>
        <w:rPr>
          <w:rFonts w:hint="eastAsia"/>
          <w:color w:val="auto"/>
          <w:highlight w:val="none"/>
        </w:rPr>
        <w:t>（1）对响应文件中含义不明确、同类问题表述不一致或者有明显文字和计算错误的内容，</w:t>
      </w:r>
      <w:r>
        <w:rPr>
          <w:rFonts w:hint="eastAsia" w:hAnsi="宋体"/>
          <w:color w:val="auto"/>
          <w:highlight w:val="none"/>
        </w:rPr>
        <w:t>谈判</w:t>
      </w:r>
      <w:r>
        <w:rPr>
          <w:rFonts w:hint="eastAsia"/>
          <w:color w:val="auto"/>
          <w:highlight w:val="none"/>
        </w:rPr>
        <w:t>小组应在广西政府采购云平台发布电子澄清函，要求供应商在平台设置的时间内作出必要的澄清、说明或者补正。供应商在广西政府采购云平台接收到电子澄清函后根据澄清函内容直接在线编辑或上传PDF格式回函，电子澄清答复函使用CA证书加盖单位电子签章后提交至</w:t>
      </w:r>
      <w:r>
        <w:rPr>
          <w:rFonts w:hint="eastAsia" w:hAnsi="宋体"/>
          <w:color w:val="auto"/>
          <w:highlight w:val="none"/>
        </w:rPr>
        <w:t>谈判</w:t>
      </w:r>
      <w:r>
        <w:rPr>
          <w:rFonts w:hint="eastAsia"/>
          <w:color w:val="auto"/>
          <w:highlight w:val="none"/>
        </w:rPr>
        <w:t>小组。供应商的澄清、说明或者补正不得超出响应文件的范围或者改变响应文件的实质性内容。供应商未在规定时间内进行澄清、说明或者补正的，按无效响应处理。</w:t>
      </w:r>
    </w:p>
    <w:p w14:paraId="6EF28499">
      <w:pPr>
        <w:spacing w:before="120" w:line="320" w:lineRule="atLeast"/>
        <w:ind w:firstLine="420" w:firstLineChars="200"/>
        <w:rPr>
          <w:color w:val="auto"/>
          <w:highlight w:val="none"/>
        </w:rPr>
      </w:pPr>
      <w:r>
        <w:rPr>
          <w:rFonts w:hint="eastAsia"/>
          <w:color w:val="auto"/>
          <w:highlight w:val="none"/>
        </w:rPr>
        <w:t>（2）异常情况处理：如遇无法正常使用线上发送澄清函的情况，将以书面形式执行。</w:t>
      </w:r>
      <w:r>
        <w:rPr>
          <w:rFonts w:hint="eastAsia" w:hAnsi="宋体"/>
          <w:color w:val="auto"/>
          <w:highlight w:val="none"/>
        </w:rPr>
        <w:t>谈判</w:t>
      </w:r>
      <w:r>
        <w:rPr>
          <w:rFonts w:hint="eastAsia"/>
          <w:color w:val="auto"/>
          <w:highlight w:val="none"/>
        </w:rPr>
        <w:t>小组以书面形式要求供应商在规定时间内作出必要的澄清、说明或者补正。供应商的澄清、说明或者补正必须采用书面形式，并加盖公章或者由法定代表人或者其授权的代表签字。</w:t>
      </w:r>
    </w:p>
    <w:p w14:paraId="12C4612E">
      <w:pPr>
        <w:spacing w:before="120" w:line="320" w:lineRule="atLeast"/>
        <w:ind w:firstLine="420" w:firstLineChars="200"/>
        <w:rPr>
          <w:color w:val="auto"/>
          <w:highlight w:val="none"/>
        </w:rPr>
      </w:pPr>
      <w:r>
        <w:rPr>
          <w:color w:val="auto"/>
          <w:highlight w:val="none"/>
        </w:rPr>
        <w:t>6.3.4</w:t>
      </w:r>
      <w:r>
        <w:rPr>
          <w:rFonts w:hint="eastAsia"/>
          <w:color w:val="auto"/>
          <w:highlight w:val="none"/>
        </w:rPr>
        <w:t>报价</w:t>
      </w:r>
      <w:r>
        <w:rPr>
          <w:color w:val="auto"/>
          <w:highlight w:val="none"/>
        </w:rPr>
        <w:t>修正</w:t>
      </w:r>
    </w:p>
    <w:p w14:paraId="58C3E724">
      <w:pPr>
        <w:spacing w:before="120" w:line="320" w:lineRule="atLeast"/>
        <w:ind w:firstLine="420" w:firstLineChars="200"/>
        <w:rPr>
          <w:color w:val="auto"/>
          <w:highlight w:val="none"/>
        </w:rPr>
      </w:pPr>
      <w:r>
        <w:rPr>
          <w:rFonts w:hint="eastAsia"/>
          <w:color w:val="auto"/>
          <w:highlight w:val="none"/>
        </w:rPr>
        <w:t>（1）报价出现前后不一致的，按照下列规定修正：</w:t>
      </w:r>
    </w:p>
    <w:p w14:paraId="45FAFA83">
      <w:pPr>
        <w:spacing w:before="120" w:line="320" w:lineRule="atLeast"/>
        <w:ind w:firstLine="420" w:firstLineChars="200"/>
        <w:rPr>
          <w:color w:val="auto"/>
          <w:szCs w:val="21"/>
          <w:highlight w:val="none"/>
        </w:rPr>
      </w:pPr>
      <w:r>
        <w:rPr>
          <w:rFonts w:hint="eastAsia" w:ascii="宋体" w:hAnsi="宋体"/>
          <w:color w:val="auto"/>
          <w:szCs w:val="21"/>
          <w:highlight w:val="none"/>
        </w:rPr>
        <w:t>①</w:t>
      </w:r>
      <w:r>
        <w:rPr>
          <w:color w:val="auto"/>
          <w:szCs w:val="21"/>
          <w:highlight w:val="none"/>
        </w:rPr>
        <w:t>响应文件中开标一览表（报价表）内容与响应文件中相应内容不一致的，以开标一览表（报价表）为准；</w:t>
      </w:r>
    </w:p>
    <w:p w14:paraId="003EDC30">
      <w:pPr>
        <w:spacing w:before="120" w:line="320" w:lineRule="atLeast"/>
        <w:ind w:firstLine="420" w:firstLineChars="200"/>
        <w:rPr>
          <w:color w:val="auto"/>
          <w:szCs w:val="21"/>
          <w:highlight w:val="none"/>
        </w:rPr>
      </w:pPr>
      <w:r>
        <w:rPr>
          <w:rFonts w:ascii="宋体" w:hAnsi="宋体"/>
          <w:color w:val="auto"/>
          <w:szCs w:val="21"/>
          <w:highlight w:val="none"/>
        </w:rPr>
        <w:t>②</w:t>
      </w:r>
      <w:r>
        <w:rPr>
          <w:color w:val="auto"/>
          <w:szCs w:val="21"/>
          <w:highlight w:val="none"/>
        </w:rPr>
        <w:t>大写金额和小写金额不一致的，以大写金额为准；</w:t>
      </w:r>
    </w:p>
    <w:p w14:paraId="6D909183">
      <w:pPr>
        <w:spacing w:before="120" w:line="320" w:lineRule="atLeast"/>
        <w:ind w:firstLine="420" w:firstLineChars="200"/>
        <w:rPr>
          <w:color w:val="auto"/>
          <w:szCs w:val="21"/>
          <w:highlight w:val="none"/>
        </w:rPr>
      </w:pPr>
      <w:r>
        <w:rPr>
          <w:rFonts w:hint="eastAsia"/>
          <w:color w:val="auto"/>
          <w:szCs w:val="21"/>
          <w:highlight w:val="none"/>
        </w:rPr>
        <w:t>③</w:t>
      </w:r>
      <w:r>
        <w:rPr>
          <w:color w:val="auto"/>
          <w:szCs w:val="21"/>
          <w:highlight w:val="none"/>
        </w:rPr>
        <w:t>单价金额小数点或者百分比有明显错位的，以开标一览表的总价为准，并修改单价；</w:t>
      </w:r>
    </w:p>
    <w:p w14:paraId="0422FF23">
      <w:pPr>
        <w:spacing w:before="120" w:line="320" w:lineRule="atLeast"/>
        <w:ind w:firstLine="420" w:firstLineChars="200"/>
        <w:rPr>
          <w:color w:val="auto"/>
          <w:szCs w:val="21"/>
          <w:highlight w:val="none"/>
        </w:rPr>
      </w:pPr>
      <w:r>
        <w:rPr>
          <w:rFonts w:hint="eastAsia"/>
          <w:color w:val="auto"/>
          <w:szCs w:val="21"/>
          <w:highlight w:val="none"/>
        </w:rPr>
        <w:t>④</w:t>
      </w:r>
      <w:r>
        <w:rPr>
          <w:color w:val="auto"/>
          <w:szCs w:val="21"/>
          <w:highlight w:val="none"/>
        </w:rPr>
        <w:t>总价金额与按单价汇总金额不一致的，以单价金额计算结果为准</w:t>
      </w:r>
      <w:r>
        <w:rPr>
          <w:rFonts w:hint="eastAsia"/>
          <w:color w:val="auto"/>
          <w:szCs w:val="21"/>
          <w:highlight w:val="none"/>
        </w:rPr>
        <w:t>。</w:t>
      </w:r>
    </w:p>
    <w:p w14:paraId="73073D78">
      <w:pPr>
        <w:spacing w:before="120" w:line="320" w:lineRule="atLeast"/>
        <w:ind w:firstLine="420" w:firstLineChars="200"/>
        <w:rPr>
          <w:color w:val="auto"/>
          <w:szCs w:val="21"/>
          <w:highlight w:val="none"/>
        </w:rPr>
      </w:pPr>
      <w:r>
        <w:rPr>
          <w:rFonts w:hint="eastAsia"/>
          <w:color w:val="auto"/>
          <w:szCs w:val="21"/>
          <w:highlight w:val="none"/>
        </w:rPr>
        <w:t>同时出现两种以上不一致的，按照上述</w:t>
      </w:r>
      <w:r>
        <w:rPr>
          <w:rFonts w:hint="eastAsia" w:ascii="宋体" w:hAnsi="宋体"/>
          <w:color w:val="auto"/>
          <w:szCs w:val="21"/>
          <w:highlight w:val="none"/>
        </w:rPr>
        <w:t>①-</w:t>
      </w:r>
      <w:r>
        <w:rPr>
          <w:rFonts w:hint="eastAsia"/>
          <w:color w:val="auto"/>
          <w:szCs w:val="21"/>
          <w:highlight w:val="none"/>
        </w:rPr>
        <w:t>④顺序修正。修正后的报价按照上述“</w:t>
      </w:r>
      <w:r>
        <w:rPr>
          <w:color w:val="auto"/>
          <w:szCs w:val="21"/>
          <w:highlight w:val="none"/>
        </w:rPr>
        <w:t>6.3.3</w:t>
      </w:r>
      <w:r>
        <w:rPr>
          <w:rFonts w:hint="eastAsia"/>
          <w:color w:val="auto"/>
          <w:szCs w:val="21"/>
          <w:highlight w:val="none"/>
        </w:rPr>
        <w:t>澄清、说明或补正”的规定经供应商确认后产生约束力，供应商不确认的，其响应无效。</w:t>
      </w:r>
    </w:p>
    <w:p w14:paraId="767A35D4">
      <w:pPr>
        <w:spacing w:before="120" w:line="320" w:lineRule="atLeast"/>
        <w:ind w:firstLine="420" w:firstLineChars="200"/>
        <w:rPr>
          <w:color w:val="auto"/>
          <w:szCs w:val="21"/>
          <w:highlight w:val="none"/>
        </w:rPr>
      </w:pPr>
      <w:r>
        <w:rPr>
          <w:rFonts w:hint="eastAsia"/>
          <w:color w:val="auto"/>
          <w:szCs w:val="21"/>
          <w:highlight w:val="none"/>
        </w:rPr>
        <w:t>（</w:t>
      </w:r>
      <w:r>
        <w:rPr>
          <w:color w:val="auto"/>
          <w:szCs w:val="21"/>
          <w:highlight w:val="none"/>
        </w:rPr>
        <w:t>2</w:t>
      </w:r>
      <w:r>
        <w:rPr>
          <w:rFonts w:hint="eastAsia"/>
          <w:color w:val="auto"/>
          <w:szCs w:val="21"/>
          <w:highlight w:val="none"/>
        </w:rPr>
        <w:t>）经供应商确认修正后的最后报价若超过采购预算金额或者最高限价，其响应文件作无效响应处理。</w:t>
      </w:r>
    </w:p>
    <w:p w14:paraId="2B9D0620">
      <w:pPr>
        <w:spacing w:before="120" w:line="320" w:lineRule="atLeast"/>
        <w:ind w:firstLine="420" w:firstLineChars="200"/>
        <w:rPr>
          <w:color w:val="auto"/>
          <w:szCs w:val="21"/>
          <w:highlight w:val="none"/>
        </w:rPr>
      </w:pPr>
      <w:r>
        <w:rPr>
          <w:rFonts w:hint="eastAsia"/>
          <w:color w:val="auto"/>
          <w:szCs w:val="21"/>
          <w:highlight w:val="none"/>
        </w:rPr>
        <w:t>（</w:t>
      </w:r>
      <w:r>
        <w:rPr>
          <w:color w:val="auto"/>
          <w:szCs w:val="21"/>
          <w:highlight w:val="none"/>
        </w:rPr>
        <w:t>3</w:t>
      </w:r>
      <w:r>
        <w:rPr>
          <w:rFonts w:hint="eastAsia"/>
          <w:color w:val="auto"/>
          <w:szCs w:val="21"/>
          <w:highlight w:val="none"/>
        </w:rPr>
        <w:t>）经供应商确认修正后的最后报价作为签订合同的依据，并以此报价计算价格分。</w:t>
      </w:r>
    </w:p>
    <w:p w14:paraId="257EFA1A">
      <w:pPr>
        <w:spacing w:before="120" w:line="320" w:lineRule="atLeast"/>
        <w:ind w:firstLine="420" w:firstLineChars="200"/>
        <w:rPr>
          <w:color w:val="auto"/>
          <w:szCs w:val="21"/>
          <w:highlight w:val="none"/>
        </w:rPr>
      </w:pPr>
      <w:r>
        <w:rPr>
          <w:rFonts w:hint="eastAsia"/>
          <w:color w:val="auto"/>
          <w:szCs w:val="21"/>
          <w:highlight w:val="none"/>
        </w:rPr>
        <w:t>（</w:t>
      </w:r>
      <w:r>
        <w:rPr>
          <w:color w:val="auto"/>
          <w:szCs w:val="21"/>
          <w:highlight w:val="none"/>
        </w:rPr>
        <w:t>4</w:t>
      </w:r>
      <w:r>
        <w:rPr>
          <w:rFonts w:hint="eastAsia"/>
          <w:color w:val="auto"/>
          <w:szCs w:val="21"/>
          <w:highlight w:val="none"/>
        </w:rPr>
        <w:t>）如</w:t>
      </w:r>
      <w:r>
        <w:rPr>
          <w:rFonts w:hint="eastAsia" w:hAnsi="宋体"/>
          <w:color w:val="auto"/>
          <w:highlight w:val="none"/>
        </w:rPr>
        <w:t>谈判</w:t>
      </w:r>
      <w:r>
        <w:rPr>
          <w:rFonts w:hint="eastAsia"/>
          <w:color w:val="auto"/>
          <w:szCs w:val="21"/>
          <w:highlight w:val="none"/>
        </w:rPr>
        <w:t>过程中有多轮报价的，</w:t>
      </w:r>
      <w:r>
        <w:rPr>
          <w:rFonts w:hint="eastAsia" w:hAnsi="宋体"/>
          <w:color w:val="auto"/>
          <w:highlight w:val="none"/>
        </w:rPr>
        <w:t>谈判</w:t>
      </w:r>
      <w:r>
        <w:rPr>
          <w:rFonts w:hint="eastAsia"/>
          <w:color w:val="auto"/>
          <w:szCs w:val="21"/>
          <w:highlight w:val="none"/>
        </w:rPr>
        <w:t>小组在每一轮报价均应按上述规则修正报价。</w:t>
      </w:r>
    </w:p>
    <w:p w14:paraId="2A6004E8">
      <w:pPr>
        <w:spacing w:before="120" w:line="320" w:lineRule="atLeast"/>
        <w:ind w:firstLine="420" w:firstLineChars="200"/>
        <w:rPr>
          <w:color w:val="auto"/>
          <w:szCs w:val="21"/>
          <w:highlight w:val="none"/>
        </w:rPr>
      </w:pPr>
      <w:r>
        <w:rPr>
          <w:rFonts w:hint="eastAsia"/>
          <w:color w:val="auto"/>
          <w:szCs w:val="21"/>
          <w:highlight w:val="none"/>
        </w:rPr>
        <w:t>6.3.5异常低价审查</w:t>
      </w:r>
    </w:p>
    <w:p w14:paraId="7AED94B4">
      <w:pPr>
        <w:spacing w:before="120" w:line="320" w:lineRule="atLeast"/>
        <w:ind w:firstLine="420" w:firstLineChars="200"/>
        <w:rPr>
          <w:color w:val="auto"/>
          <w:szCs w:val="21"/>
          <w:highlight w:val="none"/>
        </w:rPr>
      </w:pPr>
      <w:r>
        <w:rPr>
          <w:color w:val="auto"/>
          <w:szCs w:val="21"/>
          <w:highlight w:val="none"/>
        </w:rPr>
        <w:t>本项目</w:t>
      </w:r>
      <w:r>
        <w:rPr>
          <w:rFonts w:hint="eastAsia"/>
          <w:color w:val="auto"/>
          <w:szCs w:val="21"/>
          <w:highlight w:val="none"/>
        </w:rPr>
        <w:t>异常低价审查情形见</w:t>
      </w:r>
      <w:r>
        <w:rPr>
          <w:color w:val="auto"/>
          <w:szCs w:val="21"/>
          <w:highlight w:val="none"/>
        </w:rPr>
        <w:t>“</w:t>
      </w:r>
      <w:r>
        <w:rPr>
          <w:rFonts w:hint="eastAsia"/>
          <w:color w:val="auto"/>
          <w:szCs w:val="21"/>
          <w:highlight w:val="none"/>
        </w:rPr>
        <w:t>供应商须知前附表</w:t>
      </w:r>
      <w:r>
        <w:rPr>
          <w:color w:val="auto"/>
          <w:szCs w:val="21"/>
          <w:highlight w:val="none"/>
        </w:rPr>
        <w:t>”规定。</w:t>
      </w:r>
    </w:p>
    <w:p w14:paraId="1B4C695A">
      <w:pPr>
        <w:spacing w:before="120" w:line="320" w:lineRule="atLeast"/>
        <w:ind w:firstLine="420" w:firstLineChars="200"/>
        <w:rPr>
          <w:color w:val="auto"/>
          <w:szCs w:val="21"/>
          <w:highlight w:val="none"/>
        </w:rPr>
      </w:pPr>
      <w:r>
        <w:rPr>
          <w:rFonts w:hint="eastAsia"/>
          <w:color w:val="auto"/>
          <w:szCs w:val="21"/>
          <w:highlight w:val="none"/>
        </w:rPr>
        <w:t>评审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69B83B76">
      <w:pPr>
        <w:spacing w:before="120" w:line="320" w:lineRule="atLeast"/>
        <w:ind w:firstLine="420" w:firstLineChars="200"/>
        <w:rPr>
          <w:strike/>
          <w:color w:val="auto"/>
          <w:szCs w:val="21"/>
          <w:highlight w:val="none"/>
        </w:rPr>
      </w:pPr>
      <w:r>
        <w:rPr>
          <w:rFonts w:hint="eastAsia"/>
          <w:color w:val="auto"/>
          <w:szCs w:val="21"/>
          <w:highlight w:val="none"/>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31EBE1BD">
      <w:pPr>
        <w:spacing w:before="120" w:line="320" w:lineRule="atLeast"/>
        <w:ind w:firstLine="420" w:firstLineChars="200"/>
        <w:rPr>
          <w:color w:val="auto"/>
          <w:szCs w:val="21"/>
          <w:highlight w:val="none"/>
        </w:rPr>
      </w:pPr>
      <w:r>
        <w:rPr>
          <w:rFonts w:hint="eastAsia"/>
          <w:color w:val="auto"/>
          <w:szCs w:val="21"/>
          <w:highlight w:val="none"/>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45529055">
      <w:pPr>
        <w:spacing w:before="120" w:line="320" w:lineRule="atLeast"/>
        <w:ind w:firstLine="420" w:firstLineChars="200"/>
        <w:rPr>
          <w:color w:val="auto"/>
          <w:szCs w:val="21"/>
          <w:highlight w:val="none"/>
        </w:rPr>
      </w:pPr>
      <w:r>
        <w:rPr>
          <w:rFonts w:hint="eastAsia"/>
          <w:color w:val="auto"/>
          <w:szCs w:val="21"/>
          <w:highlight w:val="none"/>
        </w:rPr>
        <w:t>异常低价投标审查的启动原因、审查意见和审查结果应当在评审报告中记录，并随供应商提供的相关书面说明及证明材料，以及评审委员会有关互联网浏览、查询历史一并归档。</w:t>
      </w:r>
    </w:p>
    <w:p w14:paraId="716D1CE0">
      <w:pPr>
        <w:spacing w:before="120" w:line="320" w:lineRule="atLeast"/>
        <w:ind w:firstLine="420" w:firstLineChars="200"/>
        <w:rPr>
          <w:color w:val="auto"/>
          <w:szCs w:val="21"/>
          <w:highlight w:val="none"/>
        </w:rPr>
      </w:pPr>
      <w:r>
        <w:rPr>
          <w:rFonts w:hint="eastAsia"/>
          <w:color w:val="auto"/>
          <w:szCs w:val="21"/>
          <w:highlight w:val="none"/>
        </w:rPr>
        <w:t>书面证明应当按照上述“</w:t>
      </w:r>
      <w:r>
        <w:rPr>
          <w:color w:val="auto"/>
          <w:szCs w:val="21"/>
          <w:highlight w:val="none"/>
        </w:rPr>
        <w:t>6.3.3</w:t>
      </w:r>
      <w:r>
        <w:rPr>
          <w:rFonts w:hint="eastAsia"/>
          <w:color w:val="auto"/>
          <w:szCs w:val="21"/>
          <w:highlight w:val="none"/>
        </w:rPr>
        <w:t>澄清、说明或补正”的规定提交。</w:t>
      </w:r>
    </w:p>
    <w:p w14:paraId="46CA34A4">
      <w:pPr>
        <w:spacing w:before="120" w:line="320" w:lineRule="atLeast"/>
        <w:ind w:firstLine="420" w:firstLineChars="200"/>
        <w:rPr>
          <w:color w:val="auto"/>
          <w:szCs w:val="21"/>
          <w:highlight w:val="none"/>
        </w:rPr>
      </w:pPr>
      <w:r>
        <w:rPr>
          <w:rFonts w:hint="eastAsia"/>
          <w:color w:val="auto"/>
          <w:szCs w:val="21"/>
          <w:highlight w:val="none"/>
        </w:rPr>
        <w:t>6</w:t>
      </w:r>
      <w:r>
        <w:rPr>
          <w:color w:val="auto"/>
          <w:szCs w:val="21"/>
          <w:highlight w:val="none"/>
        </w:rPr>
        <w:t>.3.</w:t>
      </w:r>
      <w:r>
        <w:rPr>
          <w:rFonts w:hint="eastAsia"/>
          <w:color w:val="auto"/>
          <w:szCs w:val="21"/>
          <w:highlight w:val="none"/>
        </w:rPr>
        <w:t>6相同品牌认定（仅适用于货物采购项目）</w:t>
      </w:r>
    </w:p>
    <w:p w14:paraId="5234CC51">
      <w:pPr>
        <w:spacing w:before="120" w:line="320" w:lineRule="atLeast"/>
        <w:ind w:firstLine="420" w:firstLineChars="200"/>
        <w:rPr>
          <w:color w:val="auto"/>
          <w:szCs w:val="21"/>
          <w:highlight w:val="none"/>
        </w:rPr>
      </w:pPr>
      <w:r>
        <w:rPr>
          <w:rFonts w:hint="eastAsia"/>
          <w:color w:val="auto"/>
          <w:szCs w:val="21"/>
          <w:highlight w:val="none"/>
        </w:rPr>
        <w:t>（1）单一产品采购项目，</w:t>
      </w:r>
      <w:r>
        <w:rPr>
          <w:color w:val="auto"/>
          <w:highlight w:val="none"/>
        </w:rPr>
        <w:t>不同供应商提供的产品品牌相同时，</w:t>
      </w:r>
      <w:r>
        <w:rPr>
          <w:rFonts w:hint="eastAsia"/>
          <w:color w:val="auto"/>
          <w:highlight w:val="none"/>
        </w:rPr>
        <w:t>按以下</w:t>
      </w:r>
      <w:r>
        <w:rPr>
          <w:color w:val="auto"/>
          <w:highlight w:val="none"/>
        </w:rPr>
        <w:t>规定</w:t>
      </w:r>
      <w:r>
        <w:rPr>
          <w:rFonts w:hint="eastAsia"/>
          <w:color w:val="auto"/>
          <w:highlight w:val="none"/>
        </w:rPr>
        <w:t>确定</w:t>
      </w:r>
      <w:r>
        <w:rPr>
          <w:bCs/>
          <w:color w:val="auto"/>
          <w:kern w:val="0"/>
          <w:szCs w:val="21"/>
          <w:highlight w:val="none"/>
        </w:rPr>
        <w:t>相同品牌的响应有效性</w:t>
      </w:r>
      <w:r>
        <w:rPr>
          <w:color w:val="auto"/>
          <w:highlight w:val="none"/>
        </w:rPr>
        <w:t>。</w:t>
      </w:r>
    </w:p>
    <w:bookmarkEnd w:id="62"/>
    <w:p w14:paraId="48097B31">
      <w:pPr>
        <w:spacing w:before="120" w:line="320" w:lineRule="atLeast"/>
        <w:ind w:firstLine="420" w:firstLineChars="200"/>
        <w:rPr>
          <w:color w:val="auto"/>
          <w:szCs w:val="21"/>
          <w:highlight w:val="none"/>
        </w:rPr>
      </w:pPr>
      <w:r>
        <w:rPr>
          <w:rFonts w:hint="eastAsia"/>
          <w:color w:val="auto"/>
          <w:szCs w:val="21"/>
          <w:highlight w:val="none"/>
        </w:rPr>
        <w:t>提供相同品牌产品的不同供应商参加同一合同项下响应的，以其中通过资格审查、符合性审查且报价最低的参加评标；报价相同的，由采购人或者采购人委托谈判小组按照采购文件规定的方式确定一个参加评标的供应商，采购文件未规定的采取随机抽取方式确定，其他响应无效。</w:t>
      </w:r>
    </w:p>
    <w:p w14:paraId="4349112F">
      <w:pPr>
        <w:spacing w:before="120" w:line="320" w:lineRule="atLeast"/>
        <w:ind w:firstLine="420" w:firstLineChars="200"/>
        <w:rPr>
          <w:color w:val="auto"/>
          <w:szCs w:val="21"/>
          <w:highlight w:val="none"/>
        </w:rPr>
      </w:pPr>
      <w:r>
        <w:rPr>
          <w:rFonts w:hint="eastAsia"/>
          <w:color w:val="auto"/>
          <w:szCs w:val="21"/>
          <w:highlight w:val="none"/>
        </w:rPr>
        <w:t>（2）非单一产品采购项目，</w:t>
      </w:r>
      <w:r>
        <w:rPr>
          <w:color w:val="auto"/>
          <w:szCs w:val="21"/>
          <w:highlight w:val="none"/>
        </w:rPr>
        <w:t>采购人应当确定核心产品，并在采购文件中载明。</w:t>
      </w:r>
      <w:r>
        <w:rPr>
          <w:rFonts w:hint="eastAsia"/>
          <w:color w:val="auto"/>
          <w:szCs w:val="21"/>
          <w:highlight w:val="none"/>
        </w:rPr>
        <w:t>不同</w:t>
      </w:r>
      <w:r>
        <w:rPr>
          <w:color w:val="auto"/>
          <w:szCs w:val="21"/>
          <w:highlight w:val="none"/>
        </w:rPr>
        <w:t>供应商提供的核心产品品牌相同的，按上述规定处理。核心产品</w:t>
      </w:r>
      <w:r>
        <w:rPr>
          <w:rFonts w:hint="eastAsia"/>
          <w:color w:val="auto"/>
          <w:szCs w:val="21"/>
          <w:highlight w:val="none"/>
        </w:rPr>
        <w:t>在第二章</w:t>
      </w:r>
      <w:r>
        <w:rPr>
          <w:color w:val="auto"/>
          <w:szCs w:val="21"/>
          <w:highlight w:val="none"/>
        </w:rPr>
        <w:t>采购需求规定。</w:t>
      </w:r>
    </w:p>
    <w:p w14:paraId="38B3545A">
      <w:pPr>
        <w:spacing w:before="120" w:line="320" w:lineRule="atLeast"/>
        <w:ind w:firstLine="420" w:firstLineChars="200"/>
        <w:rPr>
          <w:color w:val="auto"/>
          <w:highlight w:val="none"/>
        </w:rPr>
      </w:pPr>
      <w:r>
        <w:rPr>
          <w:color w:val="auto"/>
          <w:highlight w:val="none"/>
        </w:rPr>
        <w:t>6.3.</w:t>
      </w:r>
      <w:r>
        <w:rPr>
          <w:rFonts w:hint="eastAsia"/>
          <w:color w:val="auto"/>
          <w:highlight w:val="none"/>
        </w:rPr>
        <w:t>7谈判</w:t>
      </w:r>
    </w:p>
    <w:p w14:paraId="35C5FC00">
      <w:pPr>
        <w:spacing w:before="120" w:line="320" w:lineRule="atLeast"/>
        <w:ind w:firstLine="420" w:firstLineChars="200"/>
        <w:rPr>
          <w:color w:val="auto"/>
          <w:highlight w:val="none"/>
        </w:rPr>
      </w:pPr>
      <w:r>
        <w:rPr>
          <w:rFonts w:hint="eastAsia"/>
          <w:color w:val="auto"/>
          <w:highlight w:val="none"/>
        </w:rPr>
        <w:t>（1）谈判小组按照“供应商须知前附表” 确定的顺序，集中与单一供应商分别进行谈判，并给予所有参加谈判的供应商平等的谈判机会。符合谈判资格的供应商必须在接到谈判通知后规定时间内参加谈判，未在规定时间内参加谈判的视同放弃参加谈判权利，其响应文件按无效响应处理。</w:t>
      </w:r>
    </w:p>
    <w:p w14:paraId="4B40B835">
      <w:pPr>
        <w:spacing w:before="120" w:line="320" w:lineRule="atLeast"/>
        <w:ind w:firstLine="420" w:firstLineChars="200"/>
        <w:rPr>
          <w:color w:val="auto"/>
          <w:highlight w:val="none"/>
        </w:rPr>
      </w:pPr>
      <w:r>
        <w:rPr>
          <w:rFonts w:hint="eastAsia"/>
          <w:color w:val="auto"/>
          <w:highlight w:val="none"/>
        </w:rPr>
        <w:t>（2）在谈判过程中，谈判小组可以根据采购文件和谈判情况实质性变动采购需求中的技术、服务要求以及合同草案条款，但不得变动采购文件中的其他内容。实质性变动的内容，须经采购人代表确认。</w:t>
      </w:r>
    </w:p>
    <w:p w14:paraId="438FB443">
      <w:pPr>
        <w:spacing w:before="120" w:line="320" w:lineRule="atLeast"/>
        <w:ind w:firstLine="420" w:firstLineChars="200"/>
        <w:rPr>
          <w:color w:val="auto"/>
          <w:highlight w:val="none"/>
        </w:rPr>
      </w:pPr>
      <w:r>
        <w:rPr>
          <w:rFonts w:hint="eastAsia"/>
          <w:color w:val="auto"/>
          <w:highlight w:val="none"/>
        </w:rPr>
        <w:t>对采购文件作出的实质性变动是采购文件的有效组成部分，由谈判小组通过广西政府采购云平台以书面形式同时通知所有参加谈判的供应商。</w:t>
      </w:r>
    </w:p>
    <w:p w14:paraId="49651F5F">
      <w:pPr>
        <w:spacing w:before="120" w:line="320" w:lineRule="atLeast"/>
        <w:ind w:firstLine="420" w:firstLineChars="200"/>
        <w:rPr>
          <w:color w:val="auto"/>
          <w:highlight w:val="none"/>
        </w:rPr>
      </w:pPr>
      <w:r>
        <w:rPr>
          <w:rFonts w:hint="eastAsia"/>
          <w:color w:val="auto"/>
          <w:highlight w:val="none"/>
        </w:rPr>
        <w:t>（3）供应商必须按照采购文件的变动情况和谈判小组的要求重新提交响应文件，并在广西政府采购云平台在线编辑或上传PDF格式，使用电子签章后提交至谈判小组。参加谈判的供应商未在规定时间内重新提交响应文件的，视同退出谈判。</w:t>
      </w:r>
    </w:p>
    <w:p w14:paraId="0CA99DC4">
      <w:pPr>
        <w:spacing w:before="120" w:line="320" w:lineRule="atLeast"/>
        <w:ind w:firstLine="420" w:firstLineChars="200"/>
        <w:rPr>
          <w:color w:val="auto"/>
          <w:highlight w:val="none"/>
        </w:rPr>
      </w:pPr>
      <w:r>
        <w:rPr>
          <w:rFonts w:hint="eastAsia"/>
          <w:color w:val="auto"/>
          <w:highlight w:val="none"/>
        </w:rPr>
        <w:t>（4）供应商的法定代表人或其授权代表无须到现场参加谈判，提问及回答/响应均通过广西政府采购云平台进行。谈判过程中使用的电子签章应为供应商上传响应文件的同一签章。</w:t>
      </w:r>
    </w:p>
    <w:p w14:paraId="3EE43C92">
      <w:pPr>
        <w:spacing w:before="120" w:line="320" w:lineRule="atLeast"/>
        <w:ind w:firstLine="420" w:firstLineChars="200"/>
        <w:rPr>
          <w:color w:val="auto"/>
          <w:highlight w:val="none"/>
        </w:rPr>
      </w:pPr>
      <w:r>
        <w:rPr>
          <w:rFonts w:hint="eastAsia"/>
          <w:color w:val="auto"/>
          <w:highlight w:val="none"/>
        </w:rPr>
        <w:t>6</w:t>
      </w:r>
      <w:r>
        <w:rPr>
          <w:color w:val="auto"/>
          <w:highlight w:val="none"/>
        </w:rPr>
        <w:t>.3.</w:t>
      </w:r>
      <w:r>
        <w:rPr>
          <w:rFonts w:hint="eastAsia"/>
          <w:color w:val="auto"/>
          <w:highlight w:val="none"/>
        </w:rPr>
        <w:t>8最后报价</w:t>
      </w:r>
    </w:p>
    <w:p w14:paraId="0825BF6D">
      <w:pPr>
        <w:spacing w:before="120" w:line="320" w:lineRule="atLeast"/>
        <w:ind w:firstLine="420" w:firstLineChars="200"/>
        <w:rPr>
          <w:color w:val="auto"/>
          <w:highlight w:val="none"/>
        </w:rPr>
      </w:pPr>
      <w:r>
        <w:rPr>
          <w:rFonts w:hint="eastAsia"/>
          <w:color w:val="auto"/>
          <w:highlight w:val="none"/>
        </w:rPr>
        <w:t xml:space="preserve">（1）采购文件能够详细列明采购标的的技术、服务要求的，谈判结束后，谈判小组应当要求所有实质性响应的供应商在规定时间内提交最后报价，提交最后报价的供应商不得少于3家。 </w:t>
      </w:r>
    </w:p>
    <w:p w14:paraId="67E31443">
      <w:pPr>
        <w:spacing w:before="120" w:line="320" w:lineRule="atLeast"/>
        <w:ind w:firstLine="420" w:firstLineChars="200"/>
        <w:rPr>
          <w:color w:val="auto"/>
          <w:highlight w:val="none"/>
        </w:rPr>
      </w:pPr>
      <w:r>
        <w:rPr>
          <w:rFonts w:hint="eastAsia"/>
          <w:color w:val="auto"/>
          <w:highlight w:val="none"/>
        </w:rPr>
        <w:t>采购文件不能详细列明采购标的的技术、服务要求，需经谈判由供应商提供最终设计方案或解决方案的，谈判结束后，谈判小组应当按照少数服从多数的原则投票推荐3家以上供应商的设计方案或者解决方案，并要求其在规定时间内提交最后报价。</w:t>
      </w:r>
    </w:p>
    <w:p w14:paraId="785A8CAD">
      <w:pPr>
        <w:spacing w:before="120" w:line="320" w:lineRule="atLeast"/>
        <w:ind w:firstLine="420" w:firstLineChars="200"/>
        <w:rPr>
          <w:color w:val="auto"/>
          <w:highlight w:val="none"/>
        </w:rPr>
      </w:pPr>
      <w:r>
        <w:rPr>
          <w:rFonts w:hint="eastAsia"/>
          <w:color w:val="auto"/>
          <w:highlight w:val="none"/>
        </w:rPr>
        <w:t>最后报价是供应商响应文件的有效组成部分。</w:t>
      </w:r>
    </w:p>
    <w:p w14:paraId="1074C3F4">
      <w:pPr>
        <w:spacing w:before="120" w:line="320" w:lineRule="atLeast"/>
        <w:ind w:firstLine="420" w:firstLineChars="200"/>
        <w:rPr>
          <w:color w:val="auto"/>
          <w:highlight w:val="none"/>
        </w:rPr>
      </w:pPr>
      <w:r>
        <w:rPr>
          <w:rFonts w:hint="eastAsia"/>
          <w:color w:val="auto"/>
          <w:highlight w:val="none"/>
        </w:rPr>
        <w:t>（2）最后报价要求通过广西政府采购云平台发出，供应商需在广西政府采购云平台设置的时间内报价，最后报价不得超过采购预算金额且具有唯一性，否则否决其响应。</w:t>
      </w:r>
    </w:p>
    <w:p w14:paraId="70F29DE9">
      <w:pPr>
        <w:spacing w:before="120" w:line="320" w:lineRule="atLeast"/>
        <w:ind w:firstLine="420" w:firstLineChars="200"/>
        <w:rPr>
          <w:color w:val="auto"/>
          <w:highlight w:val="none"/>
        </w:rPr>
      </w:pPr>
      <w:r>
        <w:rPr>
          <w:rFonts w:hint="eastAsia"/>
          <w:color w:val="auto"/>
          <w:highlight w:val="none"/>
        </w:rPr>
        <w:t>（</w:t>
      </w:r>
      <w:r>
        <w:rPr>
          <w:color w:val="auto"/>
          <w:highlight w:val="none"/>
        </w:rPr>
        <w:t>3</w:t>
      </w:r>
      <w:r>
        <w:rPr>
          <w:rFonts w:hint="eastAsia"/>
          <w:color w:val="auto"/>
          <w:highlight w:val="none"/>
        </w:rPr>
        <w:t>）已提交响应文件的供应商，在提交最后报价之前，可以根据谈判情况退出谈判，退出谈判的供应商的响应文件无效。退出谈判的说明须经签字扫描后以电子邮件方式发送至采购代理机构，并及时通知项目负责人。谈判小组在评审报告中注明退出谈判的供应商名单。采购人、采购代理机构应当退还退出谈判的供应商的谈判保证金。</w:t>
      </w:r>
    </w:p>
    <w:p w14:paraId="6ED86CC2">
      <w:pPr>
        <w:spacing w:before="120" w:line="320" w:lineRule="atLeast"/>
        <w:ind w:firstLine="420" w:firstLineChars="200"/>
        <w:rPr>
          <w:color w:val="auto"/>
          <w:highlight w:val="none"/>
        </w:rPr>
      </w:pPr>
      <w:r>
        <w:rPr>
          <w:rFonts w:hint="eastAsia"/>
          <w:color w:val="auto"/>
          <w:highlight w:val="none"/>
        </w:rPr>
        <w:t>（4）供应商未在规定时间内提交最后报价的，视同退出谈判。</w:t>
      </w:r>
    </w:p>
    <w:p w14:paraId="001B1185">
      <w:pPr>
        <w:spacing w:before="120" w:line="320" w:lineRule="atLeast"/>
        <w:ind w:firstLine="420" w:firstLineChars="200"/>
        <w:rPr>
          <w:color w:val="auto"/>
          <w:highlight w:val="none"/>
        </w:rPr>
      </w:pPr>
      <w:r>
        <w:rPr>
          <w:rFonts w:hint="eastAsia"/>
          <w:color w:val="auto"/>
          <w:highlight w:val="none"/>
        </w:rPr>
        <w:t>（5）最后报价结束后，谈判小组不得再与供应商进行任何形式的商谈。</w:t>
      </w:r>
    </w:p>
    <w:p w14:paraId="0F19E32B">
      <w:pPr>
        <w:spacing w:before="120" w:line="320" w:lineRule="atLeast"/>
        <w:ind w:firstLine="420" w:firstLineChars="200"/>
        <w:rPr>
          <w:color w:val="auto"/>
          <w:szCs w:val="21"/>
          <w:highlight w:val="none"/>
        </w:rPr>
      </w:pPr>
      <w:r>
        <w:rPr>
          <w:color w:val="auto"/>
          <w:szCs w:val="21"/>
          <w:highlight w:val="none"/>
        </w:rPr>
        <w:t>6.3.</w:t>
      </w:r>
      <w:r>
        <w:rPr>
          <w:rFonts w:hint="eastAsia"/>
          <w:color w:val="auto"/>
          <w:szCs w:val="21"/>
          <w:highlight w:val="none"/>
        </w:rPr>
        <w:t>9</w:t>
      </w:r>
      <w:r>
        <w:rPr>
          <w:color w:val="auto"/>
          <w:szCs w:val="21"/>
          <w:highlight w:val="none"/>
        </w:rPr>
        <w:t>串通投标认定</w:t>
      </w:r>
    </w:p>
    <w:p w14:paraId="08500A7C">
      <w:pPr>
        <w:spacing w:before="120" w:line="320" w:lineRule="atLeast"/>
        <w:ind w:firstLine="420" w:firstLineChars="200"/>
        <w:rPr>
          <w:color w:val="auto"/>
          <w:highlight w:val="none"/>
        </w:rPr>
      </w:pPr>
      <w:r>
        <w:rPr>
          <w:rFonts w:hint="eastAsia"/>
          <w:color w:val="auto"/>
          <w:szCs w:val="21"/>
          <w:highlight w:val="none"/>
        </w:rPr>
        <w:t>谈判</w:t>
      </w:r>
      <w:r>
        <w:rPr>
          <w:color w:val="auto"/>
          <w:szCs w:val="21"/>
          <w:highlight w:val="none"/>
        </w:rPr>
        <w:t>小组须根据</w:t>
      </w:r>
      <w:r>
        <w:rPr>
          <w:rFonts w:hint="eastAsia"/>
          <w:color w:val="auto"/>
          <w:szCs w:val="21"/>
          <w:highlight w:val="none"/>
        </w:rPr>
        <w:t>以下</w:t>
      </w:r>
      <w:r>
        <w:rPr>
          <w:color w:val="auto"/>
          <w:szCs w:val="21"/>
          <w:highlight w:val="none"/>
        </w:rPr>
        <w:t>规定</w:t>
      </w:r>
      <w:r>
        <w:rPr>
          <w:rFonts w:hint="eastAsia"/>
          <w:color w:val="auto"/>
          <w:szCs w:val="21"/>
          <w:highlight w:val="none"/>
        </w:rPr>
        <w:t>认定</w:t>
      </w:r>
      <w:r>
        <w:rPr>
          <w:color w:val="auto"/>
          <w:szCs w:val="21"/>
          <w:highlight w:val="none"/>
        </w:rPr>
        <w:t>供应商是否有</w:t>
      </w:r>
      <w:r>
        <w:rPr>
          <w:bCs/>
          <w:color w:val="auto"/>
          <w:kern w:val="0"/>
          <w:szCs w:val="21"/>
          <w:highlight w:val="none"/>
        </w:rPr>
        <w:t>串通投标的行为</w:t>
      </w:r>
      <w:r>
        <w:rPr>
          <w:color w:val="auto"/>
          <w:highlight w:val="none"/>
        </w:rPr>
        <w:t>。</w:t>
      </w:r>
    </w:p>
    <w:p w14:paraId="4768ED50">
      <w:pPr>
        <w:spacing w:before="120" w:line="320" w:lineRule="atLeast"/>
        <w:ind w:firstLine="420" w:firstLineChars="200"/>
        <w:rPr>
          <w:color w:val="auto"/>
          <w:szCs w:val="21"/>
          <w:highlight w:val="none"/>
        </w:rPr>
      </w:pPr>
      <w:bookmarkStart w:id="63" w:name="_Hlk19122026"/>
      <w:r>
        <w:rPr>
          <w:rFonts w:hint="eastAsia"/>
          <w:color w:val="auto"/>
          <w:szCs w:val="21"/>
          <w:highlight w:val="none"/>
        </w:rPr>
        <w:t>（1）</w:t>
      </w:r>
      <w:bookmarkEnd w:id="63"/>
      <w:r>
        <w:rPr>
          <w:color w:val="auto"/>
          <w:szCs w:val="21"/>
          <w:highlight w:val="none"/>
        </w:rPr>
        <w:t>根据《关于防治政府采购招标中串通投标行为的通知》</w:t>
      </w:r>
      <w:r>
        <w:rPr>
          <w:rFonts w:hint="eastAsia"/>
          <w:color w:val="auto"/>
          <w:szCs w:val="21"/>
          <w:highlight w:val="none"/>
        </w:rPr>
        <w:t>（</w:t>
      </w:r>
      <w:r>
        <w:rPr>
          <w:color w:val="auto"/>
          <w:szCs w:val="21"/>
          <w:highlight w:val="none"/>
        </w:rPr>
        <w:t>桂财采</w:t>
      </w:r>
      <w:r>
        <w:rPr>
          <w:rFonts w:hint="eastAsia"/>
          <w:color w:val="auto"/>
          <w:szCs w:val="21"/>
          <w:highlight w:val="none"/>
        </w:rPr>
        <w:t>〔2016〕42号）</w:t>
      </w:r>
      <w:r>
        <w:rPr>
          <w:color w:val="auto"/>
          <w:szCs w:val="21"/>
          <w:highlight w:val="none"/>
        </w:rPr>
        <w:t>规定，出现下述情况的，相关供应商的投标作无效投标处理。</w:t>
      </w:r>
    </w:p>
    <w:p w14:paraId="19C95A80">
      <w:pPr>
        <w:spacing w:before="120" w:line="320" w:lineRule="atLeast"/>
        <w:ind w:firstLine="420" w:firstLineChars="200"/>
        <w:rPr>
          <w:color w:val="auto"/>
          <w:szCs w:val="21"/>
          <w:highlight w:val="none"/>
        </w:rPr>
      </w:pPr>
      <w:bookmarkStart w:id="64" w:name="_Hlk19122039"/>
      <w:r>
        <w:rPr>
          <w:rFonts w:hint="eastAsia" w:ascii="宋体" w:hAnsi="宋体" w:cs="宋体"/>
          <w:color w:val="auto"/>
          <w:szCs w:val="21"/>
          <w:highlight w:val="none"/>
        </w:rPr>
        <w:t>①</w:t>
      </w:r>
      <w:r>
        <w:rPr>
          <w:color w:val="auto"/>
          <w:szCs w:val="21"/>
          <w:highlight w:val="none"/>
        </w:rPr>
        <w:t>单位负责人为同一人或者存在直接控股、管理关系，参加同一合同项下政府采购活动的不同供应商。</w:t>
      </w:r>
    </w:p>
    <w:p w14:paraId="11DDAB45">
      <w:pPr>
        <w:spacing w:before="120" w:line="320" w:lineRule="atLeast"/>
        <w:ind w:firstLine="420" w:firstLineChars="200"/>
        <w:rPr>
          <w:color w:val="auto"/>
          <w:szCs w:val="21"/>
          <w:highlight w:val="none"/>
        </w:rPr>
      </w:pPr>
      <w:r>
        <w:rPr>
          <w:rFonts w:hint="eastAsia"/>
          <w:color w:val="auto"/>
          <w:szCs w:val="21"/>
          <w:highlight w:val="none"/>
        </w:rPr>
        <w:t>②</w:t>
      </w:r>
      <w:r>
        <w:rPr>
          <w:color w:val="auto"/>
          <w:szCs w:val="21"/>
          <w:highlight w:val="none"/>
        </w:rPr>
        <w:t>授权给供应商后参加同一合同项（分标、分包）投标的生产厂商。</w:t>
      </w:r>
    </w:p>
    <w:p w14:paraId="0EEDECBC">
      <w:pPr>
        <w:spacing w:before="120" w:line="320" w:lineRule="atLeast"/>
        <w:ind w:firstLine="420" w:firstLineChars="200"/>
        <w:rPr>
          <w:color w:val="auto"/>
          <w:szCs w:val="21"/>
          <w:highlight w:val="none"/>
        </w:rPr>
      </w:pPr>
      <w:r>
        <w:rPr>
          <w:rFonts w:hint="eastAsia"/>
          <w:color w:val="auto"/>
          <w:szCs w:val="21"/>
          <w:highlight w:val="none"/>
        </w:rPr>
        <w:t>③</w:t>
      </w:r>
      <w:r>
        <w:rPr>
          <w:color w:val="auto"/>
          <w:szCs w:val="21"/>
          <w:highlight w:val="none"/>
        </w:rPr>
        <w:t>视为或被认定为串通投标的相关供应商。</w:t>
      </w:r>
    </w:p>
    <w:bookmarkEnd w:id="64"/>
    <w:p w14:paraId="1CB25374">
      <w:pPr>
        <w:spacing w:before="120" w:line="320" w:lineRule="atLeast"/>
        <w:ind w:firstLine="420" w:firstLineChars="200"/>
        <w:rPr>
          <w:color w:val="auto"/>
          <w:szCs w:val="21"/>
          <w:highlight w:val="none"/>
        </w:rPr>
      </w:pPr>
      <w:bookmarkStart w:id="65" w:name="_Hlk19122058"/>
      <w:r>
        <w:rPr>
          <w:rFonts w:hint="eastAsia"/>
          <w:color w:val="auto"/>
          <w:szCs w:val="21"/>
          <w:highlight w:val="none"/>
        </w:rPr>
        <w:t>（2）</w:t>
      </w:r>
      <w:bookmarkEnd w:id="65"/>
      <w:r>
        <w:rPr>
          <w:color w:val="auto"/>
          <w:szCs w:val="21"/>
          <w:highlight w:val="none"/>
        </w:rPr>
        <w:t>根据《关于防治政府采购招标中串通投标行为的通知》</w:t>
      </w:r>
      <w:r>
        <w:rPr>
          <w:rFonts w:hint="eastAsia"/>
          <w:color w:val="auto"/>
          <w:szCs w:val="21"/>
          <w:highlight w:val="none"/>
        </w:rPr>
        <w:t>（</w:t>
      </w:r>
      <w:r>
        <w:rPr>
          <w:color w:val="auto"/>
          <w:szCs w:val="21"/>
          <w:highlight w:val="none"/>
        </w:rPr>
        <w:t>桂财采</w:t>
      </w:r>
      <w:r>
        <w:rPr>
          <w:rFonts w:hint="eastAsia"/>
          <w:color w:val="auto"/>
          <w:szCs w:val="21"/>
          <w:highlight w:val="none"/>
        </w:rPr>
        <w:t>〔2016〕42号）</w:t>
      </w:r>
      <w:r>
        <w:rPr>
          <w:color w:val="auto"/>
          <w:szCs w:val="21"/>
          <w:highlight w:val="none"/>
        </w:rPr>
        <w:t>规定，有下列情形之一的视为供应商相互串通投标，响应文件将被视为无效。</w:t>
      </w:r>
    </w:p>
    <w:p w14:paraId="103A1653">
      <w:pPr>
        <w:spacing w:before="120" w:line="320" w:lineRule="atLeast"/>
        <w:ind w:firstLine="420" w:firstLineChars="200"/>
        <w:rPr>
          <w:color w:val="auto"/>
          <w:szCs w:val="21"/>
          <w:highlight w:val="none"/>
        </w:rPr>
      </w:pPr>
      <w:bookmarkStart w:id="66" w:name="_Hlk19122048"/>
      <w:r>
        <w:rPr>
          <w:rFonts w:hint="eastAsia" w:ascii="宋体" w:hAnsi="宋体" w:cs="宋体"/>
          <w:color w:val="auto"/>
          <w:szCs w:val="21"/>
          <w:highlight w:val="none"/>
        </w:rPr>
        <w:t>①</w:t>
      </w:r>
      <w:r>
        <w:rPr>
          <w:color w:val="auto"/>
          <w:szCs w:val="21"/>
          <w:highlight w:val="none"/>
        </w:rPr>
        <w:t>不同供应商的响应文件由同一单位或者个人编制；或不同供应商报名的IP地址一致的；</w:t>
      </w:r>
    </w:p>
    <w:p w14:paraId="31905BD2">
      <w:pPr>
        <w:spacing w:before="120" w:line="320" w:lineRule="atLeast"/>
        <w:ind w:firstLine="420" w:firstLineChars="200"/>
        <w:rPr>
          <w:color w:val="auto"/>
          <w:szCs w:val="21"/>
          <w:highlight w:val="none"/>
        </w:rPr>
      </w:pPr>
      <w:r>
        <w:rPr>
          <w:rFonts w:hint="eastAsia"/>
          <w:color w:val="auto"/>
          <w:szCs w:val="21"/>
          <w:highlight w:val="none"/>
        </w:rPr>
        <w:t>②</w:t>
      </w:r>
      <w:r>
        <w:rPr>
          <w:color w:val="auto"/>
          <w:szCs w:val="21"/>
          <w:highlight w:val="none"/>
        </w:rPr>
        <w:t>不同供应商委托同一单位或者个人办理投标事宜；</w:t>
      </w:r>
    </w:p>
    <w:p w14:paraId="18DB0B78">
      <w:pPr>
        <w:spacing w:before="120" w:line="320" w:lineRule="atLeast"/>
        <w:ind w:firstLine="420" w:firstLineChars="200"/>
        <w:rPr>
          <w:color w:val="auto"/>
          <w:szCs w:val="21"/>
          <w:highlight w:val="none"/>
        </w:rPr>
      </w:pPr>
      <w:r>
        <w:rPr>
          <w:rFonts w:hint="eastAsia"/>
          <w:color w:val="auto"/>
          <w:szCs w:val="21"/>
          <w:highlight w:val="none"/>
        </w:rPr>
        <w:t>③</w:t>
      </w:r>
      <w:r>
        <w:rPr>
          <w:color w:val="auto"/>
          <w:szCs w:val="21"/>
          <w:highlight w:val="none"/>
        </w:rPr>
        <w:t>不同的供应商的响应文件载明的项目管理员为同一个人；</w:t>
      </w:r>
    </w:p>
    <w:p w14:paraId="5BB93137">
      <w:pPr>
        <w:spacing w:before="120" w:line="320" w:lineRule="atLeast"/>
        <w:ind w:firstLine="420" w:firstLineChars="200"/>
        <w:rPr>
          <w:color w:val="auto"/>
          <w:szCs w:val="21"/>
          <w:highlight w:val="none"/>
        </w:rPr>
      </w:pPr>
      <w:r>
        <w:rPr>
          <w:rFonts w:hint="eastAsia"/>
          <w:color w:val="auto"/>
          <w:szCs w:val="21"/>
          <w:highlight w:val="none"/>
        </w:rPr>
        <w:t>④</w:t>
      </w:r>
      <w:r>
        <w:rPr>
          <w:color w:val="auto"/>
          <w:szCs w:val="21"/>
          <w:highlight w:val="none"/>
        </w:rPr>
        <w:t>不同供应商的响应文件异常一致或投标报价呈规律性差异；</w:t>
      </w:r>
    </w:p>
    <w:p w14:paraId="311A0A17">
      <w:pPr>
        <w:spacing w:before="120" w:line="320" w:lineRule="atLeast"/>
        <w:ind w:firstLine="420" w:firstLineChars="200"/>
        <w:rPr>
          <w:color w:val="auto"/>
          <w:szCs w:val="21"/>
          <w:highlight w:val="none"/>
        </w:rPr>
      </w:pPr>
      <w:r>
        <w:rPr>
          <w:rFonts w:hint="eastAsia"/>
          <w:color w:val="auto"/>
          <w:szCs w:val="21"/>
          <w:highlight w:val="none"/>
        </w:rPr>
        <w:t>⑤</w:t>
      </w:r>
      <w:r>
        <w:rPr>
          <w:color w:val="auto"/>
          <w:szCs w:val="21"/>
          <w:highlight w:val="none"/>
        </w:rPr>
        <w:t>不同供应商的响应文件相互混装；</w:t>
      </w:r>
    </w:p>
    <w:p w14:paraId="5DE12B7A">
      <w:pPr>
        <w:spacing w:before="120" w:line="320" w:lineRule="atLeast"/>
        <w:ind w:firstLine="420" w:firstLineChars="200"/>
        <w:rPr>
          <w:color w:val="auto"/>
          <w:szCs w:val="21"/>
          <w:highlight w:val="none"/>
        </w:rPr>
      </w:pPr>
      <w:r>
        <w:rPr>
          <w:rFonts w:hint="eastAsia"/>
          <w:color w:val="auto"/>
          <w:szCs w:val="21"/>
          <w:highlight w:val="none"/>
        </w:rPr>
        <w:t>⑥</w:t>
      </w:r>
      <w:r>
        <w:rPr>
          <w:color w:val="auto"/>
          <w:szCs w:val="21"/>
          <w:highlight w:val="none"/>
        </w:rPr>
        <w:t>不同供应商的保证金从同一单位或者个人账户转出。</w:t>
      </w:r>
    </w:p>
    <w:bookmarkEnd w:id="66"/>
    <w:p w14:paraId="7397EA9C">
      <w:pPr>
        <w:spacing w:before="120" w:line="320" w:lineRule="atLeast"/>
        <w:ind w:firstLine="420" w:firstLineChars="200"/>
        <w:rPr>
          <w:color w:val="auto"/>
          <w:szCs w:val="21"/>
          <w:highlight w:val="none"/>
        </w:rPr>
      </w:pPr>
      <w:bookmarkStart w:id="67" w:name="_Hlk19122102"/>
      <w:r>
        <w:rPr>
          <w:rFonts w:hint="eastAsia"/>
          <w:color w:val="auto"/>
          <w:szCs w:val="21"/>
          <w:highlight w:val="none"/>
        </w:rPr>
        <w:t>（3）</w:t>
      </w:r>
      <w:bookmarkEnd w:id="67"/>
      <w:r>
        <w:rPr>
          <w:color w:val="auto"/>
          <w:szCs w:val="21"/>
          <w:highlight w:val="none"/>
        </w:rPr>
        <w:t>根据《关于防治政府采购招标中串通投标行为的通知》</w:t>
      </w:r>
      <w:r>
        <w:rPr>
          <w:rFonts w:hint="eastAsia"/>
          <w:color w:val="auto"/>
          <w:szCs w:val="21"/>
          <w:highlight w:val="none"/>
        </w:rPr>
        <w:t>（</w:t>
      </w:r>
      <w:r>
        <w:rPr>
          <w:color w:val="auto"/>
          <w:szCs w:val="21"/>
          <w:highlight w:val="none"/>
        </w:rPr>
        <w:t>桂财采</w:t>
      </w:r>
      <w:r>
        <w:rPr>
          <w:rFonts w:hint="eastAsia"/>
          <w:color w:val="auto"/>
          <w:szCs w:val="21"/>
          <w:highlight w:val="none"/>
        </w:rPr>
        <w:t>〔2016〕42号）</w:t>
      </w:r>
      <w:r>
        <w:rPr>
          <w:color w:val="auto"/>
          <w:szCs w:val="21"/>
          <w:highlight w:val="none"/>
        </w:rPr>
        <w:t>规定，供应商有下列情形之一的，属于恶意串通行为，响应文件将被视为无效。</w:t>
      </w:r>
    </w:p>
    <w:p w14:paraId="62669D64">
      <w:pPr>
        <w:spacing w:before="120" w:line="320" w:lineRule="atLeast"/>
        <w:ind w:firstLine="420" w:firstLineChars="200"/>
        <w:rPr>
          <w:color w:val="auto"/>
          <w:szCs w:val="21"/>
          <w:highlight w:val="none"/>
        </w:rPr>
      </w:pPr>
      <w:bookmarkStart w:id="68" w:name="_Hlk19122095"/>
      <w:r>
        <w:rPr>
          <w:rFonts w:hint="eastAsia"/>
          <w:color w:val="auto"/>
          <w:szCs w:val="21"/>
          <w:highlight w:val="none"/>
        </w:rPr>
        <w:t>①</w:t>
      </w:r>
      <w:r>
        <w:rPr>
          <w:color w:val="auto"/>
          <w:szCs w:val="21"/>
          <w:highlight w:val="none"/>
        </w:rPr>
        <w:t>供应商直接或者间接从采购人或者采购代理机构处获得其他供应商的相关信息并修改其响应文件或者响应文件；</w:t>
      </w:r>
    </w:p>
    <w:p w14:paraId="05AAADDF">
      <w:pPr>
        <w:spacing w:before="120" w:line="320" w:lineRule="atLeast"/>
        <w:ind w:firstLine="420" w:firstLineChars="200"/>
        <w:rPr>
          <w:color w:val="auto"/>
          <w:szCs w:val="21"/>
          <w:highlight w:val="none"/>
        </w:rPr>
      </w:pPr>
      <w:r>
        <w:rPr>
          <w:rFonts w:hint="eastAsia"/>
          <w:color w:val="auto"/>
          <w:szCs w:val="21"/>
          <w:highlight w:val="none"/>
        </w:rPr>
        <w:t>②</w:t>
      </w:r>
      <w:r>
        <w:rPr>
          <w:color w:val="auto"/>
          <w:szCs w:val="21"/>
          <w:highlight w:val="none"/>
        </w:rPr>
        <w:t>供应商按照采购人或者采购代理机构的授意撤换、修改响应文件或者响应文件</w:t>
      </w:r>
      <w:r>
        <w:rPr>
          <w:rFonts w:hint="eastAsia"/>
          <w:color w:val="auto"/>
          <w:szCs w:val="21"/>
          <w:highlight w:val="none"/>
        </w:rPr>
        <w:t>;</w:t>
      </w:r>
    </w:p>
    <w:p w14:paraId="15571251">
      <w:pPr>
        <w:spacing w:before="120" w:line="320" w:lineRule="atLeast"/>
        <w:ind w:firstLine="420" w:firstLineChars="200"/>
        <w:rPr>
          <w:color w:val="auto"/>
          <w:szCs w:val="21"/>
          <w:highlight w:val="none"/>
        </w:rPr>
      </w:pPr>
      <w:r>
        <w:rPr>
          <w:rFonts w:hint="eastAsia"/>
          <w:color w:val="auto"/>
          <w:szCs w:val="21"/>
          <w:highlight w:val="none"/>
        </w:rPr>
        <w:t>③</w:t>
      </w:r>
      <w:r>
        <w:rPr>
          <w:color w:val="auto"/>
          <w:szCs w:val="21"/>
          <w:highlight w:val="none"/>
        </w:rPr>
        <w:t>供应商之间协商报价、技术方案等响应文件或者响应文件的实质性内容；</w:t>
      </w:r>
    </w:p>
    <w:p w14:paraId="4C9DFEA1">
      <w:pPr>
        <w:spacing w:before="120" w:line="320" w:lineRule="atLeast"/>
        <w:ind w:firstLine="420" w:firstLineChars="200"/>
        <w:rPr>
          <w:color w:val="auto"/>
          <w:szCs w:val="21"/>
          <w:highlight w:val="none"/>
        </w:rPr>
      </w:pPr>
      <w:r>
        <w:rPr>
          <w:rFonts w:hint="eastAsia"/>
          <w:color w:val="auto"/>
          <w:szCs w:val="21"/>
          <w:highlight w:val="none"/>
        </w:rPr>
        <w:t>④</w:t>
      </w:r>
      <w:r>
        <w:rPr>
          <w:color w:val="auto"/>
          <w:szCs w:val="21"/>
          <w:highlight w:val="none"/>
        </w:rPr>
        <w:t>属于同一集团、协会、商会等组织成员的供应商按照该组织要求协同参加政府采购活动；</w:t>
      </w:r>
    </w:p>
    <w:p w14:paraId="5CA42B74">
      <w:pPr>
        <w:spacing w:before="120" w:line="320" w:lineRule="atLeast"/>
        <w:ind w:firstLine="420" w:firstLineChars="200"/>
        <w:rPr>
          <w:color w:val="auto"/>
          <w:szCs w:val="21"/>
          <w:highlight w:val="none"/>
        </w:rPr>
      </w:pPr>
      <w:r>
        <w:rPr>
          <w:rFonts w:hint="eastAsia"/>
          <w:color w:val="auto"/>
          <w:szCs w:val="21"/>
          <w:highlight w:val="none"/>
        </w:rPr>
        <w:t>⑤</w:t>
      </w:r>
      <w:r>
        <w:rPr>
          <w:color w:val="auto"/>
          <w:szCs w:val="21"/>
          <w:highlight w:val="none"/>
        </w:rPr>
        <w:t>供应商之间事先约定一致抬高或者压低投标报价，或者在招标项目中事先约定轮流以高价位或者低价位中标，或者事先约定由某一特定供应商中标，然后再参加投标；</w:t>
      </w:r>
    </w:p>
    <w:p w14:paraId="7B3C866E">
      <w:pPr>
        <w:spacing w:before="120" w:line="320" w:lineRule="atLeast"/>
        <w:ind w:firstLine="420" w:firstLineChars="200"/>
        <w:rPr>
          <w:color w:val="auto"/>
          <w:szCs w:val="21"/>
          <w:highlight w:val="none"/>
        </w:rPr>
      </w:pPr>
      <w:r>
        <w:rPr>
          <w:rFonts w:hint="eastAsia"/>
          <w:color w:val="auto"/>
          <w:szCs w:val="21"/>
          <w:highlight w:val="none"/>
        </w:rPr>
        <w:t>⑥</w:t>
      </w:r>
      <w:r>
        <w:rPr>
          <w:color w:val="auto"/>
          <w:szCs w:val="21"/>
          <w:highlight w:val="none"/>
        </w:rPr>
        <w:t>供应商之间商定部分供应商放弃参加政府采购活动或者放弃中标；</w:t>
      </w:r>
    </w:p>
    <w:p w14:paraId="2609D577">
      <w:pPr>
        <w:spacing w:before="120" w:line="320" w:lineRule="atLeast"/>
        <w:ind w:firstLine="420" w:firstLineChars="200"/>
        <w:rPr>
          <w:color w:val="auto"/>
          <w:szCs w:val="21"/>
          <w:highlight w:val="none"/>
        </w:rPr>
      </w:pPr>
      <w:r>
        <w:rPr>
          <w:rFonts w:hint="eastAsia"/>
          <w:color w:val="auto"/>
          <w:szCs w:val="21"/>
          <w:highlight w:val="none"/>
        </w:rPr>
        <w:t>⑦</w:t>
      </w:r>
      <w:r>
        <w:rPr>
          <w:color w:val="auto"/>
          <w:szCs w:val="21"/>
          <w:highlight w:val="none"/>
        </w:rPr>
        <w:t>供应商与采购人或者采购代理机构之间、供应商相互之间，为谋求特定供应商中标或者排斥其他供应商的其他串通行为。</w:t>
      </w:r>
    </w:p>
    <w:bookmarkEnd w:id="68"/>
    <w:p w14:paraId="0D74ABD7">
      <w:pPr>
        <w:spacing w:before="120" w:line="320" w:lineRule="atLeast"/>
        <w:ind w:firstLine="420" w:firstLineChars="200"/>
        <w:rPr>
          <w:color w:val="auto"/>
          <w:szCs w:val="21"/>
          <w:highlight w:val="none"/>
        </w:rPr>
      </w:pPr>
      <w:r>
        <w:rPr>
          <w:color w:val="auto"/>
          <w:szCs w:val="21"/>
          <w:highlight w:val="none"/>
        </w:rPr>
        <w:t>6.3.</w:t>
      </w:r>
      <w:r>
        <w:rPr>
          <w:rFonts w:hint="eastAsia"/>
          <w:color w:val="auto"/>
          <w:szCs w:val="21"/>
          <w:highlight w:val="none"/>
        </w:rPr>
        <w:t>10</w:t>
      </w:r>
      <w:r>
        <w:rPr>
          <w:color w:val="auto"/>
          <w:szCs w:val="21"/>
          <w:highlight w:val="none"/>
        </w:rPr>
        <w:t>响应</w:t>
      </w:r>
      <w:r>
        <w:rPr>
          <w:rFonts w:hint="eastAsia"/>
          <w:color w:val="auto"/>
          <w:szCs w:val="21"/>
          <w:highlight w:val="none"/>
        </w:rPr>
        <w:t>无效</w:t>
      </w:r>
      <w:r>
        <w:rPr>
          <w:color w:val="auto"/>
          <w:szCs w:val="21"/>
          <w:highlight w:val="none"/>
        </w:rPr>
        <w:t>认定</w:t>
      </w:r>
    </w:p>
    <w:p w14:paraId="7738812A">
      <w:pPr>
        <w:spacing w:before="120" w:line="320" w:lineRule="atLeast"/>
        <w:ind w:firstLine="420" w:firstLineChars="200"/>
        <w:rPr>
          <w:color w:val="auto"/>
          <w:szCs w:val="21"/>
          <w:highlight w:val="none"/>
        </w:rPr>
      </w:pPr>
      <w:r>
        <w:rPr>
          <w:rFonts w:hint="eastAsia"/>
          <w:color w:val="auto"/>
          <w:szCs w:val="21"/>
          <w:highlight w:val="none"/>
        </w:rPr>
        <w:t>（</w:t>
      </w:r>
      <w:r>
        <w:rPr>
          <w:color w:val="auto"/>
          <w:szCs w:val="21"/>
          <w:highlight w:val="none"/>
        </w:rPr>
        <w:t>1）在</w:t>
      </w:r>
      <w:r>
        <w:rPr>
          <w:rFonts w:hint="eastAsia"/>
          <w:color w:val="auto"/>
          <w:szCs w:val="21"/>
          <w:highlight w:val="none"/>
        </w:rPr>
        <w:t>评审过程中</w:t>
      </w:r>
      <w:r>
        <w:rPr>
          <w:color w:val="auto"/>
          <w:szCs w:val="21"/>
          <w:highlight w:val="none"/>
        </w:rPr>
        <w:t>如发现下列情形之一的，响应文件将被视为无效：</w:t>
      </w:r>
    </w:p>
    <w:p w14:paraId="0E40BA22">
      <w:pPr>
        <w:spacing w:before="120" w:line="320" w:lineRule="atLeast"/>
        <w:ind w:firstLine="420" w:firstLineChars="200"/>
        <w:rPr>
          <w:color w:val="auto"/>
          <w:highlight w:val="none"/>
        </w:rPr>
      </w:pPr>
      <w:r>
        <w:rPr>
          <w:rFonts w:hint="eastAsia"/>
          <w:color w:val="auto"/>
          <w:szCs w:val="21"/>
          <w:highlight w:val="none"/>
        </w:rPr>
        <w:t>①</w:t>
      </w:r>
      <w:r>
        <w:rPr>
          <w:color w:val="auto"/>
          <w:szCs w:val="21"/>
          <w:highlight w:val="none"/>
        </w:rPr>
        <w:t>响应文件</w:t>
      </w:r>
      <w:r>
        <w:rPr>
          <w:rFonts w:hint="eastAsia"/>
          <w:color w:val="auto"/>
          <w:szCs w:val="21"/>
          <w:highlight w:val="none"/>
        </w:rPr>
        <w:t>存在法律、法规及监督部门有关文件规定的无效情形</w:t>
      </w:r>
      <w:r>
        <w:rPr>
          <w:color w:val="auto"/>
          <w:szCs w:val="21"/>
          <w:highlight w:val="none"/>
        </w:rPr>
        <w:t>。</w:t>
      </w:r>
    </w:p>
    <w:p w14:paraId="06AECF29">
      <w:pPr>
        <w:spacing w:before="120" w:line="320" w:lineRule="atLeast"/>
        <w:ind w:firstLine="420" w:firstLineChars="200"/>
        <w:rPr>
          <w:color w:val="auto"/>
          <w:szCs w:val="21"/>
          <w:highlight w:val="none"/>
        </w:rPr>
      </w:pPr>
      <w:r>
        <w:rPr>
          <w:rFonts w:hint="eastAsia"/>
          <w:color w:val="auto"/>
          <w:szCs w:val="21"/>
          <w:highlight w:val="none"/>
        </w:rPr>
        <w:t>②</w:t>
      </w:r>
      <w:r>
        <w:rPr>
          <w:color w:val="auto"/>
          <w:szCs w:val="21"/>
          <w:highlight w:val="none"/>
        </w:rPr>
        <w:t>响应文件</w:t>
      </w:r>
      <w:r>
        <w:rPr>
          <w:rFonts w:hint="eastAsia"/>
          <w:color w:val="auto"/>
          <w:szCs w:val="21"/>
          <w:highlight w:val="none"/>
        </w:rPr>
        <w:t>存在采购文件规定的无效情形。</w:t>
      </w:r>
    </w:p>
    <w:p w14:paraId="6C65BA68">
      <w:pPr>
        <w:spacing w:before="120" w:line="320" w:lineRule="atLeast"/>
        <w:ind w:firstLine="420" w:firstLineChars="200"/>
        <w:rPr>
          <w:color w:val="auto"/>
          <w:szCs w:val="21"/>
          <w:highlight w:val="none"/>
        </w:rPr>
      </w:pPr>
      <w:bookmarkStart w:id="69" w:name="_Hlk19113313"/>
      <w:r>
        <w:rPr>
          <w:rFonts w:hint="eastAsia"/>
          <w:color w:val="auto"/>
          <w:szCs w:val="21"/>
          <w:highlight w:val="none"/>
        </w:rPr>
        <w:t>（2）根据</w:t>
      </w:r>
      <w:r>
        <w:rPr>
          <w:color w:val="auto"/>
          <w:szCs w:val="21"/>
          <w:highlight w:val="none"/>
        </w:rPr>
        <w:t>财库</w:t>
      </w:r>
      <w:r>
        <w:rPr>
          <w:rFonts w:hint="eastAsia"/>
          <w:color w:val="auto"/>
          <w:szCs w:val="21"/>
          <w:highlight w:val="none"/>
        </w:rPr>
        <w:t>《</w:t>
      </w:r>
      <w:r>
        <w:rPr>
          <w:color w:val="auto"/>
          <w:szCs w:val="21"/>
          <w:highlight w:val="none"/>
        </w:rPr>
        <w:t>关于促进政府采购公平竞争优化营商环境的通知</w:t>
      </w:r>
      <w:r>
        <w:rPr>
          <w:rFonts w:hint="eastAsia"/>
          <w:color w:val="auto"/>
          <w:szCs w:val="21"/>
          <w:highlight w:val="none"/>
        </w:rPr>
        <w:t>》（</w:t>
      </w:r>
      <w:r>
        <w:rPr>
          <w:color w:val="auto"/>
          <w:szCs w:val="21"/>
          <w:highlight w:val="none"/>
        </w:rPr>
        <w:t>〔2019〕38号</w:t>
      </w:r>
      <w:r>
        <w:rPr>
          <w:rFonts w:hint="eastAsia"/>
          <w:color w:val="auto"/>
          <w:szCs w:val="21"/>
          <w:highlight w:val="none"/>
        </w:rPr>
        <w:t>）以及《广西壮族自治区财政厅转发财政部关于促进政府采购公平竞争优化营商环境的通知》（桂财采〔2019〕41号）规定，谈判小组不得因装订、纸张、文件排序等非实质性的格式、形式问题认定投标无效或否决投标，从而限制和影响供应商投标（响应）。</w:t>
      </w:r>
    </w:p>
    <w:bookmarkEnd w:id="69"/>
    <w:p w14:paraId="3A5AC161">
      <w:pPr>
        <w:spacing w:before="120" w:line="320" w:lineRule="atLeast"/>
        <w:ind w:firstLine="420" w:firstLineChars="200"/>
        <w:rPr>
          <w:color w:val="auto"/>
          <w:szCs w:val="21"/>
          <w:highlight w:val="none"/>
        </w:rPr>
      </w:pPr>
      <w:r>
        <w:rPr>
          <w:color w:val="auto"/>
          <w:szCs w:val="21"/>
          <w:highlight w:val="none"/>
        </w:rPr>
        <w:t>6.3.1</w:t>
      </w:r>
      <w:r>
        <w:rPr>
          <w:rFonts w:hint="eastAsia"/>
          <w:color w:val="auto"/>
          <w:szCs w:val="21"/>
          <w:highlight w:val="none"/>
        </w:rPr>
        <w:t>1</w:t>
      </w:r>
      <w:r>
        <w:rPr>
          <w:color w:val="auto"/>
          <w:szCs w:val="21"/>
          <w:highlight w:val="none"/>
        </w:rPr>
        <w:t>比较</w:t>
      </w:r>
      <w:r>
        <w:rPr>
          <w:rFonts w:hint="eastAsia"/>
          <w:color w:val="auto"/>
          <w:szCs w:val="21"/>
          <w:highlight w:val="none"/>
        </w:rPr>
        <w:t>与评价</w:t>
      </w:r>
    </w:p>
    <w:p w14:paraId="52E38AC6">
      <w:pPr>
        <w:spacing w:before="120" w:line="320" w:lineRule="atLeast"/>
        <w:ind w:firstLine="420" w:firstLineChars="200"/>
        <w:rPr>
          <w:color w:val="auto"/>
          <w:szCs w:val="21"/>
          <w:highlight w:val="none"/>
        </w:rPr>
      </w:pPr>
      <w:r>
        <w:rPr>
          <w:rFonts w:hint="eastAsia"/>
          <w:color w:val="auto"/>
          <w:szCs w:val="21"/>
          <w:highlight w:val="none"/>
        </w:rPr>
        <w:t>（1）</w:t>
      </w:r>
      <w:r>
        <w:rPr>
          <w:color w:val="auto"/>
          <w:szCs w:val="21"/>
          <w:highlight w:val="none"/>
        </w:rPr>
        <w:t>谈判小组按扣除后的价格由低到高的顺序排列推荐3名以上供应商为本项目（或分标）的成交候选</w:t>
      </w:r>
      <w:r>
        <w:rPr>
          <w:rFonts w:hint="eastAsia"/>
          <w:color w:val="auto"/>
          <w:szCs w:val="21"/>
          <w:highlight w:val="none"/>
        </w:rPr>
        <w:t>供应商</w:t>
      </w:r>
      <w:r>
        <w:rPr>
          <w:color w:val="auto"/>
          <w:szCs w:val="21"/>
          <w:highlight w:val="none"/>
        </w:rPr>
        <w:t>，排名第一的为第一成交候选</w:t>
      </w:r>
      <w:r>
        <w:rPr>
          <w:rFonts w:hint="eastAsia"/>
          <w:color w:val="auto"/>
          <w:szCs w:val="21"/>
          <w:highlight w:val="none"/>
        </w:rPr>
        <w:t>供应商</w:t>
      </w:r>
      <w:r>
        <w:rPr>
          <w:color w:val="auto"/>
          <w:szCs w:val="21"/>
          <w:highlight w:val="none"/>
        </w:rPr>
        <w:t>。若供应商的响应</w:t>
      </w:r>
      <w:r>
        <w:rPr>
          <w:rFonts w:hint="eastAsia"/>
          <w:color w:val="auto"/>
          <w:szCs w:val="21"/>
          <w:highlight w:val="none"/>
        </w:rPr>
        <w:t>最后</w:t>
      </w:r>
      <w:r>
        <w:rPr>
          <w:color w:val="auto"/>
          <w:szCs w:val="21"/>
          <w:highlight w:val="none"/>
        </w:rPr>
        <w:t>报价经扣除后价格相同，则按服务条款的优劣顺序排列。若仍相同的，由</w:t>
      </w:r>
      <w:r>
        <w:rPr>
          <w:rFonts w:hint="eastAsia"/>
          <w:color w:val="auto"/>
          <w:szCs w:val="21"/>
          <w:highlight w:val="none"/>
        </w:rPr>
        <w:t>采购人自行</w:t>
      </w:r>
      <w:r>
        <w:rPr>
          <w:color w:val="auto"/>
          <w:szCs w:val="21"/>
          <w:highlight w:val="none"/>
        </w:rPr>
        <w:t>确定。</w:t>
      </w:r>
    </w:p>
    <w:p w14:paraId="313A7FCF">
      <w:pPr>
        <w:spacing w:before="120" w:line="320" w:lineRule="atLeast"/>
        <w:ind w:firstLine="420" w:firstLineChars="200"/>
        <w:rPr>
          <w:color w:val="auto"/>
          <w:highlight w:val="none"/>
        </w:rPr>
      </w:pPr>
      <w:r>
        <w:rPr>
          <w:rFonts w:hint="eastAsia"/>
          <w:color w:val="auto"/>
          <w:szCs w:val="21"/>
          <w:highlight w:val="none"/>
        </w:rPr>
        <w:t>（2）谈判小组根据评审记录及评审结果编写评审报告，谈判小组成员均应当在评审报告上签字，对自己的评审意见承担法律责任。</w:t>
      </w:r>
      <w:r>
        <w:rPr>
          <w:color w:val="auto"/>
          <w:highlight w:val="none"/>
        </w:rPr>
        <w:t>评审报告签署前，经复核发现存在以</w:t>
      </w:r>
      <w:r>
        <w:rPr>
          <w:rFonts w:hint="eastAsia"/>
          <w:color w:val="auto"/>
          <w:highlight w:val="none"/>
        </w:rPr>
        <w:t>下</w:t>
      </w:r>
      <w:r>
        <w:rPr>
          <w:color w:val="auto"/>
          <w:highlight w:val="none"/>
        </w:rPr>
        <w:t>情形之一的，</w:t>
      </w:r>
      <w:r>
        <w:rPr>
          <w:rFonts w:hint="eastAsia"/>
          <w:color w:val="auto"/>
          <w:highlight w:val="none"/>
        </w:rPr>
        <w:t>谈判</w:t>
      </w:r>
      <w:r>
        <w:rPr>
          <w:color w:val="auto"/>
          <w:highlight w:val="none"/>
        </w:rPr>
        <w:t>小组应当当场修改评审结果，并在评审报告中记载；评审报告签署后，采购人或者采购代理机构发现存在以</w:t>
      </w:r>
      <w:r>
        <w:rPr>
          <w:rFonts w:hint="eastAsia"/>
          <w:color w:val="auto"/>
          <w:highlight w:val="none"/>
        </w:rPr>
        <w:t>下</w:t>
      </w:r>
      <w:r>
        <w:rPr>
          <w:color w:val="auto"/>
          <w:highlight w:val="none"/>
        </w:rPr>
        <w:t>情形之一的，应当组织原</w:t>
      </w:r>
      <w:r>
        <w:rPr>
          <w:rFonts w:hint="eastAsia"/>
          <w:color w:val="auto"/>
          <w:highlight w:val="none"/>
        </w:rPr>
        <w:t>谈判</w:t>
      </w:r>
      <w:r>
        <w:rPr>
          <w:color w:val="auto"/>
          <w:highlight w:val="none"/>
        </w:rPr>
        <w:t>小组进行重新评审。</w:t>
      </w:r>
    </w:p>
    <w:p w14:paraId="20D257DB">
      <w:pPr>
        <w:spacing w:before="120" w:line="320" w:lineRule="atLeast"/>
        <w:ind w:firstLine="420" w:firstLineChars="200"/>
        <w:rPr>
          <w:color w:val="auto"/>
          <w:szCs w:val="21"/>
          <w:highlight w:val="none"/>
        </w:rPr>
      </w:pPr>
      <w:r>
        <w:rPr>
          <w:rFonts w:hint="eastAsia"/>
          <w:color w:val="auto"/>
          <w:highlight w:val="none"/>
        </w:rPr>
        <w:t>资格性检查认定错误、价格计算错误。</w:t>
      </w:r>
    </w:p>
    <w:p w14:paraId="7077EB37">
      <w:pPr>
        <w:spacing w:before="120" w:line="320" w:lineRule="atLeast"/>
        <w:ind w:firstLine="422" w:firstLineChars="200"/>
        <w:outlineLvl w:val="2"/>
        <w:rPr>
          <w:b/>
          <w:bCs/>
          <w:color w:val="auto"/>
          <w:kern w:val="0"/>
          <w:szCs w:val="21"/>
          <w:highlight w:val="none"/>
        </w:rPr>
      </w:pPr>
      <w:r>
        <w:rPr>
          <w:b/>
          <w:bCs/>
          <w:color w:val="auto"/>
          <w:kern w:val="0"/>
          <w:szCs w:val="21"/>
          <w:highlight w:val="none"/>
        </w:rPr>
        <w:t>6.4确定成交供应商</w:t>
      </w:r>
    </w:p>
    <w:p w14:paraId="4645CACD">
      <w:pPr>
        <w:spacing w:before="120" w:line="276" w:lineRule="auto"/>
        <w:ind w:firstLine="420" w:firstLineChars="200"/>
        <w:rPr>
          <w:color w:val="auto"/>
          <w:szCs w:val="21"/>
          <w:highlight w:val="none"/>
        </w:rPr>
      </w:pPr>
      <w:r>
        <w:rPr>
          <w:rFonts w:hint="eastAsia"/>
          <w:color w:val="auto"/>
          <w:szCs w:val="21"/>
          <w:highlight w:val="none"/>
        </w:rPr>
        <w:t>6.</w:t>
      </w:r>
      <w:r>
        <w:rPr>
          <w:color w:val="auto"/>
          <w:szCs w:val="21"/>
          <w:highlight w:val="none"/>
        </w:rPr>
        <w:t>4.1采购代理机构将在评审结束后2个工作日内将评审报告送采购人，采购人在5个工作日内按照评审报告中推荐的</w:t>
      </w:r>
      <w:r>
        <w:rPr>
          <w:rFonts w:hint="eastAsia"/>
          <w:color w:val="auto"/>
          <w:szCs w:val="21"/>
          <w:highlight w:val="none"/>
        </w:rPr>
        <w:t>成交</w:t>
      </w:r>
      <w:r>
        <w:rPr>
          <w:color w:val="auto"/>
          <w:szCs w:val="21"/>
          <w:highlight w:val="none"/>
        </w:rPr>
        <w:t>候选供应商顺序确定成交供应商。</w:t>
      </w:r>
    </w:p>
    <w:p w14:paraId="1AD5A49E">
      <w:pPr>
        <w:spacing w:before="120" w:line="276" w:lineRule="auto"/>
        <w:ind w:firstLine="420" w:firstLineChars="200"/>
        <w:rPr>
          <w:color w:val="auto"/>
          <w:szCs w:val="21"/>
          <w:highlight w:val="none"/>
        </w:rPr>
      </w:pPr>
      <w:r>
        <w:rPr>
          <w:color w:val="auto"/>
          <w:szCs w:val="21"/>
          <w:highlight w:val="none"/>
        </w:rPr>
        <w:t>6.4.2</w:t>
      </w:r>
      <w:r>
        <w:rPr>
          <w:rFonts w:hint="eastAsia"/>
          <w:color w:val="auto"/>
          <w:szCs w:val="21"/>
          <w:highlight w:val="none"/>
        </w:rPr>
        <w:t>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62A3C0A9">
      <w:pPr>
        <w:spacing w:before="120" w:line="320" w:lineRule="atLeast"/>
        <w:ind w:firstLine="422" w:firstLineChars="200"/>
        <w:outlineLvl w:val="2"/>
        <w:rPr>
          <w:b/>
          <w:bCs/>
          <w:color w:val="auto"/>
          <w:kern w:val="0"/>
          <w:szCs w:val="21"/>
          <w:highlight w:val="none"/>
        </w:rPr>
      </w:pPr>
      <w:r>
        <w:rPr>
          <w:b/>
          <w:bCs/>
          <w:color w:val="auto"/>
          <w:kern w:val="0"/>
          <w:szCs w:val="21"/>
          <w:highlight w:val="none"/>
        </w:rPr>
        <w:t>6.5</w:t>
      </w:r>
      <w:r>
        <w:rPr>
          <w:rFonts w:hint="eastAsia"/>
          <w:b/>
          <w:bCs/>
          <w:color w:val="auto"/>
          <w:kern w:val="0"/>
          <w:szCs w:val="21"/>
          <w:highlight w:val="none"/>
        </w:rPr>
        <w:t>结果公告</w:t>
      </w:r>
    </w:p>
    <w:p w14:paraId="05DFF55D">
      <w:pPr>
        <w:spacing w:before="120" w:line="320" w:lineRule="atLeast"/>
        <w:ind w:firstLine="420" w:firstLineChars="200"/>
        <w:rPr>
          <w:color w:val="auto"/>
          <w:szCs w:val="21"/>
          <w:highlight w:val="none"/>
        </w:rPr>
      </w:pPr>
      <w:r>
        <w:rPr>
          <w:rFonts w:hint="eastAsia"/>
          <w:color w:val="auto"/>
          <w:szCs w:val="21"/>
          <w:highlight w:val="none"/>
        </w:rPr>
        <w:t>6</w:t>
      </w:r>
      <w:r>
        <w:rPr>
          <w:color w:val="auto"/>
          <w:szCs w:val="21"/>
          <w:highlight w:val="none"/>
        </w:rPr>
        <w:t>.5.1自成交供应商确定后2个工作日内，采购代理机构</w:t>
      </w:r>
      <w:r>
        <w:rPr>
          <w:rFonts w:hint="eastAsia"/>
          <w:color w:val="auto"/>
          <w:szCs w:val="21"/>
          <w:highlight w:val="none"/>
        </w:rPr>
        <w:t>按照供应商须知</w:t>
      </w:r>
      <w:r>
        <w:rPr>
          <w:rFonts w:hint="eastAsia"/>
          <w:color w:val="auto"/>
          <w:kern w:val="0"/>
          <w:szCs w:val="21"/>
          <w:highlight w:val="none"/>
        </w:rPr>
        <w:t>前附表的规定</w:t>
      </w:r>
      <w:r>
        <w:rPr>
          <w:color w:val="auto"/>
          <w:kern w:val="0"/>
          <w:szCs w:val="21"/>
          <w:highlight w:val="none"/>
        </w:rPr>
        <w:t>公告</w:t>
      </w:r>
      <w:r>
        <w:rPr>
          <w:color w:val="auto"/>
          <w:szCs w:val="21"/>
          <w:highlight w:val="none"/>
        </w:rPr>
        <w:t>成交结果</w:t>
      </w:r>
      <w:r>
        <w:rPr>
          <w:rFonts w:hint="eastAsia"/>
          <w:color w:val="auto"/>
          <w:szCs w:val="21"/>
          <w:highlight w:val="none"/>
        </w:rPr>
        <w:t>，成交结果公告期限为1个工作日，发布成交结果公告的同时向成交供应商发出成交通知书。采购代理机构发出成交通知书前，应当对成交供应商信用进行核实，对列入失信被执行人、重大税收违法案件当事人名 单、政府采购严重违法失信行为记录名单及其他不符合《中华人民共和国政府采购法》第二十二条规定条件的供应商，取消其成交资格，并确定排名第二的成交候选人为成交供应商。排名第二的成交候选人因前款规定的同样原因被取消成交资格的，授权的评标委员会可以确定排名第三的成交候选人为成交供应商，以此类推。以上信息查询记录及相关证据与采购文件一并保存。</w:t>
      </w:r>
    </w:p>
    <w:p w14:paraId="448506DE">
      <w:pPr>
        <w:spacing w:before="120" w:line="320" w:lineRule="atLeast"/>
        <w:ind w:firstLine="420" w:firstLineChars="200"/>
        <w:rPr>
          <w:color w:val="auto"/>
          <w:szCs w:val="21"/>
          <w:highlight w:val="none"/>
        </w:rPr>
      </w:pPr>
      <w:r>
        <w:rPr>
          <w:rFonts w:hint="eastAsia"/>
          <w:color w:val="auto"/>
          <w:szCs w:val="21"/>
          <w:highlight w:val="none"/>
        </w:rPr>
        <w:t>6</w:t>
      </w:r>
      <w:r>
        <w:rPr>
          <w:color w:val="auto"/>
          <w:szCs w:val="21"/>
          <w:highlight w:val="none"/>
        </w:rPr>
        <w:t>.5.2在发布</w:t>
      </w:r>
      <w:r>
        <w:rPr>
          <w:rFonts w:hint="eastAsia"/>
          <w:color w:val="auto"/>
          <w:szCs w:val="21"/>
          <w:highlight w:val="none"/>
        </w:rPr>
        <w:t>结果</w:t>
      </w:r>
      <w:r>
        <w:rPr>
          <w:color w:val="auto"/>
          <w:szCs w:val="21"/>
          <w:highlight w:val="none"/>
        </w:rPr>
        <w:t>公告的同时，采购代理机构以供应商须知前附表规定的形式向成交供应商发出成交通知书。成交通知书发出后，采购人改变成交结果，或者成交供应商放弃成交，应当承担相应的法律责任。</w:t>
      </w:r>
    </w:p>
    <w:p w14:paraId="3C544F80">
      <w:pPr>
        <w:suppressAutoHyphens/>
        <w:spacing w:before="120" w:line="320" w:lineRule="atLeast"/>
        <w:ind w:firstLine="422" w:firstLineChars="200"/>
        <w:outlineLvl w:val="2"/>
        <w:rPr>
          <w:b/>
          <w:bCs/>
          <w:color w:val="auto"/>
          <w:kern w:val="0"/>
          <w:szCs w:val="21"/>
          <w:highlight w:val="none"/>
        </w:rPr>
      </w:pPr>
      <w:r>
        <w:rPr>
          <w:b/>
          <w:bCs/>
          <w:color w:val="auto"/>
          <w:kern w:val="0"/>
          <w:szCs w:val="21"/>
          <w:highlight w:val="none"/>
        </w:rPr>
        <w:t>6.6</w:t>
      </w:r>
      <w:r>
        <w:rPr>
          <w:rFonts w:hint="eastAsia"/>
          <w:b/>
          <w:bCs/>
          <w:color w:val="auto"/>
          <w:kern w:val="0"/>
          <w:szCs w:val="21"/>
          <w:highlight w:val="none"/>
        </w:rPr>
        <w:t>废标</w:t>
      </w:r>
    </w:p>
    <w:p w14:paraId="72362EAA">
      <w:pPr>
        <w:spacing w:before="120" w:line="320" w:lineRule="atLeast"/>
        <w:ind w:firstLine="420" w:firstLineChars="200"/>
        <w:rPr>
          <w:color w:val="auto"/>
          <w:kern w:val="1"/>
          <w:szCs w:val="21"/>
          <w:highlight w:val="none"/>
        </w:rPr>
      </w:pPr>
      <w:r>
        <w:rPr>
          <w:color w:val="auto"/>
          <w:kern w:val="1"/>
          <w:szCs w:val="21"/>
          <w:highlight w:val="none"/>
        </w:rPr>
        <w:t>6.6.1</w:t>
      </w:r>
      <w:r>
        <w:rPr>
          <w:rFonts w:hint="eastAsia"/>
          <w:color w:val="auto"/>
          <w:kern w:val="1"/>
          <w:szCs w:val="21"/>
          <w:highlight w:val="none"/>
        </w:rPr>
        <w:t xml:space="preserve">出现下列情形之一，将导致项目废标： </w:t>
      </w:r>
    </w:p>
    <w:p w14:paraId="52FF0D1A">
      <w:pPr>
        <w:spacing w:before="120" w:line="320" w:lineRule="atLeast"/>
        <w:ind w:firstLine="420" w:firstLineChars="200"/>
        <w:rPr>
          <w:color w:val="auto"/>
          <w:szCs w:val="21"/>
          <w:highlight w:val="none"/>
        </w:rPr>
      </w:pPr>
      <w:r>
        <w:rPr>
          <w:rFonts w:hint="eastAsia"/>
          <w:color w:val="auto"/>
          <w:kern w:val="1"/>
          <w:szCs w:val="21"/>
          <w:highlight w:val="none"/>
        </w:rPr>
        <w:t>（1</w:t>
      </w:r>
      <w:r>
        <w:rPr>
          <w:rFonts w:hint="eastAsia"/>
          <w:color w:val="auto"/>
          <w:szCs w:val="21"/>
          <w:highlight w:val="none"/>
        </w:rPr>
        <w:t>）符合专业条件的供应商或者对采购文件做实质性响应的供应商不足三家；</w:t>
      </w:r>
    </w:p>
    <w:p w14:paraId="3EBCB093">
      <w:pPr>
        <w:spacing w:before="120" w:line="320" w:lineRule="atLeast"/>
        <w:ind w:firstLine="420" w:firstLineChars="200"/>
        <w:rPr>
          <w:color w:val="auto"/>
          <w:szCs w:val="21"/>
          <w:highlight w:val="none"/>
        </w:rPr>
      </w:pPr>
      <w:r>
        <w:rPr>
          <w:rFonts w:hint="eastAsia"/>
          <w:color w:val="auto"/>
          <w:szCs w:val="21"/>
          <w:highlight w:val="none"/>
        </w:rPr>
        <w:t>（2）出现影响采购公正的违法、违规行为的；</w:t>
      </w:r>
    </w:p>
    <w:p w14:paraId="16509F27">
      <w:pPr>
        <w:spacing w:before="120" w:line="320" w:lineRule="atLeast"/>
        <w:ind w:firstLine="420" w:firstLineChars="200"/>
        <w:rPr>
          <w:color w:val="auto"/>
          <w:szCs w:val="21"/>
          <w:highlight w:val="none"/>
        </w:rPr>
      </w:pPr>
      <w:r>
        <w:rPr>
          <w:rFonts w:hint="eastAsia"/>
          <w:color w:val="auto"/>
          <w:szCs w:val="21"/>
          <w:highlight w:val="none"/>
        </w:rPr>
        <w:t>（3）供应商的报价均超过了采购预算，采购人不能支付的；</w:t>
      </w:r>
    </w:p>
    <w:p w14:paraId="650EC990">
      <w:pPr>
        <w:spacing w:before="120" w:line="320" w:lineRule="atLeast"/>
        <w:ind w:firstLine="420" w:firstLineChars="200"/>
        <w:rPr>
          <w:color w:val="auto"/>
          <w:highlight w:val="none"/>
        </w:rPr>
      </w:pPr>
      <w:r>
        <w:rPr>
          <w:rFonts w:hint="eastAsia"/>
          <w:color w:val="auto"/>
          <w:szCs w:val="21"/>
          <w:highlight w:val="none"/>
        </w:rPr>
        <w:t>（4）</w:t>
      </w:r>
      <w:r>
        <w:rPr>
          <w:rFonts w:hint="eastAsia"/>
          <w:color w:val="auto"/>
          <w:highlight w:val="none"/>
        </w:rPr>
        <w:t>因发生重大变故或采购任务取消的。</w:t>
      </w:r>
    </w:p>
    <w:p w14:paraId="2E6AE539">
      <w:pPr>
        <w:spacing w:before="120" w:line="320" w:lineRule="atLeast"/>
        <w:ind w:firstLine="420" w:firstLineChars="200"/>
        <w:rPr>
          <w:color w:val="auto"/>
          <w:szCs w:val="21"/>
          <w:highlight w:val="none"/>
        </w:rPr>
      </w:pPr>
      <w:r>
        <w:rPr>
          <w:color w:val="auto"/>
          <w:kern w:val="1"/>
          <w:szCs w:val="21"/>
          <w:highlight w:val="none"/>
        </w:rPr>
        <w:t>6.6.2</w:t>
      </w:r>
      <w:r>
        <w:rPr>
          <w:rFonts w:hint="eastAsia"/>
          <w:color w:val="auto"/>
          <w:kern w:val="1"/>
          <w:szCs w:val="21"/>
          <w:highlight w:val="none"/>
        </w:rPr>
        <w:t>废标后</w:t>
      </w:r>
      <w:r>
        <w:rPr>
          <w:rFonts w:hint="eastAsia"/>
          <w:color w:val="auto"/>
          <w:szCs w:val="21"/>
          <w:highlight w:val="none"/>
        </w:rPr>
        <w:t>采购</w:t>
      </w:r>
      <w:r>
        <w:rPr>
          <w:rFonts w:hint="eastAsia"/>
          <w:color w:val="auto"/>
          <w:kern w:val="1"/>
          <w:szCs w:val="21"/>
          <w:highlight w:val="none"/>
        </w:rPr>
        <w:t>代理机构将发布废标公告通知供应商。</w:t>
      </w:r>
    </w:p>
    <w:p w14:paraId="1EFD9203">
      <w:pPr>
        <w:spacing w:before="120" w:line="320" w:lineRule="atLeast"/>
        <w:ind w:left="2" w:leftChars="1" w:firstLine="422" w:firstLineChars="200"/>
        <w:outlineLvl w:val="1"/>
        <w:rPr>
          <w:b/>
          <w:bCs/>
          <w:color w:val="auto"/>
          <w:kern w:val="0"/>
          <w:szCs w:val="21"/>
          <w:highlight w:val="none"/>
        </w:rPr>
      </w:pPr>
      <w:r>
        <w:rPr>
          <w:b/>
          <w:bCs/>
          <w:color w:val="auto"/>
          <w:kern w:val="0"/>
          <w:szCs w:val="21"/>
          <w:highlight w:val="none"/>
        </w:rPr>
        <w:t>7．合同</w:t>
      </w:r>
    </w:p>
    <w:p w14:paraId="01F1BC1E">
      <w:pPr>
        <w:spacing w:before="120" w:line="320" w:lineRule="atLeast"/>
        <w:ind w:firstLine="422" w:firstLineChars="200"/>
        <w:outlineLvl w:val="2"/>
        <w:rPr>
          <w:b/>
          <w:bCs/>
          <w:color w:val="auto"/>
          <w:kern w:val="0"/>
          <w:szCs w:val="21"/>
          <w:highlight w:val="none"/>
        </w:rPr>
      </w:pPr>
      <w:r>
        <w:rPr>
          <w:b/>
          <w:bCs/>
          <w:color w:val="auto"/>
          <w:kern w:val="0"/>
          <w:szCs w:val="21"/>
          <w:highlight w:val="none"/>
        </w:rPr>
        <w:t>7.1合同授予标准</w:t>
      </w:r>
    </w:p>
    <w:p w14:paraId="10ABE975">
      <w:pPr>
        <w:spacing w:before="120" w:line="320" w:lineRule="atLeast"/>
        <w:ind w:firstLine="420" w:firstLineChars="200"/>
        <w:rPr>
          <w:color w:val="auto"/>
          <w:szCs w:val="21"/>
          <w:highlight w:val="none"/>
        </w:rPr>
      </w:pPr>
      <w:r>
        <w:rPr>
          <w:color w:val="auto"/>
          <w:szCs w:val="21"/>
          <w:highlight w:val="none"/>
        </w:rPr>
        <w:t>合同将授予被确定实质上响应采购文件要求，具备履行合同能力，排名第一的供应商。在</w:t>
      </w:r>
      <w:r>
        <w:rPr>
          <w:rFonts w:hint="eastAsia"/>
          <w:color w:val="auto"/>
          <w:szCs w:val="21"/>
          <w:highlight w:val="none"/>
        </w:rPr>
        <w:t>成交通知书</w:t>
      </w:r>
      <w:r>
        <w:rPr>
          <w:color w:val="auto"/>
          <w:szCs w:val="21"/>
          <w:highlight w:val="none"/>
        </w:rPr>
        <w:t>发出前或签订合同前，如果</w:t>
      </w:r>
      <w:r>
        <w:rPr>
          <w:rFonts w:hint="eastAsia"/>
          <w:color w:val="auto"/>
          <w:szCs w:val="21"/>
          <w:highlight w:val="none"/>
        </w:rPr>
        <w:t>成交供应商</w:t>
      </w:r>
      <w:r>
        <w:rPr>
          <w:color w:val="auto"/>
          <w:szCs w:val="21"/>
          <w:highlight w:val="none"/>
        </w:rPr>
        <w:t>的组织机构</w:t>
      </w:r>
      <w:r>
        <w:rPr>
          <w:rFonts w:hint="eastAsia"/>
          <w:color w:val="auto"/>
          <w:szCs w:val="21"/>
          <w:highlight w:val="none"/>
        </w:rPr>
        <w:t>、</w:t>
      </w:r>
      <w:r>
        <w:rPr>
          <w:color w:val="auto"/>
          <w:szCs w:val="21"/>
          <w:highlight w:val="none"/>
        </w:rPr>
        <w:t>经营、财务状况发生较大变化，可能造成不能履行合同、无法按照</w:t>
      </w:r>
      <w:r>
        <w:rPr>
          <w:rFonts w:hint="eastAsia"/>
          <w:color w:val="auto"/>
          <w:szCs w:val="21"/>
          <w:highlight w:val="none"/>
        </w:rPr>
        <w:t>采购文件</w:t>
      </w:r>
      <w:r>
        <w:rPr>
          <w:color w:val="auto"/>
          <w:szCs w:val="21"/>
          <w:highlight w:val="none"/>
        </w:rPr>
        <w:t>要求提交履约保证金等情形，不符合成交条件或不满足供应商资格条件要求 ，应在</w:t>
      </w:r>
      <w:r>
        <w:rPr>
          <w:rFonts w:hint="eastAsia"/>
          <w:color w:val="auto"/>
          <w:szCs w:val="21"/>
          <w:highlight w:val="none"/>
        </w:rPr>
        <w:t>成交通知书</w:t>
      </w:r>
      <w:r>
        <w:rPr>
          <w:color w:val="auto"/>
          <w:szCs w:val="21"/>
          <w:highlight w:val="none"/>
        </w:rPr>
        <w:t>发出前或签订合同前及时书面告知采购人</w:t>
      </w:r>
      <w:r>
        <w:rPr>
          <w:rFonts w:hint="eastAsia"/>
          <w:color w:val="auto"/>
          <w:szCs w:val="21"/>
          <w:highlight w:val="none"/>
        </w:rPr>
        <w:t>，</w:t>
      </w:r>
      <w:r>
        <w:rPr>
          <w:color w:val="auto"/>
          <w:szCs w:val="21"/>
          <w:highlight w:val="none"/>
        </w:rPr>
        <w:t>未主动告知</w:t>
      </w:r>
      <w:r>
        <w:rPr>
          <w:rFonts w:hint="eastAsia"/>
          <w:color w:val="auto"/>
          <w:szCs w:val="21"/>
          <w:highlight w:val="none"/>
        </w:rPr>
        <w:t>，</w:t>
      </w:r>
      <w:r>
        <w:rPr>
          <w:color w:val="auto"/>
          <w:szCs w:val="21"/>
          <w:highlight w:val="none"/>
        </w:rPr>
        <w:t>给采购人造成损失的</w:t>
      </w:r>
      <w:r>
        <w:rPr>
          <w:rFonts w:hint="eastAsia"/>
          <w:color w:val="auto"/>
          <w:szCs w:val="21"/>
          <w:highlight w:val="none"/>
        </w:rPr>
        <w:t>，</w:t>
      </w:r>
      <w:r>
        <w:rPr>
          <w:color w:val="auto"/>
          <w:szCs w:val="21"/>
          <w:highlight w:val="none"/>
        </w:rPr>
        <w:t>采购人有权</w:t>
      </w:r>
      <w:r>
        <w:rPr>
          <w:rFonts w:hint="eastAsia"/>
          <w:color w:val="auto"/>
          <w:szCs w:val="21"/>
          <w:highlight w:val="none"/>
        </w:rPr>
        <w:t>取消其成交资格并</w:t>
      </w:r>
      <w:r>
        <w:rPr>
          <w:color w:val="auto"/>
          <w:szCs w:val="21"/>
          <w:highlight w:val="none"/>
        </w:rPr>
        <w:t>没收谈判保证金</w:t>
      </w:r>
      <w:r>
        <w:rPr>
          <w:rFonts w:hint="eastAsia"/>
          <w:color w:val="auto"/>
          <w:szCs w:val="21"/>
          <w:highlight w:val="none"/>
        </w:rPr>
        <w:t>。</w:t>
      </w:r>
    </w:p>
    <w:p w14:paraId="55AEFD74">
      <w:pPr>
        <w:spacing w:before="120" w:line="320" w:lineRule="atLeast"/>
        <w:ind w:firstLine="422" w:firstLineChars="200"/>
        <w:outlineLvl w:val="2"/>
        <w:rPr>
          <w:b/>
          <w:bCs/>
          <w:color w:val="auto"/>
          <w:kern w:val="0"/>
          <w:szCs w:val="21"/>
          <w:highlight w:val="none"/>
        </w:rPr>
      </w:pPr>
      <w:r>
        <w:rPr>
          <w:b/>
          <w:bCs/>
          <w:color w:val="auto"/>
          <w:kern w:val="0"/>
          <w:szCs w:val="21"/>
          <w:highlight w:val="none"/>
        </w:rPr>
        <w:t>7.2签订合同</w:t>
      </w:r>
    </w:p>
    <w:p w14:paraId="7065FDE8">
      <w:pPr>
        <w:spacing w:before="120" w:line="320" w:lineRule="atLeast"/>
        <w:ind w:firstLine="420" w:firstLineChars="200"/>
        <w:rPr>
          <w:color w:val="auto"/>
          <w:szCs w:val="21"/>
          <w:highlight w:val="none"/>
        </w:rPr>
      </w:pPr>
      <w:r>
        <w:rPr>
          <w:color w:val="auto"/>
          <w:szCs w:val="21"/>
          <w:highlight w:val="none"/>
        </w:rPr>
        <w:t>7.2.1如</w:t>
      </w:r>
      <w:r>
        <w:rPr>
          <w:rFonts w:hint="eastAsia"/>
          <w:color w:val="auto"/>
          <w:szCs w:val="21"/>
          <w:highlight w:val="none"/>
        </w:rPr>
        <w:t>采购文件</w:t>
      </w:r>
      <w:r>
        <w:rPr>
          <w:color w:val="auto"/>
          <w:szCs w:val="21"/>
          <w:highlight w:val="none"/>
        </w:rPr>
        <w:t>无</w:t>
      </w:r>
      <w:r>
        <w:rPr>
          <w:rFonts w:hint="eastAsia"/>
          <w:color w:val="auto"/>
          <w:szCs w:val="21"/>
          <w:highlight w:val="none"/>
        </w:rPr>
        <w:t>特别</w:t>
      </w:r>
      <w:r>
        <w:rPr>
          <w:color w:val="auto"/>
          <w:szCs w:val="21"/>
          <w:highlight w:val="none"/>
        </w:rPr>
        <w:t>规定，</w:t>
      </w:r>
      <w:r>
        <w:rPr>
          <w:rFonts w:hint="eastAsia"/>
          <w:color w:val="auto"/>
          <w:szCs w:val="21"/>
          <w:highlight w:val="none"/>
        </w:rPr>
        <w:t>成交供应商按采购文件确定的事项签订政府采购合同。</w:t>
      </w:r>
    </w:p>
    <w:p w14:paraId="6977C50D">
      <w:pPr>
        <w:spacing w:before="120" w:line="320" w:lineRule="atLeast"/>
        <w:ind w:firstLine="420" w:firstLineChars="200"/>
        <w:rPr>
          <w:color w:val="auto"/>
          <w:szCs w:val="21"/>
          <w:highlight w:val="none"/>
        </w:rPr>
      </w:pPr>
      <w:r>
        <w:rPr>
          <w:color w:val="auto"/>
          <w:szCs w:val="21"/>
          <w:highlight w:val="none"/>
        </w:rPr>
        <w:t>7.2.2</w:t>
      </w:r>
      <w:r>
        <w:rPr>
          <w:rFonts w:hint="eastAsia"/>
          <w:color w:val="auto"/>
          <w:szCs w:val="21"/>
          <w:highlight w:val="none"/>
        </w:rPr>
        <w:t>政府采购合同应当包括采购人与成交供应商的名称和住所、标的、数量、质量、价款或者报酬、履行期限及地点和方式、验收要求、违约责任、解决争议的方法等内容。</w:t>
      </w:r>
      <w:r>
        <w:rPr>
          <w:color w:val="auto"/>
          <w:szCs w:val="21"/>
          <w:highlight w:val="none"/>
        </w:rPr>
        <w:t>采购文件、成交供应商的响应文件及澄清文件等，均为签订政府采购合同的依据。</w:t>
      </w:r>
    </w:p>
    <w:p w14:paraId="5C2BEB83">
      <w:pPr>
        <w:spacing w:before="120" w:line="320" w:lineRule="atLeast"/>
        <w:ind w:firstLine="420" w:firstLineChars="200"/>
        <w:rPr>
          <w:color w:val="auto"/>
          <w:szCs w:val="21"/>
          <w:highlight w:val="none"/>
        </w:rPr>
      </w:pPr>
      <w:r>
        <w:rPr>
          <w:color w:val="auto"/>
          <w:szCs w:val="21"/>
          <w:highlight w:val="none"/>
        </w:rPr>
        <w:t>7.2.3如成交供应商不按成交通知书的规定签订合同，</w:t>
      </w:r>
      <w:r>
        <w:rPr>
          <w:rFonts w:hint="eastAsia"/>
          <w:color w:val="auto"/>
          <w:szCs w:val="21"/>
          <w:highlight w:val="none"/>
        </w:rPr>
        <w:t>其谈判保证金将不予退还，并报由同级政府采购监督管理部门处理。</w:t>
      </w:r>
    </w:p>
    <w:p w14:paraId="655F8110">
      <w:pPr>
        <w:spacing w:before="120" w:line="320" w:lineRule="atLeast"/>
        <w:ind w:firstLine="420" w:firstLineChars="200"/>
        <w:rPr>
          <w:color w:val="auto"/>
          <w:szCs w:val="21"/>
          <w:highlight w:val="none"/>
        </w:rPr>
      </w:pPr>
      <w:r>
        <w:rPr>
          <w:rFonts w:hint="eastAsia"/>
          <w:color w:val="auto"/>
          <w:szCs w:val="21"/>
          <w:highlight w:val="none"/>
        </w:rPr>
        <w:t>7</w:t>
      </w:r>
      <w:r>
        <w:rPr>
          <w:color w:val="auto"/>
          <w:szCs w:val="21"/>
          <w:highlight w:val="none"/>
        </w:rPr>
        <w:t>.2.4</w:t>
      </w:r>
      <w:r>
        <w:rPr>
          <w:rFonts w:hint="eastAsia"/>
          <w:color w:val="auto"/>
          <w:szCs w:val="21"/>
          <w:highlight w:val="none"/>
        </w:rPr>
        <w:t>成交供应商拒绝与采购人签订合同的，采购人可以按照评审报告推荐的成交候选人名单排序，确定下一候选人为成交供应商，也可以重新开展政府采购活动。</w:t>
      </w:r>
    </w:p>
    <w:p w14:paraId="2D424185">
      <w:pPr>
        <w:spacing w:before="120" w:line="320" w:lineRule="atLeast"/>
        <w:ind w:firstLine="420" w:firstLineChars="200"/>
        <w:rPr>
          <w:color w:val="auto"/>
          <w:szCs w:val="21"/>
          <w:highlight w:val="none"/>
        </w:rPr>
      </w:pPr>
      <w:bookmarkStart w:id="70" w:name="_Hlk155170999"/>
      <w:r>
        <w:rPr>
          <w:rFonts w:hint="eastAsia"/>
          <w:color w:val="auto"/>
          <w:szCs w:val="21"/>
          <w:highlight w:val="none"/>
        </w:rPr>
        <w:t>7</w:t>
      </w:r>
      <w:r>
        <w:rPr>
          <w:color w:val="auto"/>
          <w:szCs w:val="21"/>
          <w:highlight w:val="none"/>
        </w:rPr>
        <w:t>.2.5</w:t>
      </w:r>
      <w:r>
        <w:rPr>
          <w:rFonts w:hint="eastAsia"/>
          <w:color w:val="auto"/>
          <w:szCs w:val="21"/>
          <w:highlight w:val="none"/>
        </w:rPr>
        <w:t>采购人因不可抗力原因迟延签订合同的，应当自不可抗力事由消除之日起5个工作日内完成合同签订事宜。</w:t>
      </w:r>
      <w:bookmarkEnd w:id="70"/>
    </w:p>
    <w:p w14:paraId="41D1AF06">
      <w:pPr>
        <w:spacing w:before="120" w:line="320" w:lineRule="atLeast"/>
        <w:ind w:firstLine="422" w:firstLineChars="200"/>
        <w:outlineLvl w:val="2"/>
        <w:rPr>
          <w:b/>
          <w:bCs/>
          <w:color w:val="auto"/>
          <w:kern w:val="0"/>
          <w:szCs w:val="21"/>
          <w:highlight w:val="none"/>
        </w:rPr>
      </w:pPr>
      <w:r>
        <w:rPr>
          <w:b/>
          <w:bCs/>
          <w:color w:val="auto"/>
          <w:kern w:val="0"/>
          <w:szCs w:val="21"/>
          <w:highlight w:val="none"/>
        </w:rPr>
        <w:t>7.3合同公告</w:t>
      </w:r>
    </w:p>
    <w:p w14:paraId="6DB42FEF">
      <w:pPr>
        <w:spacing w:before="120" w:line="320" w:lineRule="atLeast"/>
        <w:ind w:firstLine="420" w:firstLineChars="200"/>
        <w:rPr>
          <w:color w:val="auto"/>
          <w:szCs w:val="21"/>
          <w:highlight w:val="none"/>
        </w:rPr>
      </w:pPr>
      <w:r>
        <w:rPr>
          <w:color w:val="auto"/>
          <w:szCs w:val="21"/>
          <w:highlight w:val="none"/>
        </w:rPr>
        <w:t>7.3.1如</w:t>
      </w:r>
      <w:r>
        <w:rPr>
          <w:rFonts w:hint="eastAsia"/>
          <w:color w:val="auto"/>
          <w:szCs w:val="21"/>
          <w:highlight w:val="none"/>
        </w:rPr>
        <w:t>采购文件</w:t>
      </w:r>
      <w:r>
        <w:rPr>
          <w:color w:val="auto"/>
          <w:szCs w:val="21"/>
          <w:highlight w:val="none"/>
        </w:rPr>
        <w:t>无特殊规定</w:t>
      </w:r>
      <w:r>
        <w:rPr>
          <w:rFonts w:hint="eastAsia"/>
          <w:color w:val="auto"/>
          <w:szCs w:val="21"/>
          <w:highlight w:val="none"/>
        </w:rPr>
        <w:t>，</w:t>
      </w:r>
      <w:r>
        <w:rPr>
          <w:color w:val="auto"/>
          <w:szCs w:val="21"/>
          <w:highlight w:val="none"/>
        </w:rPr>
        <w:t>成交供应商应在签订合同后1个工作日内，将政府采购合同副本送采购代理机构</w:t>
      </w:r>
      <w:r>
        <w:rPr>
          <w:rFonts w:hint="eastAsia"/>
          <w:color w:val="auto"/>
          <w:szCs w:val="21"/>
          <w:highlight w:val="none"/>
        </w:rPr>
        <w:t>存档</w:t>
      </w:r>
      <w:r>
        <w:rPr>
          <w:color w:val="auto"/>
          <w:szCs w:val="21"/>
          <w:highlight w:val="none"/>
        </w:rPr>
        <w:t>。</w:t>
      </w:r>
    </w:p>
    <w:p w14:paraId="285CF9B4">
      <w:pPr>
        <w:spacing w:before="120" w:line="320" w:lineRule="atLeast"/>
        <w:ind w:firstLine="420" w:firstLineChars="200"/>
        <w:rPr>
          <w:color w:val="auto"/>
          <w:szCs w:val="21"/>
          <w:highlight w:val="none"/>
        </w:rPr>
      </w:pPr>
      <w:r>
        <w:rPr>
          <w:color w:val="auto"/>
          <w:szCs w:val="21"/>
          <w:highlight w:val="none"/>
        </w:rPr>
        <w:t>7.3.2采购人应当自政府采购合同签订之日起2个工作日内，将政府采购合同在省级以上人民政府财政部门指定的媒体上公告，但政府采购合同中涉及国家秘密、商业秘密的内容除外。</w:t>
      </w:r>
    </w:p>
    <w:p w14:paraId="6D4325C5">
      <w:pPr>
        <w:spacing w:before="120" w:line="320" w:lineRule="atLeast"/>
        <w:ind w:firstLine="420" w:firstLineChars="200"/>
        <w:rPr>
          <w:color w:val="auto"/>
          <w:szCs w:val="21"/>
          <w:highlight w:val="none"/>
        </w:rPr>
      </w:pPr>
      <w:bookmarkStart w:id="71" w:name="_Hlk155171014"/>
      <w:r>
        <w:rPr>
          <w:rFonts w:hint="eastAsia"/>
          <w:color w:val="auto"/>
          <w:szCs w:val="21"/>
          <w:highlight w:val="none"/>
        </w:rPr>
        <w:t>7</w:t>
      </w:r>
      <w:r>
        <w:rPr>
          <w:color w:val="auto"/>
          <w:szCs w:val="21"/>
          <w:highlight w:val="none"/>
        </w:rPr>
        <w:t xml:space="preserve">.3.3 </w:t>
      </w:r>
      <w:r>
        <w:rPr>
          <w:rFonts w:hint="eastAsia"/>
          <w:color w:val="auto"/>
          <w:szCs w:val="21"/>
          <w:highlight w:val="none"/>
        </w:rPr>
        <w:t>政府采购合同双方不得擅自变更合同，依照政府采购法确需变更政府采购合同内容的，采购人应当自合同变更之日起2个工作日内在省级以上财政部门指定的媒体上发布政府采购合同变更公告，但涉及国家秘密、商业秘密的信息和其他依法不得公开的信息除外。</w:t>
      </w:r>
      <w:bookmarkEnd w:id="71"/>
    </w:p>
    <w:p w14:paraId="3198E46B">
      <w:pPr>
        <w:spacing w:before="120" w:line="320" w:lineRule="atLeast"/>
        <w:ind w:firstLine="422" w:firstLineChars="200"/>
        <w:outlineLvl w:val="2"/>
        <w:rPr>
          <w:b/>
          <w:bCs/>
          <w:color w:val="auto"/>
          <w:kern w:val="0"/>
          <w:szCs w:val="21"/>
          <w:highlight w:val="none"/>
        </w:rPr>
      </w:pPr>
      <w:r>
        <w:rPr>
          <w:b/>
          <w:bCs/>
          <w:color w:val="auto"/>
          <w:kern w:val="0"/>
          <w:szCs w:val="21"/>
          <w:highlight w:val="none"/>
        </w:rPr>
        <w:t>7.4 履行合同</w:t>
      </w:r>
    </w:p>
    <w:p w14:paraId="56C4316D">
      <w:pPr>
        <w:spacing w:before="120" w:line="320" w:lineRule="atLeast"/>
        <w:ind w:firstLine="420" w:firstLineChars="200"/>
        <w:rPr>
          <w:color w:val="auto"/>
          <w:szCs w:val="21"/>
          <w:highlight w:val="none"/>
        </w:rPr>
      </w:pPr>
      <w:bookmarkStart w:id="72" w:name="_Toc217446070"/>
      <w:bookmarkStart w:id="73" w:name="_Toc308164814"/>
      <w:r>
        <w:rPr>
          <w:color w:val="auto"/>
          <w:szCs w:val="21"/>
          <w:highlight w:val="none"/>
        </w:rPr>
        <w:t>7.4.1</w:t>
      </w:r>
      <w:r>
        <w:rPr>
          <w:rFonts w:hint="eastAsia"/>
          <w:color w:val="auto"/>
          <w:szCs w:val="21"/>
          <w:highlight w:val="none"/>
        </w:rPr>
        <w:t>采购人与成交供应商签订合同后，政府采购合同的履行、违约责任和解决争议的方法等适用《中华人民共和国民法典》。合同双方应严格执行合同条款，履行合同规定的义务，保证合同的顺利完成。双方均不得擅自变更、中止或者终止政府采购合同。</w:t>
      </w:r>
    </w:p>
    <w:p w14:paraId="2E389572">
      <w:pPr>
        <w:spacing w:before="120" w:line="320" w:lineRule="atLeast"/>
        <w:ind w:firstLine="422" w:firstLineChars="200"/>
        <w:rPr>
          <w:b/>
          <w:bCs/>
          <w:color w:val="auto"/>
          <w:kern w:val="0"/>
          <w:szCs w:val="21"/>
          <w:highlight w:val="none"/>
        </w:rPr>
      </w:pPr>
      <w:r>
        <w:rPr>
          <w:b/>
          <w:bCs/>
          <w:color w:val="auto"/>
          <w:kern w:val="0"/>
          <w:szCs w:val="21"/>
          <w:highlight w:val="none"/>
        </w:rPr>
        <w:t>7.5履约验收</w:t>
      </w:r>
      <w:bookmarkEnd w:id="72"/>
      <w:bookmarkEnd w:id="73"/>
    </w:p>
    <w:p w14:paraId="1E92E15D">
      <w:pPr>
        <w:spacing w:before="120" w:line="320" w:lineRule="atLeast"/>
        <w:ind w:firstLine="420" w:firstLineChars="200"/>
        <w:rPr>
          <w:color w:val="auto"/>
          <w:szCs w:val="21"/>
          <w:highlight w:val="none"/>
        </w:rPr>
      </w:pPr>
      <w:r>
        <w:rPr>
          <w:color w:val="auto"/>
          <w:szCs w:val="21"/>
          <w:highlight w:val="none"/>
        </w:rPr>
        <w:t>7.5.1采购人可以根据政府采购项目具体情况自行组织验收，或者委托政府采购代理机构、国家认可的质量检测机构开展采购项目履约验收工作。</w:t>
      </w:r>
    </w:p>
    <w:p w14:paraId="28939A94">
      <w:pPr>
        <w:spacing w:before="120" w:line="320" w:lineRule="atLeast"/>
        <w:ind w:firstLine="420" w:firstLineChars="200"/>
        <w:rPr>
          <w:color w:val="auto"/>
          <w:szCs w:val="21"/>
          <w:highlight w:val="none"/>
        </w:rPr>
      </w:pPr>
      <w:r>
        <w:rPr>
          <w:color w:val="auto"/>
          <w:szCs w:val="21"/>
          <w:highlight w:val="none"/>
        </w:rPr>
        <w:t>7.5.2验收结果合格的，成交供应商可向采购人申请办理履约保证金（如有）的退付手续；验收结果不合格的，履约保证金（如有）将不予退还，并按合同约定处理，还可能会报告本项目同级财政部门并按照政府采购法律法规及有关规定给予行政处罚或者以失信行为记入诚信档案。</w:t>
      </w:r>
    </w:p>
    <w:p w14:paraId="7E78A9E9">
      <w:pPr>
        <w:spacing w:before="120" w:line="320" w:lineRule="atLeast"/>
        <w:ind w:firstLine="420" w:firstLineChars="200"/>
        <w:rPr>
          <w:color w:val="auto"/>
          <w:szCs w:val="21"/>
          <w:highlight w:val="none"/>
        </w:rPr>
      </w:pPr>
      <w:r>
        <w:rPr>
          <w:color w:val="auto"/>
          <w:szCs w:val="21"/>
          <w:highlight w:val="none"/>
        </w:rPr>
        <w:t>7.5.3采购合同项目完成验收后，采购人应当将验收原始记录、验收书等资料作为该采购项目档案妥善保管，不得伪造、变造、隐匿或者销毁，验收资料保存期为采购结束之日起至少保存15年。</w:t>
      </w:r>
    </w:p>
    <w:p w14:paraId="36672660">
      <w:pPr>
        <w:spacing w:before="120" w:line="320" w:lineRule="atLeast"/>
        <w:ind w:firstLine="420" w:firstLineChars="200"/>
        <w:rPr>
          <w:color w:val="auto"/>
          <w:szCs w:val="21"/>
          <w:highlight w:val="none"/>
        </w:rPr>
      </w:pPr>
      <w:r>
        <w:rPr>
          <w:color w:val="auto"/>
          <w:szCs w:val="21"/>
          <w:highlight w:val="none"/>
        </w:rPr>
        <w:t>7.5.4本项目将严格按照本采购文件及合同有关规定进行合同履约验收。采购文件或合同未规定的按财政部关于进一步加强政府采购需求和履约验收管理的指导意见（财库〔2016〕205号）以及《广西壮族自治区政府采购项目履约验收管理办法》（桂财采〔2015〕22号）的规定执行。</w:t>
      </w:r>
    </w:p>
    <w:p w14:paraId="5A3FDAF5">
      <w:pPr>
        <w:spacing w:before="120" w:line="320" w:lineRule="atLeast"/>
        <w:ind w:left="2" w:leftChars="1" w:firstLine="422" w:firstLineChars="200"/>
        <w:outlineLvl w:val="1"/>
        <w:rPr>
          <w:b/>
          <w:bCs/>
          <w:color w:val="auto"/>
          <w:kern w:val="0"/>
          <w:szCs w:val="21"/>
          <w:highlight w:val="none"/>
        </w:rPr>
      </w:pPr>
      <w:bookmarkStart w:id="74" w:name="_Toc254970674"/>
      <w:bookmarkStart w:id="75" w:name="_Toc254970533"/>
      <w:r>
        <w:rPr>
          <w:b/>
          <w:bCs/>
          <w:color w:val="auto"/>
          <w:kern w:val="0"/>
          <w:szCs w:val="21"/>
          <w:highlight w:val="none"/>
        </w:rPr>
        <w:t>8．质疑和投诉</w:t>
      </w:r>
      <w:bookmarkEnd w:id="74"/>
      <w:bookmarkEnd w:id="75"/>
    </w:p>
    <w:p w14:paraId="7FCBFE58">
      <w:pPr>
        <w:spacing w:before="120" w:line="320" w:lineRule="atLeast"/>
        <w:ind w:firstLine="422" w:firstLineChars="200"/>
        <w:outlineLvl w:val="2"/>
        <w:rPr>
          <w:b/>
          <w:bCs/>
          <w:color w:val="auto"/>
          <w:kern w:val="0"/>
          <w:szCs w:val="21"/>
          <w:highlight w:val="none"/>
        </w:rPr>
      </w:pPr>
      <w:r>
        <w:rPr>
          <w:b/>
          <w:bCs/>
          <w:color w:val="auto"/>
          <w:kern w:val="0"/>
          <w:szCs w:val="21"/>
          <w:highlight w:val="none"/>
        </w:rPr>
        <w:t>8.1质疑</w:t>
      </w:r>
    </w:p>
    <w:p w14:paraId="19B7447A">
      <w:pPr>
        <w:spacing w:before="120" w:line="320" w:lineRule="atLeast"/>
        <w:ind w:firstLine="420" w:firstLineChars="200"/>
        <w:rPr>
          <w:color w:val="auto"/>
          <w:szCs w:val="21"/>
          <w:highlight w:val="none"/>
        </w:rPr>
      </w:pPr>
      <w:r>
        <w:rPr>
          <w:color w:val="auto"/>
          <w:szCs w:val="21"/>
          <w:highlight w:val="none"/>
        </w:rPr>
        <w:t>8.1.1质疑内容、时限</w:t>
      </w:r>
    </w:p>
    <w:p w14:paraId="091D5CD7">
      <w:pPr>
        <w:spacing w:before="120" w:line="320" w:lineRule="atLeast"/>
        <w:ind w:firstLine="420" w:firstLineChars="200"/>
        <w:rPr>
          <w:color w:val="auto"/>
          <w:szCs w:val="21"/>
          <w:highlight w:val="none"/>
        </w:rPr>
      </w:pPr>
      <w:r>
        <w:rPr>
          <w:rFonts w:hint="eastAsia"/>
          <w:color w:val="auto"/>
          <w:szCs w:val="21"/>
          <w:highlight w:val="none"/>
        </w:rPr>
        <w:t>（1）供应商对政府采购活动有疑问的，可以向采购人或采购代理机构提出询问。采购人或者采购代理机构应当在3个工作日内对供应商依法提出的询问作出答复。</w:t>
      </w:r>
    </w:p>
    <w:p w14:paraId="2FF6361F">
      <w:pPr>
        <w:spacing w:before="120" w:line="320" w:lineRule="atLeast"/>
        <w:ind w:firstLine="420" w:firstLineChars="200"/>
        <w:rPr>
          <w:color w:val="auto"/>
          <w:szCs w:val="21"/>
          <w:highlight w:val="none"/>
        </w:rPr>
      </w:pPr>
      <w:r>
        <w:rPr>
          <w:rFonts w:hint="eastAsia"/>
          <w:color w:val="auto"/>
          <w:szCs w:val="21"/>
          <w:highlight w:val="none"/>
        </w:rPr>
        <w:t>（2）供应商认为采购文件、采购过程、中标或者成交结果使自己的权益受到损害的，可以在知道或者应知其权益受到损害之日起7个工作日内向采购人或采购代理机构提出质疑。采购人或</w:t>
      </w:r>
      <w:r>
        <w:rPr>
          <w:color w:val="auto"/>
          <w:szCs w:val="21"/>
          <w:highlight w:val="none"/>
        </w:rPr>
        <w:t>采购代理机构在收到供应商书面质疑后7个工作日内，对质疑内容作出答复。</w:t>
      </w:r>
    </w:p>
    <w:p w14:paraId="2C78C604">
      <w:pPr>
        <w:spacing w:before="120" w:line="320" w:lineRule="atLeast"/>
        <w:ind w:firstLine="420" w:firstLineChars="200"/>
        <w:rPr>
          <w:color w:val="auto"/>
          <w:szCs w:val="21"/>
          <w:highlight w:val="none"/>
        </w:rPr>
      </w:pPr>
      <w:r>
        <w:rPr>
          <w:color w:val="auto"/>
          <w:szCs w:val="21"/>
          <w:highlight w:val="none"/>
        </w:rPr>
        <w:t>8.1.2质疑形式</w:t>
      </w:r>
    </w:p>
    <w:p w14:paraId="1A4045AB">
      <w:pPr>
        <w:spacing w:before="120" w:line="320" w:lineRule="atLeast"/>
        <w:ind w:firstLine="420" w:firstLineChars="200"/>
        <w:rPr>
          <w:color w:val="auto"/>
          <w:szCs w:val="21"/>
          <w:highlight w:val="none"/>
        </w:rPr>
      </w:pPr>
      <w:r>
        <w:rPr>
          <w:color w:val="auto"/>
          <w:szCs w:val="21"/>
          <w:highlight w:val="none"/>
        </w:rPr>
        <w:t>质疑应当采用</w:t>
      </w:r>
      <w:r>
        <w:rPr>
          <w:rFonts w:hint="eastAsia"/>
          <w:color w:val="auto"/>
          <w:szCs w:val="21"/>
          <w:highlight w:val="none"/>
        </w:rPr>
        <w:t>供应商</w:t>
      </w:r>
      <w:r>
        <w:rPr>
          <w:color w:val="auto"/>
          <w:szCs w:val="21"/>
          <w:highlight w:val="none"/>
        </w:rPr>
        <w:t>须知前附表所规定的形式，质疑书应明确阐述</w:t>
      </w:r>
      <w:r>
        <w:rPr>
          <w:rFonts w:hint="eastAsia"/>
          <w:color w:val="auto"/>
          <w:szCs w:val="21"/>
          <w:highlight w:val="none"/>
        </w:rPr>
        <w:t>采购文件</w:t>
      </w:r>
      <w:r>
        <w:rPr>
          <w:color w:val="auto"/>
          <w:szCs w:val="21"/>
          <w:highlight w:val="none"/>
        </w:rPr>
        <w:t>、</w:t>
      </w:r>
      <w:r>
        <w:rPr>
          <w:rFonts w:hint="eastAsia"/>
          <w:color w:val="auto"/>
          <w:szCs w:val="21"/>
          <w:highlight w:val="none"/>
        </w:rPr>
        <w:t>采购</w:t>
      </w:r>
      <w:r>
        <w:rPr>
          <w:color w:val="auto"/>
          <w:szCs w:val="21"/>
          <w:highlight w:val="none"/>
        </w:rPr>
        <w:t>过程或成交结果中使自己合法权益受到损害的实质性内容，提供相关事实、依据和证据及其来源或线索，便于有关单位调查、答复和处理。</w:t>
      </w:r>
    </w:p>
    <w:p w14:paraId="7524519E">
      <w:pPr>
        <w:spacing w:before="120" w:line="320" w:lineRule="atLeast"/>
        <w:ind w:firstLine="420" w:firstLineChars="200"/>
        <w:rPr>
          <w:color w:val="auto"/>
          <w:szCs w:val="21"/>
          <w:highlight w:val="none"/>
        </w:rPr>
      </w:pPr>
      <w:r>
        <w:rPr>
          <w:rFonts w:hint="eastAsia"/>
          <w:color w:val="auto"/>
          <w:szCs w:val="21"/>
          <w:highlight w:val="none"/>
        </w:rPr>
        <w:t>8</w:t>
      </w:r>
      <w:r>
        <w:rPr>
          <w:color w:val="auto"/>
          <w:szCs w:val="21"/>
          <w:highlight w:val="none"/>
        </w:rPr>
        <w:t>.1.3</w:t>
      </w:r>
      <w:r>
        <w:rPr>
          <w:rFonts w:hint="eastAsia"/>
          <w:color w:val="auto"/>
          <w:highlight w:val="none"/>
        </w:rPr>
        <w:t xml:space="preserve"> </w:t>
      </w:r>
      <w:r>
        <w:rPr>
          <w:rFonts w:hint="eastAsia"/>
          <w:color w:val="auto"/>
          <w:szCs w:val="21"/>
          <w:highlight w:val="none"/>
        </w:rPr>
        <w:t>供应商提出质疑应当提交质疑函和必要的证明材料。质疑函应当包括下列内容：</w:t>
      </w:r>
    </w:p>
    <w:p w14:paraId="7D0E0422">
      <w:pPr>
        <w:spacing w:before="120" w:line="320" w:lineRule="atLeast"/>
        <w:ind w:firstLine="420" w:firstLineChars="200"/>
        <w:rPr>
          <w:color w:val="auto"/>
          <w:szCs w:val="21"/>
          <w:highlight w:val="none"/>
        </w:rPr>
      </w:pPr>
      <w:r>
        <w:rPr>
          <w:rFonts w:hint="eastAsia"/>
          <w:color w:val="auto"/>
          <w:szCs w:val="21"/>
          <w:highlight w:val="none"/>
        </w:rPr>
        <w:t>（1）</w:t>
      </w:r>
      <w:r>
        <w:rPr>
          <w:rFonts w:hint="eastAsia"/>
          <w:color w:val="auto"/>
          <w:szCs w:val="21"/>
          <w:highlight w:val="none"/>
        </w:rPr>
        <w:tab/>
      </w:r>
      <w:r>
        <w:rPr>
          <w:rFonts w:hint="eastAsia"/>
          <w:color w:val="auto"/>
          <w:szCs w:val="21"/>
          <w:highlight w:val="none"/>
        </w:rPr>
        <w:t>供应商的姓名或者名称、地址、邮编、联系人及联系电话；</w:t>
      </w:r>
    </w:p>
    <w:p w14:paraId="33DE4768">
      <w:pPr>
        <w:spacing w:before="120" w:line="320" w:lineRule="atLeast"/>
        <w:ind w:firstLine="420" w:firstLineChars="200"/>
        <w:rPr>
          <w:color w:val="auto"/>
          <w:szCs w:val="21"/>
          <w:highlight w:val="none"/>
        </w:rPr>
      </w:pPr>
      <w:r>
        <w:rPr>
          <w:rFonts w:hint="eastAsia"/>
          <w:color w:val="auto"/>
          <w:szCs w:val="21"/>
          <w:highlight w:val="none"/>
        </w:rPr>
        <w:t>（2）</w:t>
      </w:r>
      <w:r>
        <w:rPr>
          <w:rFonts w:hint="eastAsia"/>
          <w:color w:val="auto"/>
          <w:szCs w:val="21"/>
          <w:highlight w:val="none"/>
        </w:rPr>
        <w:tab/>
      </w:r>
      <w:r>
        <w:rPr>
          <w:rFonts w:hint="eastAsia"/>
          <w:color w:val="auto"/>
          <w:szCs w:val="21"/>
          <w:highlight w:val="none"/>
        </w:rPr>
        <w:t>质疑项目的名称、编号；</w:t>
      </w:r>
    </w:p>
    <w:p w14:paraId="77C4C920">
      <w:pPr>
        <w:spacing w:before="120" w:line="320" w:lineRule="atLeast"/>
        <w:ind w:firstLine="420" w:firstLineChars="200"/>
        <w:rPr>
          <w:color w:val="auto"/>
          <w:szCs w:val="21"/>
          <w:highlight w:val="none"/>
        </w:rPr>
      </w:pPr>
      <w:r>
        <w:rPr>
          <w:rFonts w:hint="eastAsia"/>
          <w:color w:val="auto"/>
          <w:szCs w:val="21"/>
          <w:highlight w:val="none"/>
        </w:rPr>
        <w:t>（3）</w:t>
      </w:r>
      <w:r>
        <w:rPr>
          <w:rFonts w:hint="eastAsia"/>
          <w:color w:val="auto"/>
          <w:szCs w:val="21"/>
          <w:highlight w:val="none"/>
        </w:rPr>
        <w:tab/>
      </w:r>
      <w:r>
        <w:rPr>
          <w:rFonts w:hint="eastAsia"/>
          <w:color w:val="auto"/>
          <w:szCs w:val="21"/>
          <w:highlight w:val="none"/>
        </w:rPr>
        <w:t>具体、明确的质疑事项和与质疑事项相关的请求；</w:t>
      </w:r>
    </w:p>
    <w:p w14:paraId="335D1630">
      <w:pPr>
        <w:spacing w:before="120" w:line="320" w:lineRule="atLeast"/>
        <w:ind w:firstLine="420" w:firstLineChars="200"/>
        <w:rPr>
          <w:color w:val="auto"/>
          <w:szCs w:val="21"/>
          <w:highlight w:val="none"/>
        </w:rPr>
      </w:pPr>
      <w:r>
        <w:rPr>
          <w:rFonts w:hint="eastAsia"/>
          <w:color w:val="auto"/>
          <w:szCs w:val="21"/>
          <w:highlight w:val="none"/>
        </w:rPr>
        <w:t>（4）</w:t>
      </w:r>
      <w:r>
        <w:rPr>
          <w:rFonts w:hint="eastAsia"/>
          <w:color w:val="auto"/>
          <w:szCs w:val="21"/>
          <w:highlight w:val="none"/>
        </w:rPr>
        <w:tab/>
      </w:r>
      <w:r>
        <w:rPr>
          <w:rFonts w:hint="eastAsia"/>
          <w:color w:val="auto"/>
          <w:szCs w:val="21"/>
          <w:highlight w:val="none"/>
        </w:rPr>
        <w:t>事实依据；</w:t>
      </w:r>
    </w:p>
    <w:p w14:paraId="2B457102">
      <w:pPr>
        <w:spacing w:before="120" w:line="320" w:lineRule="atLeast"/>
        <w:ind w:firstLine="420" w:firstLineChars="200"/>
        <w:rPr>
          <w:color w:val="auto"/>
          <w:szCs w:val="21"/>
          <w:highlight w:val="none"/>
        </w:rPr>
      </w:pPr>
      <w:r>
        <w:rPr>
          <w:rFonts w:hint="eastAsia"/>
          <w:color w:val="auto"/>
          <w:szCs w:val="21"/>
          <w:highlight w:val="none"/>
        </w:rPr>
        <w:t>（5）</w:t>
      </w:r>
      <w:r>
        <w:rPr>
          <w:rFonts w:hint="eastAsia"/>
          <w:color w:val="auto"/>
          <w:szCs w:val="21"/>
          <w:highlight w:val="none"/>
        </w:rPr>
        <w:tab/>
      </w:r>
      <w:r>
        <w:rPr>
          <w:rFonts w:hint="eastAsia"/>
          <w:color w:val="auto"/>
          <w:szCs w:val="21"/>
          <w:highlight w:val="none"/>
        </w:rPr>
        <w:t>必要的法律依据；</w:t>
      </w:r>
    </w:p>
    <w:p w14:paraId="3C9FD2ED">
      <w:pPr>
        <w:spacing w:before="120" w:line="320" w:lineRule="atLeast"/>
        <w:ind w:firstLine="420" w:firstLineChars="200"/>
        <w:rPr>
          <w:color w:val="auto"/>
          <w:szCs w:val="21"/>
          <w:highlight w:val="none"/>
        </w:rPr>
      </w:pPr>
      <w:r>
        <w:rPr>
          <w:rFonts w:hint="eastAsia"/>
          <w:color w:val="auto"/>
          <w:szCs w:val="21"/>
          <w:highlight w:val="none"/>
        </w:rPr>
        <w:t>（6）</w:t>
      </w:r>
      <w:r>
        <w:rPr>
          <w:rFonts w:hint="eastAsia"/>
          <w:color w:val="auto"/>
          <w:szCs w:val="21"/>
          <w:highlight w:val="none"/>
        </w:rPr>
        <w:tab/>
      </w:r>
      <w:r>
        <w:rPr>
          <w:rFonts w:hint="eastAsia"/>
          <w:color w:val="auto"/>
          <w:szCs w:val="21"/>
          <w:highlight w:val="none"/>
        </w:rPr>
        <w:t>提出质疑的日期。</w:t>
      </w:r>
    </w:p>
    <w:p w14:paraId="699A9932">
      <w:pPr>
        <w:spacing w:before="120" w:line="320" w:lineRule="atLeast"/>
        <w:ind w:firstLine="420" w:firstLineChars="200"/>
        <w:rPr>
          <w:color w:val="auto"/>
          <w:szCs w:val="21"/>
          <w:highlight w:val="none"/>
        </w:rPr>
      </w:pPr>
      <w:r>
        <w:rPr>
          <w:rFonts w:hint="eastAsia"/>
          <w:color w:val="auto"/>
          <w:szCs w:val="21"/>
          <w:highlight w:val="none"/>
        </w:rPr>
        <w:t>供应商为自然人的，应当由本人签字；供应商为法人或者其他组织的，应当由法定代表人、主要负责人，或者其授权代表签字或者盖章，并加盖公章。</w:t>
      </w:r>
      <w:r>
        <w:rPr>
          <w:color w:val="auto"/>
          <w:szCs w:val="21"/>
          <w:highlight w:val="none"/>
        </w:rPr>
        <w:t xml:space="preserve"> </w:t>
      </w:r>
    </w:p>
    <w:p w14:paraId="304A238F">
      <w:pPr>
        <w:spacing w:before="120" w:line="320" w:lineRule="atLeast"/>
        <w:ind w:firstLine="422" w:firstLineChars="200"/>
        <w:outlineLvl w:val="2"/>
        <w:rPr>
          <w:b/>
          <w:bCs/>
          <w:color w:val="auto"/>
          <w:kern w:val="0"/>
          <w:szCs w:val="21"/>
          <w:highlight w:val="none"/>
        </w:rPr>
      </w:pPr>
      <w:r>
        <w:rPr>
          <w:b/>
          <w:bCs/>
          <w:color w:val="auto"/>
          <w:kern w:val="0"/>
          <w:szCs w:val="21"/>
          <w:highlight w:val="none"/>
        </w:rPr>
        <w:t>8.2投诉</w:t>
      </w:r>
    </w:p>
    <w:p w14:paraId="2ECB82CF">
      <w:pPr>
        <w:spacing w:before="120" w:line="320" w:lineRule="atLeast"/>
        <w:ind w:firstLine="420" w:firstLineChars="200"/>
        <w:rPr>
          <w:color w:val="auto"/>
          <w:szCs w:val="21"/>
          <w:highlight w:val="none"/>
        </w:rPr>
      </w:pPr>
      <w:r>
        <w:rPr>
          <w:color w:val="auto"/>
          <w:szCs w:val="21"/>
          <w:highlight w:val="none"/>
        </w:rPr>
        <w:t>8.2.1供应商对采购人、采购代理机构的答复不满意，或者采购人、采购代理机构未在规定时间内答复的，可在答复期满后15个工作日内按有关规定，向同级财政部门投诉。</w:t>
      </w:r>
    </w:p>
    <w:p w14:paraId="4BBA5553">
      <w:pPr>
        <w:spacing w:before="120" w:line="320" w:lineRule="atLeast"/>
        <w:ind w:firstLine="420" w:firstLineChars="200"/>
        <w:rPr>
          <w:color w:val="auto"/>
          <w:szCs w:val="21"/>
          <w:highlight w:val="none"/>
        </w:rPr>
      </w:pPr>
      <w:r>
        <w:rPr>
          <w:color w:val="auto"/>
          <w:szCs w:val="21"/>
          <w:highlight w:val="none"/>
        </w:rPr>
        <w:t>8.2.</w:t>
      </w:r>
      <w:r>
        <w:rPr>
          <w:rFonts w:hint="eastAsia"/>
          <w:color w:val="auto"/>
          <w:szCs w:val="21"/>
          <w:highlight w:val="none"/>
        </w:rPr>
        <w:t>2投诉</w:t>
      </w:r>
      <w:r>
        <w:rPr>
          <w:color w:val="auto"/>
          <w:szCs w:val="21"/>
          <w:highlight w:val="none"/>
        </w:rPr>
        <w:t>书应使用财政部发布的</w:t>
      </w:r>
      <w:r>
        <w:rPr>
          <w:rFonts w:hint="eastAsia"/>
          <w:color w:val="auto"/>
          <w:szCs w:val="21"/>
          <w:highlight w:val="none"/>
        </w:rPr>
        <w:t>政府采购供应投诉书范本，并应按照“投诉书制作说明”进行编写。</w:t>
      </w:r>
    </w:p>
    <w:p w14:paraId="7482A270">
      <w:pPr>
        <w:spacing w:before="120" w:line="320" w:lineRule="atLeast"/>
        <w:ind w:left="2" w:leftChars="1" w:firstLine="422" w:firstLineChars="200"/>
        <w:outlineLvl w:val="1"/>
        <w:rPr>
          <w:b/>
          <w:bCs/>
          <w:color w:val="auto"/>
          <w:kern w:val="0"/>
          <w:szCs w:val="21"/>
          <w:highlight w:val="none"/>
        </w:rPr>
      </w:pPr>
      <w:r>
        <w:rPr>
          <w:b/>
          <w:bCs/>
          <w:color w:val="auto"/>
          <w:kern w:val="0"/>
          <w:szCs w:val="21"/>
          <w:highlight w:val="none"/>
        </w:rPr>
        <w:t>9．其他事项</w:t>
      </w:r>
    </w:p>
    <w:p w14:paraId="137E7956">
      <w:pPr>
        <w:spacing w:before="120" w:line="320" w:lineRule="atLeast"/>
        <w:ind w:firstLine="420" w:firstLineChars="200"/>
        <w:rPr>
          <w:color w:val="auto"/>
          <w:szCs w:val="21"/>
          <w:highlight w:val="none"/>
        </w:rPr>
      </w:pPr>
      <w:r>
        <w:rPr>
          <w:color w:val="auto"/>
          <w:szCs w:val="21"/>
          <w:highlight w:val="none"/>
        </w:rPr>
        <w:t>9.1代理服务收费由采购代理机构向成交供应商收取。签订合同前，成交供应商应向采购代理机构一次付清代理服务费。</w:t>
      </w:r>
    </w:p>
    <w:p w14:paraId="55E81F19">
      <w:pPr>
        <w:spacing w:before="120" w:line="276" w:lineRule="auto"/>
        <w:ind w:firstLine="420" w:firstLineChars="200"/>
        <w:rPr>
          <w:color w:val="auto"/>
          <w:szCs w:val="21"/>
          <w:highlight w:val="none"/>
        </w:rPr>
      </w:pPr>
      <w:r>
        <w:rPr>
          <w:color w:val="auto"/>
          <w:szCs w:val="21"/>
          <w:highlight w:val="none"/>
        </w:rPr>
        <w:t>9.2</w:t>
      </w:r>
      <w:r>
        <w:rPr>
          <w:rFonts w:hint="eastAsia"/>
          <w:color w:val="auto"/>
          <w:szCs w:val="21"/>
          <w:highlight w:val="none"/>
        </w:rPr>
        <w:t>电子交易活动的中止。采购过程中出现以下情形，导致电子交易平台无法正常运行，或者无法保证电子交易的公平、公正和安全时，采购机构可中止电子交易活动：</w:t>
      </w:r>
    </w:p>
    <w:p w14:paraId="2441529E">
      <w:pPr>
        <w:spacing w:before="120" w:line="276" w:lineRule="auto"/>
        <w:ind w:firstLine="420" w:firstLineChars="200"/>
        <w:rPr>
          <w:color w:val="auto"/>
          <w:szCs w:val="21"/>
          <w:highlight w:val="none"/>
        </w:rPr>
      </w:pPr>
      <w:r>
        <w:rPr>
          <w:rFonts w:hint="eastAsia"/>
          <w:color w:val="auto"/>
          <w:szCs w:val="21"/>
          <w:highlight w:val="none"/>
        </w:rPr>
        <w:t xml:space="preserve">（1）电子交易平台发生故障而无法登录访问的； </w:t>
      </w:r>
    </w:p>
    <w:p w14:paraId="63C99824">
      <w:pPr>
        <w:spacing w:before="120" w:line="276" w:lineRule="auto"/>
        <w:ind w:firstLine="420" w:firstLineChars="200"/>
        <w:rPr>
          <w:color w:val="auto"/>
          <w:szCs w:val="21"/>
          <w:highlight w:val="none"/>
        </w:rPr>
      </w:pPr>
      <w:r>
        <w:rPr>
          <w:rFonts w:hint="eastAsia"/>
          <w:color w:val="auto"/>
          <w:szCs w:val="21"/>
          <w:highlight w:val="none"/>
        </w:rPr>
        <w:t>（2）电子交易平台应用或数据库出现错误，不能进行正常操作的；</w:t>
      </w:r>
    </w:p>
    <w:p w14:paraId="0CE8185C">
      <w:pPr>
        <w:spacing w:before="120" w:line="276" w:lineRule="auto"/>
        <w:ind w:firstLine="420" w:firstLineChars="200"/>
        <w:rPr>
          <w:color w:val="auto"/>
          <w:szCs w:val="21"/>
          <w:highlight w:val="none"/>
        </w:rPr>
      </w:pPr>
      <w:r>
        <w:rPr>
          <w:rFonts w:hint="eastAsia"/>
          <w:color w:val="auto"/>
          <w:szCs w:val="21"/>
          <w:highlight w:val="none"/>
        </w:rPr>
        <w:t>（3）电子交易平台发现严重安全漏洞，有潜在泄密危险的；</w:t>
      </w:r>
    </w:p>
    <w:p w14:paraId="620F715C">
      <w:pPr>
        <w:spacing w:before="120" w:line="276" w:lineRule="auto"/>
        <w:ind w:firstLine="420" w:firstLineChars="200"/>
        <w:rPr>
          <w:color w:val="auto"/>
          <w:szCs w:val="21"/>
          <w:highlight w:val="none"/>
        </w:rPr>
      </w:pPr>
      <w:r>
        <w:rPr>
          <w:rFonts w:hint="eastAsia"/>
          <w:color w:val="auto"/>
          <w:szCs w:val="21"/>
          <w:highlight w:val="none"/>
        </w:rPr>
        <w:t xml:space="preserve">（4）病毒发作导致不能进行正常操作的； </w:t>
      </w:r>
    </w:p>
    <w:p w14:paraId="04A9FA15">
      <w:pPr>
        <w:spacing w:before="120" w:line="276" w:lineRule="auto"/>
        <w:ind w:firstLine="420" w:firstLineChars="200"/>
        <w:rPr>
          <w:color w:val="auto"/>
          <w:szCs w:val="21"/>
          <w:highlight w:val="none"/>
        </w:rPr>
      </w:pPr>
      <w:r>
        <w:rPr>
          <w:rFonts w:hint="eastAsia"/>
          <w:color w:val="auto"/>
          <w:szCs w:val="21"/>
          <w:highlight w:val="none"/>
        </w:rPr>
        <w:t>（</w:t>
      </w:r>
      <w:r>
        <w:rPr>
          <w:color w:val="auto"/>
          <w:szCs w:val="21"/>
          <w:highlight w:val="none"/>
        </w:rPr>
        <w:t>5</w:t>
      </w:r>
      <w:r>
        <w:rPr>
          <w:rFonts w:hint="eastAsia"/>
          <w:color w:val="auto"/>
          <w:szCs w:val="21"/>
          <w:highlight w:val="none"/>
        </w:rPr>
        <w:t>）其他无法保证电子交易的公平、公正和安全的情况。</w:t>
      </w:r>
    </w:p>
    <w:p w14:paraId="41DE7F03">
      <w:pPr>
        <w:tabs>
          <w:tab w:val="left" w:pos="4820"/>
        </w:tabs>
        <w:spacing w:before="120" w:line="360" w:lineRule="auto"/>
        <w:ind w:firstLine="420" w:firstLineChars="200"/>
        <w:rPr>
          <w:color w:val="auto"/>
          <w:szCs w:val="21"/>
          <w:highlight w:val="none"/>
        </w:rPr>
      </w:pPr>
      <w:r>
        <w:rPr>
          <w:rFonts w:hint="eastAsia"/>
          <w:color w:val="auto"/>
          <w:szCs w:val="21"/>
          <w:highlight w:val="none"/>
        </w:rPr>
        <w:t>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r>
        <w:rPr>
          <w:color w:val="auto"/>
          <w:szCs w:val="21"/>
          <w:highlight w:val="none"/>
        </w:rPr>
        <w:t xml:space="preserve"> </w:t>
      </w:r>
    </w:p>
    <w:p w14:paraId="6D5E5B38">
      <w:pPr>
        <w:spacing w:line="360" w:lineRule="auto"/>
        <w:ind w:firstLine="420"/>
        <w:rPr>
          <w:color w:val="auto"/>
          <w:szCs w:val="21"/>
          <w:highlight w:val="none"/>
        </w:rPr>
      </w:pPr>
      <w:r>
        <w:rPr>
          <w:color w:val="auto"/>
          <w:szCs w:val="21"/>
          <w:highlight w:val="none"/>
        </w:rPr>
        <w:t>9.3</w:t>
      </w:r>
      <w:r>
        <w:rPr>
          <w:rFonts w:hint="eastAsia"/>
          <w:color w:val="auto"/>
          <w:szCs w:val="21"/>
          <w:highlight w:val="none"/>
        </w:rPr>
        <w:t>本项目的附件及图纸</w:t>
      </w:r>
      <w:r>
        <w:rPr>
          <w:color w:val="auto"/>
          <w:szCs w:val="21"/>
          <w:highlight w:val="none"/>
        </w:rPr>
        <w:t>详见供应商须知前附表</w:t>
      </w:r>
      <w:r>
        <w:rPr>
          <w:rFonts w:hint="eastAsia"/>
          <w:color w:val="auto"/>
          <w:szCs w:val="21"/>
          <w:highlight w:val="none"/>
        </w:rPr>
        <w:t>。</w:t>
      </w:r>
    </w:p>
    <w:p w14:paraId="04542B56">
      <w:pPr>
        <w:spacing w:line="360" w:lineRule="auto"/>
        <w:ind w:firstLine="420"/>
        <w:rPr>
          <w:color w:val="auto"/>
          <w:szCs w:val="21"/>
          <w:highlight w:val="none"/>
        </w:rPr>
      </w:pPr>
      <w:r>
        <w:rPr>
          <w:color w:val="auto"/>
          <w:szCs w:val="21"/>
          <w:highlight w:val="none"/>
        </w:rPr>
        <w:t>9.4</w:t>
      </w:r>
      <w:r>
        <w:rPr>
          <w:rFonts w:hint="eastAsia"/>
          <w:color w:val="auto"/>
          <w:szCs w:val="21"/>
          <w:highlight w:val="none"/>
        </w:rPr>
        <w:t>本项目的其他事项</w:t>
      </w:r>
      <w:r>
        <w:rPr>
          <w:color w:val="auto"/>
          <w:szCs w:val="21"/>
          <w:highlight w:val="none"/>
        </w:rPr>
        <w:t>详见供应商须知前附表</w:t>
      </w:r>
      <w:r>
        <w:rPr>
          <w:rFonts w:hint="eastAsia"/>
          <w:color w:val="auto"/>
          <w:szCs w:val="21"/>
          <w:highlight w:val="none"/>
        </w:rPr>
        <w:t>。</w:t>
      </w:r>
    </w:p>
    <w:p w14:paraId="3B70CBA9">
      <w:pPr>
        <w:spacing w:before="120" w:line="320" w:lineRule="atLeast"/>
        <w:ind w:left="2" w:leftChars="1" w:firstLine="422" w:firstLineChars="200"/>
        <w:outlineLvl w:val="1"/>
        <w:rPr>
          <w:b/>
          <w:bCs/>
          <w:color w:val="auto"/>
          <w:kern w:val="0"/>
          <w:szCs w:val="21"/>
          <w:highlight w:val="none"/>
        </w:rPr>
      </w:pPr>
      <w:r>
        <w:rPr>
          <w:b/>
          <w:bCs/>
          <w:color w:val="auto"/>
          <w:kern w:val="0"/>
          <w:szCs w:val="21"/>
          <w:highlight w:val="none"/>
        </w:rPr>
        <w:t>10．</w:t>
      </w:r>
      <w:r>
        <w:rPr>
          <w:rFonts w:hint="eastAsia"/>
          <w:b/>
          <w:bCs/>
          <w:color w:val="auto"/>
          <w:kern w:val="0"/>
          <w:szCs w:val="21"/>
          <w:highlight w:val="none"/>
        </w:rPr>
        <w:t>其他说明</w:t>
      </w:r>
    </w:p>
    <w:p w14:paraId="491BB98C">
      <w:pPr>
        <w:spacing w:before="120" w:line="320" w:lineRule="atLeast"/>
        <w:ind w:left="2" w:leftChars="1" w:firstLine="422" w:firstLineChars="200"/>
        <w:outlineLvl w:val="1"/>
        <w:rPr>
          <w:color w:val="auto"/>
          <w:kern w:val="0"/>
          <w:szCs w:val="21"/>
          <w:highlight w:val="none"/>
        </w:rPr>
      </w:pPr>
      <w:r>
        <w:rPr>
          <w:rFonts w:hint="eastAsia"/>
          <w:b/>
          <w:bCs/>
          <w:color w:val="auto"/>
          <w:kern w:val="0"/>
          <w:szCs w:val="21"/>
          <w:highlight w:val="none"/>
        </w:rPr>
        <w:t>1</w:t>
      </w:r>
      <w:r>
        <w:rPr>
          <w:b/>
          <w:bCs/>
          <w:color w:val="auto"/>
          <w:kern w:val="0"/>
          <w:szCs w:val="21"/>
          <w:highlight w:val="none"/>
        </w:rPr>
        <w:t>0.1</w:t>
      </w:r>
      <w:r>
        <w:rPr>
          <w:rFonts w:hint="eastAsia"/>
          <w:color w:val="auto"/>
          <w:kern w:val="0"/>
          <w:szCs w:val="21"/>
          <w:highlight w:val="none"/>
        </w:rPr>
        <w:t>其余未尽事宜按</w:t>
      </w:r>
      <w:r>
        <w:rPr>
          <w:color w:val="auto"/>
          <w:kern w:val="0"/>
          <w:szCs w:val="21"/>
          <w:highlight w:val="none"/>
        </w:rPr>
        <w:t>《中华人民共和国政府采购法》、《中华人民共和国政府采购法实施条例》</w:t>
      </w:r>
      <w:r>
        <w:rPr>
          <w:rFonts w:hint="eastAsia"/>
          <w:color w:val="auto"/>
          <w:kern w:val="0"/>
          <w:szCs w:val="21"/>
          <w:highlight w:val="none"/>
        </w:rPr>
        <w:t>的相关规定执行。</w:t>
      </w:r>
    </w:p>
    <w:p w14:paraId="313E3576">
      <w:pPr>
        <w:spacing w:before="120" w:line="320" w:lineRule="atLeast"/>
        <w:ind w:left="2" w:leftChars="1" w:firstLine="422" w:firstLineChars="200"/>
        <w:outlineLvl w:val="1"/>
        <w:rPr>
          <w:color w:val="auto"/>
          <w:sz w:val="32"/>
          <w:szCs w:val="32"/>
          <w:highlight w:val="none"/>
        </w:rPr>
      </w:pPr>
      <w:r>
        <w:rPr>
          <w:b/>
          <w:bCs/>
          <w:color w:val="auto"/>
          <w:kern w:val="0"/>
          <w:szCs w:val="21"/>
          <w:highlight w:val="none"/>
        </w:rPr>
        <w:t>10.2</w:t>
      </w:r>
      <w:r>
        <w:rPr>
          <w:rFonts w:hint="eastAsia"/>
          <w:color w:val="auto"/>
          <w:highlight w:val="none"/>
        </w:rPr>
        <w:t>本</w:t>
      </w:r>
      <w:r>
        <w:rPr>
          <w:color w:val="auto"/>
          <w:highlight w:val="none"/>
        </w:rPr>
        <w:t>采购文件是根据国家有关法律及有关政策、法规和参照国际惯例编制，解释权属采购代理机构。</w:t>
      </w:r>
      <w:bookmarkEnd w:id="27"/>
    </w:p>
    <w:bookmarkEnd w:id="28"/>
    <w:p w14:paraId="2173AA56">
      <w:pPr>
        <w:spacing w:before="120" w:line="320" w:lineRule="atLeast"/>
        <w:outlineLvl w:val="1"/>
        <w:rPr>
          <w:bCs/>
          <w:color w:val="auto"/>
          <w:kern w:val="0"/>
          <w:sz w:val="28"/>
          <w:szCs w:val="28"/>
          <w:highlight w:val="none"/>
        </w:rPr>
        <w:sectPr>
          <w:headerReference r:id="rId11" w:type="first"/>
          <w:headerReference r:id="rId10" w:type="default"/>
          <w:pgSz w:w="11906" w:h="16838"/>
          <w:pgMar w:top="993" w:right="1133" w:bottom="1246" w:left="1418" w:header="851" w:footer="992" w:gutter="0"/>
          <w:cols w:space="720" w:num="1"/>
          <w:titlePg/>
          <w:docGrid w:linePitch="312" w:charSpace="0"/>
        </w:sectPr>
      </w:pPr>
    </w:p>
    <w:p w14:paraId="70D2866B">
      <w:pPr>
        <w:pStyle w:val="26"/>
        <w:snapToGrid w:val="0"/>
        <w:spacing w:before="120" w:after="120" w:line="320" w:lineRule="exact"/>
        <w:jc w:val="center"/>
        <w:outlineLvl w:val="0"/>
        <w:rPr>
          <w:rFonts w:ascii="Times New Roman" w:hAnsi="Times New Roman" w:cs="Times New Roman"/>
          <w:color w:val="auto"/>
          <w:sz w:val="32"/>
          <w:szCs w:val="32"/>
          <w:highlight w:val="none"/>
        </w:rPr>
      </w:pPr>
      <w:bookmarkStart w:id="76" w:name="_Toc2921"/>
      <w:bookmarkStart w:id="77" w:name="_Toc254970549"/>
      <w:bookmarkStart w:id="78" w:name="_Toc254970690"/>
      <w:r>
        <w:rPr>
          <w:rFonts w:ascii="Times New Roman" w:hAnsi="Times New Roman" w:cs="Times New Roman"/>
          <w:color w:val="auto"/>
          <w:sz w:val="32"/>
          <w:szCs w:val="32"/>
          <w:highlight w:val="none"/>
        </w:rPr>
        <w:t>第四章  评审方法及标准</w:t>
      </w:r>
      <w:bookmarkEnd w:id="76"/>
    </w:p>
    <w:p w14:paraId="7D0EE346">
      <w:pPr>
        <w:spacing w:before="120" w:line="320" w:lineRule="atLeast"/>
        <w:ind w:firstLine="413" w:firstLineChars="196"/>
        <w:outlineLvl w:val="1"/>
        <w:rPr>
          <w:b/>
          <w:bCs/>
          <w:color w:val="auto"/>
          <w:kern w:val="0"/>
          <w:szCs w:val="21"/>
          <w:highlight w:val="none"/>
        </w:rPr>
      </w:pPr>
      <w:r>
        <w:rPr>
          <w:rFonts w:hint="eastAsia"/>
          <w:b/>
          <w:bCs/>
          <w:color w:val="auto"/>
          <w:kern w:val="0"/>
          <w:szCs w:val="21"/>
          <w:highlight w:val="none"/>
        </w:rPr>
        <w:t>1</w:t>
      </w:r>
      <w:r>
        <w:rPr>
          <w:b/>
          <w:bCs/>
          <w:color w:val="auto"/>
          <w:kern w:val="0"/>
          <w:szCs w:val="21"/>
          <w:highlight w:val="none"/>
        </w:rPr>
        <w:t>.评审</w:t>
      </w:r>
      <w:r>
        <w:rPr>
          <w:rFonts w:hint="eastAsia"/>
          <w:b/>
          <w:bCs/>
          <w:color w:val="auto"/>
          <w:kern w:val="0"/>
          <w:szCs w:val="21"/>
          <w:highlight w:val="none"/>
        </w:rPr>
        <w:t>方法</w:t>
      </w:r>
    </w:p>
    <w:p w14:paraId="5D20D69F">
      <w:pPr>
        <w:suppressAutoHyphens/>
        <w:spacing w:before="120" w:line="320" w:lineRule="atLeast"/>
        <w:ind w:firstLine="420" w:firstLineChars="200"/>
        <w:rPr>
          <w:color w:val="auto"/>
          <w:highlight w:val="none"/>
        </w:rPr>
      </w:pPr>
      <w:r>
        <w:rPr>
          <w:color w:val="auto"/>
          <w:szCs w:val="21"/>
          <w:highlight w:val="none"/>
        </w:rPr>
        <w:t>本项目采用</w:t>
      </w:r>
      <w:r>
        <w:rPr>
          <w:rFonts w:hint="eastAsia"/>
          <w:bCs/>
          <w:color w:val="auto"/>
          <w:kern w:val="1"/>
          <w:szCs w:val="21"/>
          <w:highlight w:val="none"/>
        </w:rPr>
        <w:t>最低评标价法</w:t>
      </w:r>
      <w:r>
        <w:rPr>
          <w:color w:val="auto"/>
          <w:szCs w:val="21"/>
          <w:highlight w:val="none"/>
        </w:rPr>
        <w:t>进行评审</w:t>
      </w:r>
      <w:r>
        <w:rPr>
          <w:bCs/>
          <w:color w:val="auto"/>
          <w:kern w:val="1"/>
          <w:szCs w:val="21"/>
          <w:highlight w:val="none"/>
        </w:rPr>
        <w:t>。</w:t>
      </w:r>
      <w:r>
        <w:rPr>
          <w:color w:val="auto"/>
          <w:szCs w:val="21"/>
          <w:highlight w:val="none"/>
        </w:rPr>
        <w:t>最低评标价法，是指</w:t>
      </w:r>
      <w:r>
        <w:rPr>
          <w:rFonts w:hint="eastAsia"/>
          <w:color w:val="auto"/>
          <w:szCs w:val="21"/>
          <w:highlight w:val="none"/>
        </w:rPr>
        <w:t>响应</w:t>
      </w:r>
      <w:r>
        <w:rPr>
          <w:color w:val="auto"/>
          <w:szCs w:val="21"/>
          <w:highlight w:val="none"/>
        </w:rPr>
        <w:t>文件满足</w:t>
      </w:r>
      <w:r>
        <w:rPr>
          <w:rFonts w:hint="eastAsia"/>
          <w:color w:val="auto"/>
          <w:szCs w:val="21"/>
          <w:highlight w:val="none"/>
        </w:rPr>
        <w:t>采购文件</w:t>
      </w:r>
      <w:r>
        <w:rPr>
          <w:color w:val="auto"/>
          <w:szCs w:val="21"/>
          <w:highlight w:val="none"/>
        </w:rPr>
        <w:t>全部实质性要求且</w:t>
      </w:r>
      <w:r>
        <w:rPr>
          <w:rFonts w:hint="eastAsia"/>
          <w:color w:val="auto"/>
          <w:szCs w:val="21"/>
          <w:highlight w:val="none"/>
        </w:rPr>
        <w:t>谈判</w:t>
      </w:r>
      <w:r>
        <w:rPr>
          <w:color w:val="auto"/>
          <w:szCs w:val="21"/>
          <w:highlight w:val="none"/>
        </w:rPr>
        <w:t>报价最低的供应商为</w:t>
      </w:r>
      <w:r>
        <w:rPr>
          <w:rFonts w:hint="eastAsia"/>
          <w:color w:val="auto"/>
          <w:szCs w:val="21"/>
          <w:highlight w:val="none"/>
        </w:rPr>
        <w:t>成交</w:t>
      </w:r>
      <w:r>
        <w:rPr>
          <w:color w:val="auto"/>
          <w:szCs w:val="21"/>
          <w:highlight w:val="none"/>
        </w:rPr>
        <w:t>候选人的评</w:t>
      </w:r>
      <w:r>
        <w:rPr>
          <w:rFonts w:hint="eastAsia"/>
          <w:color w:val="auto"/>
          <w:szCs w:val="21"/>
          <w:highlight w:val="none"/>
        </w:rPr>
        <w:t>审</w:t>
      </w:r>
      <w:r>
        <w:rPr>
          <w:color w:val="auto"/>
          <w:szCs w:val="21"/>
          <w:highlight w:val="none"/>
        </w:rPr>
        <w:t>方法。</w:t>
      </w:r>
      <w:r>
        <w:rPr>
          <w:color w:val="auto"/>
          <w:highlight w:val="none"/>
        </w:rPr>
        <w:t xml:space="preserve"> </w:t>
      </w:r>
    </w:p>
    <w:p w14:paraId="2EA985BA">
      <w:pPr>
        <w:suppressAutoHyphens/>
        <w:spacing w:before="120" w:line="320" w:lineRule="atLeast"/>
        <w:ind w:firstLine="420" w:firstLineChars="200"/>
        <w:rPr>
          <w:color w:val="auto"/>
          <w:kern w:val="1"/>
          <w:szCs w:val="21"/>
          <w:highlight w:val="none"/>
        </w:rPr>
      </w:pPr>
      <w:r>
        <w:rPr>
          <w:rFonts w:hint="eastAsia"/>
          <w:color w:val="auto"/>
          <w:kern w:val="1"/>
          <w:szCs w:val="21"/>
          <w:highlight w:val="none"/>
        </w:rPr>
        <w:t>本项目评审的其他详细规定在第三章供应商须知中规定。</w:t>
      </w:r>
    </w:p>
    <w:p w14:paraId="20F0E903">
      <w:pPr>
        <w:spacing w:before="120" w:line="320" w:lineRule="atLeast"/>
        <w:ind w:firstLine="413" w:firstLineChars="196"/>
        <w:outlineLvl w:val="1"/>
        <w:rPr>
          <w:b/>
          <w:color w:val="auto"/>
          <w:kern w:val="0"/>
          <w:szCs w:val="21"/>
          <w:highlight w:val="none"/>
        </w:rPr>
      </w:pPr>
      <w:r>
        <w:rPr>
          <w:b/>
          <w:color w:val="auto"/>
          <w:kern w:val="0"/>
          <w:szCs w:val="21"/>
          <w:highlight w:val="none"/>
        </w:rPr>
        <w:t>2</w:t>
      </w:r>
      <w:r>
        <w:rPr>
          <w:rFonts w:hint="eastAsia"/>
          <w:b/>
          <w:color w:val="auto"/>
          <w:kern w:val="0"/>
          <w:szCs w:val="21"/>
          <w:highlight w:val="none"/>
        </w:rPr>
        <w:t>.资格审查标准</w:t>
      </w:r>
      <w:r>
        <w:rPr>
          <w:rFonts w:hint="eastAsia"/>
          <w:b/>
          <w:bCs/>
          <w:color w:val="auto"/>
          <w:kern w:val="0"/>
          <w:szCs w:val="21"/>
          <w:highlight w:val="none"/>
        </w:rPr>
        <w:t>（不满足任何一项审查内容要求，资格审查即为不合格；</w:t>
      </w:r>
      <w:bookmarkStart w:id="79" w:name="_Hlk160525103"/>
      <w:r>
        <w:rPr>
          <w:rFonts w:hint="eastAsia"/>
          <w:b/>
          <w:bCs/>
          <w:color w:val="auto"/>
          <w:kern w:val="0"/>
          <w:szCs w:val="21"/>
          <w:highlight w:val="none"/>
        </w:rPr>
        <w:t>联合体投标的，联合体各方均应提交第一项基本资格要求的资格证明文件）</w:t>
      </w:r>
      <w:bookmarkEnd w:id="79"/>
    </w:p>
    <w:tbl>
      <w:tblPr>
        <w:tblStyle w:val="51"/>
        <w:tblW w:w="8931"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843"/>
        <w:gridCol w:w="6242"/>
      </w:tblGrid>
      <w:tr w14:paraId="566F2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846" w:type="dxa"/>
            <w:vAlign w:val="center"/>
          </w:tcPr>
          <w:p w14:paraId="51D26545">
            <w:pPr>
              <w:spacing w:line="240" w:lineRule="exact"/>
              <w:jc w:val="center"/>
              <w:rPr>
                <w:b/>
                <w:color w:val="auto"/>
                <w:kern w:val="0"/>
                <w:szCs w:val="21"/>
                <w:highlight w:val="none"/>
              </w:rPr>
            </w:pPr>
            <w:bookmarkStart w:id="80" w:name="_Hlk92979501"/>
            <w:r>
              <w:rPr>
                <w:rFonts w:hint="eastAsia"/>
                <w:b/>
                <w:color w:val="auto"/>
                <w:kern w:val="0"/>
                <w:szCs w:val="21"/>
                <w:highlight w:val="none"/>
              </w:rPr>
              <w:t>审查</w:t>
            </w:r>
            <w:r>
              <w:rPr>
                <w:b/>
                <w:color w:val="auto"/>
                <w:kern w:val="0"/>
                <w:szCs w:val="21"/>
                <w:highlight w:val="none"/>
              </w:rPr>
              <w:t>因素</w:t>
            </w:r>
          </w:p>
        </w:tc>
        <w:tc>
          <w:tcPr>
            <w:tcW w:w="1843" w:type="dxa"/>
            <w:vAlign w:val="center"/>
          </w:tcPr>
          <w:p w14:paraId="71D03E2C">
            <w:pPr>
              <w:spacing w:line="240" w:lineRule="exact"/>
              <w:jc w:val="center"/>
              <w:rPr>
                <w:b/>
                <w:color w:val="auto"/>
                <w:kern w:val="0"/>
                <w:szCs w:val="21"/>
                <w:highlight w:val="none"/>
              </w:rPr>
            </w:pPr>
            <w:r>
              <w:rPr>
                <w:rFonts w:hint="eastAsia"/>
                <w:b/>
                <w:color w:val="auto"/>
                <w:kern w:val="0"/>
                <w:szCs w:val="21"/>
                <w:highlight w:val="none"/>
              </w:rPr>
              <w:t>审查</w:t>
            </w:r>
            <w:r>
              <w:rPr>
                <w:b/>
                <w:color w:val="auto"/>
                <w:kern w:val="0"/>
                <w:szCs w:val="21"/>
                <w:highlight w:val="none"/>
              </w:rPr>
              <w:t>内容</w:t>
            </w:r>
          </w:p>
        </w:tc>
        <w:tc>
          <w:tcPr>
            <w:tcW w:w="6242" w:type="dxa"/>
            <w:vAlign w:val="center"/>
          </w:tcPr>
          <w:p w14:paraId="0BFC6CDA">
            <w:pPr>
              <w:spacing w:line="240" w:lineRule="exact"/>
              <w:jc w:val="center"/>
              <w:rPr>
                <w:b/>
                <w:color w:val="auto"/>
                <w:kern w:val="0"/>
                <w:szCs w:val="21"/>
                <w:highlight w:val="none"/>
              </w:rPr>
            </w:pPr>
            <w:r>
              <w:rPr>
                <w:rFonts w:hint="eastAsia"/>
                <w:b/>
                <w:color w:val="auto"/>
                <w:kern w:val="0"/>
                <w:szCs w:val="21"/>
                <w:highlight w:val="none"/>
              </w:rPr>
              <w:t>说明</w:t>
            </w:r>
          </w:p>
        </w:tc>
      </w:tr>
      <w:tr w14:paraId="1A5C3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0" w:hRule="atLeast"/>
        </w:trPr>
        <w:tc>
          <w:tcPr>
            <w:tcW w:w="846" w:type="dxa"/>
            <w:vMerge w:val="restart"/>
            <w:vAlign w:val="center"/>
          </w:tcPr>
          <w:p w14:paraId="3D203CDA">
            <w:pPr>
              <w:spacing w:line="240" w:lineRule="exact"/>
              <w:rPr>
                <w:color w:val="auto"/>
                <w:szCs w:val="21"/>
                <w:highlight w:val="none"/>
                <w:lang w:val="zh-CN"/>
              </w:rPr>
            </w:pPr>
            <w:r>
              <w:rPr>
                <w:color w:val="auto"/>
                <w:szCs w:val="21"/>
                <w:highlight w:val="none"/>
                <w:lang w:val="zh-CN"/>
              </w:rPr>
              <w:t>供应商应符合的</w:t>
            </w:r>
            <w:r>
              <w:rPr>
                <w:rFonts w:hint="eastAsia"/>
                <w:color w:val="auto"/>
                <w:szCs w:val="21"/>
                <w:highlight w:val="none"/>
                <w:lang w:val="zh-CN"/>
              </w:rPr>
              <w:t>基本</w:t>
            </w:r>
            <w:r>
              <w:rPr>
                <w:color w:val="auto"/>
                <w:szCs w:val="21"/>
                <w:highlight w:val="none"/>
              </w:rPr>
              <w:t>资格</w:t>
            </w:r>
            <w:r>
              <w:rPr>
                <w:rFonts w:hint="eastAsia"/>
                <w:color w:val="auto"/>
                <w:szCs w:val="21"/>
                <w:highlight w:val="none"/>
              </w:rPr>
              <w:t>要求</w:t>
            </w:r>
          </w:p>
        </w:tc>
        <w:tc>
          <w:tcPr>
            <w:tcW w:w="1843" w:type="dxa"/>
            <w:vAlign w:val="center"/>
          </w:tcPr>
          <w:p w14:paraId="4556FB54">
            <w:pPr>
              <w:spacing w:line="240" w:lineRule="exact"/>
              <w:jc w:val="left"/>
              <w:rPr>
                <w:color w:val="auto"/>
                <w:szCs w:val="21"/>
                <w:highlight w:val="none"/>
              </w:rPr>
            </w:pPr>
            <w:r>
              <w:rPr>
                <w:color w:val="auto"/>
                <w:szCs w:val="21"/>
                <w:highlight w:val="none"/>
              </w:rPr>
              <w:t>（1）具有独立承担民事责任的能力</w:t>
            </w:r>
          </w:p>
        </w:tc>
        <w:tc>
          <w:tcPr>
            <w:tcW w:w="6242" w:type="dxa"/>
            <w:vMerge w:val="restart"/>
            <w:vAlign w:val="center"/>
          </w:tcPr>
          <w:p w14:paraId="0B7BE025">
            <w:pPr>
              <w:spacing w:line="240" w:lineRule="exact"/>
              <w:jc w:val="center"/>
              <w:rPr>
                <w:color w:val="auto"/>
                <w:szCs w:val="21"/>
                <w:highlight w:val="none"/>
              </w:rPr>
            </w:pPr>
            <w:r>
              <w:rPr>
                <w:rFonts w:hint="eastAsia"/>
                <w:color w:val="auto"/>
                <w:szCs w:val="21"/>
                <w:highlight w:val="none"/>
              </w:rPr>
              <w:t>供应商提供“信用承诺函”（格式见第六章响应文件格式）。</w:t>
            </w:r>
          </w:p>
        </w:tc>
      </w:tr>
      <w:tr w14:paraId="34255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46" w:type="dxa"/>
            <w:vMerge w:val="continue"/>
            <w:vAlign w:val="center"/>
          </w:tcPr>
          <w:p w14:paraId="27DEE786">
            <w:pPr>
              <w:spacing w:line="240" w:lineRule="exact"/>
              <w:rPr>
                <w:color w:val="auto"/>
                <w:szCs w:val="21"/>
                <w:highlight w:val="none"/>
                <w:lang w:val="zh-CN"/>
              </w:rPr>
            </w:pPr>
          </w:p>
        </w:tc>
        <w:tc>
          <w:tcPr>
            <w:tcW w:w="1843" w:type="dxa"/>
            <w:vAlign w:val="center"/>
          </w:tcPr>
          <w:p w14:paraId="46908C94">
            <w:pPr>
              <w:spacing w:line="240" w:lineRule="exact"/>
              <w:jc w:val="left"/>
              <w:rPr>
                <w:color w:val="auto"/>
                <w:szCs w:val="21"/>
                <w:highlight w:val="none"/>
              </w:rPr>
            </w:pPr>
            <w:r>
              <w:rPr>
                <w:color w:val="auto"/>
                <w:szCs w:val="21"/>
                <w:highlight w:val="none"/>
                <w:lang w:val="zh-CN"/>
              </w:rPr>
              <w:t>（2）</w:t>
            </w:r>
            <w:r>
              <w:rPr>
                <w:color w:val="auto"/>
                <w:szCs w:val="21"/>
                <w:highlight w:val="none"/>
              </w:rPr>
              <w:t>具有良好的商业信誉和健全的财务会计制度</w:t>
            </w:r>
          </w:p>
        </w:tc>
        <w:tc>
          <w:tcPr>
            <w:tcW w:w="6242" w:type="dxa"/>
            <w:vMerge w:val="continue"/>
          </w:tcPr>
          <w:p w14:paraId="4DFC7EDA">
            <w:pPr>
              <w:spacing w:line="240" w:lineRule="exact"/>
              <w:jc w:val="left"/>
              <w:rPr>
                <w:color w:val="auto"/>
                <w:szCs w:val="21"/>
                <w:highlight w:val="none"/>
              </w:rPr>
            </w:pPr>
          </w:p>
        </w:tc>
      </w:tr>
      <w:tr w14:paraId="34509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46" w:type="dxa"/>
            <w:vMerge w:val="continue"/>
            <w:vAlign w:val="center"/>
          </w:tcPr>
          <w:p w14:paraId="3BCD56C1">
            <w:pPr>
              <w:spacing w:line="240" w:lineRule="exact"/>
              <w:rPr>
                <w:color w:val="auto"/>
                <w:szCs w:val="21"/>
                <w:highlight w:val="none"/>
                <w:lang w:val="zh-CN"/>
              </w:rPr>
            </w:pPr>
          </w:p>
        </w:tc>
        <w:tc>
          <w:tcPr>
            <w:tcW w:w="1843" w:type="dxa"/>
            <w:vAlign w:val="center"/>
          </w:tcPr>
          <w:p w14:paraId="6B2867EA">
            <w:pPr>
              <w:spacing w:line="240" w:lineRule="exact"/>
              <w:jc w:val="left"/>
              <w:rPr>
                <w:color w:val="auto"/>
                <w:szCs w:val="21"/>
                <w:highlight w:val="none"/>
              </w:rPr>
            </w:pPr>
            <w:r>
              <w:rPr>
                <w:color w:val="auto"/>
                <w:szCs w:val="21"/>
                <w:highlight w:val="none"/>
                <w:lang w:val="zh-CN"/>
              </w:rPr>
              <w:t>（3）具有履行合同所必需的设备和专业技术能力</w:t>
            </w:r>
          </w:p>
        </w:tc>
        <w:tc>
          <w:tcPr>
            <w:tcW w:w="6242" w:type="dxa"/>
            <w:vMerge w:val="continue"/>
          </w:tcPr>
          <w:p w14:paraId="3D7BD42E">
            <w:pPr>
              <w:spacing w:line="240" w:lineRule="exact"/>
              <w:jc w:val="left"/>
              <w:rPr>
                <w:color w:val="auto"/>
                <w:szCs w:val="21"/>
                <w:highlight w:val="none"/>
              </w:rPr>
            </w:pPr>
          </w:p>
        </w:tc>
      </w:tr>
      <w:tr w14:paraId="4DA7B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46" w:type="dxa"/>
            <w:vMerge w:val="continue"/>
            <w:vAlign w:val="center"/>
          </w:tcPr>
          <w:p w14:paraId="7BC690C2">
            <w:pPr>
              <w:spacing w:line="240" w:lineRule="exact"/>
              <w:rPr>
                <w:color w:val="auto"/>
                <w:szCs w:val="21"/>
                <w:highlight w:val="none"/>
                <w:lang w:val="zh-CN"/>
              </w:rPr>
            </w:pPr>
          </w:p>
        </w:tc>
        <w:tc>
          <w:tcPr>
            <w:tcW w:w="1843" w:type="dxa"/>
            <w:vAlign w:val="center"/>
          </w:tcPr>
          <w:p w14:paraId="13AA724B">
            <w:pPr>
              <w:spacing w:line="240" w:lineRule="exact"/>
              <w:jc w:val="left"/>
              <w:rPr>
                <w:color w:val="auto"/>
                <w:szCs w:val="21"/>
                <w:highlight w:val="none"/>
              </w:rPr>
            </w:pPr>
            <w:r>
              <w:rPr>
                <w:color w:val="auto"/>
                <w:szCs w:val="21"/>
                <w:highlight w:val="none"/>
                <w:lang w:val="zh-CN"/>
              </w:rPr>
              <w:t>（4）有依法缴纳税收和社会保障金的良好记录</w:t>
            </w:r>
          </w:p>
        </w:tc>
        <w:tc>
          <w:tcPr>
            <w:tcW w:w="6242" w:type="dxa"/>
            <w:vMerge w:val="continue"/>
          </w:tcPr>
          <w:p w14:paraId="7F369D67">
            <w:pPr>
              <w:spacing w:line="240" w:lineRule="exact"/>
              <w:jc w:val="left"/>
              <w:rPr>
                <w:color w:val="auto"/>
                <w:szCs w:val="21"/>
                <w:highlight w:val="none"/>
              </w:rPr>
            </w:pPr>
          </w:p>
        </w:tc>
      </w:tr>
      <w:tr w14:paraId="03E82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46" w:type="dxa"/>
            <w:vMerge w:val="continue"/>
            <w:vAlign w:val="center"/>
          </w:tcPr>
          <w:p w14:paraId="2083C514">
            <w:pPr>
              <w:spacing w:line="240" w:lineRule="exact"/>
              <w:rPr>
                <w:color w:val="auto"/>
                <w:szCs w:val="21"/>
                <w:highlight w:val="none"/>
                <w:lang w:val="zh-CN"/>
              </w:rPr>
            </w:pPr>
          </w:p>
        </w:tc>
        <w:tc>
          <w:tcPr>
            <w:tcW w:w="1843" w:type="dxa"/>
            <w:vAlign w:val="center"/>
          </w:tcPr>
          <w:p w14:paraId="217B1E36">
            <w:pPr>
              <w:spacing w:line="240" w:lineRule="exact"/>
              <w:jc w:val="left"/>
              <w:rPr>
                <w:color w:val="auto"/>
                <w:szCs w:val="21"/>
                <w:highlight w:val="none"/>
              </w:rPr>
            </w:pPr>
            <w:r>
              <w:rPr>
                <w:color w:val="auto"/>
                <w:szCs w:val="21"/>
                <w:highlight w:val="none"/>
              </w:rPr>
              <w:t>（5）参加政府采购活动前三年内，在经营活动中没有重大违法记录</w:t>
            </w:r>
          </w:p>
        </w:tc>
        <w:tc>
          <w:tcPr>
            <w:tcW w:w="6242" w:type="dxa"/>
            <w:vMerge w:val="continue"/>
            <w:vAlign w:val="center"/>
          </w:tcPr>
          <w:p w14:paraId="085370B7">
            <w:pPr>
              <w:spacing w:line="240" w:lineRule="exact"/>
              <w:jc w:val="left"/>
              <w:rPr>
                <w:color w:val="auto"/>
                <w:szCs w:val="21"/>
                <w:highlight w:val="none"/>
              </w:rPr>
            </w:pPr>
          </w:p>
        </w:tc>
      </w:tr>
      <w:tr w14:paraId="05358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46" w:type="dxa"/>
            <w:vMerge w:val="continue"/>
            <w:vAlign w:val="center"/>
          </w:tcPr>
          <w:p w14:paraId="7B58096D">
            <w:pPr>
              <w:spacing w:line="240" w:lineRule="exact"/>
              <w:rPr>
                <w:color w:val="auto"/>
                <w:szCs w:val="21"/>
                <w:highlight w:val="none"/>
                <w:lang w:val="zh-CN"/>
              </w:rPr>
            </w:pPr>
          </w:p>
        </w:tc>
        <w:tc>
          <w:tcPr>
            <w:tcW w:w="1843" w:type="dxa"/>
            <w:vAlign w:val="center"/>
          </w:tcPr>
          <w:p w14:paraId="35E20A8B">
            <w:pPr>
              <w:spacing w:line="240" w:lineRule="exact"/>
              <w:jc w:val="left"/>
              <w:rPr>
                <w:color w:val="auto"/>
                <w:szCs w:val="21"/>
                <w:highlight w:val="none"/>
              </w:rPr>
            </w:pPr>
            <w:r>
              <w:rPr>
                <w:color w:val="auto"/>
                <w:szCs w:val="21"/>
                <w:highlight w:val="none"/>
              </w:rPr>
              <w:t>（6）具备法律、行政法规规定的其他要求</w:t>
            </w:r>
          </w:p>
        </w:tc>
        <w:tc>
          <w:tcPr>
            <w:tcW w:w="6242" w:type="dxa"/>
            <w:vMerge w:val="continue"/>
            <w:vAlign w:val="center"/>
          </w:tcPr>
          <w:p w14:paraId="1F819A30">
            <w:pPr>
              <w:spacing w:line="240" w:lineRule="exact"/>
              <w:jc w:val="left"/>
              <w:rPr>
                <w:color w:val="auto"/>
                <w:szCs w:val="21"/>
                <w:highlight w:val="none"/>
              </w:rPr>
            </w:pPr>
          </w:p>
        </w:tc>
      </w:tr>
      <w:tr w14:paraId="779ED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46" w:type="dxa"/>
            <w:vAlign w:val="center"/>
          </w:tcPr>
          <w:p w14:paraId="283153A7">
            <w:pPr>
              <w:spacing w:line="240" w:lineRule="exact"/>
              <w:jc w:val="left"/>
              <w:rPr>
                <w:color w:val="auto"/>
                <w:kern w:val="0"/>
                <w:szCs w:val="21"/>
                <w:highlight w:val="none"/>
              </w:rPr>
            </w:pPr>
            <w:r>
              <w:rPr>
                <w:rFonts w:hint="eastAsia"/>
                <w:color w:val="auto"/>
                <w:kern w:val="0"/>
                <w:szCs w:val="21"/>
                <w:highlight w:val="none"/>
              </w:rPr>
              <w:t>采购政策</w:t>
            </w:r>
          </w:p>
        </w:tc>
        <w:tc>
          <w:tcPr>
            <w:tcW w:w="1843" w:type="dxa"/>
            <w:vAlign w:val="center"/>
          </w:tcPr>
          <w:p w14:paraId="7243C3F8">
            <w:pPr>
              <w:spacing w:line="240" w:lineRule="exact"/>
              <w:jc w:val="left"/>
              <w:rPr>
                <w:color w:val="auto"/>
                <w:szCs w:val="21"/>
                <w:highlight w:val="none"/>
              </w:rPr>
            </w:pPr>
            <w:r>
              <w:rPr>
                <w:rFonts w:hint="eastAsia"/>
                <w:color w:val="auto"/>
                <w:szCs w:val="21"/>
                <w:highlight w:val="none"/>
              </w:rPr>
              <w:t>落实政府采购政策需满足的资格要求</w:t>
            </w:r>
          </w:p>
        </w:tc>
        <w:tc>
          <w:tcPr>
            <w:tcW w:w="6242" w:type="dxa"/>
            <w:vAlign w:val="center"/>
          </w:tcPr>
          <w:p w14:paraId="613D30D6">
            <w:pPr>
              <w:spacing w:line="240" w:lineRule="exact"/>
              <w:jc w:val="left"/>
              <w:rPr>
                <w:color w:val="auto"/>
                <w:szCs w:val="21"/>
                <w:highlight w:val="none"/>
              </w:rPr>
            </w:pPr>
            <w:r>
              <w:rPr>
                <w:rFonts w:hint="eastAsia"/>
                <w:color w:val="auto"/>
                <w:szCs w:val="21"/>
                <w:highlight w:val="none"/>
              </w:rPr>
              <w:t>无</w:t>
            </w:r>
          </w:p>
        </w:tc>
      </w:tr>
      <w:tr w14:paraId="7E8CE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4" w:hRule="atLeast"/>
        </w:trPr>
        <w:tc>
          <w:tcPr>
            <w:tcW w:w="846" w:type="dxa"/>
            <w:vMerge w:val="restart"/>
            <w:vAlign w:val="center"/>
          </w:tcPr>
          <w:p w14:paraId="1F35B8C3">
            <w:pPr>
              <w:spacing w:line="240" w:lineRule="exact"/>
              <w:rPr>
                <w:color w:val="auto"/>
                <w:szCs w:val="21"/>
                <w:highlight w:val="none"/>
              </w:rPr>
            </w:pPr>
            <w:r>
              <w:rPr>
                <w:color w:val="auto"/>
                <w:szCs w:val="21"/>
                <w:highlight w:val="none"/>
                <w:lang w:val="zh-CN"/>
              </w:rPr>
              <w:t>供应商应符合的</w:t>
            </w:r>
            <w:r>
              <w:rPr>
                <w:color w:val="auto"/>
                <w:szCs w:val="21"/>
                <w:highlight w:val="none"/>
              </w:rPr>
              <w:t>特定资格</w:t>
            </w:r>
            <w:r>
              <w:rPr>
                <w:rFonts w:hint="eastAsia"/>
                <w:color w:val="auto"/>
                <w:szCs w:val="21"/>
                <w:highlight w:val="none"/>
              </w:rPr>
              <w:t>要求</w:t>
            </w:r>
          </w:p>
        </w:tc>
        <w:tc>
          <w:tcPr>
            <w:tcW w:w="1843" w:type="dxa"/>
            <w:vAlign w:val="center"/>
          </w:tcPr>
          <w:p w14:paraId="5BA2ECD8">
            <w:pPr>
              <w:spacing w:line="240" w:lineRule="exact"/>
              <w:jc w:val="left"/>
              <w:rPr>
                <w:color w:val="auto"/>
                <w:szCs w:val="21"/>
                <w:highlight w:val="none"/>
              </w:rPr>
            </w:pPr>
            <w:r>
              <w:rPr>
                <w:color w:val="auto"/>
                <w:szCs w:val="21"/>
                <w:highlight w:val="none"/>
              </w:rPr>
              <w:t>（1）资质</w:t>
            </w:r>
            <w:r>
              <w:rPr>
                <w:rFonts w:hint="eastAsia"/>
                <w:color w:val="auto"/>
                <w:szCs w:val="21"/>
                <w:highlight w:val="none"/>
              </w:rPr>
              <w:t>要求</w:t>
            </w:r>
          </w:p>
        </w:tc>
        <w:tc>
          <w:tcPr>
            <w:tcW w:w="6242" w:type="dxa"/>
            <w:vAlign w:val="center"/>
          </w:tcPr>
          <w:p w14:paraId="024D4AB2">
            <w:pPr>
              <w:spacing w:line="240" w:lineRule="exact"/>
              <w:jc w:val="left"/>
              <w:rPr>
                <w:color w:val="auto"/>
                <w:szCs w:val="21"/>
                <w:highlight w:val="none"/>
              </w:rPr>
            </w:pPr>
            <w:r>
              <w:rPr>
                <w:color w:val="auto"/>
                <w:szCs w:val="21"/>
                <w:highlight w:val="none"/>
              </w:rPr>
              <w:t>须符合</w:t>
            </w:r>
            <w:r>
              <w:rPr>
                <w:rFonts w:hint="eastAsia"/>
                <w:color w:val="auto"/>
                <w:szCs w:val="21"/>
                <w:highlight w:val="none"/>
              </w:rPr>
              <w:t>“谈判公告”</w:t>
            </w:r>
            <w:r>
              <w:rPr>
                <w:color w:val="auto"/>
                <w:szCs w:val="21"/>
                <w:highlight w:val="none"/>
              </w:rPr>
              <w:t>的要求</w:t>
            </w:r>
          </w:p>
        </w:tc>
      </w:tr>
      <w:tr w14:paraId="00567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46" w:type="dxa"/>
            <w:vMerge w:val="continue"/>
            <w:vAlign w:val="center"/>
          </w:tcPr>
          <w:p w14:paraId="18D33842">
            <w:pPr>
              <w:spacing w:line="240" w:lineRule="exact"/>
              <w:rPr>
                <w:color w:val="auto"/>
                <w:szCs w:val="21"/>
                <w:highlight w:val="none"/>
              </w:rPr>
            </w:pPr>
          </w:p>
        </w:tc>
        <w:tc>
          <w:tcPr>
            <w:tcW w:w="1843" w:type="dxa"/>
            <w:vAlign w:val="center"/>
          </w:tcPr>
          <w:p w14:paraId="0A2FDD39">
            <w:pPr>
              <w:spacing w:line="240" w:lineRule="exact"/>
              <w:jc w:val="left"/>
              <w:rPr>
                <w:color w:val="auto"/>
                <w:szCs w:val="21"/>
                <w:highlight w:val="none"/>
              </w:rPr>
            </w:pPr>
            <w:r>
              <w:rPr>
                <w:color w:val="auto"/>
                <w:szCs w:val="21"/>
                <w:highlight w:val="none"/>
              </w:rPr>
              <w:t>（2）业绩要求</w:t>
            </w:r>
          </w:p>
        </w:tc>
        <w:tc>
          <w:tcPr>
            <w:tcW w:w="6242" w:type="dxa"/>
            <w:vAlign w:val="center"/>
          </w:tcPr>
          <w:p w14:paraId="343965B4">
            <w:pPr>
              <w:spacing w:line="240" w:lineRule="exact"/>
              <w:jc w:val="left"/>
              <w:rPr>
                <w:color w:val="auto"/>
                <w:szCs w:val="21"/>
                <w:highlight w:val="none"/>
              </w:rPr>
            </w:pPr>
            <w:r>
              <w:rPr>
                <w:color w:val="auto"/>
                <w:szCs w:val="21"/>
                <w:highlight w:val="none"/>
              </w:rPr>
              <w:t>须符合</w:t>
            </w:r>
            <w:r>
              <w:rPr>
                <w:rFonts w:hint="eastAsia"/>
                <w:color w:val="auto"/>
                <w:szCs w:val="21"/>
                <w:highlight w:val="none"/>
              </w:rPr>
              <w:t>“谈判公告”</w:t>
            </w:r>
            <w:r>
              <w:rPr>
                <w:color w:val="auto"/>
                <w:szCs w:val="21"/>
                <w:highlight w:val="none"/>
              </w:rPr>
              <w:t>的要求</w:t>
            </w:r>
          </w:p>
        </w:tc>
      </w:tr>
      <w:tr w14:paraId="434F4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4" w:hRule="atLeast"/>
        </w:trPr>
        <w:tc>
          <w:tcPr>
            <w:tcW w:w="846" w:type="dxa"/>
            <w:vMerge w:val="continue"/>
            <w:vAlign w:val="center"/>
          </w:tcPr>
          <w:p w14:paraId="3FD254C3">
            <w:pPr>
              <w:spacing w:line="240" w:lineRule="exact"/>
              <w:jc w:val="left"/>
              <w:rPr>
                <w:color w:val="auto"/>
                <w:szCs w:val="21"/>
                <w:highlight w:val="none"/>
              </w:rPr>
            </w:pPr>
          </w:p>
        </w:tc>
        <w:tc>
          <w:tcPr>
            <w:tcW w:w="1843" w:type="dxa"/>
            <w:vAlign w:val="center"/>
          </w:tcPr>
          <w:p w14:paraId="213E5827">
            <w:pPr>
              <w:spacing w:line="240" w:lineRule="exact"/>
              <w:jc w:val="left"/>
              <w:rPr>
                <w:color w:val="auto"/>
                <w:szCs w:val="21"/>
                <w:highlight w:val="none"/>
              </w:rPr>
            </w:pPr>
            <w:r>
              <w:rPr>
                <w:rFonts w:hint="eastAsia"/>
                <w:color w:val="auto"/>
                <w:szCs w:val="21"/>
                <w:highlight w:val="none"/>
              </w:rPr>
              <w:t>（</w:t>
            </w:r>
            <w:r>
              <w:rPr>
                <w:color w:val="auto"/>
                <w:szCs w:val="21"/>
                <w:highlight w:val="none"/>
              </w:rPr>
              <w:t>3</w:t>
            </w:r>
            <w:r>
              <w:rPr>
                <w:rFonts w:hint="eastAsia"/>
                <w:color w:val="auto"/>
                <w:szCs w:val="21"/>
                <w:highlight w:val="none"/>
              </w:rPr>
              <w:t>）供应商不得参加响应的情形</w:t>
            </w:r>
          </w:p>
        </w:tc>
        <w:tc>
          <w:tcPr>
            <w:tcW w:w="6242" w:type="dxa"/>
            <w:vAlign w:val="center"/>
          </w:tcPr>
          <w:p w14:paraId="4B67E9BE">
            <w:pPr>
              <w:spacing w:line="240" w:lineRule="exact"/>
              <w:jc w:val="left"/>
              <w:rPr>
                <w:color w:val="auto"/>
                <w:kern w:val="0"/>
                <w:szCs w:val="21"/>
                <w:highlight w:val="none"/>
              </w:rPr>
            </w:pPr>
            <w:r>
              <w:rPr>
                <w:color w:val="auto"/>
                <w:kern w:val="0"/>
                <w:szCs w:val="21"/>
                <w:highlight w:val="none"/>
              </w:rPr>
              <w:t>单位负责人为同一人或者存在直接控股、管理关系的不同供应商，不得参加本项目同一合同项下的政府采购活动。为本项目提供整体设计、规范编制或者项目管理、监理、检测等服务的供应商，不得再参加</w:t>
            </w:r>
            <w:r>
              <w:rPr>
                <w:rFonts w:hint="eastAsia"/>
                <w:color w:val="auto"/>
                <w:kern w:val="0"/>
                <w:szCs w:val="21"/>
                <w:highlight w:val="none"/>
              </w:rPr>
              <w:t>本</w:t>
            </w:r>
            <w:r>
              <w:rPr>
                <w:color w:val="auto"/>
                <w:kern w:val="0"/>
                <w:szCs w:val="21"/>
                <w:highlight w:val="none"/>
              </w:rPr>
              <w:t>项目的采购活动。</w:t>
            </w:r>
          </w:p>
          <w:p w14:paraId="5D8F34A4">
            <w:pPr>
              <w:spacing w:line="240" w:lineRule="exact"/>
              <w:jc w:val="left"/>
              <w:rPr>
                <w:color w:val="auto"/>
                <w:szCs w:val="21"/>
                <w:highlight w:val="none"/>
              </w:rPr>
            </w:pPr>
            <w:r>
              <w:rPr>
                <w:color w:val="auto"/>
                <w:szCs w:val="21"/>
                <w:highlight w:val="none"/>
              </w:rPr>
              <w:t>须提供，格式见第六章</w:t>
            </w:r>
            <w:r>
              <w:rPr>
                <w:rFonts w:hint="eastAsia"/>
                <w:color w:val="auto"/>
                <w:szCs w:val="21"/>
                <w:highlight w:val="none"/>
              </w:rPr>
              <w:t>响应</w:t>
            </w:r>
            <w:r>
              <w:rPr>
                <w:color w:val="auto"/>
                <w:szCs w:val="21"/>
                <w:highlight w:val="none"/>
              </w:rPr>
              <w:t>文件格式“</w:t>
            </w:r>
            <w:r>
              <w:rPr>
                <w:rFonts w:hint="eastAsia"/>
                <w:color w:val="auto"/>
                <w:szCs w:val="21"/>
                <w:highlight w:val="none"/>
              </w:rPr>
              <w:t>供应商直接控股股东、管理关系信息表</w:t>
            </w:r>
            <w:r>
              <w:rPr>
                <w:color w:val="auto"/>
                <w:szCs w:val="21"/>
                <w:highlight w:val="none"/>
              </w:rPr>
              <w:t>”。</w:t>
            </w:r>
          </w:p>
        </w:tc>
      </w:tr>
      <w:tr w14:paraId="74A2A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846" w:type="dxa"/>
            <w:vMerge w:val="continue"/>
            <w:vAlign w:val="center"/>
          </w:tcPr>
          <w:p w14:paraId="046BA56C">
            <w:pPr>
              <w:spacing w:line="240" w:lineRule="exact"/>
              <w:jc w:val="left"/>
              <w:rPr>
                <w:color w:val="auto"/>
                <w:kern w:val="0"/>
                <w:szCs w:val="21"/>
                <w:highlight w:val="none"/>
              </w:rPr>
            </w:pPr>
          </w:p>
        </w:tc>
        <w:tc>
          <w:tcPr>
            <w:tcW w:w="1843" w:type="dxa"/>
            <w:vAlign w:val="center"/>
          </w:tcPr>
          <w:p w14:paraId="4157EECB">
            <w:pPr>
              <w:spacing w:line="240" w:lineRule="exact"/>
              <w:jc w:val="left"/>
              <w:rPr>
                <w:color w:val="auto"/>
                <w:kern w:val="0"/>
                <w:szCs w:val="21"/>
                <w:highlight w:val="none"/>
              </w:rPr>
            </w:pPr>
            <w:r>
              <w:rPr>
                <w:rFonts w:hint="eastAsia"/>
                <w:color w:val="auto"/>
                <w:szCs w:val="21"/>
                <w:highlight w:val="none"/>
              </w:rPr>
              <w:t>（</w:t>
            </w:r>
            <w:r>
              <w:rPr>
                <w:color w:val="auto"/>
                <w:szCs w:val="21"/>
                <w:highlight w:val="none"/>
              </w:rPr>
              <w:t>4</w:t>
            </w:r>
            <w:r>
              <w:rPr>
                <w:rFonts w:hint="eastAsia"/>
                <w:color w:val="auto"/>
                <w:szCs w:val="21"/>
                <w:highlight w:val="none"/>
              </w:rPr>
              <w:t>）诚信要求</w:t>
            </w:r>
          </w:p>
        </w:tc>
        <w:tc>
          <w:tcPr>
            <w:tcW w:w="6242" w:type="dxa"/>
          </w:tcPr>
          <w:p w14:paraId="28224796">
            <w:pPr>
              <w:spacing w:line="240" w:lineRule="exact"/>
              <w:jc w:val="left"/>
              <w:rPr>
                <w:color w:val="auto"/>
                <w:kern w:val="0"/>
                <w:szCs w:val="21"/>
                <w:highlight w:val="none"/>
              </w:rPr>
            </w:pPr>
            <w:r>
              <w:rPr>
                <w:rFonts w:hint="eastAsia"/>
                <w:color w:val="auto"/>
                <w:szCs w:val="21"/>
                <w:highlight w:val="none"/>
              </w:rPr>
              <w:t>未被列入失信被执行人、</w:t>
            </w:r>
            <w:r>
              <w:rPr>
                <w:color w:val="auto"/>
                <w:szCs w:val="21"/>
                <w:highlight w:val="none"/>
              </w:rPr>
              <w:t>重大税收违法失信主体、政府采购严重违法失信行为记录名单</w:t>
            </w:r>
            <w:r>
              <w:rPr>
                <w:rFonts w:hint="eastAsia"/>
                <w:color w:val="auto"/>
                <w:szCs w:val="21"/>
                <w:highlight w:val="none"/>
              </w:rPr>
              <w:t>。</w:t>
            </w:r>
          </w:p>
        </w:tc>
      </w:tr>
      <w:tr w14:paraId="2A463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846" w:type="dxa"/>
            <w:vMerge w:val="continue"/>
            <w:vAlign w:val="center"/>
          </w:tcPr>
          <w:p w14:paraId="088C5831">
            <w:pPr>
              <w:spacing w:line="240" w:lineRule="exact"/>
              <w:jc w:val="left"/>
              <w:rPr>
                <w:color w:val="auto"/>
                <w:kern w:val="0"/>
                <w:szCs w:val="21"/>
                <w:highlight w:val="none"/>
              </w:rPr>
            </w:pPr>
          </w:p>
        </w:tc>
        <w:tc>
          <w:tcPr>
            <w:tcW w:w="1843" w:type="dxa"/>
            <w:vAlign w:val="center"/>
          </w:tcPr>
          <w:p w14:paraId="589A74AC">
            <w:pPr>
              <w:spacing w:line="240" w:lineRule="exact"/>
              <w:jc w:val="left"/>
              <w:rPr>
                <w:color w:val="auto"/>
                <w:szCs w:val="21"/>
                <w:highlight w:val="none"/>
              </w:rPr>
            </w:pPr>
            <w:r>
              <w:rPr>
                <w:rFonts w:hint="eastAsia"/>
                <w:color w:val="auto"/>
                <w:szCs w:val="21"/>
                <w:highlight w:val="none"/>
              </w:rPr>
              <w:t>（5）分公司</w:t>
            </w:r>
          </w:p>
        </w:tc>
        <w:tc>
          <w:tcPr>
            <w:tcW w:w="6242" w:type="dxa"/>
            <w:vAlign w:val="center"/>
          </w:tcPr>
          <w:p w14:paraId="5162A626">
            <w:pPr>
              <w:spacing w:line="240" w:lineRule="exact"/>
              <w:rPr>
                <w:color w:val="auto"/>
                <w:szCs w:val="21"/>
                <w:highlight w:val="none"/>
              </w:rPr>
            </w:pPr>
            <w:r>
              <w:rPr>
                <w:rFonts w:hint="eastAsia"/>
                <w:color w:val="auto"/>
                <w:szCs w:val="21"/>
                <w:highlight w:val="none"/>
              </w:rPr>
              <w:t>允许分公司参与响应的，供应商须提供总公司出具的授权其参与本项目的授权文件或制度。</w:t>
            </w:r>
          </w:p>
        </w:tc>
      </w:tr>
      <w:tr w14:paraId="2BFF3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846" w:type="dxa"/>
            <w:vMerge w:val="continue"/>
            <w:vAlign w:val="center"/>
          </w:tcPr>
          <w:p w14:paraId="50C096F8">
            <w:pPr>
              <w:spacing w:line="240" w:lineRule="exact"/>
              <w:jc w:val="left"/>
              <w:rPr>
                <w:color w:val="auto"/>
                <w:kern w:val="0"/>
                <w:szCs w:val="21"/>
                <w:highlight w:val="none"/>
              </w:rPr>
            </w:pPr>
          </w:p>
        </w:tc>
        <w:tc>
          <w:tcPr>
            <w:tcW w:w="1843" w:type="dxa"/>
            <w:vAlign w:val="center"/>
          </w:tcPr>
          <w:p w14:paraId="1FB790BC">
            <w:pPr>
              <w:spacing w:line="240" w:lineRule="exact"/>
              <w:jc w:val="left"/>
              <w:rPr>
                <w:color w:val="auto"/>
                <w:szCs w:val="21"/>
                <w:highlight w:val="none"/>
              </w:rPr>
            </w:pPr>
            <w:r>
              <w:rPr>
                <w:rFonts w:hint="eastAsia"/>
                <w:color w:val="auto"/>
                <w:szCs w:val="21"/>
                <w:highlight w:val="none"/>
              </w:rPr>
              <w:t>（</w:t>
            </w:r>
            <w:r>
              <w:rPr>
                <w:color w:val="auto"/>
                <w:szCs w:val="21"/>
                <w:highlight w:val="none"/>
              </w:rPr>
              <w:t>6</w:t>
            </w:r>
            <w:r>
              <w:rPr>
                <w:rFonts w:hint="eastAsia"/>
                <w:color w:val="auto"/>
                <w:szCs w:val="21"/>
                <w:highlight w:val="none"/>
              </w:rPr>
              <w:t>）分包</w:t>
            </w:r>
          </w:p>
        </w:tc>
        <w:tc>
          <w:tcPr>
            <w:tcW w:w="6242" w:type="dxa"/>
            <w:vAlign w:val="center"/>
          </w:tcPr>
          <w:p w14:paraId="3E800A6A">
            <w:pPr>
              <w:spacing w:line="240" w:lineRule="exact"/>
              <w:rPr>
                <w:color w:val="auto"/>
                <w:szCs w:val="21"/>
                <w:highlight w:val="none"/>
                <w:lang w:val="zh-CN"/>
              </w:rPr>
            </w:pPr>
            <w:r>
              <w:rPr>
                <w:color w:val="auto"/>
                <w:szCs w:val="21"/>
                <w:highlight w:val="none"/>
              </w:rPr>
              <w:t>须符合</w:t>
            </w:r>
            <w:r>
              <w:rPr>
                <w:rFonts w:hint="eastAsia"/>
                <w:color w:val="auto"/>
                <w:szCs w:val="21"/>
                <w:highlight w:val="none"/>
              </w:rPr>
              <w:t>“谈判公告”</w:t>
            </w:r>
            <w:r>
              <w:rPr>
                <w:color w:val="auto"/>
                <w:szCs w:val="21"/>
                <w:highlight w:val="none"/>
              </w:rPr>
              <w:t>的要求</w:t>
            </w:r>
          </w:p>
        </w:tc>
      </w:tr>
      <w:tr w14:paraId="0662B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trPr>
        <w:tc>
          <w:tcPr>
            <w:tcW w:w="846" w:type="dxa"/>
            <w:vMerge w:val="continue"/>
            <w:vAlign w:val="center"/>
          </w:tcPr>
          <w:p w14:paraId="36DE372D">
            <w:pPr>
              <w:spacing w:line="240" w:lineRule="exact"/>
              <w:jc w:val="left"/>
              <w:rPr>
                <w:color w:val="auto"/>
                <w:kern w:val="0"/>
                <w:szCs w:val="21"/>
                <w:highlight w:val="none"/>
              </w:rPr>
            </w:pPr>
          </w:p>
        </w:tc>
        <w:tc>
          <w:tcPr>
            <w:tcW w:w="1843" w:type="dxa"/>
            <w:vAlign w:val="center"/>
          </w:tcPr>
          <w:p w14:paraId="6E38BCB4">
            <w:pPr>
              <w:spacing w:line="240" w:lineRule="exact"/>
              <w:jc w:val="left"/>
              <w:rPr>
                <w:color w:val="auto"/>
                <w:szCs w:val="21"/>
                <w:highlight w:val="none"/>
              </w:rPr>
            </w:pPr>
            <w:r>
              <w:rPr>
                <w:rFonts w:hint="eastAsia"/>
                <w:color w:val="auto"/>
                <w:szCs w:val="21"/>
                <w:highlight w:val="none"/>
              </w:rPr>
              <w:t>（</w:t>
            </w:r>
            <w:r>
              <w:rPr>
                <w:color w:val="auto"/>
                <w:szCs w:val="21"/>
                <w:highlight w:val="none"/>
              </w:rPr>
              <w:t>7</w:t>
            </w:r>
            <w:r>
              <w:rPr>
                <w:rFonts w:hint="eastAsia"/>
                <w:color w:val="auto"/>
                <w:szCs w:val="21"/>
                <w:highlight w:val="none"/>
              </w:rPr>
              <w:t>）联合体</w:t>
            </w:r>
          </w:p>
        </w:tc>
        <w:tc>
          <w:tcPr>
            <w:tcW w:w="6242" w:type="dxa"/>
            <w:vAlign w:val="center"/>
          </w:tcPr>
          <w:p w14:paraId="2DB6845E">
            <w:pPr>
              <w:spacing w:line="240" w:lineRule="exact"/>
              <w:rPr>
                <w:color w:val="auto"/>
                <w:szCs w:val="21"/>
                <w:highlight w:val="none"/>
              </w:rPr>
            </w:pPr>
            <w:r>
              <w:rPr>
                <w:rFonts w:hint="eastAsia"/>
                <w:color w:val="auto"/>
                <w:szCs w:val="21"/>
                <w:highlight w:val="none"/>
                <w:lang w:val="zh-CN"/>
              </w:rPr>
              <w:t>须符合“谈判公告”的要求</w:t>
            </w:r>
          </w:p>
        </w:tc>
      </w:tr>
      <w:tr w14:paraId="71134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0" w:hRule="atLeast"/>
        </w:trPr>
        <w:tc>
          <w:tcPr>
            <w:tcW w:w="846" w:type="dxa"/>
            <w:vMerge w:val="continue"/>
            <w:vAlign w:val="center"/>
          </w:tcPr>
          <w:p w14:paraId="37304E08">
            <w:pPr>
              <w:spacing w:line="240" w:lineRule="exact"/>
              <w:jc w:val="left"/>
              <w:rPr>
                <w:color w:val="auto"/>
                <w:kern w:val="0"/>
                <w:szCs w:val="21"/>
                <w:highlight w:val="none"/>
              </w:rPr>
            </w:pPr>
          </w:p>
        </w:tc>
        <w:tc>
          <w:tcPr>
            <w:tcW w:w="1843" w:type="dxa"/>
            <w:vAlign w:val="center"/>
          </w:tcPr>
          <w:p w14:paraId="5471CFD8">
            <w:pPr>
              <w:spacing w:line="240" w:lineRule="exact"/>
              <w:jc w:val="left"/>
              <w:rPr>
                <w:color w:val="auto"/>
                <w:szCs w:val="21"/>
                <w:highlight w:val="none"/>
              </w:rPr>
            </w:pPr>
            <w:r>
              <w:rPr>
                <w:rFonts w:hint="eastAsia"/>
                <w:color w:val="auto"/>
                <w:szCs w:val="21"/>
                <w:highlight w:val="none"/>
              </w:rPr>
              <w:t>（</w:t>
            </w:r>
            <w:r>
              <w:rPr>
                <w:color w:val="auto"/>
                <w:szCs w:val="21"/>
                <w:highlight w:val="none"/>
              </w:rPr>
              <w:t>8</w:t>
            </w:r>
            <w:r>
              <w:rPr>
                <w:rFonts w:hint="eastAsia"/>
                <w:color w:val="auto"/>
                <w:szCs w:val="21"/>
                <w:highlight w:val="none"/>
              </w:rPr>
              <w:t>）其他要求</w:t>
            </w:r>
          </w:p>
        </w:tc>
        <w:tc>
          <w:tcPr>
            <w:tcW w:w="6242" w:type="dxa"/>
          </w:tcPr>
          <w:p w14:paraId="05D58929">
            <w:pPr>
              <w:spacing w:line="312" w:lineRule="auto"/>
              <w:jc w:val="left"/>
              <w:rPr>
                <w:color w:val="auto"/>
                <w:kern w:val="0"/>
                <w:szCs w:val="21"/>
                <w:highlight w:val="none"/>
              </w:rPr>
            </w:pPr>
            <w:r>
              <w:rPr>
                <w:rFonts w:hint="eastAsia"/>
                <w:color w:val="auto"/>
                <w:kern w:val="0"/>
                <w:szCs w:val="21"/>
                <w:highlight w:val="none"/>
              </w:rPr>
              <w:t>按</w:t>
            </w:r>
            <w:r>
              <w:rPr>
                <w:color w:val="auto"/>
                <w:kern w:val="0"/>
                <w:szCs w:val="21"/>
                <w:highlight w:val="none"/>
              </w:rPr>
              <w:t>照</w:t>
            </w:r>
            <w:r>
              <w:rPr>
                <w:rFonts w:hint="eastAsia"/>
                <w:color w:val="auto"/>
                <w:kern w:val="0"/>
                <w:szCs w:val="21"/>
                <w:highlight w:val="none"/>
              </w:rPr>
              <w:t>谈判</w:t>
            </w:r>
            <w:r>
              <w:rPr>
                <w:color w:val="auto"/>
                <w:kern w:val="0"/>
                <w:szCs w:val="21"/>
                <w:highlight w:val="none"/>
              </w:rPr>
              <w:t>公告规定获得</w:t>
            </w:r>
            <w:r>
              <w:rPr>
                <w:rFonts w:hint="eastAsia"/>
                <w:color w:val="auto"/>
                <w:kern w:val="0"/>
                <w:szCs w:val="21"/>
                <w:highlight w:val="none"/>
              </w:rPr>
              <w:t>采购</w:t>
            </w:r>
            <w:r>
              <w:rPr>
                <w:color w:val="auto"/>
                <w:kern w:val="0"/>
                <w:szCs w:val="21"/>
                <w:highlight w:val="none"/>
              </w:rPr>
              <w:t>文件。</w:t>
            </w:r>
            <w:r>
              <w:rPr>
                <w:rFonts w:hint="eastAsia"/>
                <w:color w:val="auto"/>
                <w:kern w:val="0"/>
                <w:szCs w:val="21"/>
                <w:highlight w:val="none"/>
              </w:rPr>
              <w:t>足额、及时缴纳谈判保证金。</w:t>
            </w:r>
          </w:p>
        </w:tc>
      </w:tr>
      <w:bookmarkEnd w:id="80"/>
    </w:tbl>
    <w:p w14:paraId="22F7683A">
      <w:pPr>
        <w:spacing w:before="120" w:line="320" w:lineRule="atLeast"/>
        <w:ind w:firstLine="413" w:firstLineChars="196"/>
        <w:outlineLvl w:val="1"/>
        <w:rPr>
          <w:b/>
          <w:bCs/>
          <w:color w:val="auto"/>
          <w:kern w:val="0"/>
          <w:szCs w:val="21"/>
          <w:highlight w:val="none"/>
        </w:rPr>
      </w:pPr>
      <w:bookmarkStart w:id="81" w:name="_Hlk92979639"/>
      <w:r>
        <w:rPr>
          <w:b/>
          <w:bCs/>
          <w:color w:val="auto"/>
          <w:kern w:val="0"/>
          <w:szCs w:val="21"/>
          <w:highlight w:val="none"/>
        </w:rPr>
        <w:t>3</w:t>
      </w:r>
      <w:r>
        <w:rPr>
          <w:rFonts w:hint="eastAsia"/>
          <w:b/>
          <w:bCs/>
          <w:color w:val="auto"/>
          <w:kern w:val="0"/>
          <w:szCs w:val="21"/>
          <w:highlight w:val="none"/>
        </w:rPr>
        <w:t>.</w:t>
      </w:r>
      <w:r>
        <w:rPr>
          <w:b/>
          <w:bCs/>
          <w:color w:val="auto"/>
          <w:kern w:val="0"/>
          <w:szCs w:val="21"/>
          <w:highlight w:val="none"/>
        </w:rPr>
        <w:t>符合性审查</w:t>
      </w:r>
      <w:r>
        <w:rPr>
          <w:rFonts w:hint="eastAsia"/>
          <w:b/>
          <w:bCs/>
          <w:color w:val="auto"/>
          <w:kern w:val="0"/>
          <w:szCs w:val="21"/>
          <w:highlight w:val="none"/>
        </w:rPr>
        <w:t>标准（不满足任何一项审查内容要求，符合性审查即为不合格）</w:t>
      </w:r>
    </w:p>
    <w:tbl>
      <w:tblPr>
        <w:tblStyle w:val="51"/>
        <w:tblW w:w="9324"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79"/>
        <w:gridCol w:w="2436"/>
        <w:gridCol w:w="5309"/>
      </w:tblGrid>
      <w:tr w14:paraId="6720F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1579" w:type="dxa"/>
            <w:vAlign w:val="center"/>
          </w:tcPr>
          <w:p w14:paraId="611D2627">
            <w:pPr>
              <w:spacing w:line="240" w:lineRule="exact"/>
              <w:jc w:val="center"/>
              <w:rPr>
                <w:b/>
                <w:color w:val="auto"/>
                <w:kern w:val="0"/>
                <w:szCs w:val="21"/>
                <w:highlight w:val="none"/>
              </w:rPr>
            </w:pPr>
            <w:bookmarkStart w:id="82" w:name="_Hlk92979654"/>
            <w:r>
              <w:rPr>
                <w:rFonts w:hint="eastAsia"/>
                <w:b/>
                <w:color w:val="auto"/>
                <w:kern w:val="0"/>
                <w:szCs w:val="21"/>
                <w:highlight w:val="none"/>
              </w:rPr>
              <w:t>审查</w:t>
            </w:r>
            <w:r>
              <w:rPr>
                <w:b/>
                <w:color w:val="auto"/>
                <w:kern w:val="0"/>
                <w:szCs w:val="21"/>
                <w:highlight w:val="none"/>
              </w:rPr>
              <w:t>因素</w:t>
            </w:r>
          </w:p>
        </w:tc>
        <w:tc>
          <w:tcPr>
            <w:tcW w:w="2436" w:type="dxa"/>
            <w:vAlign w:val="center"/>
          </w:tcPr>
          <w:p w14:paraId="3DBA34E3">
            <w:pPr>
              <w:spacing w:line="240" w:lineRule="exact"/>
              <w:jc w:val="center"/>
              <w:rPr>
                <w:b/>
                <w:color w:val="auto"/>
                <w:kern w:val="0"/>
                <w:szCs w:val="21"/>
                <w:highlight w:val="none"/>
              </w:rPr>
            </w:pPr>
            <w:r>
              <w:rPr>
                <w:rFonts w:hint="eastAsia"/>
                <w:b/>
                <w:color w:val="auto"/>
                <w:kern w:val="0"/>
                <w:szCs w:val="21"/>
                <w:highlight w:val="none"/>
              </w:rPr>
              <w:t>审查内容</w:t>
            </w:r>
          </w:p>
        </w:tc>
        <w:tc>
          <w:tcPr>
            <w:tcW w:w="5309" w:type="dxa"/>
          </w:tcPr>
          <w:p w14:paraId="1F708EC3">
            <w:pPr>
              <w:spacing w:line="240" w:lineRule="exact"/>
              <w:jc w:val="center"/>
              <w:rPr>
                <w:b/>
                <w:color w:val="auto"/>
                <w:kern w:val="0"/>
                <w:szCs w:val="21"/>
                <w:highlight w:val="none"/>
              </w:rPr>
            </w:pPr>
            <w:r>
              <w:rPr>
                <w:rFonts w:hint="eastAsia"/>
                <w:b/>
                <w:color w:val="auto"/>
                <w:kern w:val="0"/>
                <w:szCs w:val="21"/>
                <w:highlight w:val="none"/>
              </w:rPr>
              <w:t>说明</w:t>
            </w:r>
          </w:p>
        </w:tc>
      </w:tr>
      <w:tr w14:paraId="1A1B9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0" w:hRule="atLeast"/>
        </w:trPr>
        <w:tc>
          <w:tcPr>
            <w:tcW w:w="1579" w:type="dxa"/>
            <w:vMerge w:val="restart"/>
            <w:vAlign w:val="center"/>
          </w:tcPr>
          <w:p w14:paraId="5BE52BB0">
            <w:pPr>
              <w:spacing w:line="240" w:lineRule="exact"/>
              <w:jc w:val="center"/>
              <w:rPr>
                <w:color w:val="auto"/>
                <w:kern w:val="0"/>
                <w:szCs w:val="21"/>
                <w:highlight w:val="none"/>
              </w:rPr>
            </w:pPr>
            <w:r>
              <w:rPr>
                <w:rFonts w:hint="eastAsia"/>
                <w:color w:val="auto"/>
                <w:kern w:val="0"/>
                <w:szCs w:val="21"/>
                <w:highlight w:val="none"/>
              </w:rPr>
              <w:t>商务资信</w:t>
            </w:r>
          </w:p>
        </w:tc>
        <w:tc>
          <w:tcPr>
            <w:tcW w:w="2436" w:type="dxa"/>
            <w:vAlign w:val="center"/>
          </w:tcPr>
          <w:p w14:paraId="795F4477">
            <w:pPr>
              <w:spacing w:line="240" w:lineRule="exact"/>
              <w:rPr>
                <w:color w:val="auto"/>
                <w:highlight w:val="none"/>
              </w:rPr>
            </w:pPr>
            <w:r>
              <w:rPr>
                <w:rFonts w:hint="eastAsia"/>
                <w:color w:val="auto"/>
                <w:highlight w:val="none"/>
              </w:rPr>
              <w:t>法定代表人身份证明及授权委托书</w:t>
            </w:r>
          </w:p>
        </w:tc>
        <w:tc>
          <w:tcPr>
            <w:tcW w:w="5309" w:type="dxa"/>
            <w:vAlign w:val="center"/>
          </w:tcPr>
          <w:p w14:paraId="73357569">
            <w:pPr>
              <w:spacing w:line="240" w:lineRule="exact"/>
              <w:rPr>
                <w:color w:val="auto"/>
                <w:szCs w:val="21"/>
                <w:highlight w:val="none"/>
              </w:rPr>
            </w:pPr>
            <w:r>
              <w:rPr>
                <w:rFonts w:hint="eastAsia"/>
                <w:color w:val="auto"/>
                <w:szCs w:val="21"/>
                <w:highlight w:val="none"/>
              </w:rPr>
              <w:t>授权</w:t>
            </w:r>
            <w:r>
              <w:rPr>
                <w:color w:val="auto"/>
                <w:szCs w:val="21"/>
                <w:highlight w:val="none"/>
              </w:rPr>
              <w:t>代表</w:t>
            </w:r>
            <w:r>
              <w:rPr>
                <w:rFonts w:hint="eastAsia"/>
                <w:color w:val="auto"/>
                <w:szCs w:val="21"/>
                <w:highlight w:val="none"/>
              </w:rPr>
              <w:t>参加响应</w:t>
            </w:r>
            <w:r>
              <w:rPr>
                <w:color w:val="auto"/>
                <w:szCs w:val="21"/>
                <w:highlight w:val="none"/>
              </w:rPr>
              <w:t>时审查</w:t>
            </w:r>
            <w:r>
              <w:rPr>
                <w:color w:val="auto"/>
                <w:highlight w:val="none"/>
              </w:rPr>
              <w:t>：</w:t>
            </w:r>
            <w:r>
              <w:rPr>
                <w:rFonts w:ascii="宋体" w:hAnsi="宋体"/>
                <w:color w:val="auto"/>
                <w:szCs w:val="21"/>
                <w:highlight w:val="none"/>
              </w:rPr>
              <w:t>法定代表人授权委托书及附件</w:t>
            </w:r>
            <w:r>
              <w:rPr>
                <w:color w:val="auto"/>
                <w:szCs w:val="21"/>
                <w:highlight w:val="none"/>
              </w:rPr>
              <w:t xml:space="preserve"> </w:t>
            </w:r>
          </w:p>
          <w:p w14:paraId="7FA8F14B">
            <w:pPr>
              <w:spacing w:line="240" w:lineRule="exact"/>
              <w:rPr>
                <w:rFonts w:ascii="宋体" w:hAnsi="宋体"/>
                <w:color w:val="auto"/>
                <w:szCs w:val="21"/>
                <w:highlight w:val="none"/>
              </w:rPr>
            </w:pPr>
            <w:r>
              <w:rPr>
                <w:rFonts w:hint="eastAsia"/>
                <w:color w:val="auto"/>
                <w:szCs w:val="21"/>
                <w:highlight w:val="none"/>
              </w:rPr>
              <w:t>法定代表人直接参加响应</w:t>
            </w:r>
            <w:r>
              <w:rPr>
                <w:color w:val="auto"/>
                <w:szCs w:val="21"/>
                <w:highlight w:val="none"/>
              </w:rPr>
              <w:t>时审查</w:t>
            </w:r>
            <w:r>
              <w:rPr>
                <w:color w:val="auto"/>
                <w:highlight w:val="none"/>
              </w:rPr>
              <w:t>：</w:t>
            </w:r>
            <w:r>
              <w:rPr>
                <w:rFonts w:ascii="宋体" w:hAnsi="宋体"/>
                <w:color w:val="auto"/>
                <w:szCs w:val="21"/>
                <w:highlight w:val="none"/>
              </w:rPr>
              <w:t>法定代表人身份证明</w:t>
            </w:r>
            <w:r>
              <w:rPr>
                <w:rFonts w:hint="eastAsia" w:ascii="宋体" w:hAnsi="宋体"/>
                <w:color w:val="auto"/>
                <w:szCs w:val="21"/>
                <w:highlight w:val="none"/>
              </w:rPr>
              <w:t>及</w:t>
            </w:r>
            <w:r>
              <w:rPr>
                <w:rFonts w:ascii="宋体" w:hAnsi="宋体"/>
                <w:color w:val="auto"/>
                <w:szCs w:val="21"/>
                <w:highlight w:val="none"/>
              </w:rPr>
              <w:t>附件</w:t>
            </w:r>
          </w:p>
          <w:p w14:paraId="3A9B8E97">
            <w:pPr>
              <w:spacing w:line="240" w:lineRule="exact"/>
              <w:rPr>
                <w:color w:val="auto"/>
                <w:highlight w:val="none"/>
              </w:rPr>
            </w:pPr>
            <w:r>
              <w:rPr>
                <w:rFonts w:ascii="宋体" w:hAnsi="宋体"/>
                <w:color w:val="auto"/>
                <w:szCs w:val="21"/>
                <w:highlight w:val="none"/>
              </w:rPr>
              <w:t>格式及附件见第六章响应文件格式要求</w:t>
            </w:r>
          </w:p>
        </w:tc>
      </w:tr>
      <w:tr w14:paraId="62AE3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1579" w:type="dxa"/>
            <w:vMerge w:val="continue"/>
            <w:vAlign w:val="center"/>
          </w:tcPr>
          <w:p w14:paraId="16355276">
            <w:pPr>
              <w:spacing w:line="240" w:lineRule="exact"/>
              <w:jc w:val="center"/>
              <w:rPr>
                <w:color w:val="auto"/>
                <w:kern w:val="0"/>
                <w:szCs w:val="21"/>
                <w:highlight w:val="none"/>
              </w:rPr>
            </w:pPr>
          </w:p>
        </w:tc>
        <w:tc>
          <w:tcPr>
            <w:tcW w:w="2436" w:type="dxa"/>
            <w:vAlign w:val="center"/>
          </w:tcPr>
          <w:p w14:paraId="338D610A">
            <w:pPr>
              <w:spacing w:line="240" w:lineRule="exact"/>
              <w:rPr>
                <w:color w:val="auto"/>
                <w:szCs w:val="21"/>
                <w:highlight w:val="none"/>
              </w:rPr>
            </w:pPr>
            <w:r>
              <w:rPr>
                <w:rFonts w:hint="eastAsia"/>
                <w:color w:val="auto"/>
                <w:szCs w:val="21"/>
                <w:highlight w:val="none"/>
              </w:rPr>
              <w:t>实质性条款响应</w:t>
            </w:r>
          </w:p>
        </w:tc>
        <w:tc>
          <w:tcPr>
            <w:tcW w:w="5309" w:type="dxa"/>
            <w:vAlign w:val="center"/>
          </w:tcPr>
          <w:p w14:paraId="1E0292A0">
            <w:pPr>
              <w:spacing w:line="240" w:lineRule="exact"/>
              <w:rPr>
                <w:color w:val="auto"/>
                <w:szCs w:val="21"/>
                <w:highlight w:val="none"/>
              </w:rPr>
            </w:pPr>
            <w:r>
              <w:rPr>
                <w:rFonts w:hint="eastAsia" w:ascii="宋体" w:hAnsi="宋体"/>
                <w:color w:val="auto"/>
                <w:szCs w:val="21"/>
                <w:highlight w:val="none"/>
              </w:rPr>
              <w:t>采购文件实质性要求响应均无负偏离</w:t>
            </w:r>
          </w:p>
        </w:tc>
      </w:tr>
      <w:tr w14:paraId="1999C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1579" w:type="dxa"/>
            <w:vMerge w:val="continue"/>
            <w:vAlign w:val="center"/>
          </w:tcPr>
          <w:p w14:paraId="521AB0B5">
            <w:pPr>
              <w:spacing w:line="240" w:lineRule="exact"/>
              <w:jc w:val="center"/>
              <w:rPr>
                <w:color w:val="auto"/>
                <w:kern w:val="0"/>
                <w:szCs w:val="21"/>
                <w:highlight w:val="none"/>
              </w:rPr>
            </w:pPr>
          </w:p>
        </w:tc>
        <w:tc>
          <w:tcPr>
            <w:tcW w:w="2436" w:type="dxa"/>
            <w:vAlign w:val="center"/>
          </w:tcPr>
          <w:p w14:paraId="17959378">
            <w:pPr>
              <w:spacing w:line="240" w:lineRule="exact"/>
              <w:rPr>
                <w:color w:val="auto"/>
                <w:szCs w:val="21"/>
                <w:highlight w:val="none"/>
              </w:rPr>
            </w:pPr>
            <w:r>
              <w:rPr>
                <w:rFonts w:hint="eastAsia"/>
                <w:color w:val="auto"/>
                <w:szCs w:val="21"/>
                <w:highlight w:val="none"/>
              </w:rPr>
              <w:t>串通投标</w:t>
            </w:r>
          </w:p>
        </w:tc>
        <w:tc>
          <w:tcPr>
            <w:tcW w:w="5309" w:type="dxa"/>
            <w:vAlign w:val="center"/>
          </w:tcPr>
          <w:p w14:paraId="07A9D5E3">
            <w:pPr>
              <w:spacing w:line="240" w:lineRule="exact"/>
              <w:rPr>
                <w:color w:val="auto"/>
                <w:szCs w:val="21"/>
                <w:highlight w:val="none"/>
              </w:rPr>
            </w:pPr>
            <w:r>
              <w:rPr>
                <w:rFonts w:hint="eastAsia" w:ascii="宋体" w:hAnsi="宋体"/>
                <w:color w:val="auto"/>
                <w:szCs w:val="21"/>
                <w:highlight w:val="none"/>
              </w:rPr>
              <w:t>不属于供应商须知正文第</w:t>
            </w:r>
            <w:r>
              <w:rPr>
                <w:rFonts w:ascii="宋体" w:hAnsi="宋体"/>
                <w:color w:val="auto"/>
                <w:szCs w:val="21"/>
                <w:highlight w:val="none"/>
              </w:rPr>
              <w:t>6</w:t>
            </w:r>
            <w:r>
              <w:rPr>
                <w:rFonts w:hint="eastAsia" w:ascii="宋体" w:hAnsi="宋体"/>
                <w:color w:val="auto"/>
                <w:szCs w:val="21"/>
                <w:highlight w:val="none"/>
              </w:rPr>
              <w:t>.</w:t>
            </w:r>
            <w:r>
              <w:rPr>
                <w:rFonts w:ascii="宋体" w:hAnsi="宋体"/>
                <w:color w:val="auto"/>
                <w:szCs w:val="21"/>
                <w:highlight w:val="none"/>
              </w:rPr>
              <w:t>3</w:t>
            </w:r>
            <w:r>
              <w:rPr>
                <w:rFonts w:hint="eastAsia" w:ascii="宋体" w:hAnsi="宋体"/>
                <w:color w:val="auto"/>
                <w:szCs w:val="21"/>
                <w:highlight w:val="none"/>
              </w:rPr>
              <w:t>.9规定的串通投标情形，见</w:t>
            </w:r>
            <w:r>
              <w:rPr>
                <w:rFonts w:ascii="宋体" w:hAnsi="宋体"/>
                <w:color w:val="auto"/>
                <w:szCs w:val="21"/>
                <w:highlight w:val="none"/>
              </w:rPr>
              <w:t>第六章响应文件格式要求</w:t>
            </w:r>
          </w:p>
        </w:tc>
      </w:tr>
      <w:tr w14:paraId="0CFD5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trPr>
        <w:tc>
          <w:tcPr>
            <w:tcW w:w="1579" w:type="dxa"/>
            <w:vMerge w:val="restart"/>
            <w:vAlign w:val="center"/>
          </w:tcPr>
          <w:p w14:paraId="3703AD80">
            <w:pPr>
              <w:spacing w:line="240" w:lineRule="exact"/>
              <w:jc w:val="center"/>
              <w:rPr>
                <w:color w:val="auto"/>
                <w:szCs w:val="21"/>
                <w:highlight w:val="none"/>
              </w:rPr>
            </w:pPr>
            <w:r>
              <w:rPr>
                <w:rFonts w:hint="eastAsia"/>
                <w:color w:val="auto"/>
                <w:kern w:val="0"/>
                <w:szCs w:val="21"/>
                <w:highlight w:val="none"/>
              </w:rPr>
              <w:t>技术</w:t>
            </w:r>
          </w:p>
        </w:tc>
        <w:tc>
          <w:tcPr>
            <w:tcW w:w="2436" w:type="dxa"/>
            <w:vAlign w:val="center"/>
          </w:tcPr>
          <w:p w14:paraId="3EE60BC8">
            <w:pPr>
              <w:spacing w:line="240" w:lineRule="exact"/>
              <w:rPr>
                <w:color w:val="auto"/>
                <w:szCs w:val="21"/>
                <w:highlight w:val="none"/>
              </w:rPr>
            </w:pPr>
            <w:r>
              <w:rPr>
                <w:rFonts w:hint="eastAsia"/>
                <w:color w:val="auto"/>
                <w:szCs w:val="21"/>
                <w:highlight w:val="none"/>
              </w:rPr>
              <w:t>节能产品（如有）</w:t>
            </w:r>
          </w:p>
        </w:tc>
        <w:tc>
          <w:tcPr>
            <w:tcW w:w="5309" w:type="dxa"/>
            <w:vAlign w:val="center"/>
          </w:tcPr>
          <w:p w14:paraId="16646806">
            <w:pPr>
              <w:spacing w:line="240" w:lineRule="exact"/>
              <w:rPr>
                <w:bCs/>
                <w:color w:val="auto"/>
                <w:kern w:val="0"/>
                <w:szCs w:val="21"/>
                <w:highlight w:val="none"/>
              </w:rPr>
            </w:pPr>
            <w:r>
              <w:rPr>
                <w:rFonts w:hint="eastAsia"/>
                <w:color w:val="auto"/>
                <w:szCs w:val="21"/>
                <w:highlight w:val="none"/>
              </w:rPr>
              <w:t>采购需求</w:t>
            </w:r>
            <w:r>
              <w:rPr>
                <w:color w:val="auto"/>
                <w:szCs w:val="21"/>
                <w:highlight w:val="none"/>
              </w:rPr>
              <w:t>如果包括政府强制采购节能产品</w:t>
            </w:r>
            <w:r>
              <w:rPr>
                <w:rFonts w:hint="eastAsia"/>
                <w:color w:val="auto"/>
                <w:szCs w:val="21"/>
                <w:highlight w:val="none"/>
              </w:rPr>
              <w:t>，响应</w:t>
            </w:r>
            <w:r>
              <w:rPr>
                <w:color w:val="auto"/>
                <w:szCs w:val="21"/>
                <w:highlight w:val="none"/>
              </w:rPr>
              <w:t>产品</w:t>
            </w:r>
            <w:r>
              <w:rPr>
                <w:rFonts w:hint="eastAsia"/>
                <w:color w:val="auto"/>
                <w:szCs w:val="21"/>
                <w:highlight w:val="none"/>
              </w:rPr>
              <w:t>未使用节能产品政府采购品目清单内的产品，或未处于有效期之内，</w:t>
            </w:r>
            <w:r>
              <w:rPr>
                <w:rFonts w:ascii="宋体" w:hAnsi="宋体"/>
                <w:color w:val="auto"/>
                <w:szCs w:val="21"/>
                <w:highlight w:val="none"/>
              </w:rPr>
              <w:t>见第六章响应文件格式要求</w:t>
            </w:r>
          </w:p>
        </w:tc>
      </w:tr>
      <w:tr w14:paraId="5A6DD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trPr>
        <w:tc>
          <w:tcPr>
            <w:tcW w:w="1579" w:type="dxa"/>
            <w:vMerge w:val="continue"/>
            <w:vAlign w:val="center"/>
          </w:tcPr>
          <w:p w14:paraId="5E63043D">
            <w:pPr>
              <w:spacing w:line="240" w:lineRule="exact"/>
              <w:jc w:val="center"/>
              <w:rPr>
                <w:color w:val="auto"/>
                <w:kern w:val="0"/>
                <w:szCs w:val="21"/>
                <w:highlight w:val="none"/>
              </w:rPr>
            </w:pPr>
          </w:p>
        </w:tc>
        <w:tc>
          <w:tcPr>
            <w:tcW w:w="2436" w:type="dxa"/>
          </w:tcPr>
          <w:p w14:paraId="3E4CD3BE">
            <w:pPr>
              <w:rPr>
                <w:color w:val="auto"/>
                <w:highlight w:val="none"/>
              </w:rPr>
            </w:pPr>
          </w:p>
          <w:p w14:paraId="45A6854D">
            <w:pPr>
              <w:rPr>
                <w:color w:val="auto"/>
                <w:highlight w:val="none"/>
              </w:rPr>
            </w:pPr>
          </w:p>
          <w:p w14:paraId="493662DB">
            <w:pPr>
              <w:rPr>
                <w:color w:val="auto"/>
                <w:highlight w:val="none"/>
              </w:rPr>
            </w:pPr>
            <w:r>
              <w:rPr>
                <w:rFonts w:hint="eastAsia"/>
                <w:color w:val="auto"/>
                <w:highlight w:val="none"/>
              </w:rPr>
              <w:t>网络 安全专用产品（如有）</w:t>
            </w:r>
          </w:p>
        </w:tc>
        <w:tc>
          <w:tcPr>
            <w:tcW w:w="5309" w:type="dxa"/>
          </w:tcPr>
          <w:p w14:paraId="3772FB8B">
            <w:pPr>
              <w:rPr>
                <w:color w:val="auto"/>
                <w:highlight w:val="none"/>
              </w:rPr>
            </w:pPr>
            <w:r>
              <w:rPr>
                <w:rFonts w:hint="eastAsia"/>
                <w:color w:val="auto"/>
                <w:highlight w:val="none"/>
              </w:rPr>
              <w:t>采购需求如果包括《网络关键设备和网络安全专用产品目录》所规定的网络安全专用产品，响应提供的网络安全专用产品应在《网络关键设备和网络安全专用产品安全认证和安全检测结果》中或具备在有效期内的《计算机信息系统安全专用产品销售许可证》，见第六章响应文件格式要求。</w:t>
            </w:r>
          </w:p>
        </w:tc>
      </w:tr>
      <w:tr w14:paraId="0A36F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579" w:type="dxa"/>
            <w:vMerge w:val="restart"/>
            <w:vAlign w:val="center"/>
          </w:tcPr>
          <w:p w14:paraId="1A6A5409">
            <w:pPr>
              <w:spacing w:line="240" w:lineRule="exact"/>
              <w:jc w:val="center"/>
              <w:rPr>
                <w:color w:val="auto"/>
                <w:kern w:val="0"/>
                <w:szCs w:val="21"/>
                <w:highlight w:val="none"/>
              </w:rPr>
            </w:pPr>
            <w:r>
              <w:rPr>
                <w:rFonts w:hint="eastAsia"/>
                <w:color w:val="auto"/>
                <w:kern w:val="0"/>
                <w:szCs w:val="21"/>
                <w:highlight w:val="none"/>
              </w:rPr>
              <w:t>报价</w:t>
            </w:r>
          </w:p>
        </w:tc>
        <w:tc>
          <w:tcPr>
            <w:tcW w:w="2436" w:type="dxa"/>
            <w:vAlign w:val="center"/>
          </w:tcPr>
          <w:p w14:paraId="28EE0674">
            <w:pPr>
              <w:spacing w:line="240" w:lineRule="exact"/>
              <w:rPr>
                <w:color w:val="auto"/>
                <w:szCs w:val="21"/>
                <w:highlight w:val="none"/>
              </w:rPr>
            </w:pPr>
            <w:r>
              <w:rPr>
                <w:rFonts w:hint="eastAsia"/>
                <w:color w:val="auto"/>
                <w:szCs w:val="21"/>
                <w:highlight w:val="none"/>
              </w:rPr>
              <w:t>有效报价</w:t>
            </w:r>
          </w:p>
        </w:tc>
        <w:tc>
          <w:tcPr>
            <w:tcW w:w="5309" w:type="dxa"/>
            <w:vAlign w:val="center"/>
          </w:tcPr>
          <w:p w14:paraId="251027B9">
            <w:pPr>
              <w:spacing w:line="240" w:lineRule="exact"/>
              <w:rPr>
                <w:bCs/>
                <w:color w:val="auto"/>
                <w:kern w:val="0"/>
                <w:szCs w:val="21"/>
                <w:highlight w:val="none"/>
              </w:rPr>
            </w:pPr>
            <w:r>
              <w:rPr>
                <w:rFonts w:hint="eastAsia"/>
                <w:color w:val="auto"/>
                <w:highlight w:val="none"/>
              </w:rPr>
              <w:t>报价未超出采购预算金额，也未超出最高限价（如有）</w:t>
            </w:r>
          </w:p>
        </w:tc>
      </w:tr>
      <w:tr w14:paraId="05C4C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579" w:type="dxa"/>
            <w:vMerge w:val="continue"/>
            <w:vAlign w:val="center"/>
          </w:tcPr>
          <w:p w14:paraId="6A0DF59D">
            <w:pPr>
              <w:spacing w:line="240" w:lineRule="exact"/>
              <w:jc w:val="center"/>
              <w:rPr>
                <w:color w:val="auto"/>
                <w:kern w:val="0"/>
                <w:szCs w:val="21"/>
                <w:highlight w:val="none"/>
              </w:rPr>
            </w:pPr>
          </w:p>
        </w:tc>
        <w:tc>
          <w:tcPr>
            <w:tcW w:w="2436" w:type="dxa"/>
            <w:vAlign w:val="center"/>
          </w:tcPr>
          <w:p w14:paraId="196DE5BA">
            <w:pPr>
              <w:spacing w:line="240" w:lineRule="exact"/>
              <w:rPr>
                <w:bCs/>
                <w:color w:val="auto"/>
                <w:kern w:val="0"/>
                <w:szCs w:val="21"/>
                <w:highlight w:val="none"/>
              </w:rPr>
            </w:pPr>
            <w:r>
              <w:rPr>
                <w:rFonts w:hint="eastAsia"/>
                <w:bCs/>
                <w:color w:val="auto"/>
                <w:kern w:val="0"/>
                <w:szCs w:val="21"/>
                <w:highlight w:val="none"/>
              </w:rPr>
              <w:t>漏项报价</w:t>
            </w:r>
          </w:p>
        </w:tc>
        <w:tc>
          <w:tcPr>
            <w:tcW w:w="5309" w:type="dxa"/>
            <w:vAlign w:val="center"/>
          </w:tcPr>
          <w:p w14:paraId="016FB4AA">
            <w:pPr>
              <w:spacing w:line="240" w:lineRule="exact"/>
              <w:rPr>
                <w:rFonts w:hAnsi="宋体"/>
                <w:color w:val="auto"/>
                <w:szCs w:val="21"/>
                <w:highlight w:val="none"/>
              </w:rPr>
            </w:pPr>
            <w:r>
              <w:rPr>
                <w:rFonts w:hint="eastAsia" w:ascii="宋体" w:hAnsi="宋体"/>
                <w:color w:val="auto"/>
                <w:szCs w:val="21"/>
                <w:highlight w:val="none"/>
              </w:rPr>
              <w:t>未就所投分标进行报价或者存在漏项报价；</w:t>
            </w:r>
          </w:p>
        </w:tc>
      </w:tr>
      <w:tr w14:paraId="317EE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579" w:type="dxa"/>
            <w:vMerge w:val="continue"/>
            <w:vAlign w:val="center"/>
          </w:tcPr>
          <w:p w14:paraId="7303DA71">
            <w:pPr>
              <w:spacing w:line="240" w:lineRule="exact"/>
              <w:jc w:val="center"/>
              <w:rPr>
                <w:color w:val="auto"/>
                <w:kern w:val="0"/>
                <w:szCs w:val="21"/>
                <w:highlight w:val="none"/>
              </w:rPr>
            </w:pPr>
          </w:p>
        </w:tc>
        <w:tc>
          <w:tcPr>
            <w:tcW w:w="2436" w:type="dxa"/>
            <w:vAlign w:val="center"/>
          </w:tcPr>
          <w:p w14:paraId="666C0861">
            <w:pPr>
              <w:spacing w:line="240" w:lineRule="exact"/>
              <w:rPr>
                <w:rFonts w:hAnsi="宋体"/>
                <w:color w:val="auto"/>
                <w:szCs w:val="21"/>
                <w:highlight w:val="none"/>
              </w:rPr>
            </w:pPr>
            <w:r>
              <w:rPr>
                <w:rFonts w:hint="eastAsia" w:hAnsi="宋体"/>
                <w:color w:val="auto"/>
                <w:szCs w:val="21"/>
                <w:highlight w:val="none"/>
              </w:rPr>
              <w:t>响应报价唯一性</w:t>
            </w:r>
          </w:p>
        </w:tc>
        <w:tc>
          <w:tcPr>
            <w:tcW w:w="5309" w:type="dxa"/>
            <w:vAlign w:val="center"/>
          </w:tcPr>
          <w:p w14:paraId="03B87260">
            <w:pPr>
              <w:spacing w:line="240" w:lineRule="exact"/>
              <w:rPr>
                <w:color w:val="auto"/>
                <w:szCs w:val="21"/>
                <w:highlight w:val="none"/>
              </w:rPr>
            </w:pPr>
            <w:r>
              <w:rPr>
                <w:rFonts w:hint="eastAsia" w:ascii="宋体" w:hAnsi="宋体"/>
                <w:color w:val="auto"/>
                <w:szCs w:val="21"/>
                <w:highlight w:val="none"/>
              </w:rPr>
              <w:t>不存在有选择、有条件的最后报价（采购文件允许有备选方案或者其他约定的除外）</w:t>
            </w:r>
          </w:p>
        </w:tc>
      </w:tr>
      <w:tr w14:paraId="7EA15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579" w:type="dxa"/>
            <w:vMerge w:val="continue"/>
            <w:vAlign w:val="center"/>
          </w:tcPr>
          <w:p w14:paraId="6EE96FA3">
            <w:pPr>
              <w:spacing w:line="240" w:lineRule="exact"/>
              <w:jc w:val="center"/>
              <w:rPr>
                <w:color w:val="auto"/>
                <w:kern w:val="0"/>
                <w:szCs w:val="21"/>
                <w:highlight w:val="none"/>
              </w:rPr>
            </w:pPr>
          </w:p>
        </w:tc>
        <w:tc>
          <w:tcPr>
            <w:tcW w:w="2436" w:type="dxa"/>
            <w:shd w:val="clear" w:color="auto" w:fill="auto"/>
            <w:vAlign w:val="center"/>
          </w:tcPr>
          <w:p w14:paraId="691F9A99">
            <w:pPr>
              <w:spacing w:line="240" w:lineRule="exact"/>
              <w:rPr>
                <w:color w:val="auto"/>
                <w:highlight w:val="none"/>
                <w:lang w:val="zh-CN"/>
              </w:rPr>
            </w:pPr>
            <w:r>
              <w:rPr>
                <w:rFonts w:hint="eastAsia"/>
                <w:color w:val="auto"/>
                <w:szCs w:val="21"/>
                <w:highlight w:val="none"/>
                <w:lang w:val="zh-CN"/>
              </w:rPr>
              <w:t>过低报价合理性</w:t>
            </w:r>
          </w:p>
        </w:tc>
        <w:tc>
          <w:tcPr>
            <w:tcW w:w="5309" w:type="dxa"/>
            <w:shd w:val="clear" w:color="auto" w:fill="auto"/>
            <w:vAlign w:val="center"/>
          </w:tcPr>
          <w:p w14:paraId="5AD3B55A">
            <w:pPr>
              <w:spacing w:line="240" w:lineRule="exact"/>
              <w:rPr>
                <w:color w:val="auto"/>
                <w:highlight w:val="none"/>
              </w:rPr>
            </w:pPr>
            <w:r>
              <w:rPr>
                <w:rFonts w:hint="eastAsia"/>
                <w:color w:val="auto"/>
                <w:highlight w:val="none"/>
              </w:rPr>
              <w:t>供应商的报价存在异常低价问题的情形，评审委员会</w:t>
            </w:r>
            <w:r>
              <w:rPr>
                <w:rFonts w:hint="eastAsia"/>
                <w:color w:val="auto"/>
                <w:szCs w:val="21"/>
                <w:highlight w:val="none"/>
              </w:rPr>
              <w:t>应当要求其在评标现场合理的时间内提供报价合理性相关的书面说明及必要的证明材料。</w:t>
            </w:r>
            <w:r>
              <w:rPr>
                <w:rFonts w:hint="eastAsia"/>
                <w:color w:val="auto"/>
                <w:highlight w:val="none"/>
              </w:rPr>
              <w:t>供应商不能证明其报价合理性的，评审委员会应当将其作为无效响应处理。</w:t>
            </w:r>
          </w:p>
        </w:tc>
      </w:tr>
      <w:tr w14:paraId="317CB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579" w:type="dxa"/>
            <w:vMerge w:val="continue"/>
            <w:vAlign w:val="center"/>
          </w:tcPr>
          <w:p w14:paraId="52F38EC8">
            <w:pPr>
              <w:spacing w:line="240" w:lineRule="exact"/>
              <w:jc w:val="center"/>
              <w:rPr>
                <w:color w:val="auto"/>
                <w:kern w:val="0"/>
                <w:szCs w:val="21"/>
                <w:highlight w:val="none"/>
              </w:rPr>
            </w:pPr>
          </w:p>
        </w:tc>
        <w:tc>
          <w:tcPr>
            <w:tcW w:w="2436" w:type="dxa"/>
            <w:vAlign w:val="center"/>
          </w:tcPr>
          <w:p w14:paraId="01A1D6C8">
            <w:pPr>
              <w:spacing w:line="240" w:lineRule="exact"/>
              <w:rPr>
                <w:rFonts w:ascii="宋体" w:hAnsi="宋体"/>
                <w:color w:val="auto"/>
                <w:szCs w:val="21"/>
                <w:highlight w:val="none"/>
              </w:rPr>
            </w:pPr>
            <w:r>
              <w:rPr>
                <w:rFonts w:hint="eastAsia"/>
                <w:color w:val="auto"/>
                <w:szCs w:val="21"/>
                <w:highlight w:val="none"/>
              </w:rPr>
              <w:t>响应有效期</w:t>
            </w:r>
          </w:p>
        </w:tc>
        <w:tc>
          <w:tcPr>
            <w:tcW w:w="5309" w:type="dxa"/>
            <w:vAlign w:val="center"/>
          </w:tcPr>
          <w:p w14:paraId="735DC597">
            <w:pPr>
              <w:spacing w:line="240" w:lineRule="exact"/>
              <w:rPr>
                <w:color w:val="auto"/>
                <w:szCs w:val="21"/>
                <w:highlight w:val="none"/>
              </w:rPr>
            </w:pPr>
            <w:r>
              <w:rPr>
                <w:rFonts w:hint="eastAsia" w:ascii="宋体" w:hAnsi="宋体"/>
                <w:color w:val="auto"/>
                <w:szCs w:val="21"/>
                <w:highlight w:val="none"/>
              </w:rPr>
              <w:t>满足采购文件规定</w:t>
            </w:r>
          </w:p>
        </w:tc>
      </w:tr>
      <w:bookmarkEnd w:id="82"/>
    </w:tbl>
    <w:p w14:paraId="4B2FD966">
      <w:pPr>
        <w:spacing w:before="120" w:line="320" w:lineRule="atLeast"/>
        <w:ind w:firstLine="316" w:firstLineChars="150"/>
        <w:rPr>
          <w:b/>
          <w:bCs/>
          <w:color w:val="auto"/>
          <w:kern w:val="0"/>
          <w:szCs w:val="21"/>
          <w:highlight w:val="none"/>
        </w:rPr>
      </w:pPr>
      <w:r>
        <w:rPr>
          <w:rFonts w:hint="eastAsia"/>
          <w:b/>
          <w:bCs/>
          <w:color w:val="auto"/>
          <w:kern w:val="0"/>
          <w:szCs w:val="21"/>
          <w:highlight w:val="none"/>
        </w:rPr>
        <w:t>注：涉及政府采购价格评审优惠政策叠加的，按照相关政策要求统一从对应报价的基础上进行价格扣除，用响应总价减去扣除金额之和的价格参加评审。</w:t>
      </w:r>
    </w:p>
    <w:p w14:paraId="1D3FA271">
      <w:pPr>
        <w:spacing w:before="120" w:line="320" w:lineRule="atLeast"/>
        <w:ind w:firstLine="316" w:firstLineChars="150"/>
        <w:rPr>
          <w:b/>
          <w:bCs/>
          <w:color w:val="auto"/>
          <w:kern w:val="0"/>
          <w:szCs w:val="21"/>
          <w:highlight w:val="none"/>
        </w:rPr>
      </w:pPr>
      <w:r>
        <w:rPr>
          <w:b/>
          <w:bCs/>
          <w:color w:val="auto"/>
          <w:kern w:val="0"/>
          <w:szCs w:val="21"/>
          <w:highlight w:val="none"/>
        </w:rPr>
        <w:t>政策性扣除计算方法</w:t>
      </w:r>
      <w:r>
        <w:rPr>
          <w:rFonts w:hint="eastAsia"/>
          <w:b/>
          <w:bCs/>
          <w:color w:val="auto"/>
          <w:kern w:val="0"/>
          <w:szCs w:val="21"/>
          <w:highlight w:val="none"/>
        </w:rPr>
        <w:t>：</w:t>
      </w:r>
    </w:p>
    <w:p w14:paraId="78827326">
      <w:pPr>
        <w:spacing w:before="120" w:line="320" w:lineRule="atLeast"/>
        <w:ind w:firstLine="315" w:firstLineChars="150"/>
        <w:rPr>
          <w:color w:val="auto"/>
          <w:szCs w:val="21"/>
          <w:highlight w:val="none"/>
        </w:rPr>
      </w:pPr>
      <w:r>
        <w:rPr>
          <w:rFonts w:hint="eastAsia"/>
          <w:color w:val="auto"/>
          <w:szCs w:val="21"/>
          <w:highlight w:val="none"/>
        </w:rPr>
        <w:t>1）小微企业的价格扣除计算:供应商响应</w:t>
      </w:r>
      <w:r>
        <w:rPr>
          <w:color w:val="auto"/>
          <w:szCs w:val="21"/>
          <w:highlight w:val="none"/>
        </w:rPr>
        <w:t>报价将按相应比例进行扣除，用扣除后的价格参与评审（计算价格分）</w:t>
      </w:r>
      <w:r>
        <w:rPr>
          <w:rFonts w:hint="eastAsia"/>
          <w:color w:val="auto"/>
          <w:szCs w:val="21"/>
          <w:highlight w:val="none"/>
        </w:rPr>
        <w:t>，价格扣除比例分别如下：</w:t>
      </w:r>
    </w:p>
    <w:tbl>
      <w:tblPr>
        <w:tblStyle w:val="51"/>
        <w:tblW w:w="8930" w:type="dxa"/>
        <w:tblInd w:w="2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7"/>
        <w:gridCol w:w="4962"/>
        <w:gridCol w:w="2551"/>
      </w:tblGrid>
      <w:tr w14:paraId="6AF6C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shd w:val="clear" w:color="auto" w:fill="auto"/>
          </w:tcPr>
          <w:p w14:paraId="2CC5EA3B">
            <w:pPr>
              <w:spacing w:before="120" w:line="320" w:lineRule="atLeast"/>
              <w:jc w:val="center"/>
              <w:rPr>
                <w:color w:val="auto"/>
                <w:szCs w:val="21"/>
                <w:highlight w:val="none"/>
              </w:rPr>
            </w:pPr>
            <w:r>
              <w:rPr>
                <w:rFonts w:hint="eastAsia"/>
                <w:color w:val="auto"/>
                <w:szCs w:val="21"/>
                <w:highlight w:val="none"/>
              </w:rPr>
              <w:t>独立响应</w:t>
            </w:r>
          </w:p>
        </w:tc>
        <w:tc>
          <w:tcPr>
            <w:tcW w:w="4962" w:type="dxa"/>
            <w:shd w:val="clear" w:color="auto" w:fill="auto"/>
          </w:tcPr>
          <w:p w14:paraId="35C2AEB7">
            <w:pPr>
              <w:spacing w:before="120" w:line="320" w:lineRule="atLeast"/>
              <w:rPr>
                <w:color w:val="auto"/>
                <w:szCs w:val="21"/>
                <w:highlight w:val="none"/>
              </w:rPr>
            </w:pPr>
            <w:r>
              <w:rPr>
                <w:rFonts w:hint="eastAsia"/>
                <w:color w:val="auto"/>
                <w:szCs w:val="21"/>
                <w:highlight w:val="none"/>
              </w:rPr>
              <w:t>供应商所提供产品制造商均为所列企业之一（小型企业、微型企业、残疾人福利企业、监狱企业）</w:t>
            </w:r>
          </w:p>
        </w:tc>
        <w:tc>
          <w:tcPr>
            <w:tcW w:w="2551" w:type="dxa"/>
            <w:shd w:val="clear" w:color="auto" w:fill="auto"/>
          </w:tcPr>
          <w:p w14:paraId="20446D06">
            <w:pPr>
              <w:spacing w:before="120" w:line="320" w:lineRule="atLeast"/>
              <w:rPr>
                <w:color w:val="auto"/>
                <w:szCs w:val="21"/>
                <w:highlight w:val="none"/>
              </w:rPr>
            </w:pPr>
            <w:r>
              <w:rPr>
                <w:rFonts w:hint="eastAsia"/>
                <w:color w:val="auto"/>
                <w:szCs w:val="21"/>
                <w:highlight w:val="none"/>
              </w:rPr>
              <w:t>价格扣除响应报价的10%</w:t>
            </w:r>
          </w:p>
        </w:tc>
      </w:tr>
      <w:tr w14:paraId="1554D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restart"/>
            <w:shd w:val="clear" w:color="auto" w:fill="auto"/>
          </w:tcPr>
          <w:p w14:paraId="24254A1C">
            <w:pPr>
              <w:spacing w:before="120" w:line="320" w:lineRule="atLeast"/>
              <w:jc w:val="center"/>
              <w:rPr>
                <w:color w:val="auto"/>
                <w:szCs w:val="21"/>
                <w:highlight w:val="none"/>
              </w:rPr>
            </w:pPr>
            <w:r>
              <w:rPr>
                <w:rFonts w:hint="eastAsia"/>
                <w:color w:val="auto"/>
                <w:szCs w:val="21"/>
                <w:highlight w:val="none"/>
              </w:rPr>
              <w:t>联合体或</w:t>
            </w:r>
          </w:p>
          <w:p w14:paraId="0D08B1A4">
            <w:pPr>
              <w:spacing w:before="120" w:line="320" w:lineRule="atLeast"/>
              <w:jc w:val="center"/>
              <w:rPr>
                <w:color w:val="auto"/>
                <w:szCs w:val="21"/>
                <w:highlight w:val="none"/>
              </w:rPr>
            </w:pPr>
            <w:r>
              <w:rPr>
                <w:rFonts w:hint="eastAsia"/>
                <w:color w:val="auto"/>
                <w:szCs w:val="21"/>
                <w:highlight w:val="none"/>
              </w:rPr>
              <w:t>分包</w:t>
            </w:r>
          </w:p>
        </w:tc>
        <w:tc>
          <w:tcPr>
            <w:tcW w:w="4962" w:type="dxa"/>
            <w:shd w:val="clear" w:color="auto" w:fill="auto"/>
          </w:tcPr>
          <w:p w14:paraId="66612CB2">
            <w:pPr>
              <w:spacing w:before="120" w:line="320" w:lineRule="atLeast"/>
              <w:rPr>
                <w:color w:val="auto"/>
                <w:szCs w:val="21"/>
                <w:highlight w:val="none"/>
              </w:rPr>
            </w:pPr>
            <w:r>
              <w:rPr>
                <w:rFonts w:hint="eastAsia"/>
                <w:color w:val="auto"/>
                <w:szCs w:val="21"/>
                <w:highlight w:val="none"/>
              </w:rPr>
              <w:t>小微企业制造商承担的金额比例为1</w:t>
            </w:r>
            <w:r>
              <w:rPr>
                <w:color w:val="auto"/>
                <w:szCs w:val="21"/>
                <w:highlight w:val="none"/>
              </w:rPr>
              <w:t>00</w:t>
            </w:r>
            <w:r>
              <w:rPr>
                <w:rFonts w:hint="eastAsia"/>
                <w:color w:val="auto"/>
                <w:szCs w:val="21"/>
                <w:highlight w:val="none"/>
              </w:rPr>
              <w:t>%</w:t>
            </w:r>
          </w:p>
        </w:tc>
        <w:tc>
          <w:tcPr>
            <w:tcW w:w="2551" w:type="dxa"/>
            <w:shd w:val="clear" w:color="auto" w:fill="auto"/>
          </w:tcPr>
          <w:p w14:paraId="323494FA">
            <w:pPr>
              <w:spacing w:before="120" w:line="320" w:lineRule="atLeast"/>
              <w:rPr>
                <w:color w:val="auto"/>
                <w:szCs w:val="21"/>
                <w:highlight w:val="none"/>
              </w:rPr>
            </w:pPr>
            <w:r>
              <w:rPr>
                <w:rFonts w:hint="eastAsia"/>
                <w:color w:val="auto"/>
                <w:szCs w:val="21"/>
                <w:highlight w:val="none"/>
              </w:rPr>
              <w:t>价格扣除响应报价的10%</w:t>
            </w:r>
          </w:p>
        </w:tc>
      </w:tr>
      <w:tr w14:paraId="2B9C1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continue"/>
            <w:shd w:val="clear" w:color="auto" w:fill="auto"/>
          </w:tcPr>
          <w:p w14:paraId="10442E94">
            <w:pPr>
              <w:spacing w:before="120" w:line="320" w:lineRule="atLeast"/>
              <w:rPr>
                <w:color w:val="auto"/>
                <w:szCs w:val="21"/>
                <w:highlight w:val="none"/>
              </w:rPr>
            </w:pPr>
          </w:p>
        </w:tc>
        <w:tc>
          <w:tcPr>
            <w:tcW w:w="4962" w:type="dxa"/>
            <w:shd w:val="clear" w:color="auto" w:fill="auto"/>
          </w:tcPr>
          <w:p w14:paraId="5D27FE7C">
            <w:pPr>
              <w:spacing w:before="120" w:line="320" w:lineRule="atLeast"/>
              <w:rPr>
                <w:color w:val="auto"/>
                <w:szCs w:val="21"/>
                <w:highlight w:val="none"/>
              </w:rPr>
            </w:pPr>
            <w:r>
              <w:rPr>
                <w:rFonts w:hint="eastAsia"/>
                <w:color w:val="auto"/>
                <w:szCs w:val="21"/>
                <w:highlight w:val="none"/>
              </w:rPr>
              <w:t>小微企业制造商承担的金额比例达到合同总金额3</w:t>
            </w:r>
            <w:r>
              <w:rPr>
                <w:color w:val="auto"/>
                <w:szCs w:val="21"/>
                <w:highlight w:val="none"/>
              </w:rPr>
              <w:t>0%</w:t>
            </w:r>
            <w:r>
              <w:rPr>
                <w:rFonts w:hint="eastAsia"/>
                <w:color w:val="auto"/>
                <w:szCs w:val="21"/>
                <w:highlight w:val="none"/>
              </w:rPr>
              <w:t>以上</w:t>
            </w:r>
          </w:p>
        </w:tc>
        <w:tc>
          <w:tcPr>
            <w:tcW w:w="2551" w:type="dxa"/>
            <w:shd w:val="clear" w:color="auto" w:fill="auto"/>
          </w:tcPr>
          <w:p w14:paraId="46538389">
            <w:pPr>
              <w:spacing w:before="120" w:line="320" w:lineRule="atLeast"/>
              <w:rPr>
                <w:color w:val="auto"/>
                <w:szCs w:val="21"/>
                <w:highlight w:val="none"/>
              </w:rPr>
            </w:pPr>
            <w:r>
              <w:rPr>
                <w:rFonts w:hint="eastAsia"/>
                <w:color w:val="auto"/>
                <w:szCs w:val="21"/>
                <w:highlight w:val="none"/>
              </w:rPr>
              <w:t>价格扣除响应报价的</w:t>
            </w:r>
            <w:r>
              <w:rPr>
                <w:color w:val="auto"/>
                <w:szCs w:val="21"/>
                <w:highlight w:val="none"/>
              </w:rPr>
              <w:t>4</w:t>
            </w:r>
            <w:r>
              <w:rPr>
                <w:rFonts w:hint="eastAsia"/>
                <w:color w:val="auto"/>
                <w:szCs w:val="21"/>
                <w:highlight w:val="none"/>
              </w:rPr>
              <w:t>%</w:t>
            </w:r>
          </w:p>
        </w:tc>
      </w:tr>
      <w:tr w14:paraId="6B8FD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30" w:type="dxa"/>
            <w:gridSpan w:val="3"/>
            <w:shd w:val="clear" w:color="auto" w:fill="auto"/>
          </w:tcPr>
          <w:p w14:paraId="7930A372">
            <w:pPr>
              <w:spacing w:before="120" w:line="320" w:lineRule="atLeast"/>
              <w:rPr>
                <w:color w:val="auto"/>
                <w:szCs w:val="21"/>
                <w:highlight w:val="none"/>
              </w:rPr>
            </w:pPr>
            <w:r>
              <w:rPr>
                <w:rFonts w:hint="eastAsia"/>
                <w:color w:val="auto"/>
                <w:szCs w:val="21"/>
                <w:highlight w:val="none"/>
              </w:rPr>
              <w:t>注：未提供《中小企业声明函》、《分包意向协议书》或《联合体协议书》或不符合条件的，不享受价格扣除优惠。</w:t>
            </w:r>
          </w:p>
        </w:tc>
      </w:tr>
    </w:tbl>
    <w:p w14:paraId="104E5E49">
      <w:pPr>
        <w:rPr>
          <w:color w:val="auto"/>
          <w:highlight w:val="none"/>
        </w:rPr>
      </w:pPr>
    </w:p>
    <w:p w14:paraId="3F33153F">
      <w:pPr>
        <w:ind w:firstLine="420" w:firstLineChars="200"/>
        <w:rPr>
          <w:rFonts w:eastAsia="楷体_GB2312"/>
          <w:b/>
          <w:color w:val="auto"/>
          <w:sz w:val="24"/>
          <w:highlight w:val="none"/>
        </w:rPr>
      </w:pPr>
      <w:r>
        <w:rPr>
          <w:rFonts w:hint="eastAsia"/>
          <w:color w:val="auto"/>
          <w:highlight w:val="none"/>
        </w:rPr>
        <w:t>2）本国产品的价格扣除计算：供应商响应</w:t>
      </w:r>
      <w:r>
        <w:rPr>
          <w:color w:val="auto"/>
          <w:highlight w:val="none"/>
        </w:rPr>
        <w:t>报价将按相应比例进行扣除，用扣除后的价格参与评审（计算价格分）</w:t>
      </w:r>
      <w:r>
        <w:rPr>
          <w:rFonts w:hint="eastAsia"/>
          <w:color w:val="auto"/>
          <w:highlight w:val="none"/>
        </w:rPr>
        <w:t>，价格扣除比例分别如下：</w:t>
      </w:r>
    </w:p>
    <w:p w14:paraId="5131EBB4">
      <w:pPr>
        <w:ind w:firstLine="420" w:firstLineChars="200"/>
        <w:rPr>
          <w:color w:val="auto"/>
          <w:highlight w:val="none"/>
        </w:rPr>
      </w:pPr>
    </w:p>
    <w:tbl>
      <w:tblPr>
        <w:tblStyle w:val="51"/>
        <w:tblW w:w="8930" w:type="dxa"/>
        <w:tblInd w:w="2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29"/>
        <w:gridCol w:w="4550"/>
        <w:gridCol w:w="2551"/>
      </w:tblGrid>
      <w:tr w14:paraId="1F500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9" w:type="dxa"/>
            <w:shd w:val="clear" w:color="auto" w:fill="auto"/>
          </w:tcPr>
          <w:p w14:paraId="6681B7BD">
            <w:pPr>
              <w:rPr>
                <w:color w:val="auto"/>
                <w:highlight w:val="none"/>
              </w:rPr>
            </w:pPr>
            <w:r>
              <w:rPr>
                <w:rFonts w:hint="eastAsia"/>
                <w:color w:val="auto"/>
                <w:highlight w:val="none"/>
              </w:rPr>
              <w:t>采购项目或者采购包中为单一产品</w:t>
            </w:r>
          </w:p>
        </w:tc>
        <w:tc>
          <w:tcPr>
            <w:tcW w:w="4550" w:type="dxa"/>
            <w:shd w:val="clear" w:color="auto" w:fill="auto"/>
          </w:tcPr>
          <w:p w14:paraId="3A73E674">
            <w:pPr>
              <w:rPr>
                <w:color w:val="auto"/>
                <w:highlight w:val="none"/>
              </w:rPr>
            </w:pPr>
            <w:r>
              <w:rPr>
                <w:rFonts w:hint="eastAsia"/>
                <w:color w:val="auto"/>
                <w:highlight w:val="none"/>
              </w:rPr>
              <w:t>若本项目既有本国产品又有非本国产品参与竞争的，供应商所提供符合本国产品标准的产品</w:t>
            </w:r>
          </w:p>
        </w:tc>
        <w:tc>
          <w:tcPr>
            <w:tcW w:w="2551" w:type="dxa"/>
            <w:vMerge w:val="restart"/>
            <w:shd w:val="clear" w:color="auto" w:fill="auto"/>
          </w:tcPr>
          <w:p w14:paraId="4967149A">
            <w:pPr>
              <w:rPr>
                <w:color w:val="auto"/>
                <w:highlight w:val="none"/>
              </w:rPr>
            </w:pPr>
          </w:p>
          <w:p w14:paraId="10464500">
            <w:pPr>
              <w:rPr>
                <w:color w:val="auto"/>
                <w:highlight w:val="none"/>
              </w:rPr>
            </w:pPr>
          </w:p>
          <w:p w14:paraId="6DBFB8AD">
            <w:pPr>
              <w:rPr>
                <w:color w:val="auto"/>
                <w:highlight w:val="none"/>
              </w:rPr>
            </w:pPr>
          </w:p>
          <w:p w14:paraId="4FF4A076">
            <w:pPr>
              <w:rPr>
                <w:color w:val="auto"/>
                <w:highlight w:val="none"/>
              </w:rPr>
            </w:pPr>
            <w:r>
              <w:rPr>
                <w:rFonts w:hint="eastAsia"/>
                <w:color w:val="auto"/>
                <w:highlight w:val="none"/>
              </w:rPr>
              <w:t>价格扣除全部产品报价的20%</w:t>
            </w:r>
          </w:p>
        </w:tc>
      </w:tr>
      <w:tr w14:paraId="6F818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9" w:type="dxa"/>
            <w:shd w:val="clear" w:color="auto" w:fill="auto"/>
          </w:tcPr>
          <w:p w14:paraId="311264C1">
            <w:pPr>
              <w:rPr>
                <w:color w:val="auto"/>
                <w:highlight w:val="none"/>
              </w:rPr>
            </w:pPr>
            <w:r>
              <w:rPr>
                <w:rFonts w:hint="eastAsia"/>
                <w:color w:val="auto"/>
                <w:highlight w:val="none"/>
              </w:rPr>
              <w:t>采购项目或者采购包中含有多种产品</w:t>
            </w:r>
          </w:p>
        </w:tc>
        <w:tc>
          <w:tcPr>
            <w:tcW w:w="4550" w:type="dxa"/>
            <w:shd w:val="clear" w:color="auto" w:fill="auto"/>
          </w:tcPr>
          <w:p w14:paraId="0E077B63">
            <w:pPr>
              <w:rPr>
                <w:color w:val="auto"/>
                <w:highlight w:val="none"/>
              </w:rPr>
            </w:pPr>
            <w:r>
              <w:rPr>
                <w:rFonts w:hint="eastAsia"/>
                <w:color w:val="auto"/>
                <w:highlight w:val="none"/>
              </w:rPr>
              <w:t>若本项目既有本国产品又有非本国产品参与竞争的，供应商提供符合本国产品标准的产品成本之和占该供应商提供的全部产品成本之和的比例达到80%以上时。</w:t>
            </w:r>
            <w:r>
              <w:rPr>
                <w:rFonts w:hint="eastAsia"/>
                <w:b/>
                <w:bCs/>
                <w:color w:val="auto"/>
                <w:highlight w:val="none"/>
              </w:rPr>
              <w:t>供应商须在响应文件提交《关于符合本国产品标准的成本占比承诺函》。如供应商所有产品均为本国产品且填写《关于符合本国产品标准的声明函》的，无须填写《关于符合本国产品标准的成本占比承诺函》。</w:t>
            </w:r>
          </w:p>
        </w:tc>
        <w:tc>
          <w:tcPr>
            <w:tcW w:w="2551" w:type="dxa"/>
            <w:vMerge w:val="continue"/>
            <w:shd w:val="clear" w:color="auto" w:fill="auto"/>
          </w:tcPr>
          <w:p w14:paraId="0FDC83E0">
            <w:pPr>
              <w:ind w:firstLine="420" w:firstLineChars="200"/>
              <w:rPr>
                <w:color w:val="auto"/>
                <w:highlight w:val="none"/>
              </w:rPr>
            </w:pPr>
          </w:p>
        </w:tc>
      </w:tr>
      <w:tr w14:paraId="72F59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30" w:type="dxa"/>
            <w:gridSpan w:val="3"/>
            <w:shd w:val="clear" w:color="auto" w:fill="auto"/>
          </w:tcPr>
          <w:p w14:paraId="3CE9DCAA">
            <w:pPr>
              <w:rPr>
                <w:color w:val="auto"/>
                <w:highlight w:val="none"/>
              </w:rPr>
            </w:pPr>
            <w:r>
              <w:rPr>
                <w:rFonts w:hint="eastAsia"/>
                <w:color w:val="auto"/>
                <w:highlight w:val="none"/>
              </w:rPr>
              <w:t>注：未提供《关于符合本国产品标准的声明函》、</w:t>
            </w:r>
            <w:r>
              <w:rPr>
                <w:rFonts w:hint="eastAsia"/>
                <w:color w:val="auto"/>
                <w:szCs w:val="21"/>
                <w:highlight w:val="none"/>
              </w:rPr>
              <w:t>《关于符合本国产品标准的成本占比承诺函》（如适用）</w:t>
            </w:r>
            <w:r>
              <w:rPr>
                <w:rFonts w:hint="eastAsia"/>
                <w:color w:val="auto"/>
                <w:highlight w:val="none"/>
              </w:rPr>
              <w:t>或不符合条件的，不享受价格扣除优惠。</w:t>
            </w:r>
          </w:p>
        </w:tc>
      </w:tr>
    </w:tbl>
    <w:p w14:paraId="422F0E6B">
      <w:pPr>
        <w:ind w:firstLine="420" w:firstLineChars="200"/>
        <w:rPr>
          <w:color w:val="auto"/>
          <w:highlight w:val="none"/>
        </w:rPr>
      </w:pPr>
    </w:p>
    <w:p w14:paraId="72493791">
      <w:pPr>
        <w:pStyle w:val="19"/>
        <w:ind w:firstLine="420" w:firstLineChars="200"/>
        <w:rPr>
          <w:color w:val="auto"/>
          <w:sz w:val="21"/>
          <w:highlight w:val="none"/>
        </w:rPr>
      </w:pPr>
      <w:r>
        <w:rPr>
          <w:rFonts w:hint="eastAsia"/>
          <w:color w:val="auto"/>
          <w:sz w:val="21"/>
          <w:highlight w:val="none"/>
        </w:rPr>
        <w:t>3）评审报价计算示例：</w:t>
      </w:r>
    </w:p>
    <w:p w14:paraId="221EF70C">
      <w:pPr>
        <w:spacing w:before="120" w:line="320" w:lineRule="atLeast"/>
        <w:ind w:firstLine="420" w:firstLineChars="200"/>
        <w:rPr>
          <w:color w:val="auto"/>
          <w:highlight w:val="none"/>
        </w:rPr>
      </w:pPr>
      <w:r>
        <w:rPr>
          <w:rFonts w:hint="eastAsia"/>
          <w:color w:val="auto"/>
          <w:highlight w:val="none"/>
        </w:rPr>
        <w:t>a.供应商若符合中小企业支持政策的要求，计算公式具体为：评审报价＝响应总报价－（响应总报价*小微企业价格扣除比例）</w:t>
      </w:r>
    </w:p>
    <w:p w14:paraId="5501007C">
      <w:pPr>
        <w:ind w:firstLine="420" w:firstLineChars="200"/>
        <w:rPr>
          <w:color w:val="auto"/>
          <w:highlight w:val="none"/>
        </w:rPr>
      </w:pPr>
      <w:r>
        <w:rPr>
          <w:rFonts w:hint="eastAsia"/>
          <w:color w:val="auto"/>
          <w:highlight w:val="none"/>
        </w:rPr>
        <w:t>b.供应商若符合本国产品支持政策的要求，计算公式具体为：评审报价＝响应总报价－（全部产品的总报价*20%）</w:t>
      </w:r>
    </w:p>
    <w:p w14:paraId="7B51DC93">
      <w:pPr>
        <w:ind w:firstLine="420" w:firstLineChars="200"/>
        <w:rPr>
          <w:color w:val="auto"/>
          <w:highlight w:val="none"/>
        </w:rPr>
      </w:pPr>
      <w:r>
        <w:rPr>
          <w:rFonts w:hint="eastAsia"/>
          <w:color w:val="auto"/>
          <w:highlight w:val="none"/>
        </w:rPr>
        <w:t>c.供应商若同时符合中小企业、本国产品扶持政策的要求，计算公式具体为：评审报价＝响应总报价－（响应总报价*小微企业价格扣除比例）－（全部产品的总报价*20%）</w:t>
      </w:r>
    </w:p>
    <w:p w14:paraId="3D9B3B44">
      <w:pPr>
        <w:pStyle w:val="19"/>
        <w:ind w:firstLine="420" w:firstLineChars="200"/>
        <w:rPr>
          <w:color w:val="auto"/>
          <w:sz w:val="21"/>
          <w:szCs w:val="21"/>
          <w:highlight w:val="none"/>
        </w:rPr>
      </w:pPr>
      <w:r>
        <w:rPr>
          <w:rFonts w:hint="eastAsia"/>
          <w:color w:val="auto"/>
          <w:sz w:val="21"/>
          <w:szCs w:val="21"/>
          <w:highlight w:val="none"/>
        </w:rPr>
        <w:t>备注：全部产品是指货物或服务采购项目或采购包中包含的全部货物、服务产品。</w:t>
      </w:r>
    </w:p>
    <w:p w14:paraId="5E106FBF">
      <w:pPr>
        <w:spacing w:before="120" w:line="320" w:lineRule="atLeast"/>
        <w:ind w:firstLine="420" w:firstLineChars="200"/>
        <w:rPr>
          <w:color w:val="auto"/>
          <w:highlight w:val="none"/>
        </w:rPr>
      </w:pPr>
      <w:r>
        <w:rPr>
          <w:rFonts w:hint="eastAsia"/>
          <w:color w:val="auto"/>
          <w:highlight w:val="none"/>
        </w:rPr>
        <w:t>1</w:t>
      </w:r>
      <w:r>
        <w:rPr>
          <w:color w:val="auto"/>
          <w:highlight w:val="none"/>
        </w:rPr>
        <w:t>.1</w:t>
      </w:r>
      <w:r>
        <w:rPr>
          <w:rFonts w:hint="eastAsia"/>
          <w:color w:val="auto"/>
          <w:highlight w:val="none"/>
        </w:rPr>
        <w:t>偏离认定说明</w:t>
      </w:r>
    </w:p>
    <w:p w14:paraId="364E381B">
      <w:pPr>
        <w:spacing w:before="120" w:line="320" w:lineRule="atLeast"/>
        <w:ind w:firstLine="420" w:firstLineChars="200"/>
        <w:rPr>
          <w:color w:val="auto"/>
          <w:szCs w:val="21"/>
          <w:highlight w:val="none"/>
        </w:rPr>
      </w:pPr>
      <w:r>
        <w:rPr>
          <w:rFonts w:hint="eastAsia"/>
          <w:color w:val="auto"/>
          <w:szCs w:val="21"/>
          <w:highlight w:val="none"/>
        </w:rPr>
        <w:t>供应商根据采购需求中技术参数为基准，填写响应表，对于响应表或证明材料与技术参数不符的，按如下规定：</w:t>
      </w:r>
    </w:p>
    <w:p w14:paraId="413DF2C2">
      <w:pPr>
        <w:spacing w:before="120" w:line="320" w:lineRule="atLeast"/>
        <w:ind w:firstLine="420" w:firstLineChars="200"/>
        <w:rPr>
          <w:color w:val="auto"/>
          <w:szCs w:val="21"/>
          <w:highlight w:val="none"/>
        </w:rPr>
      </w:pPr>
      <w:r>
        <w:rPr>
          <w:rFonts w:hint="eastAsia"/>
          <w:color w:val="auto"/>
          <w:szCs w:val="21"/>
          <w:highlight w:val="none"/>
        </w:rPr>
        <w:t>（1）实质性参数要求提交证明材料的，证明材料没有体现响应表中响应的内容的或未提供证明材料的，视为无效响应。非实质性参数要求提交证明材料的，证明材料没有体现响应表中响应的内容的或未提供证明材料的，视为负偏离。</w:t>
      </w:r>
    </w:p>
    <w:p w14:paraId="0D3B3B28">
      <w:pPr>
        <w:spacing w:before="120" w:line="320" w:lineRule="atLeast"/>
        <w:ind w:firstLine="420" w:firstLineChars="200"/>
        <w:rPr>
          <w:color w:val="auto"/>
          <w:szCs w:val="21"/>
          <w:highlight w:val="none"/>
        </w:rPr>
      </w:pPr>
      <w:r>
        <w:rPr>
          <w:rFonts w:hint="eastAsia"/>
          <w:color w:val="auto"/>
          <w:szCs w:val="21"/>
          <w:highlight w:val="none"/>
        </w:rPr>
        <w:t>（2）响应表中响应的内容与证明材料不一致的，以证明材料为准作为评审依据。</w:t>
      </w:r>
    </w:p>
    <w:p w14:paraId="4905033E">
      <w:pPr>
        <w:spacing w:before="120" w:line="320" w:lineRule="atLeast"/>
        <w:ind w:firstLine="420" w:firstLineChars="200"/>
        <w:rPr>
          <w:color w:val="auto"/>
          <w:szCs w:val="21"/>
          <w:highlight w:val="none"/>
        </w:rPr>
      </w:pPr>
      <w:r>
        <w:rPr>
          <w:rFonts w:hint="eastAsia"/>
          <w:color w:val="auto"/>
          <w:szCs w:val="21"/>
          <w:highlight w:val="none"/>
        </w:rPr>
        <w:t>（3）同时出现以上两种情况的，按照（1）-（2）顺序认定。</w:t>
      </w:r>
    </w:p>
    <w:p w14:paraId="520D22FF">
      <w:pPr>
        <w:spacing w:before="120" w:line="320" w:lineRule="atLeast"/>
        <w:ind w:firstLine="420" w:firstLineChars="200"/>
        <w:rPr>
          <w:color w:val="auto"/>
          <w:szCs w:val="21"/>
          <w:highlight w:val="none"/>
        </w:rPr>
      </w:pPr>
      <w:r>
        <w:rPr>
          <w:rFonts w:hint="eastAsia"/>
          <w:color w:val="auto"/>
          <w:szCs w:val="21"/>
          <w:highlight w:val="none"/>
        </w:rPr>
        <w:t>（4）响应表与采购需求中技术参数比较有漏项的，如为实质性参数漏项，视为未响应；如为非实质性参数漏项，视为负偏离。</w:t>
      </w:r>
    </w:p>
    <w:p w14:paraId="4454B5F7">
      <w:pPr>
        <w:spacing w:before="120" w:line="320" w:lineRule="atLeast"/>
        <w:ind w:firstLine="420" w:firstLineChars="200"/>
        <w:rPr>
          <w:color w:val="auto"/>
          <w:szCs w:val="21"/>
          <w:highlight w:val="none"/>
        </w:rPr>
      </w:pPr>
      <w:r>
        <w:rPr>
          <w:rFonts w:hint="eastAsia"/>
          <w:color w:val="auto"/>
          <w:szCs w:val="21"/>
          <w:highlight w:val="none"/>
        </w:rPr>
        <w:t>（5）一项技术参数有多条小项要求的，必须全部响应。如只响应部分参数，视为漏项，按照（4）判定。评审时以每一条技术参数为评审依据。</w:t>
      </w:r>
    </w:p>
    <w:p w14:paraId="5517676A">
      <w:pPr>
        <w:spacing w:before="120" w:line="320" w:lineRule="atLeast"/>
        <w:ind w:firstLine="420" w:firstLineChars="200"/>
        <w:rPr>
          <w:color w:val="auto"/>
          <w:szCs w:val="21"/>
          <w:highlight w:val="none"/>
        </w:rPr>
      </w:pPr>
      <w:r>
        <w:rPr>
          <w:rFonts w:hint="eastAsia"/>
          <w:color w:val="auto"/>
          <w:szCs w:val="21"/>
          <w:highlight w:val="none"/>
        </w:rPr>
        <w:t>（6）对于区间涵盖值参数，例：电压“测量范围3V-5V”，同时满足下限值更低及上限值更高才视为正偏离，例：响应为“测量范围2V-6V”。如有一端负偏离，不管另一端如何，均视为负偏离，例：响应为“测量范围4V-6V”。</w:t>
      </w:r>
    </w:p>
    <w:p w14:paraId="0CBF4D40">
      <w:pPr>
        <w:spacing w:before="120" w:line="320" w:lineRule="atLeast"/>
        <w:ind w:firstLine="420" w:firstLineChars="200"/>
        <w:rPr>
          <w:color w:val="auto"/>
          <w:szCs w:val="21"/>
          <w:highlight w:val="none"/>
        </w:rPr>
      </w:pPr>
      <w:r>
        <w:rPr>
          <w:rFonts w:hint="eastAsia"/>
          <w:color w:val="auto"/>
          <w:szCs w:val="21"/>
          <w:highlight w:val="none"/>
        </w:rPr>
        <w:t>（7）对于区间任意值参数，例“5mm≤间距≤10mm”或“间距7.5±2.5mm”，若间距响应值为5mm-10mm中任意区间值或任意一个数值（含本数）时为无偏离，例：“6mm≤间距≤8mm”、“8±2mm”、“8mm”。超过区间范围视为负偏离，例：“3mm≤间距≤12mm”、“8±4mm”、“3-12mm”、“3mm”。此类参数不存在正偏离。</w:t>
      </w:r>
    </w:p>
    <w:p w14:paraId="6508086E">
      <w:pPr>
        <w:spacing w:before="120" w:line="320" w:lineRule="atLeast"/>
        <w:ind w:firstLine="420" w:firstLineChars="200"/>
        <w:rPr>
          <w:color w:val="auto"/>
          <w:szCs w:val="21"/>
          <w:highlight w:val="none"/>
        </w:rPr>
      </w:pPr>
      <w:r>
        <w:rPr>
          <w:rFonts w:hint="eastAsia"/>
          <w:color w:val="auto"/>
          <w:szCs w:val="21"/>
          <w:highlight w:val="none"/>
        </w:rPr>
        <w:t>（8）对于单边任意参数的要求，例“长度≥50cm”，若响应为50 cm及50cm以上任意一个数值，均视为无偏离；若响应小于50cm，视为负偏离。此类参数无正偏离。</w:t>
      </w:r>
    </w:p>
    <w:p w14:paraId="3112C71B">
      <w:pPr>
        <w:spacing w:before="120" w:line="320" w:lineRule="atLeast"/>
        <w:ind w:firstLine="420" w:firstLineChars="200"/>
        <w:rPr>
          <w:color w:val="auto"/>
          <w:szCs w:val="21"/>
          <w:highlight w:val="none"/>
        </w:rPr>
      </w:pPr>
      <w:r>
        <w:rPr>
          <w:rFonts w:hint="eastAsia"/>
          <w:color w:val="auto"/>
          <w:szCs w:val="21"/>
          <w:highlight w:val="none"/>
        </w:rPr>
        <w:t>（9）对于固定参数，响应与采购需求中技术参数一致，视为无偏离，其他均视为负偏离，此类参数无正偏离。</w:t>
      </w:r>
    </w:p>
    <w:p w14:paraId="4A2B8EF6">
      <w:pPr>
        <w:spacing w:before="120" w:line="320" w:lineRule="atLeast"/>
        <w:ind w:firstLine="420" w:firstLineChars="200"/>
        <w:rPr>
          <w:color w:val="auto"/>
          <w:szCs w:val="21"/>
          <w:highlight w:val="none"/>
        </w:rPr>
      </w:pPr>
      <w:r>
        <w:rPr>
          <w:rFonts w:hint="eastAsia"/>
          <w:color w:val="auto"/>
          <w:szCs w:val="21"/>
          <w:highlight w:val="none"/>
        </w:rPr>
        <w:t>（10）如采购需求中技术参数有特殊要求与上述说明不一致的，以特殊要求为准。</w:t>
      </w:r>
    </w:p>
    <w:p w14:paraId="4A8424BD">
      <w:pPr>
        <w:spacing w:before="120" w:line="320" w:lineRule="atLeast"/>
        <w:ind w:firstLine="420" w:firstLineChars="200"/>
        <w:rPr>
          <w:color w:val="auto"/>
          <w:szCs w:val="21"/>
          <w:highlight w:val="none"/>
        </w:rPr>
      </w:pPr>
    </w:p>
    <w:p w14:paraId="603C8E19">
      <w:pPr>
        <w:spacing w:before="120" w:line="320" w:lineRule="atLeast"/>
        <w:ind w:firstLine="420" w:firstLineChars="200"/>
        <w:rPr>
          <w:color w:val="auto"/>
          <w:szCs w:val="21"/>
          <w:highlight w:val="none"/>
        </w:rPr>
      </w:pPr>
    </w:p>
    <w:p w14:paraId="72EFA212">
      <w:pPr>
        <w:spacing w:before="120" w:line="320" w:lineRule="atLeast"/>
        <w:ind w:firstLine="420" w:firstLineChars="200"/>
        <w:rPr>
          <w:color w:val="auto"/>
          <w:szCs w:val="21"/>
          <w:highlight w:val="none"/>
        </w:rPr>
      </w:pPr>
    </w:p>
    <w:bookmarkEnd w:id="77"/>
    <w:bookmarkEnd w:id="78"/>
    <w:bookmarkEnd w:id="81"/>
    <w:p w14:paraId="0C44EBEC">
      <w:pPr>
        <w:pStyle w:val="26"/>
        <w:snapToGrid w:val="0"/>
        <w:spacing w:before="120" w:after="120"/>
        <w:outlineLvl w:val="0"/>
        <w:rPr>
          <w:rFonts w:ascii="Times New Roman" w:hAnsi="Times New Roman" w:cs="Times New Roman"/>
          <w:b/>
          <w:color w:val="auto"/>
          <w:sz w:val="32"/>
          <w:szCs w:val="32"/>
          <w:highlight w:val="none"/>
        </w:rPr>
        <w:sectPr>
          <w:headerReference r:id="rId13" w:type="first"/>
          <w:headerReference r:id="rId12" w:type="default"/>
          <w:pgSz w:w="11906" w:h="16838"/>
          <w:pgMar w:top="1418" w:right="1133" w:bottom="1246" w:left="1418" w:header="851" w:footer="992" w:gutter="0"/>
          <w:cols w:space="720" w:num="1"/>
          <w:docGrid w:linePitch="312" w:charSpace="0"/>
        </w:sectPr>
      </w:pPr>
    </w:p>
    <w:p w14:paraId="1A25D2D9">
      <w:pPr>
        <w:pStyle w:val="26"/>
        <w:snapToGrid w:val="0"/>
        <w:spacing w:before="120" w:after="120" w:line="320" w:lineRule="exact"/>
        <w:jc w:val="center"/>
        <w:outlineLvl w:val="0"/>
        <w:rPr>
          <w:rFonts w:ascii="Times New Roman" w:hAnsi="Times New Roman" w:cs="Times New Roman"/>
          <w:color w:val="auto"/>
          <w:sz w:val="32"/>
          <w:szCs w:val="32"/>
          <w:highlight w:val="none"/>
        </w:rPr>
      </w:pPr>
      <w:bookmarkStart w:id="83" w:name="_Toc25316"/>
      <w:bookmarkStart w:id="84" w:name="_Toc25252"/>
      <w:bookmarkStart w:id="85" w:name="_Hlk160525271"/>
      <w:r>
        <w:rPr>
          <w:rFonts w:ascii="Times New Roman" w:hAnsi="Times New Roman" w:cs="Times New Roman"/>
          <w:color w:val="auto"/>
          <w:sz w:val="32"/>
          <w:szCs w:val="32"/>
          <w:highlight w:val="none"/>
        </w:rPr>
        <w:t>第五章  合同主要条款格式</w:t>
      </w:r>
      <w:bookmarkEnd w:id="83"/>
      <w:bookmarkEnd w:id="84"/>
    </w:p>
    <w:bookmarkEnd w:id="85"/>
    <w:p w14:paraId="66F5649B">
      <w:pPr>
        <w:widowControl/>
        <w:jc w:val="left"/>
        <w:rPr>
          <w:b/>
          <w:bCs/>
          <w:color w:val="auto"/>
          <w:szCs w:val="21"/>
          <w:highlight w:val="none"/>
        </w:rPr>
      </w:pPr>
    </w:p>
    <w:p w14:paraId="327EB4D1">
      <w:pPr>
        <w:spacing w:before="169" w:line="222" w:lineRule="auto"/>
        <w:jc w:val="center"/>
        <w:outlineLvl w:val="0"/>
        <w:rPr>
          <w:rFonts w:ascii="黑体" w:hAnsi="黑体" w:eastAsia="黑体" w:cs="黑体"/>
          <w:color w:val="auto"/>
          <w:sz w:val="52"/>
          <w:szCs w:val="52"/>
          <w:highlight w:val="none"/>
        </w:rPr>
      </w:pPr>
      <w:bookmarkStart w:id="86" w:name="_Toc29324"/>
      <w:r>
        <w:rPr>
          <w:rFonts w:ascii="黑体" w:hAnsi="黑体" w:eastAsia="黑体" w:cs="黑体"/>
          <w:b/>
          <w:bCs/>
          <w:color w:val="auto"/>
          <w:spacing w:val="-7"/>
          <w:sz w:val="52"/>
          <w:szCs w:val="52"/>
          <w:highlight w:val="none"/>
        </w:rPr>
        <w:t>北海市政府采购合同</w:t>
      </w:r>
      <w:bookmarkEnd w:id="86"/>
    </w:p>
    <w:p w14:paraId="752F59F3">
      <w:pPr>
        <w:spacing w:line="242" w:lineRule="auto"/>
        <w:rPr>
          <w:color w:val="auto"/>
          <w:sz w:val="24"/>
          <w:highlight w:val="none"/>
        </w:rPr>
      </w:pPr>
    </w:p>
    <w:p w14:paraId="5AB81BA3">
      <w:pPr>
        <w:jc w:val="center"/>
        <w:rPr>
          <w:rFonts w:ascii="宋体" w:hAnsi="宋体" w:cs="宋体"/>
          <w:b/>
          <w:bCs/>
          <w:color w:val="auto"/>
          <w:spacing w:val="-20"/>
          <w:kern w:val="44"/>
          <w:sz w:val="48"/>
          <w:szCs w:val="48"/>
          <w:highlight w:val="none"/>
        </w:rPr>
      </w:pPr>
    </w:p>
    <w:p w14:paraId="3205E875">
      <w:pPr>
        <w:jc w:val="center"/>
        <w:rPr>
          <w:rFonts w:ascii="宋体" w:hAnsi="宋体" w:cs="宋体"/>
          <w:b/>
          <w:bCs/>
          <w:color w:val="auto"/>
          <w:spacing w:val="-20"/>
          <w:kern w:val="44"/>
          <w:sz w:val="48"/>
          <w:szCs w:val="48"/>
          <w:highlight w:val="none"/>
        </w:rPr>
      </w:pPr>
    </w:p>
    <w:p w14:paraId="2CB76234">
      <w:pPr>
        <w:jc w:val="center"/>
        <w:rPr>
          <w:rFonts w:ascii="宋体" w:hAnsi="宋体" w:cs="宋体"/>
          <w:b/>
          <w:bCs/>
          <w:color w:val="auto"/>
          <w:spacing w:val="-20"/>
          <w:kern w:val="44"/>
          <w:sz w:val="48"/>
          <w:szCs w:val="48"/>
          <w:highlight w:val="none"/>
        </w:rPr>
      </w:pPr>
    </w:p>
    <w:p w14:paraId="0C819B4F">
      <w:pPr>
        <w:jc w:val="center"/>
        <w:rPr>
          <w:rFonts w:ascii="宋体" w:hAnsi="宋体" w:cs="宋体"/>
          <w:b/>
          <w:bCs/>
          <w:color w:val="auto"/>
          <w:spacing w:val="-20"/>
          <w:kern w:val="44"/>
          <w:sz w:val="48"/>
          <w:szCs w:val="48"/>
          <w:highlight w:val="none"/>
        </w:rPr>
      </w:pPr>
    </w:p>
    <w:p w14:paraId="0655CF25">
      <w:pPr>
        <w:spacing w:line="243" w:lineRule="auto"/>
        <w:rPr>
          <w:color w:val="auto"/>
          <w:sz w:val="24"/>
          <w:highlight w:val="none"/>
        </w:rPr>
      </w:pPr>
    </w:p>
    <w:p w14:paraId="74C8B7C8">
      <w:pPr>
        <w:spacing w:before="91" w:line="222" w:lineRule="auto"/>
        <w:ind w:left="1029"/>
        <w:rPr>
          <w:rFonts w:ascii="宋体" w:hAnsi="宋体" w:cs="宋体"/>
          <w:color w:val="auto"/>
          <w:sz w:val="28"/>
          <w:szCs w:val="28"/>
          <w:highlight w:val="none"/>
        </w:rPr>
      </w:pPr>
      <w:r>
        <w:rPr>
          <w:rFonts w:hint="eastAsia" w:ascii="宋体" w:hAnsi="宋体" w:cs="宋体"/>
          <w:b/>
          <w:bCs/>
          <w:color w:val="auto"/>
          <w:spacing w:val="-5"/>
          <w:sz w:val="28"/>
          <w:szCs w:val="28"/>
          <w:highlight w:val="none"/>
        </w:rPr>
        <w:t>　　</w:t>
      </w:r>
      <w:r>
        <w:rPr>
          <w:rFonts w:ascii="宋体" w:hAnsi="宋体" w:cs="宋体"/>
          <w:b/>
          <w:bCs/>
          <w:color w:val="auto"/>
          <w:spacing w:val="-5"/>
          <w:sz w:val="28"/>
          <w:szCs w:val="28"/>
          <w:highlight w:val="none"/>
        </w:rPr>
        <w:t>合同名称：</w:t>
      </w:r>
    </w:p>
    <w:p w14:paraId="271D750F">
      <w:pPr>
        <w:spacing w:line="271" w:lineRule="auto"/>
        <w:rPr>
          <w:color w:val="auto"/>
          <w:sz w:val="24"/>
          <w:highlight w:val="none"/>
        </w:rPr>
      </w:pPr>
    </w:p>
    <w:p w14:paraId="44B9F426">
      <w:pPr>
        <w:spacing w:before="91" w:line="220" w:lineRule="auto"/>
        <w:ind w:left="1029"/>
        <w:rPr>
          <w:rFonts w:ascii="宋体" w:hAnsi="宋体" w:cs="宋体"/>
          <w:color w:val="auto"/>
          <w:sz w:val="28"/>
          <w:szCs w:val="28"/>
          <w:highlight w:val="none"/>
        </w:rPr>
      </w:pPr>
      <w:r>
        <w:rPr>
          <w:rFonts w:hint="eastAsia" w:ascii="宋体" w:hAnsi="宋体" w:cs="宋体"/>
          <w:b/>
          <w:bCs/>
          <w:color w:val="auto"/>
          <w:spacing w:val="-5"/>
          <w:sz w:val="28"/>
          <w:szCs w:val="28"/>
          <w:highlight w:val="none"/>
        </w:rPr>
        <w:t>　　</w:t>
      </w:r>
      <w:r>
        <w:rPr>
          <w:rFonts w:ascii="宋体" w:hAnsi="宋体" w:cs="宋体"/>
          <w:b/>
          <w:bCs/>
          <w:color w:val="auto"/>
          <w:spacing w:val="-5"/>
          <w:sz w:val="28"/>
          <w:szCs w:val="28"/>
          <w:highlight w:val="none"/>
        </w:rPr>
        <w:t>合同编号：</w:t>
      </w:r>
    </w:p>
    <w:p w14:paraId="1DEC8B41">
      <w:pPr>
        <w:spacing w:line="242" w:lineRule="auto"/>
        <w:rPr>
          <w:color w:val="auto"/>
          <w:sz w:val="24"/>
          <w:highlight w:val="none"/>
        </w:rPr>
      </w:pPr>
    </w:p>
    <w:p w14:paraId="7CBE12D6">
      <w:pPr>
        <w:spacing w:line="242" w:lineRule="auto"/>
        <w:rPr>
          <w:color w:val="auto"/>
          <w:sz w:val="24"/>
          <w:highlight w:val="none"/>
        </w:rPr>
      </w:pPr>
    </w:p>
    <w:p w14:paraId="3B82DACF">
      <w:pPr>
        <w:spacing w:line="242" w:lineRule="auto"/>
        <w:rPr>
          <w:color w:val="auto"/>
          <w:sz w:val="24"/>
          <w:highlight w:val="none"/>
        </w:rPr>
      </w:pPr>
    </w:p>
    <w:p w14:paraId="2D3CCB35">
      <w:pPr>
        <w:spacing w:line="242" w:lineRule="auto"/>
        <w:rPr>
          <w:color w:val="auto"/>
          <w:sz w:val="24"/>
          <w:highlight w:val="none"/>
        </w:rPr>
      </w:pPr>
    </w:p>
    <w:p w14:paraId="0BD6382C">
      <w:pPr>
        <w:spacing w:before="91" w:line="219" w:lineRule="auto"/>
        <w:ind w:left="1027"/>
        <w:rPr>
          <w:rFonts w:ascii="宋体" w:hAnsi="宋体" w:cs="宋体"/>
          <w:color w:val="auto"/>
          <w:sz w:val="28"/>
          <w:szCs w:val="28"/>
          <w:highlight w:val="none"/>
        </w:rPr>
      </w:pPr>
      <w:r>
        <w:rPr>
          <w:rFonts w:hint="eastAsia" w:ascii="宋体" w:hAnsi="宋体" w:cs="宋体"/>
          <w:b/>
          <w:bCs/>
          <w:color w:val="auto"/>
          <w:spacing w:val="-4"/>
          <w:sz w:val="28"/>
          <w:szCs w:val="28"/>
          <w:highlight w:val="none"/>
        </w:rPr>
        <w:t>　　</w:t>
      </w:r>
      <w:r>
        <w:rPr>
          <w:rFonts w:ascii="宋体" w:hAnsi="宋体" w:cs="宋体"/>
          <w:b/>
          <w:bCs/>
          <w:color w:val="auto"/>
          <w:spacing w:val="-4"/>
          <w:sz w:val="28"/>
          <w:szCs w:val="28"/>
          <w:highlight w:val="none"/>
        </w:rPr>
        <w:t>采购单位（甲方）</w:t>
      </w:r>
    </w:p>
    <w:p w14:paraId="6A19CE07">
      <w:pPr>
        <w:spacing w:line="275" w:lineRule="auto"/>
        <w:rPr>
          <w:color w:val="auto"/>
          <w:sz w:val="24"/>
          <w:highlight w:val="none"/>
        </w:rPr>
      </w:pPr>
    </w:p>
    <w:p w14:paraId="31E6C673">
      <w:pPr>
        <w:spacing w:before="92" w:line="219" w:lineRule="auto"/>
        <w:ind w:left="1028"/>
        <w:rPr>
          <w:rFonts w:ascii="宋体" w:hAnsi="宋体" w:cs="宋体"/>
          <w:color w:val="auto"/>
          <w:sz w:val="28"/>
          <w:szCs w:val="28"/>
          <w:highlight w:val="none"/>
        </w:rPr>
      </w:pPr>
      <w:r>
        <w:rPr>
          <w:rFonts w:hint="eastAsia" w:ascii="宋体" w:hAnsi="宋体" w:cs="宋体"/>
          <w:b/>
          <w:bCs/>
          <w:color w:val="auto"/>
          <w:spacing w:val="-6"/>
          <w:sz w:val="28"/>
          <w:szCs w:val="28"/>
          <w:highlight w:val="none"/>
        </w:rPr>
        <w:t>　　</w:t>
      </w:r>
      <w:r>
        <w:rPr>
          <w:rFonts w:ascii="宋体" w:hAnsi="宋体" w:cs="宋体"/>
          <w:b/>
          <w:bCs/>
          <w:color w:val="auto"/>
          <w:spacing w:val="-6"/>
          <w:sz w:val="28"/>
          <w:szCs w:val="28"/>
          <w:highlight w:val="none"/>
        </w:rPr>
        <w:t>供应商（乙方）</w:t>
      </w:r>
    </w:p>
    <w:p w14:paraId="6986133C">
      <w:pPr>
        <w:spacing w:line="242" w:lineRule="auto"/>
        <w:rPr>
          <w:color w:val="auto"/>
          <w:sz w:val="24"/>
          <w:highlight w:val="none"/>
        </w:rPr>
      </w:pPr>
    </w:p>
    <w:p w14:paraId="6AB7AC98">
      <w:pPr>
        <w:spacing w:line="242" w:lineRule="auto"/>
        <w:rPr>
          <w:color w:val="auto"/>
          <w:sz w:val="24"/>
          <w:highlight w:val="none"/>
        </w:rPr>
      </w:pPr>
    </w:p>
    <w:p w14:paraId="0C1D4629">
      <w:pPr>
        <w:spacing w:line="242" w:lineRule="auto"/>
        <w:rPr>
          <w:color w:val="auto"/>
          <w:sz w:val="24"/>
          <w:highlight w:val="none"/>
        </w:rPr>
      </w:pPr>
    </w:p>
    <w:p w14:paraId="2AF411C1">
      <w:pPr>
        <w:spacing w:line="243" w:lineRule="auto"/>
        <w:rPr>
          <w:color w:val="auto"/>
          <w:sz w:val="24"/>
          <w:highlight w:val="none"/>
        </w:rPr>
      </w:pPr>
    </w:p>
    <w:p w14:paraId="1116A2ED">
      <w:pPr>
        <w:spacing w:before="92" w:line="222" w:lineRule="auto"/>
        <w:ind w:left="1028"/>
        <w:rPr>
          <w:rFonts w:ascii="宋体" w:hAnsi="宋体" w:cs="宋体"/>
          <w:color w:val="auto"/>
          <w:sz w:val="28"/>
          <w:szCs w:val="28"/>
          <w:highlight w:val="none"/>
        </w:rPr>
      </w:pPr>
      <w:r>
        <w:rPr>
          <w:rFonts w:hint="eastAsia" w:ascii="宋体" w:hAnsi="宋体" w:cs="宋体"/>
          <w:b/>
          <w:bCs/>
          <w:color w:val="auto"/>
          <w:spacing w:val="-4"/>
          <w:sz w:val="28"/>
          <w:szCs w:val="28"/>
          <w:highlight w:val="none"/>
        </w:rPr>
        <w:t>　　</w:t>
      </w:r>
      <w:r>
        <w:rPr>
          <w:rFonts w:ascii="宋体" w:hAnsi="宋体" w:cs="宋体"/>
          <w:b/>
          <w:bCs/>
          <w:color w:val="auto"/>
          <w:spacing w:val="-4"/>
          <w:sz w:val="28"/>
          <w:szCs w:val="28"/>
          <w:highlight w:val="none"/>
        </w:rPr>
        <w:t>签订合同地点：</w:t>
      </w:r>
    </w:p>
    <w:p w14:paraId="799E0527">
      <w:pPr>
        <w:spacing w:line="271" w:lineRule="auto"/>
        <w:rPr>
          <w:color w:val="auto"/>
          <w:sz w:val="24"/>
          <w:highlight w:val="none"/>
        </w:rPr>
      </w:pPr>
    </w:p>
    <w:p w14:paraId="233C08E4">
      <w:pPr>
        <w:spacing w:before="91" w:line="222" w:lineRule="auto"/>
        <w:ind w:left="1028"/>
        <w:rPr>
          <w:rFonts w:ascii="宋体" w:hAnsi="宋体" w:cs="宋体"/>
          <w:color w:val="auto"/>
          <w:sz w:val="28"/>
          <w:szCs w:val="28"/>
          <w:highlight w:val="none"/>
        </w:rPr>
      </w:pPr>
      <w:r>
        <w:rPr>
          <w:rFonts w:hint="eastAsia" w:ascii="宋体" w:hAnsi="宋体" w:cs="宋体"/>
          <w:b/>
          <w:bCs/>
          <w:color w:val="auto"/>
          <w:spacing w:val="-4"/>
          <w:sz w:val="28"/>
          <w:szCs w:val="28"/>
          <w:highlight w:val="none"/>
        </w:rPr>
        <w:t>　　</w:t>
      </w:r>
      <w:r>
        <w:rPr>
          <w:rFonts w:ascii="宋体" w:hAnsi="宋体" w:cs="宋体"/>
          <w:b/>
          <w:bCs/>
          <w:color w:val="auto"/>
          <w:spacing w:val="-4"/>
          <w:sz w:val="28"/>
          <w:szCs w:val="28"/>
          <w:highlight w:val="none"/>
        </w:rPr>
        <w:t>签订合同时间：</w:t>
      </w:r>
    </w:p>
    <w:p w14:paraId="5916D760">
      <w:pPr>
        <w:spacing w:line="380" w:lineRule="exact"/>
        <w:rPr>
          <w:rFonts w:ascii="宋体" w:hAnsi="宋体" w:cs="宋体"/>
          <w:b/>
          <w:bCs/>
          <w:color w:val="auto"/>
          <w:spacing w:val="-20"/>
          <w:kern w:val="44"/>
          <w:sz w:val="48"/>
          <w:szCs w:val="48"/>
          <w:highlight w:val="none"/>
        </w:rPr>
      </w:pPr>
    </w:p>
    <w:p w14:paraId="2E3738A0">
      <w:pPr>
        <w:spacing w:line="380" w:lineRule="exact"/>
        <w:rPr>
          <w:rFonts w:ascii="宋体" w:hAnsi="宋体" w:cs="宋体"/>
          <w:b/>
          <w:bCs/>
          <w:color w:val="auto"/>
          <w:spacing w:val="-20"/>
          <w:kern w:val="44"/>
          <w:sz w:val="48"/>
          <w:szCs w:val="48"/>
          <w:highlight w:val="none"/>
        </w:rPr>
      </w:pPr>
    </w:p>
    <w:p w14:paraId="1819DFB8">
      <w:pPr>
        <w:spacing w:line="380" w:lineRule="exact"/>
        <w:rPr>
          <w:rFonts w:ascii="宋体" w:hAnsi="宋体" w:cs="宋体"/>
          <w:b/>
          <w:bCs/>
          <w:color w:val="auto"/>
          <w:spacing w:val="-20"/>
          <w:kern w:val="44"/>
          <w:sz w:val="48"/>
          <w:szCs w:val="48"/>
          <w:highlight w:val="none"/>
        </w:rPr>
      </w:pPr>
    </w:p>
    <w:p w14:paraId="388AF054">
      <w:pPr>
        <w:spacing w:line="380" w:lineRule="exact"/>
        <w:rPr>
          <w:rFonts w:ascii="宋体" w:hAnsi="宋体" w:cs="宋体"/>
          <w:b/>
          <w:bCs/>
          <w:color w:val="auto"/>
          <w:spacing w:val="-20"/>
          <w:kern w:val="44"/>
          <w:sz w:val="48"/>
          <w:szCs w:val="48"/>
          <w:highlight w:val="none"/>
        </w:rPr>
      </w:pPr>
    </w:p>
    <w:p w14:paraId="76CBF1CA">
      <w:pPr>
        <w:spacing w:line="380" w:lineRule="exact"/>
        <w:rPr>
          <w:rFonts w:ascii="宋体" w:hAnsi="宋体" w:cs="宋体"/>
          <w:b/>
          <w:bCs/>
          <w:color w:val="auto"/>
          <w:spacing w:val="-20"/>
          <w:kern w:val="44"/>
          <w:sz w:val="48"/>
          <w:szCs w:val="48"/>
          <w:highlight w:val="none"/>
        </w:rPr>
      </w:pPr>
    </w:p>
    <w:p w14:paraId="0BBEC301">
      <w:pPr>
        <w:spacing w:line="380" w:lineRule="exact"/>
        <w:rPr>
          <w:rFonts w:ascii="宋体" w:hAnsi="宋体" w:cs="宋体"/>
          <w:b/>
          <w:bCs/>
          <w:color w:val="auto"/>
          <w:spacing w:val="-20"/>
          <w:kern w:val="44"/>
          <w:sz w:val="48"/>
          <w:szCs w:val="48"/>
          <w:highlight w:val="none"/>
        </w:rPr>
      </w:pPr>
    </w:p>
    <w:p w14:paraId="0352031A">
      <w:pPr>
        <w:spacing w:line="380" w:lineRule="exact"/>
        <w:rPr>
          <w:rFonts w:ascii="宋体" w:hAnsi="宋体" w:cs="宋体"/>
          <w:b/>
          <w:bCs/>
          <w:color w:val="auto"/>
          <w:spacing w:val="-20"/>
          <w:kern w:val="44"/>
          <w:sz w:val="48"/>
          <w:szCs w:val="48"/>
          <w:highlight w:val="none"/>
        </w:rPr>
      </w:pPr>
    </w:p>
    <w:p w14:paraId="165C7D3D">
      <w:pPr>
        <w:spacing w:line="380" w:lineRule="exact"/>
        <w:rPr>
          <w:rFonts w:ascii="宋体" w:hAnsi="宋体" w:cs="宋体"/>
          <w:b/>
          <w:bCs/>
          <w:color w:val="auto"/>
          <w:spacing w:val="-20"/>
          <w:kern w:val="44"/>
          <w:sz w:val="48"/>
          <w:szCs w:val="48"/>
          <w:highlight w:val="none"/>
        </w:rPr>
      </w:pPr>
    </w:p>
    <w:p w14:paraId="209C9DE4">
      <w:pPr>
        <w:rPr>
          <w:rFonts w:ascii="黑体" w:hAnsi="黑体" w:eastAsia="黑体" w:cs="黑体"/>
          <w:color w:val="auto"/>
          <w:spacing w:val="8"/>
          <w:sz w:val="35"/>
          <w:szCs w:val="35"/>
          <w:highlight w:val="none"/>
        </w:rPr>
      </w:pPr>
      <w:r>
        <w:rPr>
          <w:rFonts w:ascii="黑体" w:hAnsi="黑体" w:eastAsia="黑体" w:cs="黑体"/>
          <w:color w:val="auto"/>
          <w:spacing w:val="8"/>
          <w:sz w:val="35"/>
          <w:szCs w:val="35"/>
          <w:highlight w:val="none"/>
        </w:rPr>
        <w:br w:type="page"/>
      </w:r>
    </w:p>
    <w:p w14:paraId="302585B5">
      <w:pPr>
        <w:spacing w:before="72" w:line="227" w:lineRule="auto"/>
        <w:ind w:left="3208"/>
        <w:outlineLvl w:val="2"/>
        <w:rPr>
          <w:rFonts w:ascii="黑体" w:hAnsi="黑体" w:eastAsia="黑体" w:cs="黑体"/>
          <w:color w:val="auto"/>
          <w:sz w:val="35"/>
          <w:szCs w:val="35"/>
          <w:highlight w:val="none"/>
        </w:rPr>
      </w:pPr>
      <w:r>
        <w:rPr>
          <w:rFonts w:ascii="黑体" w:hAnsi="黑体" w:eastAsia="黑体" w:cs="黑体"/>
          <w:color w:val="auto"/>
          <w:spacing w:val="8"/>
          <w:sz w:val="35"/>
          <w:szCs w:val="35"/>
          <w:highlight w:val="none"/>
        </w:rPr>
        <w:t>北海市政府采购合同</w:t>
      </w:r>
    </w:p>
    <w:p w14:paraId="256B41C5">
      <w:pPr>
        <w:spacing w:before="59" w:line="228" w:lineRule="auto"/>
        <w:ind w:left="7141"/>
        <w:rPr>
          <w:rFonts w:ascii="宋体" w:hAnsi="宋体" w:cs="宋体"/>
          <w:color w:val="auto"/>
          <w:sz w:val="20"/>
          <w:szCs w:val="20"/>
          <w:highlight w:val="none"/>
        </w:rPr>
      </w:pPr>
      <w:r>
        <w:rPr>
          <w:rFonts w:ascii="宋体" w:hAnsi="宋体" w:cs="宋体"/>
          <w:color w:val="auto"/>
          <w:spacing w:val="5"/>
          <w:sz w:val="20"/>
          <w:szCs w:val="20"/>
          <w:highlight w:val="none"/>
        </w:rPr>
        <w:t>合同编号：</w:t>
      </w:r>
    </w:p>
    <w:p w14:paraId="3C5A7EB6">
      <w:pPr>
        <w:spacing w:line="405" w:lineRule="auto"/>
        <w:rPr>
          <w:color w:val="auto"/>
          <w:sz w:val="24"/>
          <w:highlight w:val="none"/>
        </w:rPr>
      </w:pPr>
    </w:p>
    <w:p w14:paraId="218B94C5">
      <w:pPr>
        <w:spacing w:before="65" w:line="227" w:lineRule="auto"/>
        <w:rPr>
          <w:rFonts w:ascii="宋体" w:hAnsi="宋体" w:cs="宋体"/>
          <w:color w:val="auto"/>
          <w:sz w:val="20"/>
          <w:szCs w:val="20"/>
          <w:highlight w:val="none"/>
        </w:rPr>
      </w:pPr>
      <w:r>
        <w:rPr>
          <w:rFonts w:ascii="宋体" w:hAnsi="宋体" w:cs="宋体"/>
          <w:color w:val="auto"/>
          <w:spacing w:val="12"/>
          <w:sz w:val="20"/>
          <w:szCs w:val="20"/>
          <w:highlight w:val="none"/>
        </w:rPr>
        <w:t>采购单位（甲方）</w:t>
      </w:r>
      <w:r>
        <w:rPr>
          <w:rFonts w:hint="eastAsia" w:ascii="宋体" w:hAnsi="宋体" w:cs="宋体"/>
          <w:color w:val="auto"/>
          <w:spacing w:val="12"/>
          <w:sz w:val="20"/>
          <w:szCs w:val="20"/>
          <w:highlight w:val="none"/>
        </w:rPr>
        <w:t xml:space="preserve">                                  </w:t>
      </w:r>
      <w:r>
        <w:rPr>
          <w:rFonts w:ascii="宋体" w:hAnsi="宋体" w:cs="宋体"/>
          <w:color w:val="auto"/>
          <w:spacing w:val="11"/>
          <w:sz w:val="20"/>
          <w:szCs w:val="20"/>
          <w:highlight w:val="none"/>
        </w:rPr>
        <w:t>采购计划号</w:t>
      </w:r>
    </w:p>
    <w:p w14:paraId="49A27073">
      <w:pPr>
        <w:spacing w:before="114" w:line="227" w:lineRule="auto"/>
        <w:rPr>
          <w:rFonts w:ascii="宋体" w:hAnsi="宋体" w:cs="宋体"/>
          <w:color w:val="auto"/>
          <w:sz w:val="20"/>
          <w:szCs w:val="20"/>
          <w:highlight w:val="none"/>
        </w:rPr>
      </w:pPr>
      <w:r>
        <w:rPr>
          <w:rFonts w:ascii="宋体" w:hAnsi="宋体" w:cs="宋体"/>
          <w:color w:val="auto"/>
          <w:spacing w:val="1"/>
          <w:sz w:val="20"/>
          <w:szCs w:val="20"/>
          <w:highlight w:val="none"/>
        </w:rPr>
        <w:t>供应商（乙方）</w:t>
      </w:r>
      <w:r>
        <w:rPr>
          <w:rFonts w:hint="eastAsia" w:ascii="宋体" w:hAnsi="宋体" w:cs="宋体"/>
          <w:color w:val="auto"/>
          <w:spacing w:val="1"/>
          <w:sz w:val="20"/>
          <w:szCs w:val="20"/>
          <w:highlight w:val="none"/>
        </w:rPr>
        <w:t xml:space="preserve">                                             </w:t>
      </w:r>
      <w:r>
        <w:rPr>
          <w:rFonts w:ascii="宋体" w:hAnsi="宋体" w:cs="宋体"/>
          <w:color w:val="auto"/>
          <w:spacing w:val="1"/>
          <w:sz w:val="20"/>
          <w:szCs w:val="20"/>
          <w:highlight w:val="none"/>
        </w:rPr>
        <w:t>项目名称编号</w:t>
      </w:r>
    </w:p>
    <w:p w14:paraId="4F7E10FB">
      <w:pPr>
        <w:spacing w:before="113" w:line="230" w:lineRule="auto"/>
        <w:rPr>
          <w:rFonts w:ascii="宋体" w:hAnsi="宋体" w:cs="宋体"/>
          <w:color w:val="auto"/>
          <w:sz w:val="20"/>
          <w:szCs w:val="20"/>
          <w:highlight w:val="none"/>
        </w:rPr>
      </w:pPr>
      <w:r>
        <w:rPr>
          <w:rFonts w:ascii="宋体" w:hAnsi="宋体" w:cs="宋体"/>
          <w:color w:val="auto"/>
          <w:spacing w:val="-2"/>
          <w:sz w:val="20"/>
          <w:szCs w:val="20"/>
          <w:highlight w:val="none"/>
        </w:rPr>
        <w:t>签订地点签订时间</w:t>
      </w:r>
    </w:p>
    <w:p w14:paraId="0E14C1DD">
      <w:pPr>
        <w:spacing w:line="404" w:lineRule="auto"/>
        <w:rPr>
          <w:color w:val="auto"/>
          <w:sz w:val="24"/>
          <w:highlight w:val="none"/>
        </w:rPr>
      </w:pPr>
    </w:p>
    <w:p w14:paraId="04AAD7DD">
      <w:pPr>
        <w:spacing w:before="66" w:line="332" w:lineRule="auto"/>
        <w:ind w:left="5" w:right="82" w:firstLine="420" w:firstLineChars="200"/>
        <w:rPr>
          <w:rFonts w:ascii="宋体" w:hAnsi="宋体" w:cs="宋体"/>
          <w:color w:val="auto"/>
          <w:sz w:val="20"/>
          <w:szCs w:val="20"/>
          <w:highlight w:val="none"/>
        </w:rPr>
      </w:pPr>
      <w:r>
        <w:rPr>
          <w:rFonts w:ascii="宋体" w:hAnsi="宋体" w:cs="宋体"/>
          <w:color w:val="auto"/>
          <w:spacing w:val="5"/>
          <w:sz w:val="20"/>
          <w:szCs w:val="20"/>
          <w:highlight w:val="none"/>
        </w:rPr>
        <w:t>根据《中华人民共和国政府采购法》、《中华人民共和国民法典》等法律、法规规定，按</w:t>
      </w:r>
      <w:r>
        <w:rPr>
          <w:rFonts w:ascii="宋体" w:hAnsi="宋体" w:cs="宋体"/>
          <w:color w:val="auto"/>
          <w:spacing w:val="4"/>
          <w:sz w:val="20"/>
          <w:szCs w:val="20"/>
          <w:highlight w:val="none"/>
        </w:rPr>
        <w:t>照</w:t>
      </w:r>
      <w:r>
        <w:rPr>
          <w:rFonts w:hint="eastAsia" w:ascii="宋体" w:hAnsi="宋体" w:cs="宋体"/>
          <w:color w:val="auto"/>
          <w:spacing w:val="4"/>
          <w:sz w:val="20"/>
          <w:szCs w:val="20"/>
          <w:highlight w:val="none"/>
        </w:rPr>
        <w:t>谈判</w:t>
      </w:r>
      <w:r>
        <w:rPr>
          <w:rFonts w:ascii="宋体" w:hAnsi="宋体" w:cs="宋体"/>
          <w:color w:val="auto"/>
          <w:spacing w:val="4"/>
          <w:sz w:val="20"/>
          <w:szCs w:val="20"/>
          <w:highlight w:val="none"/>
        </w:rPr>
        <w:t>文件规</w:t>
      </w:r>
      <w:r>
        <w:rPr>
          <w:rFonts w:ascii="宋体" w:hAnsi="宋体" w:cs="宋体"/>
          <w:color w:val="auto"/>
          <w:spacing w:val="7"/>
          <w:sz w:val="20"/>
          <w:szCs w:val="20"/>
          <w:highlight w:val="none"/>
        </w:rPr>
        <w:t>定条款和</w:t>
      </w:r>
      <w:r>
        <w:rPr>
          <w:rFonts w:hint="eastAsia" w:ascii="宋体" w:hAnsi="宋体" w:cs="宋体"/>
          <w:color w:val="auto"/>
          <w:spacing w:val="7"/>
          <w:sz w:val="20"/>
          <w:szCs w:val="20"/>
          <w:highlight w:val="none"/>
        </w:rPr>
        <w:t>成交供应商竞</w:t>
      </w:r>
      <w:r>
        <w:rPr>
          <w:rFonts w:ascii="宋体" w:hAnsi="宋体" w:cs="宋体"/>
          <w:color w:val="auto"/>
          <w:spacing w:val="7"/>
          <w:sz w:val="20"/>
          <w:szCs w:val="20"/>
          <w:highlight w:val="none"/>
        </w:rPr>
        <w:t>标文件及其承诺，甲乙双方签订本合同。</w:t>
      </w:r>
    </w:p>
    <w:p w14:paraId="7228DD36">
      <w:pPr>
        <w:spacing w:line="227" w:lineRule="auto"/>
        <w:ind w:left="420"/>
        <w:outlineLvl w:val="1"/>
        <w:rPr>
          <w:rFonts w:ascii="宋体" w:hAnsi="宋体" w:cs="宋体"/>
          <w:color w:val="auto"/>
          <w:sz w:val="20"/>
          <w:szCs w:val="20"/>
          <w:highlight w:val="none"/>
        </w:rPr>
      </w:pPr>
      <w:r>
        <w:rPr>
          <w:rFonts w:ascii="宋体" w:hAnsi="宋体" w:cs="宋体"/>
          <w:b/>
          <w:bCs/>
          <w:color w:val="auto"/>
          <w:spacing w:val="6"/>
          <w:sz w:val="20"/>
          <w:szCs w:val="20"/>
          <w:highlight w:val="none"/>
        </w:rPr>
        <w:t>第一条合同标的</w:t>
      </w:r>
    </w:p>
    <w:p w14:paraId="0591FB13">
      <w:pPr>
        <w:spacing w:before="114" w:line="227" w:lineRule="auto"/>
        <w:ind w:left="436"/>
        <w:rPr>
          <w:rFonts w:ascii="宋体" w:hAnsi="宋体" w:cs="宋体"/>
          <w:color w:val="auto"/>
          <w:sz w:val="20"/>
          <w:szCs w:val="20"/>
          <w:highlight w:val="none"/>
        </w:rPr>
      </w:pPr>
      <w:r>
        <w:rPr>
          <w:rFonts w:ascii="宋体" w:hAnsi="宋体" w:cs="宋体"/>
          <w:color w:val="auto"/>
          <w:spacing w:val="4"/>
          <w:sz w:val="20"/>
          <w:szCs w:val="20"/>
          <w:highlight w:val="none"/>
        </w:rPr>
        <w:t>1.供货一览表</w:t>
      </w:r>
    </w:p>
    <w:p w14:paraId="37BBBC1B">
      <w:pPr>
        <w:spacing w:line="231" w:lineRule="exact"/>
        <w:rPr>
          <w:color w:val="auto"/>
          <w:highlight w:val="none"/>
        </w:rPr>
      </w:pPr>
    </w:p>
    <w:tbl>
      <w:tblPr>
        <w:tblStyle w:val="249"/>
        <w:tblW w:w="9165" w:type="dxa"/>
        <w:tblInd w:w="27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5"/>
        <w:gridCol w:w="1252"/>
        <w:gridCol w:w="1081"/>
        <w:gridCol w:w="1186"/>
        <w:gridCol w:w="1068"/>
        <w:gridCol w:w="963"/>
        <w:gridCol w:w="1002"/>
        <w:gridCol w:w="752"/>
        <w:gridCol w:w="1046"/>
      </w:tblGrid>
      <w:tr w14:paraId="7CDDF1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0" w:hRule="atLeast"/>
        </w:trPr>
        <w:tc>
          <w:tcPr>
            <w:tcW w:w="815" w:type="dxa"/>
          </w:tcPr>
          <w:p w14:paraId="59A1D3E2">
            <w:pPr>
              <w:spacing w:before="259" w:line="229" w:lineRule="auto"/>
              <w:ind w:left="201"/>
              <w:jc w:val="center"/>
              <w:rPr>
                <w:rFonts w:ascii="宋体" w:hAnsi="宋体" w:cs="宋体"/>
                <w:color w:val="auto"/>
                <w:sz w:val="20"/>
                <w:szCs w:val="20"/>
                <w:highlight w:val="none"/>
              </w:rPr>
            </w:pPr>
            <w:r>
              <w:rPr>
                <w:rFonts w:ascii="宋体" w:hAnsi="宋体" w:cs="宋体"/>
                <w:color w:val="auto"/>
                <w:spacing w:val="5"/>
                <w:sz w:val="20"/>
                <w:szCs w:val="20"/>
                <w:highlight w:val="none"/>
              </w:rPr>
              <w:t>序号</w:t>
            </w:r>
          </w:p>
        </w:tc>
        <w:tc>
          <w:tcPr>
            <w:tcW w:w="1252" w:type="dxa"/>
          </w:tcPr>
          <w:p w14:paraId="4A02B2F0">
            <w:pPr>
              <w:spacing w:before="259" w:line="229" w:lineRule="auto"/>
              <w:ind w:left="201"/>
              <w:jc w:val="center"/>
              <w:rPr>
                <w:rFonts w:ascii="宋体" w:hAnsi="宋体" w:cs="宋体"/>
                <w:color w:val="auto"/>
                <w:spacing w:val="5"/>
                <w:sz w:val="20"/>
                <w:szCs w:val="20"/>
                <w:highlight w:val="none"/>
              </w:rPr>
            </w:pPr>
            <w:r>
              <w:rPr>
                <w:rFonts w:ascii="宋体" w:hAnsi="宋体" w:cs="宋体"/>
                <w:color w:val="auto"/>
                <w:spacing w:val="5"/>
                <w:sz w:val="20"/>
                <w:szCs w:val="20"/>
                <w:highlight w:val="none"/>
              </w:rPr>
              <w:t>产品名称</w:t>
            </w:r>
          </w:p>
        </w:tc>
        <w:tc>
          <w:tcPr>
            <w:tcW w:w="1081" w:type="dxa"/>
          </w:tcPr>
          <w:p w14:paraId="49BB84F7">
            <w:pPr>
              <w:spacing w:before="259" w:line="229" w:lineRule="auto"/>
              <w:ind w:left="201"/>
              <w:jc w:val="center"/>
              <w:rPr>
                <w:rFonts w:ascii="宋体" w:hAnsi="宋体" w:cs="宋体"/>
                <w:color w:val="auto"/>
                <w:spacing w:val="5"/>
                <w:sz w:val="20"/>
                <w:szCs w:val="20"/>
                <w:highlight w:val="none"/>
              </w:rPr>
            </w:pPr>
            <w:r>
              <w:rPr>
                <w:rFonts w:ascii="宋体" w:hAnsi="宋体" w:cs="宋体"/>
                <w:color w:val="auto"/>
                <w:spacing w:val="5"/>
                <w:sz w:val="20"/>
                <w:szCs w:val="20"/>
                <w:highlight w:val="none"/>
              </w:rPr>
              <w:t>商标品牌</w:t>
            </w:r>
          </w:p>
        </w:tc>
        <w:tc>
          <w:tcPr>
            <w:tcW w:w="1186" w:type="dxa"/>
          </w:tcPr>
          <w:p w14:paraId="7E3B0266">
            <w:pPr>
              <w:spacing w:before="259" w:line="229" w:lineRule="auto"/>
              <w:ind w:left="201"/>
              <w:jc w:val="center"/>
              <w:rPr>
                <w:rFonts w:ascii="宋体" w:hAnsi="宋体" w:cs="宋体"/>
                <w:color w:val="auto"/>
                <w:spacing w:val="5"/>
                <w:sz w:val="20"/>
                <w:szCs w:val="20"/>
                <w:highlight w:val="none"/>
              </w:rPr>
            </w:pPr>
            <w:r>
              <w:rPr>
                <w:rFonts w:ascii="宋体" w:hAnsi="宋体" w:cs="宋体"/>
                <w:color w:val="auto"/>
                <w:spacing w:val="5"/>
                <w:sz w:val="20"/>
                <w:szCs w:val="20"/>
                <w:highlight w:val="none"/>
              </w:rPr>
              <w:t>规格型号</w:t>
            </w:r>
          </w:p>
        </w:tc>
        <w:tc>
          <w:tcPr>
            <w:tcW w:w="1068" w:type="dxa"/>
          </w:tcPr>
          <w:p w14:paraId="7B8E225A">
            <w:pPr>
              <w:spacing w:before="259" w:line="229" w:lineRule="auto"/>
              <w:ind w:left="201"/>
              <w:jc w:val="center"/>
              <w:rPr>
                <w:rFonts w:ascii="宋体" w:hAnsi="宋体" w:cs="宋体"/>
                <w:color w:val="auto"/>
                <w:spacing w:val="5"/>
                <w:sz w:val="20"/>
                <w:szCs w:val="20"/>
                <w:highlight w:val="none"/>
              </w:rPr>
            </w:pPr>
            <w:r>
              <w:rPr>
                <w:rFonts w:ascii="宋体" w:hAnsi="宋体" w:cs="宋体"/>
                <w:color w:val="auto"/>
                <w:spacing w:val="5"/>
                <w:sz w:val="20"/>
                <w:szCs w:val="20"/>
                <w:highlight w:val="none"/>
              </w:rPr>
              <w:t>生产厂家</w:t>
            </w:r>
          </w:p>
        </w:tc>
        <w:tc>
          <w:tcPr>
            <w:tcW w:w="963" w:type="dxa"/>
          </w:tcPr>
          <w:p w14:paraId="1C6A080A">
            <w:pPr>
              <w:spacing w:before="259" w:line="229" w:lineRule="auto"/>
              <w:ind w:left="201"/>
              <w:jc w:val="center"/>
              <w:rPr>
                <w:rFonts w:ascii="宋体" w:hAnsi="宋体" w:cs="宋体"/>
                <w:color w:val="auto"/>
                <w:spacing w:val="5"/>
                <w:sz w:val="20"/>
                <w:szCs w:val="20"/>
                <w:highlight w:val="none"/>
              </w:rPr>
            </w:pPr>
            <w:r>
              <w:rPr>
                <w:rFonts w:ascii="宋体" w:hAnsi="宋体" w:cs="宋体"/>
                <w:color w:val="auto"/>
                <w:spacing w:val="5"/>
                <w:sz w:val="20"/>
                <w:szCs w:val="20"/>
                <w:highlight w:val="none"/>
              </w:rPr>
              <w:t>单位</w:t>
            </w:r>
          </w:p>
        </w:tc>
        <w:tc>
          <w:tcPr>
            <w:tcW w:w="1002" w:type="dxa"/>
          </w:tcPr>
          <w:p w14:paraId="02B87290">
            <w:pPr>
              <w:spacing w:before="259" w:line="229" w:lineRule="auto"/>
              <w:ind w:left="201"/>
              <w:jc w:val="center"/>
              <w:rPr>
                <w:rFonts w:ascii="宋体" w:hAnsi="宋体" w:cs="宋体"/>
                <w:color w:val="auto"/>
                <w:spacing w:val="5"/>
                <w:sz w:val="20"/>
                <w:szCs w:val="20"/>
                <w:highlight w:val="none"/>
              </w:rPr>
            </w:pPr>
            <w:r>
              <w:rPr>
                <w:rFonts w:ascii="宋体" w:hAnsi="宋体" w:cs="宋体"/>
                <w:color w:val="auto"/>
                <w:spacing w:val="5"/>
                <w:sz w:val="20"/>
                <w:szCs w:val="20"/>
                <w:highlight w:val="none"/>
              </w:rPr>
              <w:t>单价（元）</w:t>
            </w:r>
          </w:p>
        </w:tc>
        <w:tc>
          <w:tcPr>
            <w:tcW w:w="752" w:type="dxa"/>
          </w:tcPr>
          <w:p w14:paraId="5468DD61">
            <w:pPr>
              <w:spacing w:before="259" w:line="229" w:lineRule="auto"/>
              <w:ind w:left="201"/>
              <w:jc w:val="center"/>
              <w:rPr>
                <w:rFonts w:ascii="宋体" w:hAnsi="宋体" w:cs="宋体"/>
                <w:color w:val="auto"/>
                <w:spacing w:val="5"/>
                <w:sz w:val="20"/>
                <w:szCs w:val="20"/>
                <w:highlight w:val="none"/>
              </w:rPr>
            </w:pPr>
            <w:r>
              <w:rPr>
                <w:rFonts w:hint="eastAsia" w:ascii="宋体" w:hAnsi="宋体" w:cs="宋体"/>
                <w:color w:val="auto"/>
                <w:spacing w:val="5"/>
                <w:sz w:val="20"/>
                <w:szCs w:val="20"/>
                <w:highlight w:val="none"/>
              </w:rPr>
              <w:t>数量</w:t>
            </w:r>
          </w:p>
        </w:tc>
        <w:tc>
          <w:tcPr>
            <w:tcW w:w="1046" w:type="dxa"/>
          </w:tcPr>
          <w:p w14:paraId="577E809E">
            <w:pPr>
              <w:spacing w:before="259" w:line="229" w:lineRule="auto"/>
              <w:ind w:left="201"/>
              <w:jc w:val="center"/>
              <w:rPr>
                <w:rFonts w:ascii="宋体" w:hAnsi="宋体" w:cs="宋体"/>
                <w:color w:val="auto"/>
                <w:spacing w:val="5"/>
                <w:sz w:val="20"/>
                <w:szCs w:val="20"/>
                <w:highlight w:val="none"/>
              </w:rPr>
            </w:pPr>
            <w:r>
              <w:rPr>
                <w:rFonts w:hint="eastAsia" w:ascii="宋体" w:hAnsi="宋体" w:cs="宋体"/>
                <w:color w:val="auto"/>
                <w:spacing w:val="5"/>
                <w:sz w:val="20"/>
                <w:szCs w:val="20"/>
                <w:highlight w:val="none"/>
              </w:rPr>
              <w:t>金额（元）</w:t>
            </w:r>
          </w:p>
        </w:tc>
      </w:tr>
      <w:tr w14:paraId="7D9997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9" w:hRule="atLeast"/>
        </w:trPr>
        <w:tc>
          <w:tcPr>
            <w:tcW w:w="815" w:type="dxa"/>
          </w:tcPr>
          <w:p w14:paraId="4A9DC677">
            <w:pPr>
              <w:spacing w:before="129" w:line="270" w:lineRule="exact"/>
              <w:ind w:left="376"/>
              <w:rPr>
                <w:rFonts w:ascii="宋体" w:hAnsi="宋体" w:cs="宋体"/>
                <w:color w:val="auto"/>
                <w:sz w:val="20"/>
                <w:szCs w:val="20"/>
                <w:highlight w:val="none"/>
              </w:rPr>
            </w:pPr>
            <w:r>
              <w:rPr>
                <w:rFonts w:ascii="宋体" w:hAnsi="宋体" w:cs="宋体"/>
                <w:color w:val="auto"/>
                <w:position w:val="1"/>
                <w:sz w:val="20"/>
                <w:szCs w:val="20"/>
                <w:highlight w:val="none"/>
              </w:rPr>
              <w:t>1</w:t>
            </w:r>
          </w:p>
        </w:tc>
        <w:tc>
          <w:tcPr>
            <w:tcW w:w="1252" w:type="dxa"/>
          </w:tcPr>
          <w:p w14:paraId="732A41E4">
            <w:pPr>
              <w:spacing w:before="68"/>
              <w:rPr>
                <w:rFonts w:ascii="宋体" w:hAnsi="宋体" w:cs="宋体"/>
                <w:color w:val="auto"/>
                <w:szCs w:val="21"/>
                <w:highlight w:val="none"/>
                <w:lang w:eastAsia="en-US"/>
              </w:rPr>
            </w:pPr>
          </w:p>
        </w:tc>
        <w:tc>
          <w:tcPr>
            <w:tcW w:w="1081" w:type="dxa"/>
          </w:tcPr>
          <w:p w14:paraId="4A64812C">
            <w:pPr>
              <w:spacing w:before="68"/>
              <w:rPr>
                <w:rFonts w:ascii="宋体" w:hAnsi="宋体" w:cs="宋体"/>
                <w:color w:val="auto"/>
                <w:szCs w:val="21"/>
                <w:highlight w:val="none"/>
                <w:lang w:eastAsia="en-US"/>
              </w:rPr>
            </w:pPr>
          </w:p>
        </w:tc>
        <w:tc>
          <w:tcPr>
            <w:tcW w:w="1186" w:type="dxa"/>
          </w:tcPr>
          <w:p w14:paraId="0E04BF88">
            <w:pPr>
              <w:spacing w:before="68"/>
              <w:rPr>
                <w:rFonts w:ascii="宋体" w:hAnsi="宋体" w:cs="宋体"/>
                <w:color w:val="auto"/>
                <w:szCs w:val="21"/>
                <w:highlight w:val="none"/>
                <w:lang w:eastAsia="en-US"/>
              </w:rPr>
            </w:pPr>
          </w:p>
        </w:tc>
        <w:tc>
          <w:tcPr>
            <w:tcW w:w="1068" w:type="dxa"/>
          </w:tcPr>
          <w:p w14:paraId="7AC23162">
            <w:pPr>
              <w:spacing w:before="68"/>
              <w:rPr>
                <w:rFonts w:ascii="宋体" w:hAnsi="宋体" w:cs="宋体"/>
                <w:color w:val="auto"/>
                <w:szCs w:val="21"/>
                <w:highlight w:val="none"/>
                <w:lang w:eastAsia="en-US"/>
              </w:rPr>
            </w:pPr>
          </w:p>
        </w:tc>
        <w:tc>
          <w:tcPr>
            <w:tcW w:w="963" w:type="dxa"/>
          </w:tcPr>
          <w:p w14:paraId="418205F9">
            <w:pPr>
              <w:spacing w:before="68"/>
              <w:rPr>
                <w:rFonts w:ascii="宋体" w:hAnsi="宋体" w:cs="宋体"/>
                <w:color w:val="auto"/>
                <w:szCs w:val="21"/>
                <w:highlight w:val="none"/>
                <w:lang w:eastAsia="en-US"/>
              </w:rPr>
            </w:pPr>
          </w:p>
        </w:tc>
        <w:tc>
          <w:tcPr>
            <w:tcW w:w="1002" w:type="dxa"/>
          </w:tcPr>
          <w:p w14:paraId="21DB98B7">
            <w:pPr>
              <w:spacing w:before="68"/>
              <w:rPr>
                <w:rFonts w:ascii="宋体" w:hAnsi="宋体" w:cs="宋体"/>
                <w:color w:val="auto"/>
                <w:szCs w:val="21"/>
                <w:highlight w:val="none"/>
                <w:lang w:eastAsia="en-US"/>
              </w:rPr>
            </w:pPr>
          </w:p>
        </w:tc>
        <w:tc>
          <w:tcPr>
            <w:tcW w:w="752" w:type="dxa"/>
          </w:tcPr>
          <w:p w14:paraId="41527DF6">
            <w:pPr>
              <w:spacing w:before="68"/>
              <w:rPr>
                <w:rFonts w:ascii="宋体" w:hAnsi="宋体" w:cs="宋体"/>
                <w:color w:val="auto"/>
                <w:szCs w:val="21"/>
                <w:highlight w:val="none"/>
                <w:lang w:eastAsia="en-US"/>
              </w:rPr>
            </w:pPr>
          </w:p>
        </w:tc>
        <w:tc>
          <w:tcPr>
            <w:tcW w:w="1046" w:type="dxa"/>
          </w:tcPr>
          <w:p w14:paraId="67D9E03F">
            <w:pPr>
              <w:spacing w:before="68"/>
              <w:rPr>
                <w:rFonts w:ascii="宋体" w:hAnsi="宋体" w:cs="宋体"/>
                <w:color w:val="auto"/>
                <w:szCs w:val="21"/>
                <w:highlight w:val="none"/>
                <w:lang w:eastAsia="en-US"/>
              </w:rPr>
            </w:pPr>
          </w:p>
        </w:tc>
      </w:tr>
      <w:tr w14:paraId="2AE6DE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9" w:hRule="atLeast"/>
        </w:trPr>
        <w:tc>
          <w:tcPr>
            <w:tcW w:w="815" w:type="dxa"/>
          </w:tcPr>
          <w:p w14:paraId="4C233B87">
            <w:pPr>
              <w:spacing w:before="130" w:line="270" w:lineRule="exact"/>
              <w:ind w:left="363"/>
              <w:rPr>
                <w:rFonts w:ascii="宋体" w:hAnsi="宋体" w:cs="宋体"/>
                <w:color w:val="auto"/>
                <w:sz w:val="20"/>
                <w:szCs w:val="20"/>
                <w:highlight w:val="none"/>
              </w:rPr>
            </w:pPr>
            <w:r>
              <w:rPr>
                <w:rFonts w:ascii="宋体" w:hAnsi="宋体" w:cs="宋体"/>
                <w:color w:val="auto"/>
                <w:position w:val="1"/>
                <w:sz w:val="20"/>
                <w:szCs w:val="20"/>
                <w:highlight w:val="none"/>
              </w:rPr>
              <w:t>2</w:t>
            </w:r>
          </w:p>
        </w:tc>
        <w:tc>
          <w:tcPr>
            <w:tcW w:w="1252" w:type="dxa"/>
          </w:tcPr>
          <w:p w14:paraId="2CBC3979">
            <w:pPr>
              <w:spacing w:before="68"/>
              <w:rPr>
                <w:rFonts w:ascii="宋体" w:hAnsi="宋体" w:cs="宋体"/>
                <w:color w:val="auto"/>
                <w:szCs w:val="21"/>
                <w:highlight w:val="none"/>
                <w:lang w:eastAsia="en-US"/>
              </w:rPr>
            </w:pPr>
          </w:p>
        </w:tc>
        <w:tc>
          <w:tcPr>
            <w:tcW w:w="1081" w:type="dxa"/>
          </w:tcPr>
          <w:p w14:paraId="708398F2">
            <w:pPr>
              <w:spacing w:before="68"/>
              <w:rPr>
                <w:rFonts w:ascii="宋体" w:hAnsi="宋体" w:cs="宋体"/>
                <w:color w:val="auto"/>
                <w:szCs w:val="21"/>
                <w:highlight w:val="none"/>
                <w:lang w:eastAsia="en-US"/>
              </w:rPr>
            </w:pPr>
          </w:p>
        </w:tc>
        <w:tc>
          <w:tcPr>
            <w:tcW w:w="1186" w:type="dxa"/>
          </w:tcPr>
          <w:p w14:paraId="0D08491E">
            <w:pPr>
              <w:spacing w:before="68"/>
              <w:rPr>
                <w:rFonts w:ascii="宋体" w:hAnsi="宋体" w:cs="宋体"/>
                <w:color w:val="auto"/>
                <w:szCs w:val="21"/>
                <w:highlight w:val="none"/>
                <w:lang w:eastAsia="en-US"/>
              </w:rPr>
            </w:pPr>
          </w:p>
        </w:tc>
        <w:tc>
          <w:tcPr>
            <w:tcW w:w="1068" w:type="dxa"/>
          </w:tcPr>
          <w:p w14:paraId="48C4B7EF">
            <w:pPr>
              <w:spacing w:before="68"/>
              <w:rPr>
                <w:rFonts w:ascii="宋体" w:hAnsi="宋体" w:cs="宋体"/>
                <w:color w:val="auto"/>
                <w:szCs w:val="21"/>
                <w:highlight w:val="none"/>
                <w:lang w:eastAsia="en-US"/>
              </w:rPr>
            </w:pPr>
          </w:p>
        </w:tc>
        <w:tc>
          <w:tcPr>
            <w:tcW w:w="963" w:type="dxa"/>
          </w:tcPr>
          <w:p w14:paraId="4AD0D989">
            <w:pPr>
              <w:spacing w:before="68"/>
              <w:rPr>
                <w:rFonts w:ascii="宋体" w:hAnsi="宋体" w:cs="宋体"/>
                <w:color w:val="auto"/>
                <w:szCs w:val="21"/>
                <w:highlight w:val="none"/>
                <w:lang w:eastAsia="en-US"/>
              </w:rPr>
            </w:pPr>
          </w:p>
        </w:tc>
        <w:tc>
          <w:tcPr>
            <w:tcW w:w="1002" w:type="dxa"/>
          </w:tcPr>
          <w:p w14:paraId="1ED31724">
            <w:pPr>
              <w:spacing w:before="68"/>
              <w:rPr>
                <w:rFonts w:ascii="宋体" w:hAnsi="宋体" w:cs="宋体"/>
                <w:color w:val="auto"/>
                <w:szCs w:val="21"/>
                <w:highlight w:val="none"/>
                <w:lang w:eastAsia="en-US"/>
              </w:rPr>
            </w:pPr>
          </w:p>
        </w:tc>
        <w:tc>
          <w:tcPr>
            <w:tcW w:w="752" w:type="dxa"/>
          </w:tcPr>
          <w:p w14:paraId="38777897">
            <w:pPr>
              <w:spacing w:before="68"/>
              <w:rPr>
                <w:rFonts w:ascii="宋体" w:hAnsi="宋体" w:cs="宋体"/>
                <w:color w:val="auto"/>
                <w:szCs w:val="21"/>
                <w:highlight w:val="none"/>
                <w:lang w:eastAsia="en-US"/>
              </w:rPr>
            </w:pPr>
          </w:p>
        </w:tc>
        <w:tc>
          <w:tcPr>
            <w:tcW w:w="1046" w:type="dxa"/>
          </w:tcPr>
          <w:p w14:paraId="400C21BB">
            <w:pPr>
              <w:spacing w:before="68"/>
              <w:rPr>
                <w:rFonts w:ascii="宋体" w:hAnsi="宋体" w:cs="宋体"/>
                <w:color w:val="auto"/>
                <w:szCs w:val="21"/>
                <w:highlight w:val="none"/>
                <w:lang w:eastAsia="en-US"/>
              </w:rPr>
            </w:pPr>
          </w:p>
        </w:tc>
      </w:tr>
      <w:tr w14:paraId="2299CE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9" w:hRule="atLeast"/>
        </w:trPr>
        <w:tc>
          <w:tcPr>
            <w:tcW w:w="815" w:type="dxa"/>
          </w:tcPr>
          <w:p w14:paraId="0BF1FCCA">
            <w:pPr>
              <w:spacing w:before="131" w:line="269" w:lineRule="exact"/>
              <w:ind w:left="364"/>
              <w:rPr>
                <w:rFonts w:ascii="宋体" w:hAnsi="宋体" w:cs="宋体"/>
                <w:color w:val="auto"/>
                <w:sz w:val="20"/>
                <w:szCs w:val="20"/>
                <w:highlight w:val="none"/>
              </w:rPr>
            </w:pPr>
            <w:r>
              <w:rPr>
                <w:rFonts w:ascii="宋体" w:hAnsi="宋体" w:cs="宋体"/>
                <w:color w:val="auto"/>
                <w:position w:val="1"/>
                <w:sz w:val="20"/>
                <w:szCs w:val="20"/>
                <w:highlight w:val="none"/>
              </w:rPr>
              <w:t>3</w:t>
            </w:r>
          </w:p>
        </w:tc>
        <w:tc>
          <w:tcPr>
            <w:tcW w:w="1252" w:type="dxa"/>
          </w:tcPr>
          <w:p w14:paraId="35B94E6A">
            <w:pPr>
              <w:spacing w:before="68"/>
              <w:rPr>
                <w:rFonts w:ascii="宋体" w:hAnsi="宋体" w:cs="宋体"/>
                <w:color w:val="auto"/>
                <w:szCs w:val="21"/>
                <w:highlight w:val="none"/>
                <w:lang w:eastAsia="en-US"/>
              </w:rPr>
            </w:pPr>
          </w:p>
        </w:tc>
        <w:tc>
          <w:tcPr>
            <w:tcW w:w="1081" w:type="dxa"/>
          </w:tcPr>
          <w:p w14:paraId="1C511CA3">
            <w:pPr>
              <w:spacing w:before="68"/>
              <w:rPr>
                <w:rFonts w:ascii="宋体" w:hAnsi="宋体" w:cs="宋体"/>
                <w:color w:val="auto"/>
                <w:szCs w:val="21"/>
                <w:highlight w:val="none"/>
                <w:lang w:eastAsia="en-US"/>
              </w:rPr>
            </w:pPr>
          </w:p>
        </w:tc>
        <w:tc>
          <w:tcPr>
            <w:tcW w:w="1186" w:type="dxa"/>
          </w:tcPr>
          <w:p w14:paraId="46D20966">
            <w:pPr>
              <w:spacing w:before="68"/>
              <w:rPr>
                <w:rFonts w:ascii="宋体" w:hAnsi="宋体" w:cs="宋体"/>
                <w:color w:val="auto"/>
                <w:szCs w:val="21"/>
                <w:highlight w:val="none"/>
                <w:lang w:eastAsia="en-US"/>
              </w:rPr>
            </w:pPr>
          </w:p>
        </w:tc>
        <w:tc>
          <w:tcPr>
            <w:tcW w:w="1068" w:type="dxa"/>
          </w:tcPr>
          <w:p w14:paraId="28C9BB26">
            <w:pPr>
              <w:spacing w:before="68"/>
              <w:rPr>
                <w:rFonts w:ascii="宋体" w:hAnsi="宋体" w:cs="宋体"/>
                <w:color w:val="auto"/>
                <w:szCs w:val="21"/>
                <w:highlight w:val="none"/>
                <w:lang w:eastAsia="en-US"/>
              </w:rPr>
            </w:pPr>
          </w:p>
        </w:tc>
        <w:tc>
          <w:tcPr>
            <w:tcW w:w="963" w:type="dxa"/>
          </w:tcPr>
          <w:p w14:paraId="6EA12FFC">
            <w:pPr>
              <w:spacing w:before="68"/>
              <w:rPr>
                <w:rFonts w:ascii="宋体" w:hAnsi="宋体" w:cs="宋体"/>
                <w:color w:val="auto"/>
                <w:szCs w:val="21"/>
                <w:highlight w:val="none"/>
                <w:lang w:eastAsia="en-US"/>
              </w:rPr>
            </w:pPr>
          </w:p>
        </w:tc>
        <w:tc>
          <w:tcPr>
            <w:tcW w:w="1002" w:type="dxa"/>
          </w:tcPr>
          <w:p w14:paraId="7DEE4929">
            <w:pPr>
              <w:spacing w:before="68"/>
              <w:rPr>
                <w:rFonts w:ascii="宋体" w:hAnsi="宋体" w:cs="宋体"/>
                <w:color w:val="auto"/>
                <w:szCs w:val="21"/>
                <w:highlight w:val="none"/>
                <w:lang w:eastAsia="en-US"/>
              </w:rPr>
            </w:pPr>
          </w:p>
        </w:tc>
        <w:tc>
          <w:tcPr>
            <w:tcW w:w="752" w:type="dxa"/>
          </w:tcPr>
          <w:p w14:paraId="73BB126B">
            <w:pPr>
              <w:spacing w:before="68"/>
              <w:rPr>
                <w:rFonts w:ascii="宋体" w:hAnsi="宋体" w:cs="宋体"/>
                <w:color w:val="auto"/>
                <w:szCs w:val="21"/>
                <w:highlight w:val="none"/>
                <w:lang w:eastAsia="en-US"/>
              </w:rPr>
            </w:pPr>
          </w:p>
        </w:tc>
        <w:tc>
          <w:tcPr>
            <w:tcW w:w="1046" w:type="dxa"/>
          </w:tcPr>
          <w:p w14:paraId="41BDB3B9">
            <w:pPr>
              <w:spacing w:before="68"/>
              <w:rPr>
                <w:rFonts w:ascii="宋体" w:hAnsi="宋体" w:cs="宋体"/>
                <w:color w:val="auto"/>
                <w:szCs w:val="21"/>
                <w:highlight w:val="none"/>
                <w:lang w:eastAsia="en-US"/>
              </w:rPr>
            </w:pPr>
          </w:p>
        </w:tc>
      </w:tr>
      <w:tr w14:paraId="15A649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9" w:hRule="atLeast"/>
        </w:trPr>
        <w:tc>
          <w:tcPr>
            <w:tcW w:w="815" w:type="dxa"/>
          </w:tcPr>
          <w:p w14:paraId="71173A50">
            <w:pPr>
              <w:spacing w:before="131" w:line="269" w:lineRule="exact"/>
              <w:ind w:left="364"/>
              <w:rPr>
                <w:rFonts w:ascii="宋体" w:hAnsi="宋体" w:cs="宋体"/>
                <w:color w:val="auto"/>
                <w:position w:val="1"/>
                <w:sz w:val="20"/>
                <w:szCs w:val="20"/>
                <w:highlight w:val="none"/>
              </w:rPr>
            </w:pPr>
            <w:r>
              <w:rPr>
                <w:rFonts w:hint="eastAsia" w:ascii="宋体" w:hAnsi="宋体" w:cs="宋体"/>
                <w:color w:val="auto"/>
                <w:position w:val="1"/>
                <w:sz w:val="20"/>
                <w:szCs w:val="20"/>
                <w:highlight w:val="none"/>
              </w:rPr>
              <w:t>...</w:t>
            </w:r>
          </w:p>
        </w:tc>
        <w:tc>
          <w:tcPr>
            <w:tcW w:w="1252" w:type="dxa"/>
          </w:tcPr>
          <w:p w14:paraId="189AF19D">
            <w:pPr>
              <w:spacing w:before="68"/>
              <w:rPr>
                <w:rFonts w:ascii="宋体" w:hAnsi="宋体" w:cs="宋体"/>
                <w:color w:val="auto"/>
                <w:szCs w:val="21"/>
                <w:highlight w:val="none"/>
                <w:lang w:eastAsia="en-US"/>
              </w:rPr>
            </w:pPr>
          </w:p>
        </w:tc>
        <w:tc>
          <w:tcPr>
            <w:tcW w:w="1081" w:type="dxa"/>
          </w:tcPr>
          <w:p w14:paraId="1FC05272">
            <w:pPr>
              <w:spacing w:before="68"/>
              <w:rPr>
                <w:rFonts w:ascii="宋体" w:hAnsi="宋体" w:cs="宋体"/>
                <w:color w:val="auto"/>
                <w:szCs w:val="21"/>
                <w:highlight w:val="none"/>
                <w:lang w:eastAsia="en-US"/>
              </w:rPr>
            </w:pPr>
          </w:p>
        </w:tc>
        <w:tc>
          <w:tcPr>
            <w:tcW w:w="1186" w:type="dxa"/>
          </w:tcPr>
          <w:p w14:paraId="08D4307D">
            <w:pPr>
              <w:spacing w:before="68"/>
              <w:rPr>
                <w:rFonts w:ascii="宋体" w:hAnsi="宋体" w:cs="宋体"/>
                <w:color w:val="auto"/>
                <w:szCs w:val="21"/>
                <w:highlight w:val="none"/>
                <w:lang w:eastAsia="en-US"/>
              </w:rPr>
            </w:pPr>
          </w:p>
        </w:tc>
        <w:tc>
          <w:tcPr>
            <w:tcW w:w="1068" w:type="dxa"/>
          </w:tcPr>
          <w:p w14:paraId="3C0655DE">
            <w:pPr>
              <w:spacing w:before="68"/>
              <w:rPr>
                <w:rFonts w:ascii="宋体" w:hAnsi="宋体" w:cs="宋体"/>
                <w:color w:val="auto"/>
                <w:szCs w:val="21"/>
                <w:highlight w:val="none"/>
                <w:lang w:eastAsia="en-US"/>
              </w:rPr>
            </w:pPr>
          </w:p>
        </w:tc>
        <w:tc>
          <w:tcPr>
            <w:tcW w:w="963" w:type="dxa"/>
          </w:tcPr>
          <w:p w14:paraId="1D87F7AC">
            <w:pPr>
              <w:spacing w:before="68"/>
              <w:rPr>
                <w:rFonts w:ascii="宋体" w:hAnsi="宋体" w:cs="宋体"/>
                <w:color w:val="auto"/>
                <w:szCs w:val="21"/>
                <w:highlight w:val="none"/>
                <w:lang w:eastAsia="en-US"/>
              </w:rPr>
            </w:pPr>
          </w:p>
        </w:tc>
        <w:tc>
          <w:tcPr>
            <w:tcW w:w="1002" w:type="dxa"/>
          </w:tcPr>
          <w:p w14:paraId="49234900">
            <w:pPr>
              <w:spacing w:before="68"/>
              <w:rPr>
                <w:rFonts w:ascii="宋体" w:hAnsi="宋体" w:cs="宋体"/>
                <w:color w:val="auto"/>
                <w:szCs w:val="21"/>
                <w:highlight w:val="none"/>
                <w:lang w:eastAsia="en-US"/>
              </w:rPr>
            </w:pPr>
          </w:p>
        </w:tc>
        <w:tc>
          <w:tcPr>
            <w:tcW w:w="752" w:type="dxa"/>
          </w:tcPr>
          <w:p w14:paraId="03FE0B8F">
            <w:pPr>
              <w:spacing w:before="68"/>
              <w:rPr>
                <w:rFonts w:ascii="宋体" w:hAnsi="宋体" w:cs="宋体"/>
                <w:color w:val="auto"/>
                <w:szCs w:val="21"/>
                <w:highlight w:val="none"/>
                <w:lang w:eastAsia="en-US"/>
              </w:rPr>
            </w:pPr>
          </w:p>
        </w:tc>
        <w:tc>
          <w:tcPr>
            <w:tcW w:w="1046" w:type="dxa"/>
          </w:tcPr>
          <w:p w14:paraId="798BE25B">
            <w:pPr>
              <w:spacing w:before="68"/>
              <w:rPr>
                <w:rFonts w:ascii="宋体" w:hAnsi="宋体" w:cs="宋体"/>
                <w:color w:val="auto"/>
                <w:szCs w:val="21"/>
                <w:highlight w:val="none"/>
                <w:lang w:eastAsia="en-US"/>
              </w:rPr>
            </w:pPr>
          </w:p>
        </w:tc>
      </w:tr>
      <w:tr w14:paraId="728BCD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4" w:hRule="atLeast"/>
        </w:trPr>
        <w:tc>
          <w:tcPr>
            <w:tcW w:w="9165" w:type="dxa"/>
            <w:gridSpan w:val="9"/>
          </w:tcPr>
          <w:p w14:paraId="69D83965">
            <w:pPr>
              <w:widowControl/>
              <w:jc w:val="left"/>
              <w:rPr>
                <w:color w:val="auto"/>
                <w:highlight w:val="none"/>
              </w:rPr>
            </w:pPr>
            <w:r>
              <w:rPr>
                <w:rFonts w:hint="eastAsia" w:ascii="宋体" w:hAnsi="宋体" w:cs="宋体"/>
                <w:color w:val="auto"/>
                <w:kern w:val="0"/>
                <w:sz w:val="20"/>
                <w:szCs w:val="20"/>
                <w:highlight w:val="none"/>
                <w:lang w:bidi="ar"/>
              </w:rPr>
              <w:t>人民币合计金额（大写）                                （小写）</w:t>
            </w:r>
          </w:p>
        </w:tc>
      </w:tr>
    </w:tbl>
    <w:p w14:paraId="23F47422">
      <w:pPr>
        <w:spacing w:before="114" w:line="360" w:lineRule="auto"/>
        <w:ind w:right="82" w:firstLine="436" w:firstLineChars="200"/>
        <w:rPr>
          <w:rFonts w:ascii="宋体" w:hAnsi="宋体" w:cs="宋体"/>
          <w:color w:val="auto"/>
          <w:spacing w:val="9"/>
          <w:sz w:val="20"/>
          <w:szCs w:val="20"/>
          <w:highlight w:val="none"/>
        </w:rPr>
      </w:pPr>
      <w:r>
        <w:rPr>
          <w:rFonts w:ascii="宋体" w:hAnsi="宋体" w:cs="宋体"/>
          <w:color w:val="auto"/>
          <w:spacing w:val="9"/>
          <w:sz w:val="20"/>
          <w:szCs w:val="20"/>
          <w:highlight w:val="none"/>
        </w:rPr>
        <w:t>2.合同合计金额包括货物价款，包括</w:t>
      </w:r>
      <w:r>
        <w:rPr>
          <w:rFonts w:hint="eastAsia" w:ascii="宋体" w:hAnsi="宋体" w:cs="宋体"/>
          <w:color w:val="auto"/>
          <w:spacing w:val="9"/>
          <w:sz w:val="20"/>
          <w:szCs w:val="20"/>
          <w:highlight w:val="none"/>
        </w:rPr>
        <w:t>产品价、运输费（含装卸费）、保险费、安装调试费、税费、培训费、招标代理费、产品检测费、产品质保期内维护费等</w:t>
      </w:r>
      <w:r>
        <w:rPr>
          <w:rFonts w:ascii="宋体" w:hAnsi="宋体" w:cs="宋体"/>
          <w:color w:val="auto"/>
          <w:spacing w:val="9"/>
          <w:sz w:val="20"/>
          <w:szCs w:val="20"/>
          <w:highlight w:val="none"/>
        </w:rPr>
        <w:t>全部费用。如招投标文件对其另有规定的，从其规定。</w:t>
      </w:r>
    </w:p>
    <w:p w14:paraId="08F3CBEF">
      <w:pPr>
        <w:spacing w:before="1" w:line="360" w:lineRule="auto"/>
        <w:ind w:left="420"/>
        <w:outlineLvl w:val="1"/>
        <w:rPr>
          <w:rFonts w:ascii="宋体" w:hAnsi="宋体" w:cs="宋体"/>
          <w:color w:val="auto"/>
          <w:sz w:val="20"/>
          <w:szCs w:val="20"/>
          <w:highlight w:val="none"/>
        </w:rPr>
      </w:pPr>
      <w:r>
        <w:rPr>
          <w:rFonts w:ascii="宋体" w:hAnsi="宋体" w:cs="宋体"/>
          <w:b/>
          <w:bCs/>
          <w:color w:val="auto"/>
          <w:spacing w:val="6"/>
          <w:sz w:val="20"/>
          <w:szCs w:val="20"/>
          <w:highlight w:val="none"/>
        </w:rPr>
        <w:t>第二条质量保证</w:t>
      </w:r>
    </w:p>
    <w:p w14:paraId="444C457D">
      <w:pPr>
        <w:spacing w:before="114" w:line="360" w:lineRule="auto"/>
        <w:ind w:right="82" w:firstLine="436" w:firstLineChars="200"/>
        <w:rPr>
          <w:rFonts w:ascii="宋体" w:hAnsi="宋体" w:cs="宋体"/>
          <w:color w:val="auto"/>
          <w:sz w:val="20"/>
          <w:szCs w:val="20"/>
          <w:highlight w:val="none"/>
        </w:rPr>
      </w:pPr>
      <w:r>
        <w:rPr>
          <w:rFonts w:ascii="宋体" w:hAnsi="宋体" w:cs="宋体"/>
          <w:color w:val="auto"/>
          <w:spacing w:val="9"/>
          <w:sz w:val="20"/>
          <w:szCs w:val="20"/>
          <w:highlight w:val="none"/>
        </w:rPr>
        <w:t>1.乙方所提供的货物型号、技术规格、技术参数等质量必须与招投标文件</w:t>
      </w:r>
      <w:r>
        <w:rPr>
          <w:rFonts w:ascii="宋体" w:hAnsi="宋体" w:cs="宋体"/>
          <w:color w:val="auto"/>
          <w:spacing w:val="8"/>
          <w:sz w:val="20"/>
          <w:szCs w:val="20"/>
          <w:highlight w:val="none"/>
        </w:rPr>
        <w:t>和承诺相一致。乙方提供的</w:t>
      </w:r>
      <w:r>
        <w:rPr>
          <w:rFonts w:ascii="宋体" w:hAnsi="宋体" w:cs="宋体"/>
          <w:color w:val="auto"/>
          <w:spacing w:val="9"/>
          <w:sz w:val="20"/>
          <w:szCs w:val="20"/>
          <w:highlight w:val="none"/>
        </w:rPr>
        <w:t>节能和环保产品必须是列入最新一期政府采购清单的产品。</w:t>
      </w:r>
    </w:p>
    <w:p w14:paraId="3B19062A">
      <w:pPr>
        <w:spacing w:before="1" w:line="332" w:lineRule="auto"/>
        <w:ind w:right="85" w:firstLine="436" w:firstLineChars="200"/>
        <w:rPr>
          <w:rFonts w:ascii="宋体" w:hAnsi="宋体" w:cs="宋体"/>
          <w:color w:val="auto"/>
          <w:sz w:val="20"/>
          <w:szCs w:val="20"/>
          <w:highlight w:val="none"/>
        </w:rPr>
      </w:pPr>
      <w:r>
        <w:rPr>
          <w:rFonts w:ascii="宋体" w:hAnsi="宋体" w:cs="宋体"/>
          <w:color w:val="auto"/>
          <w:spacing w:val="9"/>
          <w:sz w:val="20"/>
          <w:szCs w:val="20"/>
          <w:highlight w:val="none"/>
        </w:rPr>
        <w:t>2.乙方所提供的货物必须是全新、未使用的原装产品，且在正常安装、使用和保养条件下，其使用寿</w:t>
      </w:r>
      <w:r>
        <w:rPr>
          <w:rFonts w:ascii="宋体" w:hAnsi="宋体" w:cs="宋体"/>
          <w:color w:val="auto"/>
          <w:spacing w:val="8"/>
          <w:sz w:val="20"/>
          <w:szCs w:val="20"/>
          <w:highlight w:val="none"/>
        </w:rPr>
        <w:t>命期内各项指标均达到质量要求。</w:t>
      </w:r>
    </w:p>
    <w:p w14:paraId="6EDFB8B4">
      <w:pPr>
        <w:spacing w:line="227" w:lineRule="auto"/>
        <w:ind w:left="420"/>
        <w:outlineLvl w:val="1"/>
        <w:rPr>
          <w:rFonts w:ascii="宋体" w:hAnsi="宋体" w:cs="宋体"/>
          <w:color w:val="auto"/>
          <w:sz w:val="20"/>
          <w:szCs w:val="20"/>
          <w:highlight w:val="none"/>
        </w:rPr>
      </w:pPr>
      <w:r>
        <w:rPr>
          <w:rFonts w:ascii="宋体" w:hAnsi="宋体" w:cs="宋体"/>
          <w:b/>
          <w:bCs/>
          <w:color w:val="auto"/>
          <w:spacing w:val="6"/>
          <w:sz w:val="20"/>
          <w:szCs w:val="20"/>
          <w:highlight w:val="none"/>
        </w:rPr>
        <w:t>第三条权利保证</w:t>
      </w:r>
    </w:p>
    <w:p w14:paraId="4AD8A3D6">
      <w:pPr>
        <w:spacing w:before="114" w:line="360" w:lineRule="auto"/>
        <w:ind w:right="79" w:firstLine="436" w:firstLineChars="200"/>
        <w:rPr>
          <w:rFonts w:ascii="宋体" w:hAnsi="宋体" w:cs="宋体"/>
          <w:color w:val="auto"/>
          <w:spacing w:val="9"/>
          <w:sz w:val="20"/>
          <w:szCs w:val="20"/>
          <w:highlight w:val="none"/>
        </w:rPr>
      </w:pPr>
      <w:r>
        <w:rPr>
          <w:rFonts w:ascii="宋体" w:hAnsi="宋体" w:cs="宋体"/>
          <w:color w:val="auto"/>
          <w:spacing w:val="9"/>
          <w:sz w:val="20"/>
          <w:szCs w:val="20"/>
          <w:highlight w:val="none"/>
        </w:rPr>
        <w:t>1.乙方应保证所提供货物在使用时不会侵犯任何第三方的专利权、商标权、工业设计权或其他权利。</w:t>
      </w:r>
    </w:p>
    <w:p w14:paraId="680A647A">
      <w:pPr>
        <w:spacing w:before="114" w:line="360" w:lineRule="auto"/>
        <w:ind w:right="79" w:firstLine="436" w:firstLineChars="200"/>
        <w:rPr>
          <w:rFonts w:ascii="宋体" w:hAnsi="宋体" w:cs="宋体"/>
          <w:color w:val="auto"/>
          <w:spacing w:val="9"/>
          <w:sz w:val="20"/>
          <w:szCs w:val="20"/>
          <w:highlight w:val="none"/>
        </w:rPr>
      </w:pPr>
      <w:r>
        <w:rPr>
          <w:rFonts w:ascii="宋体" w:hAnsi="宋体" w:cs="宋体"/>
          <w:color w:val="auto"/>
          <w:spacing w:val="9"/>
          <w:sz w:val="20"/>
          <w:szCs w:val="20"/>
          <w:highlight w:val="none"/>
        </w:rPr>
        <w:t>2.乙方应按招标文件规定的时间向甲方提供使用货物的有关技术资料。</w:t>
      </w:r>
    </w:p>
    <w:p w14:paraId="200007E4">
      <w:pPr>
        <w:spacing w:before="114" w:line="360" w:lineRule="auto"/>
        <w:ind w:right="79" w:firstLine="436" w:firstLineChars="200"/>
        <w:rPr>
          <w:rFonts w:ascii="宋体" w:hAnsi="宋体" w:cs="宋体"/>
          <w:color w:val="auto"/>
          <w:spacing w:val="9"/>
          <w:sz w:val="20"/>
          <w:szCs w:val="20"/>
          <w:highlight w:val="none"/>
        </w:rPr>
      </w:pPr>
      <w:r>
        <w:rPr>
          <w:rFonts w:ascii="宋体" w:hAnsi="宋体" w:cs="宋体"/>
          <w:color w:val="auto"/>
          <w:spacing w:val="9"/>
          <w:sz w:val="20"/>
          <w:szCs w:val="20"/>
          <w:highlight w:val="none"/>
        </w:rPr>
        <w:t>3.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14:paraId="689F57B4">
      <w:pPr>
        <w:spacing w:before="114" w:line="360" w:lineRule="auto"/>
        <w:ind w:right="79" w:firstLine="436" w:firstLineChars="200"/>
        <w:rPr>
          <w:rFonts w:ascii="宋体" w:hAnsi="宋体" w:cs="宋体"/>
          <w:color w:val="auto"/>
          <w:sz w:val="20"/>
          <w:szCs w:val="20"/>
          <w:highlight w:val="none"/>
        </w:rPr>
      </w:pPr>
      <w:r>
        <w:rPr>
          <w:rFonts w:ascii="宋体" w:hAnsi="宋体" w:cs="宋体"/>
          <w:color w:val="auto"/>
          <w:spacing w:val="9"/>
          <w:sz w:val="20"/>
          <w:szCs w:val="20"/>
          <w:highlight w:val="none"/>
        </w:rPr>
        <w:t>4.乙方保证所交付的货物的所有权完全属于乙方且无任何抵押、质押、查封等产权瑕疵。</w:t>
      </w:r>
    </w:p>
    <w:p w14:paraId="324E0AD0">
      <w:pPr>
        <w:spacing w:before="114" w:line="228" w:lineRule="auto"/>
        <w:ind w:left="420"/>
        <w:outlineLvl w:val="1"/>
        <w:rPr>
          <w:rFonts w:ascii="宋体" w:hAnsi="宋体" w:cs="宋体"/>
          <w:color w:val="auto"/>
          <w:sz w:val="20"/>
          <w:szCs w:val="20"/>
          <w:highlight w:val="none"/>
        </w:rPr>
      </w:pPr>
      <w:r>
        <w:rPr>
          <w:rFonts w:ascii="宋体" w:hAnsi="宋体" w:cs="宋体"/>
          <w:b/>
          <w:bCs/>
          <w:color w:val="auto"/>
          <w:spacing w:val="6"/>
          <w:sz w:val="20"/>
          <w:szCs w:val="20"/>
          <w:highlight w:val="none"/>
        </w:rPr>
        <w:t>第四条包装和运输</w:t>
      </w:r>
    </w:p>
    <w:p w14:paraId="0C5D0EC9">
      <w:pPr>
        <w:spacing w:before="114" w:line="360" w:lineRule="auto"/>
        <w:ind w:right="79" w:firstLine="436" w:firstLineChars="200"/>
        <w:rPr>
          <w:rFonts w:ascii="宋体" w:hAnsi="宋体" w:cs="宋体"/>
          <w:color w:val="auto"/>
          <w:spacing w:val="9"/>
          <w:sz w:val="20"/>
          <w:szCs w:val="20"/>
          <w:highlight w:val="none"/>
        </w:rPr>
      </w:pPr>
      <w:r>
        <w:rPr>
          <w:rFonts w:ascii="宋体" w:hAnsi="宋体" w:cs="宋体"/>
          <w:color w:val="auto"/>
          <w:spacing w:val="9"/>
          <w:sz w:val="20"/>
          <w:szCs w:val="20"/>
          <w:highlight w:val="none"/>
        </w:rPr>
        <w:t>1.乙方提供的货物均应按招投标文件要求的包装材料、包装标准、包装方式进行包装，每一包装单元内应附详细的装箱单和质量合格证。</w:t>
      </w:r>
    </w:p>
    <w:p w14:paraId="5947A539">
      <w:pPr>
        <w:spacing w:before="114" w:line="360" w:lineRule="auto"/>
        <w:ind w:right="79" w:firstLine="436" w:firstLineChars="200"/>
        <w:rPr>
          <w:rFonts w:ascii="宋体" w:hAnsi="宋体" w:cs="宋体"/>
          <w:color w:val="auto"/>
          <w:spacing w:val="9"/>
          <w:sz w:val="20"/>
          <w:szCs w:val="20"/>
          <w:highlight w:val="none"/>
        </w:rPr>
      </w:pPr>
      <w:r>
        <w:rPr>
          <w:rFonts w:ascii="宋体" w:hAnsi="宋体" w:cs="宋体"/>
          <w:color w:val="auto"/>
          <w:spacing w:val="9"/>
          <w:sz w:val="20"/>
          <w:szCs w:val="20"/>
          <w:highlight w:val="none"/>
        </w:rPr>
        <w:t>2.货物</w:t>
      </w:r>
      <w:r>
        <w:rPr>
          <w:rFonts w:ascii="宋体" w:hAnsi="宋体" w:cs="宋体"/>
          <w:color w:val="auto"/>
          <w:spacing w:val="7"/>
          <w:sz w:val="20"/>
          <w:szCs w:val="20"/>
          <w:highlight w:val="none"/>
        </w:rPr>
        <w:t>的</w:t>
      </w:r>
      <w:r>
        <w:rPr>
          <w:rFonts w:ascii="宋体" w:hAnsi="宋体" w:cs="宋体"/>
          <w:color w:val="auto"/>
          <w:spacing w:val="9"/>
          <w:sz w:val="20"/>
          <w:szCs w:val="20"/>
          <w:highlight w:val="none"/>
        </w:rPr>
        <w:t>运输方式：</w:t>
      </w:r>
      <w:r>
        <w:rPr>
          <w:rFonts w:ascii="宋体" w:hAnsi="宋体" w:cs="宋体"/>
          <w:color w:val="auto"/>
          <w:spacing w:val="9"/>
          <w:sz w:val="20"/>
          <w:szCs w:val="20"/>
          <w:highlight w:val="none"/>
          <w:u w:val="single"/>
        </w:rPr>
        <w:t>。</w:t>
      </w:r>
    </w:p>
    <w:p w14:paraId="59D56EB7">
      <w:pPr>
        <w:spacing w:before="114" w:line="360" w:lineRule="auto"/>
        <w:ind w:right="79" w:firstLine="436" w:firstLineChars="200"/>
        <w:rPr>
          <w:color w:val="auto"/>
          <w:highlight w:val="none"/>
        </w:rPr>
      </w:pPr>
      <w:r>
        <w:rPr>
          <w:rFonts w:ascii="宋体" w:hAnsi="宋体" w:cs="宋体"/>
          <w:color w:val="auto"/>
          <w:spacing w:val="9"/>
          <w:sz w:val="20"/>
          <w:szCs w:val="20"/>
          <w:highlight w:val="none"/>
        </w:rPr>
        <w:t>3.乙方负责</w:t>
      </w:r>
      <w:r>
        <w:rPr>
          <w:rFonts w:ascii="宋体" w:hAnsi="宋体" w:cs="宋体"/>
          <w:color w:val="auto"/>
          <w:spacing w:val="8"/>
          <w:sz w:val="20"/>
          <w:szCs w:val="20"/>
          <w:highlight w:val="none"/>
        </w:rPr>
        <w:t>货物运输，货物运输合理损耗及计算方法：</w:t>
      </w:r>
      <w:r>
        <w:rPr>
          <w:rFonts w:ascii="宋体" w:hAnsi="宋体" w:cs="宋体"/>
          <w:color w:val="auto"/>
          <w:spacing w:val="7"/>
          <w:sz w:val="20"/>
          <w:szCs w:val="20"/>
          <w:highlight w:val="none"/>
          <w:u w:val="single"/>
        </w:rPr>
        <w:t>。</w:t>
      </w:r>
    </w:p>
    <w:p w14:paraId="1F074146">
      <w:pPr>
        <w:spacing w:before="65" w:line="228" w:lineRule="auto"/>
        <w:ind w:left="420"/>
        <w:outlineLvl w:val="1"/>
        <w:rPr>
          <w:rFonts w:ascii="宋体" w:hAnsi="宋体" w:cs="宋体"/>
          <w:color w:val="auto"/>
          <w:sz w:val="20"/>
          <w:szCs w:val="20"/>
          <w:highlight w:val="none"/>
        </w:rPr>
      </w:pPr>
      <w:r>
        <w:rPr>
          <w:rFonts w:ascii="宋体" w:hAnsi="宋体" w:cs="宋体"/>
          <w:b/>
          <w:bCs/>
          <w:color w:val="auto"/>
          <w:spacing w:val="6"/>
          <w:sz w:val="20"/>
          <w:szCs w:val="20"/>
          <w:highlight w:val="none"/>
        </w:rPr>
        <w:t>第五条交付和验收</w:t>
      </w:r>
    </w:p>
    <w:p w14:paraId="16AF18BA">
      <w:pPr>
        <w:spacing w:before="114" w:line="360" w:lineRule="auto"/>
        <w:ind w:right="79" w:firstLine="436" w:firstLineChars="200"/>
        <w:rPr>
          <w:rFonts w:ascii="宋体" w:hAnsi="宋体" w:cs="宋体"/>
          <w:color w:val="auto"/>
          <w:spacing w:val="9"/>
          <w:sz w:val="20"/>
          <w:szCs w:val="20"/>
          <w:highlight w:val="none"/>
        </w:rPr>
      </w:pPr>
      <w:r>
        <w:rPr>
          <w:rFonts w:hint="eastAsia" w:ascii="宋体" w:hAnsi="宋体" w:cs="宋体"/>
          <w:color w:val="auto"/>
          <w:spacing w:val="9"/>
          <w:sz w:val="20"/>
          <w:szCs w:val="20"/>
          <w:highlight w:val="none"/>
        </w:rPr>
        <w:t>1.</w:t>
      </w:r>
      <w:r>
        <w:rPr>
          <w:rFonts w:ascii="宋体" w:hAnsi="宋体" w:cs="宋体"/>
          <w:color w:val="auto"/>
          <w:spacing w:val="9"/>
          <w:sz w:val="20"/>
          <w:szCs w:val="20"/>
          <w:highlight w:val="none"/>
        </w:rPr>
        <w:t>交货时间</w:t>
      </w:r>
      <w:r>
        <w:rPr>
          <w:rFonts w:hint="eastAsia" w:ascii="宋体" w:hAnsi="宋体" w:cs="宋体"/>
          <w:color w:val="auto"/>
          <w:spacing w:val="9"/>
          <w:sz w:val="20"/>
          <w:szCs w:val="20"/>
          <w:highlight w:val="none"/>
        </w:rPr>
        <w:t>、地点</w:t>
      </w:r>
      <w:r>
        <w:rPr>
          <w:rFonts w:ascii="宋体" w:hAnsi="宋体" w:cs="宋体"/>
          <w:color w:val="auto"/>
          <w:spacing w:val="9"/>
          <w:sz w:val="20"/>
          <w:szCs w:val="20"/>
          <w:highlight w:val="none"/>
        </w:rPr>
        <w:t>：</w:t>
      </w:r>
      <w:r>
        <w:rPr>
          <w:rFonts w:hint="eastAsia" w:ascii="宋体" w:hAnsi="宋体" w:cs="宋体"/>
          <w:color w:val="auto"/>
          <w:spacing w:val="9"/>
          <w:sz w:val="20"/>
          <w:szCs w:val="20"/>
          <w:highlight w:val="none"/>
        </w:rPr>
        <w:t>自签订合同之日起</w:t>
      </w:r>
      <w:r>
        <w:rPr>
          <w:rFonts w:ascii="宋体" w:hAnsi="宋体" w:cs="宋体"/>
          <w:color w:val="auto"/>
          <w:spacing w:val="9"/>
          <w:sz w:val="20"/>
          <w:szCs w:val="20"/>
          <w:highlight w:val="none"/>
        </w:rPr>
        <w:t>60</w:t>
      </w:r>
      <w:r>
        <w:rPr>
          <w:rFonts w:hint="eastAsia" w:ascii="宋体" w:hAnsi="宋体" w:cs="宋体"/>
          <w:color w:val="auto"/>
          <w:spacing w:val="9"/>
          <w:sz w:val="20"/>
          <w:szCs w:val="20"/>
          <w:highlight w:val="none"/>
        </w:rPr>
        <w:t>个日历天内完成交付、安装、调试；采购人指定地点。</w:t>
      </w:r>
    </w:p>
    <w:p w14:paraId="0325C036">
      <w:pPr>
        <w:spacing w:before="114" w:line="360" w:lineRule="auto"/>
        <w:ind w:right="79" w:firstLine="436" w:firstLineChars="200"/>
        <w:rPr>
          <w:rFonts w:ascii="宋体" w:hAnsi="宋体" w:cs="宋体"/>
          <w:color w:val="auto"/>
          <w:spacing w:val="9"/>
          <w:sz w:val="20"/>
          <w:szCs w:val="20"/>
          <w:highlight w:val="none"/>
        </w:rPr>
      </w:pPr>
      <w:r>
        <w:rPr>
          <w:rFonts w:hint="eastAsia" w:ascii="宋体" w:hAnsi="宋体" w:cs="宋体"/>
          <w:color w:val="auto"/>
          <w:spacing w:val="9"/>
          <w:sz w:val="20"/>
          <w:szCs w:val="20"/>
          <w:highlight w:val="none"/>
        </w:rPr>
        <w:t>2.</w:t>
      </w:r>
      <w:r>
        <w:rPr>
          <w:rFonts w:ascii="宋体" w:hAnsi="宋体" w:cs="宋体"/>
          <w:color w:val="auto"/>
          <w:spacing w:val="9"/>
          <w:sz w:val="20"/>
          <w:szCs w:val="20"/>
          <w:highlight w:val="none"/>
        </w:rPr>
        <w:t>乙方提供不符合招投标文件和本合同规定的货物，甲方有权拒绝接受。</w:t>
      </w:r>
    </w:p>
    <w:p w14:paraId="13A943F8">
      <w:pPr>
        <w:spacing w:before="114" w:line="360" w:lineRule="auto"/>
        <w:ind w:right="79" w:firstLine="436" w:firstLineChars="200"/>
        <w:rPr>
          <w:rFonts w:ascii="宋体" w:hAnsi="宋体" w:cs="宋体"/>
          <w:color w:val="auto"/>
          <w:spacing w:val="9"/>
          <w:sz w:val="20"/>
          <w:szCs w:val="20"/>
          <w:highlight w:val="none"/>
        </w:rPr>
      </w:pPr>
      <w:r>
        <w:rPr>
          <w:rFonts w:ascii="宋体" w:hAnsi="宋体" w:cs="宋体"/>
          <w:color w:val="auto"/>
          <w:spacing w:val="9"/>
          <w:sz w:val="20"/>
          <w:szCs w:val="20"/>
          <w:highlight w:val="none"/>
        </w:rPr>
        <w:t>3.乙方应将所提供货物的装箱清单、用户手册、原厂保修卡、随机资料、工具和备品、备件等交付给甲方，如有缺失应及时补齐，否则视为逾期交货。</w:t>
      </w:r>
    </w:p>
    <w:p w14:paraId="441136D9">
      <w:pPr>
        <w:spacing w:before="114" w:line="360" w:lineRule="auto"/>
        <w:ind w:right="79" w:firstLine="436" w:firstLineChars="200"/>
        <w:rPr>
          <w:rFonts w:ascii="宋体" w:hAnsi="宋体" w:cs="宋体"/>
          <w:color w:val="auto"/>
          <w:spacing w:val="9"/>
          <w:sz w:val="20"/>
          <w:szCs w:val="20"/>
          <w:highlight w:val="none"/>
        </w:rPr>
      </w:pPr>
      <w:r>
        <w:rPr>
          <w:rFonts w:ascii="宋体" w:hAnsi="宋体" w:cs="宋体"/>
          <w:color w:val="auto"/>
          <w:spacing w:val="9"/>
          <w:sz w:val="20"/>
          <w:szCs w:val="20"/>
          <w:highlight w:val="none"/>
        </w:rPr>
        <w:t>4.甲方应当在到货（安装、调试完）后七个工作日内进行验收，逾期不验收的，乙方可视同验收合格。验收合格后由甲乙双方签署货物验收单并加盖采购单位公章，甲乙双方各执一份。</w:t>
      </w:r>
    </w:p>
    <w:p w14:paraId="7D992D27">
      <w:pPr>
        <w:spacing w:before="114" w:line="360" w:lineRule="auto"/>
        <w:ind w:right="79" w:firstLine="436" w:firstLineChars="200"/>
        <w:rPr>
          <w:rFonts w:ascii="宋体" w:hAnsi="宋体" w:cs="宋体"/>
          <w:color w:val="auto"/>
          <w:spacing w:val="9"/>
          <w:sz w:val="20"/>
          <w:szCs w:val="20"/>
          <w:highlight w:val="none"/>
        </w:rPr>
      </w:pPr>
      <w:r>
        <w:rPr>
          <w:rFonts w:ascii="宋体" w:hAnsi="宋体" w:cs="宋体"/>
          <w:color w:val="auto"/>
          <w:spacing w:val="9"/>
          <w:sz w:val="20"/>
          <w:szCs w:val="20"/>
          <w:highlight w:val="none"/>
        </w:rPr>
        <w:t>5.采购人委托采购代理机构组织的验收项目，其验收时间以该项目验收方案确定的验收时间为准，验收结果以该项目验收报告结论为准。在验收过程中发现乙方有违约问题，可暂缓资金结算，待违约问题解决后，方可办理资金结算事宜。</w:t>
      </w:r>
    </w:p>
    <w:p w14:paraId="14A45DF5">
      <w:pPr>
        <w:spacing w:before="114" w:line="360" w:lineRule="auto"/>
        <w:ind w:right="79" w:firstLine="436" w:firstLineChars="200"/>
        <w:rPr>
          <w:rFonts w:ascii="宋体" w:hAnsi="宋体" w:cs="宋体"/>
          <w:color w:val="auto"/>
          <w:sz w:val="20"/>
          <w:szCs w:val="20"/>
          <w:highlight w:val="none"/>
        </w:rPr>
      </w:pPr>
      <w:r>
        <w:rPr>
          <w:rFonts w:ascii="宋体" w:hAnsi="宋体" w:cs="宋体"/>
          <w:color w:val="auto"/>
          <w:spacing w:val="9"/>
          <w:sz w:val="20"/>
          <w:szCs w:val="20"/>
          <w:highlight w:val="none"/>
        </w:rPr>
        <w:t>6.甲方对验收有异议的，在验收后五个工作日内以书面形式向乙方提出，乙方应自收到甲方书面异议</w:t>
      </w:r>
      <w:r>
        <w:rPr>
          <w:rFonts w:ascii="宋体" w:hAnsi="宋体" w:cs="宋体"/>
          <w:color w:val="auto"/>
          <w:spacing w:val="3"/>
          <w:sz w:val="20"/>
          <w:szCs w:val="20"/>
          <w:highlight w:val="none"/>
        </w:rPr>
        <w:t>后</w:t>
      </w:r>
      <w:r>
        <w:rPr>
          <w:rFonts w:hint="eastAsia" w:ascii="宋体" w:hAnsi="宋体" w:cs="宋体"/>
          <w:color w:val="auto"/>
          <w:spacing w:val="3"/>
          <w:sz w:val="20"/>
          <w:szCs w:val="20"/>
          <w:highlight w:val="none"/>
          <w:u w:val="single"/>
        </w:rPr>
        <w:t xml:space="preserve">  3  </w:t>
      </w:r>
      <w:r>
        <w:rPr>
          <w:rFonts w:ascii="宋体" w:hAnsi="宋体" w:cs="宋体"/>
          <w:color w:val="auto"/>
          <w:spacing w:val="3"/>
          <w:sz w:val="20"/>
          <w:szCs w:val="20"/>
          <w:highlight w:val="none"/>
        </w:rPr>
        <w:t>日内及时予以解决。</w:t>
      </w:r>
    </w:p>
    <w:p w14:paraId="0103FF8B">
      <w:pPr>
        <w:spacing w:before="1" w:line="227" w:lineRule="auto"/>
        <w:ind w:left="420"/>
        <w:outlineLvl w:val="1"/>
        <w:rPr>
          <w:rFonts w:ascii="宋体" w:hAnsi="宋体" w:cs="宋体"/>
          <w:color w:val="auto"/>
          <w:sz w:val="20"/>
          <w:szCs w:val="20"/>
          <w:highlight w:val="none"/>
        </w:rPr>
      </w:pPr>
      <w:r>
        <w:rPr>
          <w:rFonts w:ascii="宋体" w:hAnsi="宋体" w:cs="宋体"/>
          <w:b/>
          <w:bCs/>
          <w:color w:val="auto"/>
          <w:spacing w:val="6"/>
          <w:sz w:val="20"/>
          <w:szCs w:val="20"/>
          <w:highlight w:val="none"/>
        </w:rPr>
        <w:t>第六条安装和培训</w:t>
      </w:r>
    </w:p>
    <w:p w14:paraId="75A4E48C">
      <w:pPr>
        <w:spacing w:before="114" w:line="360" w:lineRule="auto"/>
        <w:ind w:right="79" w:firstLine="436" w:firstLineChars="200"/>
        <w:rPr>
          <w:rFonts w:ascii="宋体" w:hAnsi="宋体" w:cs="宋体"/>
          <w:color w:val="auto"/>
          <w:spacing w:val="9"/>
          <w:sz w:val="20"/>
          <w:szCs w:val="20"/>
          <w:highlight w:val="none"/>
        </w:rPr>
      </w:pPr>
      <w:r>
        <w:rPr>
          <w:rFonts w:ascii="宋体" w:hAnsi="宋体" w:cs="宋体"/>
          <w:color w:val="auto"/>
          <w:spacing w:val="9"/>
          <w:sz w:val="20"/>
          <w:szCs w:val="20"/>
          <w:highlight w:val="none"/>
        </w:rPr>
        <w:t>1.甲方应提供必要安装条件（如场地、电源、水源等）。</w:t>
      </w:r>
    </w:p>
    <w:p w14:paraId="2AE5A3CF">
      <w:pPr>
        <w:spacing w:before="114" w:line="360" w:lineRule="auto"/>
        <w:ind w:right="79" w:firstLine="436" w:firstLineChars="200"/>
        <w:rPr>
          <w:rFonts w:ascii="宋体" w:hAnsi="宋体" w:cs="宋体"/>
          <w:color w:val="auto"/>
          <w:sz w:val="20"/>
          <w:szCs w:val="20"/>
          <w:highlight w:val="none"/>
        </w:rPr>
      </w:pPr>
      <w:r>
        <w:rPr>
          <w:rFonts w:ascii="宋体" w:hAnsi="宋体" w:cs="宋体"/>
          <w:color w:val="auto"/>
          <w:spacing w:val="9"/>
          <w:sz w:val="20"/>
          <w:szCs w:val="20"/>
          <w:highlight w:val="none"/>
        </w:rPr>
        <w:t>2.乙方负责甲方有关人员的培训。培训时间、地点：</w:t>
      </w:r>
      <w:r>
        <w:rPr>
          <w:rFonts w:hint="eastAsia" w:ascii="宋体" w:hAnsi="宋体" w:cs="宋体"/>
          <w:color w:val="auto"/>
          <w:spacing w:val="8"/>
          <w:sz w:val="20"/>
          <w:szCs w:val="20"/>
          <w:highlight w:val="none"/>
          <w:u w:val="single"/>
        </w:rPr>
        <w:t>甲、乙双方协定执行</w:t>
      </w:r>
      <w:r>
        <w:rPr>
          <w:rFonts w:ascii="宋体" w:hAnsi="宋体" w:cs="宋体"/>
          <w:color w:val="auto"/>
          <w:spacing w:val="7"/>
          <w:sz w:val="20"/>
          <w:szCs w:val="20"/>
          <w:highlight w:val="none"/>
          <w:u w:val="single"/>
        </w:rPr>
        <w:t>。</w:t>
      </w:r>
    </w:p>
    <w:p w14:paraId="43AA829B">
      <w:pPr>
        <w:spacing w:before="92" w:line="228" w:lineRule="auto"/>
        <w:ind w:left="420"/>
        <w:outlineLvl w:val="1"/>
        <w:rPr>
          <w:rFonts w:ascii="宋体" w:hAnsi="宋体" w:cs="宋体"/>
          <w:color w:val="auto"/>
          <w:sz w:val="20"/>
          <w:szCs w:val="20"/>
          <w:highlight w:val="none"/>
        </w:rPr>
      </w:pPr>
      <w:r>
        <w:rPr>
          <w:rFonts w:ascii="宋体" w:hAnsi="宋体" w:cs="宋体"/>
          <w:b/>
          <w:bCs/>
          <w:color w:val="auto"/>
          <w:spacing w:val="7"/>
          <w:sz w:val="20"/>
          <w:szCs w:val="20"/>
          <w:highlight w:val="none"/>
        </w:rPr>
        <w:t>第七条售后服务、保修期</w:t>
      </w:r>
    </w:p>
    <w:p w14:paraId="265E84D1">
      <w:pPr>
        <w:spacing w:before="114" w:line="360" w:lineRule="auto"/>
        <w:ind w:right="79" w:firstLine="436" w:firstLineChars="200"/>
        <w:rPr>
          <w:rFonts w:ascii="宋体" w:hAnsi="宋体" w:cs="宋体"/>
          <w:color w:val="auto"/>
          <w:spacing w:val="9"/>
          <w:sz w:val="20"/>
          <w:szCs w:val="20"/>
          <w:highlight w:val="none"/>
        </w:rPr>
      </w:pPr>
      <w:r>
        <w:rPr>
          <w:rFonts w:ascii="宋体" w:hAnsi="宋体" w:cs="宋体"/>
          <w:color w:val="auto"/>
          <w:spacing w:val="9"/>
          <w:sz w:val="20"/>
          <w:szCs w:val="20"/>
          <w:highlight w:val="none"/>
        </w:rPr>
        <w:t>1.乙方应按照国家有关法律法规和“三包”规定以及招投标文件和本合同所附的《服务承诺》，为甲方提供售后服务。</w:t>
      </w:r>
    </w:p>
    <w:p w14:paraId="6A749E33">
      <w:pPr>
        <w:spacing w:before="114" w:line="360" w:lineRule="auto"/>
        <w:ind w:right="79" w:firstLine="436" w:firstLineChars="200"/>
        <w:rPr>
          <w:rFonts w:ascii="宋体" w:hAnsi="宋体" w:cs="宋体"/>
          <w:color w:val="auto"/>
          <w:spacing w:val="9"/>
          <w:sz w:val="20"/>
          <w:szCs w:val="20"/>
          <w:highlight w:val="none"/>
        </w:rPr>
      </w:pPr>
      <w:r>
        <w:rPr>
          <w:rFonts w:ascii="宋体" w:hAnsi="宋体" w:cs="宋体"/>
          <w:color w:val="auto"/>
          <w:spacing w:val="9"/>
          <w:sz w:val="20"/>
          <w:szCs w:val="20"/>
          <w:highlight w:val="none"/>
        </w:rPr>
        <w:t>2.货物保修期：</w:t>
      </w:r>
      <w:r>
        <w:rPr>
          <w:rFonts w:hint="eastAsia" w:ascii="宋体" w:hAnsi="宋体" w:cs="宋体"/>
          <w:color w:val="auto"/>
          <w:spacing w:val="9"/>
          <w:sz w:val="20"/>
          <w:szCs w:val="20"/>
          <w:highlight w:val="none"/>
        </w:rPr>
        <w:t>按国家有关产品'三包'规定执行'三包'，质保期按技术参数表中各项产品要求。</w:t>
      </w:r>
    </w:p>
    <w:p w14:paraId="01D63AAA">
      <w:pPr>
        <w:spacing w:before="114" w:line="360" w:lineRule="auto"/>
        <w:ind w:right="79" w:firstLine="436" w:firstLineChars="200"/>
        <w:rPr>
          <w:rFonts w:ascii="宋体" w:hAnsi="宋体" w:cs="宋体"/>
          <w:color w:val="auto"/>
          <w:sz w:val="20"/>
          <w:szCs w:val="20"/>
          <w:highlight w:val="none"/>
        </w:rPr>
      </w:pPr>
      <w:r>
        <w:rPr>
          <w:rFonts w:ascii="宋体" w:hAnsi="宋体" w:cs="宋体"/>
          <w:color w:val="auto"/>
          <w:spacing w:val="9"/>
          <w:sz w:val="20"/>
          <w:szCs w:val="20"/>
          <w:highlight w:val="none"/>
        </w:rPr>
        <w:t>3.乙方提供的服务承诺和售后服务及保修期责任等其它具体约定事项。（见合同附件）</w:t>
      </w:r>
    </w:p>
    <w:p w14:paraId="0EE38545">
      <w:pPr>
        <w:spacing w:before="94" w:line="228" w:lineRule="auto"/>
        <w:ind w:left="420"/>
        <w:outlineLvl w:val="1"/>
        <w:rPr>
          <w:rFonts w:ascii="宋体" w:hAnsi="宋体" w:cs="宋体"/>
          <w:color w:val="auto"/>
          <w:sz w:val="20"/>
          <w:szCs w:val="20"/>
          <w:highlight w:val="none"/>
        </w:rPr>
      </w:pPr>
      <w:r>
        <w:rPr>
          <w:rFonts w:ascii="宋体" w:hAnsi="宋体" w:cs="宋体"/>
          <w:b/>
          <w:bCs/>
          <w:color w:val="auto"/>
          <w:spacing w:val="6"/>
          <w:sz w:val="20"/>
          <w:szCs w:val="20"/>
          <w:highlight w:val="none"/>
        </w:rPr>
        <w:t>第八条付款方式</w:t>
      </w:r>
    </w:p>
    <w:p w14:paraId="26DF329F">
      <w:pPr>
        <w:spacing w:before="114" w:line="360" w:lineRule="auto"/>
        <w:ind w:right="79" w:firstLine="436" w:firstLineChars="200"/>
        <w:rPr>
          <w:rFonts w:ascii="宋体" w:hAnsi="宋体" w:cs="宋体"/>
          <w:color w:val="auto"/>
          <w:spacing w:val="9"/>
          <w:sz w:val="20"/>
          <w:szCs w:val="20"/>
          <w:highlight w:val="none"/>
        </w:rPr>
      </w:pPr>
      <w:r>
        <w:rPr>
          <w:rFonts w:ascii="宋体" w:hAnsi="宋体" w:cs="宋体"/>
          <w:color w:val="auto"/>
          <w:spacing w:val="9"/>
          <w:sz w:val="20"/>
          <w:szCs w:val="20"/>
          <w:highlight w:val="none"/>
        </w:rPr>
        <w:t>1.当采购数量与实际使用数量不一致时，乙方应根据实际使用量供货，合同的最终结算金额按实际使用量乘以成交单价进行计算。结算数量以实际使用数量为准，甲方不对采购量做任何承诺,供货期内采购量有可能增加或者减少，最终据实结算。</w:t>
      </w:r>
    </w:p>
    <w:p w14:paraId="5C8EF98D">
      <w:pPr>
        <w:spacing w:before="114" w:line="360" w:lineRule="auto"/>
        <w:ind w:right="79" w:firstLine="436" w:firstLineChars="200"/>
        <w:rPr>
          <w:rFonts w:ascii="宋体" w:hAnsi="宋体" w:cs="宋体"/>
          <w:color w:val="auto"/>
          <w:spacing w:val="9"/>
          <w:sz w:val="20"/>
          <w:szCs w:val="20"/>
          <w:highlight w:val="none"/>
        </w:rPr>
      </w:pPr>
      <w:r>
        <w:rPr>
          <w:rFonts w:ascii="宋体" w:hAnsi="宋体" w:cs="宋体"/>
          <w:color w:val="auto"/>
          <w:spacing w:val="9"/>
          <w:sz w:val="20"/>
          <w:szCs w:val="20"/>
          <w:highlight w:val="none"/>
        </w:rPr>
        <w:t>2.资金性质：财政性资金。</w:t>
      </w:r>
    </w:p>
    <w:p w14:paraId="37590F55">
      <w:pPr>
        <w:spacing w:before="114" w:line="360" w:lineRule="auto"/>
        <w:ind w:right="79" w:firstLine="436" w:firstLineChars="200"/>
        <w:rPr>
          <w:rFonts w:ascii="宋体" w:hAnsi="宋体" w:cs="宋体"/>
          <w:color w:val="auto"/>
          <w:spacing w:val="9"/>
          <w:sz w:val="20"/>
          <w:szCs w:val="20"/>
          <w:highlight w:val="none"/>
        </w:rPr>
      </w:pPr>
      <w:r>
        <w:rPr>
          <w:rFonts w:ascii="宋体" w:hAnsi="宋体" w:cs="宋体"/>
          <w:color w:val="auto"/>
          <w:spacing w:val="9"/>
          <w:sz w:val="20"/>
          <w:szCs w:val="20"/>
          <w:highlight w:val="none"/>
        </w:rPr>
        <w:t>3.付款方式：</w:t>
      </w:r>
    </w:p>
    <w:p w14:paraId="28707BCD">
      <w:pPr>
        <w:spacing w:before="114" w:line="360" w:lineRule="auto"/>
        <w:ind w:right="79" w:firstLine="436" w:firstLineChars="200"/>
        <w:rPr>
          <w:rFonts w:ascii="宋体" w:hAnsi="宋体" w:cs="宋体"/>
          <w:color w:val="auto"/>
          <w:spacing w:val="9"/>
          <w:sz w:val="20"/>
          <w:szCs w:val="20"/>
          <w:highlight w:val="none"/>
        </w:rPr>
      </w:pPr>
      <w:r>
        <w:rPr>
          <w:rFonts w:hint="eastAsia" w:ascii="宋体" w:hAnsi="宋体" w:cs="宋体"/>
          <w:color w:val="auto"/>
          <w:spacing w:val="9"/>
          <w:sz w:val="20"/>
          <w:szCs w:val="20"/>
          <w:highlight w:val="none"/>
        </w:rPr>
        <w:t>双方签订合同后20个工作日内支付合同款的40%作为预付款。全部货到后20个工作日内支付合同款的30%。验收合格后</w:t>
      </w:r>
      <w:r>
        <w:rPr>
          <w:rFonts w:hint="eastAsia" w:ascii="宋体" w:hAnsi="宋体" w:cs="宋体"/>
          <w:color w:val="auto"/>
          <w:spacing w:val="9"/>
          <w:sz w:val="20"/>
          <w:szCs w:val="20"/>
          <w:highlight w:val="none"/>
          <w:lang w:val="en-US" w:eastAsia="zh-CN"/>
        </w:rPr>
        <w:t>乙方</w:t>
      </w:r>
      <w:r>
        <w:rPr>
          <w:rFonts w:hint="eastAsia" w:ascii="宋体" w:hAnsi="宋体" w:cs="宋体"/>
          <w:color w:val="auto"/>
          <w:spacing w:val="9"/>
          <w:sz w:val="20"/>
          <w:szCs w:val="20"/>
          <w:highlight w:val="none"/>
        </w:rPr>
        <w:t>需先向甲方开具合同金额全额的正式发票，后20个工作日内支付合同款的30%。</w:t>
      </w:r>
    </w:p>
    <w:p w14:paraId="7DC6B439">
      <w:pPr>
        <w:spacing w:before="114" w:line="360" w:lineRule="auto"/>
        <w:ind w:right="79" w:firstLine="422" w:firstLineChars="200"/>
        <w:rPr>
          <w:rFonts w:ascii="宋体" w:hAnsi="宋体" w:cs="宋体"/>
          <w:color w:val="auto"/>
          <w:sz w:val="20"/>
          <w:szCs w:val="20"/>
          <w:highlight w:val="none"/>
        </w:rPr>
      </w:pPr>
      <w:r>
        <w:rPr>
          <w:rFonts w:ascii="宋体" w:hAnsi="宋体" w:cs="宋体"/>
          <w:b/>
          <w:bCs/>
          <w:color w:val="auto"/>
          <w:spacing w:val="5"/>
          <w:sz w:val="20"/>
          <w:szCs w:val="20"/>
          <w:highlight w:val="none"/>
        </w:rPr>
        <w:t>第九条</w:t>
      </w:r>
      <w:r>
        <w:rPr>
          <w:rFonts w:hint="eastAsia" w:ascii="宋体" w:hAnsi="宋体" w:cs="宋体"/>
          <w:b/>
          <w:bCs/>
          <w:color w:val="auto"/>
          <w:spacing w:val="5"/>
          <w:sz w:val="20"/>
          <w:szCs w:val="20"/>
          <w:highlight w:val="none"/>
        </w:rPr>
        <w:t>履约</w:t>
      </w:r>
      <w:r>
        <w:rPr>
          <w:rFonts w:ascii="宋体" w:hAnsi="宋体" w:cs="宋体"/>
          <w:b/>
          <w:bCs/>
          <w:color w:val="auto"/>
          <w:spacing w:val="5"/>
          <w:sz w:val="20"/>
          <w:szCs w:val="20"/>
          <w:highlight w:val="none"/>
        </w:rPr>
        <w:t>保证金</w:t>
      </w:r>
    </w:p>
    <w:p w14:paraId="27497A57">
      <w:pPr>
        <w:spacing w:before="114" w:line="360" w:lineRule="auto"/>
        <w:ind w:right="79" w:firstLine="436" w:firstLineChars="200"/>
        <w:rPr>
          <w:rFonts w:ascii="宋体" w:hAnsi="宋体" w:cs="宋体"/>
          <w:color w:val="auto"/>
          <w:spacing w:val="9"/>
          <w:sz w:val="20"/>
          <w:szCs w:val="20"/>
          <w:highlight w:val="none"/>
        </w:rPr>
      </w:pPr>
      <w:r>
        <w:rPr>
          <w:rFonts w:hint="eastAsia" w:ascii="宋体" w:hAnsi="宋体" w:cs="宋体"/>
          <w:color w:val="auto"/>
          <w:spacing w:val="9"/>
          <w:sz w:val="20"/>
          <w:szCs w:val="20"/>
          <w:highlight w:val="none"/>
        </w:rPr>
        <w:t>无</w:t>
      </w:r>
    </w:p>
    <w:p w14:paraId="4DF98CD9">
      <w:pPr>
        <w:spacing w:before="93" w:line="228" w:lineRule="auto"/>
        <w:ind w:left="358"/>
        <w:outlineLvl w:val="1"/>
        <w:rPr>
          <w:rFonts w:ascii="宋体" w:hAnsi="宋体" w:cs="宋体"/>
          <w:b/>
          <w:bCs/>
          <w:color w:val="auto"/>
          <w:spacing w:val="5"/>
          <w:sz w:val="20"/>
          <w:szCs w:val="20"/>
          <w:highlight w:val="none"/>
        </w:rPr>
      </w:pPr>
      <w:r>
        <w:rPr>
          <w:rFonts w:ascii="宋体" w:hAnsi="宋体" w:cs="宋体"/>
          <w:b/>
          <w:bCs/>
          <w:color w:val="auto"/>
          <w:spacing w:val="5"/>
          <w:sz w:val="20"/>
          <w:szCs w:val="20"/>
          <w:highlight w:val="none"/>
        </w:rPr>
        <w:t>第十条税费</w:t>
      </w:r>
    </w:p>
    <w:p w14:paraId="1AD794BC">
      <w:pPr>
        <w:spacing w:before="113" w:line="227" w:lineRule="auto"/>
        <w:ind w:left="420"/>
        <w:rPr>
          <w:rFonts w:ascii="宋体" w:hAnsi="宋体" w:cs="宋体"/>
          <w:color w:val="auto"/>
          <w:sz w:val="20"/>
          <w:szCs w:val="20"/>
          <w:highlight w:val="none"/>
        </w:rPr>
      </w:pPr>
      <w:r>
        <w:rPr>
          <w:rFonts w:hint="eastAsia" w:ascii="宋体" w:hAnsi="宋体" w:cs="宋体"/>
          <w:color w:val="auto"/>
          <w:spacing w:val="9"/>
          <w:sz w:val="20"/>
          <w:szCs w:val="20"/>
          <w:highlight w:val="none"/>
        </w:rPr>
        <w:t>本合同执行中相关的一切税费均由乙方负担。</w:t>
      </w:r>
    </w:p>
    <w:p w14:paraId="17D689AC">
      <w:pPr>
        <w:spacing w:before="93" w:line="228" w:lineRule="auto"/>
        <w:ind w:left="358"/>
        <w:outlineLvl w:val="1"/>
        <w:rPr>
          <w:rFonts w:ascii="宋体" w:hAnsi="宋体" w:cs="宋体"/>
          <w:b/>
          <w:bCs/>
          <w:color w:val="auto"/>
          <w:spacing w:val="5"/>
          <w:sz w:val="20"/>
          <w:szCs w:val="20"/>
          <w:highlight w:val="none"/>
        </w:rPr>
      </w:pPr>
      <w:r>
        <w:rPr>
          <w:rFonts w:ascii="宋体" w:hAnsi="宋体" w:cs="宋体"/>
          <w:b/>
          <w:bCs/>
          <w:color w:val="auto"/>
          <w:spacing w:val="5"/>
          <w:sz w:val="20"/>
          <w:szCs w:val="20"/>
          <w:highlight w:val="none"/>
        </w:rPr>
        <w:t>第十一条质量保证及售后服务</w:t>
      </w:r>
    </w:p>
    <w:p w14:paraId="670FF945">
      <w:pPr>
        <w:spacing w:before="114" w:line="360" w:lineRule="auto"/>
        <w:ind w:right="79" w:firstLine="436" w:firstLineChars="200"/>
        <w:rPr>
          <w:rFonts w:ascii="宋体" w:hAnsi="宋体" w:cs="宋体"/>
          <w:color w:val="auto"/>
          <w:spacing w:val="9"/>
          <w:sz w:val="20"/>
          <w:szCs w:val="20"/>
          <w:highlight w:val="none"/>
        </w:rPr>
      </w:pPr>
      <w:r>
        <w:rPr>
          <w:rFonts w:hint="eastAsia" w:ascii="宋体" w:hAnsi="宋体" w:cs="宋体"/>
          <w:color w:val="auto"/>
          <w:spacing w:val="9"/>
          <w:sz w:val="20"/>
          <w:szCs w:val="20"/>
          <w:highlight w:val="none"/>
        </w:rPr>
        <w:t>1.乙方应按招标文件规定的货物性能、技术要求、质量标准向甲方提供未经使用的全新产品。乙方提供货物的质量保证期按交货验收合格之日起计（期限见《招标项目采购需求》中各分标的要求）。在保证期内因货物本身的质量问题发生故障，乙方应负责免费修理和更换零部件。对达不到技术要求者，根据实际情况，经双方协商，可按以下办法处理：</w:t>
      </w:r>
    </w:p>
    <w:p w14:paraId="261FA28F">
      <w:pPr>
        <w:spacing w:before="114" w:line="360" w:lineRule="auto"/>
        <w:ind w:right="79" w:firstLine="436" w:firstLineChars="200"/>
        <w:rPr>
          <w:rFonts w:ascii="宋体" w:hAnsi="宋体" w:cs="宋体"/>
          <w:color w:val="auto"/>
          <w:spacing w:val="9"/>
          <w:sz w:val="20"/>
          <w:szCs w:val="20"/>
          <w:highlight w:val="none"/>
        </w:rPr>
      </w:pPr>
      <w:r>
        <w:rPr>
          <w:rFonts w:hint="eastAsia" w:ascii="宋体" w:hAnsi="宋体" w:cs="宋体"/>
          <w:color w:val="auto"/>
          <w:spacing w:val="9"/>
          <w:sz w:val="20"/>
          <w:szCs w:val="20"/>
          <w:highlight w:val="none"/>
        </w:rPr>
        <w:t>⑴更换：由乙方承担所发生的全部费用。</w:t>
      </w:r>
    </w:p>
    <w:p w14:paraId="45764F1F">
      <w:pPr>
        <w:spacing w:before="114" w:line="360" w:lineRule="auto"/>
        <w:ind w:right="79" w:firstLine="436" w:firstLineChars="200"/>
        <w:rPr>
          <w:rFonts w:ascii="宋体" w:hAnsi="宋体" w:cs="宋体"/>
          <w:color w:val="auto"/>
          <w:spacing w:val="9"/>
          <w:sz w:val="20"/>
          <w:szCs w:val="20"/>
          <w:highlight w:val="none"/>
        </w:rPr>
      </w:pPr>
      <w:r>
        <w:rPr>
          <w:rFonts w:hint="eastAsia" w:ascii="宋体" w:hAnsi="宋体" w:cs="宋体"/>
          <w:color w:val="auto"/>
          <w:spacing w:val="9"/>
          <w:sz w:val="20"/>
          <w:szCs w:val="20"/>
          <w:highlight w:val="none"/>
        </w:rPr>
        <w:t>⑵贬值处理：由甲乙双方合议定价。</w:t>
      </w:r>
    </w:p>
    <w:p w14:paraId="62C05B66">
      <w:pPr>
        <w:spacing w:before="114" w:line="360" w:lineRule="auto"/>
        <w:ind w:right="79" w:firstLine="436" w:firstLineChars="200"/>
        <w:rPr>
          <w:rFonts w:ascii="宋体" w:hAnsi="宋体" w:cs="宋体"/>
          <w:color w:val="auto"/>
          <w:spacing w:val="9"/>
          <w:sz w:val="20"/>
          <w:szCs w:val="20"/>
          <w:highlight w:val="none"/>
        </w:rPr>
      </w:pPr>
      <w:r>
        <w:rPr>
          <w:rFonts w:hint="eastAsia" w:ascii="宋体" w:hAnsi="宋体" w:cs="宋体"/>
          <w:color w:val="auto"/>
          <w:spacing w:val="9"/>
          <w:sz w:val="20"/>
          <w:szCs w:val="20"/>
          <w:highlight w:val="none"/>
        </w:rPr>
        <w:t>⑶退货处理：乙方应退还甲方支付的合同款，同时应承担该货物的直接费用（运输、保险、检验、货款利息及银行手续费等）。</w:t>
      </w:r>
    </w:p>
    <w:p w14:paraId="427BB59C">
      <w:pPr>
        <w:spacing w:before="114" w:line="360" w:lineRule="auto"/>
        <w:ind w:right="79" w:firstLine="436" w:firstLineChars="200"/>
        <w:rPr>
          <w:rFonts w:ascii="宋体" w:hAnsi="宋体" w:cs="宋体"/>
          <w:color w:val="auto"/>
          <w:spacing w:val="9"/>
          <w:sz w:val="20"/>
          <w:szCs w:val="20"/>
          <w:highlight w:val="none"/>
        </w:rPr>
      </w:pPr>
      <w:r>
        <w:rPr>
          <w:rFonts w:hint="eastAsia" w:ascii="宋体" w:hAnsi="宋体" w:cs="宋体"/>
          <w:color w:val="auto"/>
          <w:spacing w:val="9"/>
          <w:sz w:val="20"/>
          <w:szCs w:val="20"/>
          <w:highlight w:val="none"/>
        </w:rPr>
        <w:t>2.如在使用过程中发生质量问题，乙方在接到甲方通知后在小时内到达甲方现场。</w:t>
      </w:r>
    </w:p>
    <w:p w14:paraId="1D727596">
      <w:pPr>
        <w:spacing w:before="114" w:line="360" w:lineRule="auto"/>
        <w:ind w:right="79" w:firstLine="436" w:firstLineChars="200"/>
        <w:rPr>
          <w:rFonts w:ascii="宋体" w:hAnsi="宋体" w:cs="宋体"/>
          <w:color w:val="auto"/>
          <w:spacing w:val="9"/>
          <w:sz w:val="20"/>
          <w:szCs w:val="20"/>
          <w:highlight w:val="none"/>
        </w:rPr>
      </w:pPr>
      <w:r>
        <w:rPr>
          <w:rFonts w:hint="eastAsia" w:ascii="宋体" w:hAnsi="宋体" w:cs="宋体"/>
          <w:color w:val="auto"/>
          <w:spacing w:val="9"/>
          <w:sz w:val="20"/>
          <w:szCs w:val="20"/>
          <w:highlight w:val="none"/>
        </w:rPr>
        <w:t>3.在质保期内，乙方应对货物出现的质量及安全问题负责处理解决并承担一切费用。</w:t>
      </w:r>
    </w:p>
    <w:p w14:paraId="3EF8EED6">
      <w:pPr>
        <w:spacing w:before="114" w:line="360" w:lineRule="auto"/>
        <w:ind w:right="79" w:firstLine="436" w:firstLineChars="200"/>
        <w:rPr>
          <w:rFonts w:ascii="宋体" w:hAnsi="宋体" w:cs="宋体"/>
          <w:color w:val="auto"/>
          <w:spacing w:val="9"/>
          <w:sz w:val="20"/>
          <w:szCs w:val="20"/>
          <w:highlight w:val="none"/>
        </w:rPr>
      </w:pPr>
      <w:r>
        <w:rPr>
          <w:rFonts w:hint="eastAsia" w:ascii="宋体" w:hAnsi="宋体" w:cs="宋体"/>
          <w:color w:val="auto"/>
          <w:spacing w:val="9"/>
          <w:sz w:val="20"/>
          <w:szCs w:val="20"/>
          <w:highlight w:val="none"/>
        </w:rPr>
        <w:t>4.上述的货物免费保修期：，如发现材料及质量问题，成交人在接到采购人通知24小时之内负责调换。</w:t>
      </w:r>
    </w:p>
    <w:p w14:paraId="00F9ECA2">
      <w:pPr>
        <w:spacing w:before="114" w:line="360" w:lineRule="auto"/>
        <w:ind w:right="79" w:firstLine="436" w:firstLineChars="200"/>
        <w:rPr>
          <w:rFonts w:ascii="宋体" w:hAnsi="宋体" w:cs="宋体"/>
          <w:color w:val="auto"/>
          <w:spacing w:val="9"/>
          <w:sz w:val="20"/>
          <w:szCs w:val="20"/>
          <w:highlight w:val="none"/>
        </w:rPr>
      </w:pPr>
      <w:r>
        <w:rPr>
          <w:rFonts w:hint="eastAsia" w:ascii="宋体" w:hAnsi="宋体" w:cs="宋体"/>
          <w:color w:val="auto"/>
          <w:spacing w:val="9"/>
          <w:sz w:val="20"/>
          <w:szCs w:val="20"/>
          <w:highlight w:val="none"/>
        </w:rPr>
        <w:t xml:space="preserve">5.乙方提供售后服务联系电话及联系人，免费保修期内，货物若出现问题，乙方在接到故障通知的 1 小时内响应，3 小时内提供解决方案，24 小时内派工程技术人员上门维修并解决故障问题。如果需要更换配件的，要求更换的配件应跟被更换的品牌、类型相一致或者是同类同档次的替代品，后者需征得采购人同意。 </w:t>
      </w:r>
    </w:p>
    <w:p w14:paraId="0DA09D26">
      <w:pPr>
        <w:spacing w:before="114" w:line="360" w:lineRule="auto"/>
        <w:ind w:right="79" w:firstLine="436" w:firstLineChars="200"/>
        <w:rPr>
          <w:rFonts w:ascii="宋体" w:hAnsi="宋体" w:cs="宋体"/>
          <w:color w:val="auto"/>
          <w:spacing w:val="9"/>
          <w:sz w:val="20"/>
          <w:szCs w:val="20"/>
          <w:highlight w:val="none"/>
        </w:rPr>
      </w:pPr>
      <w:r>
        <w:rPr>
          <w:rFonts w:hint="eastAsia" w:ascii="宋体" w:hAnsi="宋体" w:cs="宋体"/>
          <w:color w:val="auto"/>
          <w:spacing w:val="9"/>
          <w:sz w:val="20"/>
          <w:szCs w:val="20"/>
          <w:highlight w:val="none"/>
        </w:rPr>
        <w:t xml:space="preserve">6.运维服务期外服务要求：乙方完成服务项目后，同样提供 7*24 小时电话咨询服务。 </w:t>
      </w:r>
    </w:p>
    <w:p w14:paraId="725CC198">
      <w:pPr>
        <w:spacing w:before="114" w:line="360" w:lineRule="auto"/>
        <w:ind w:right="79" w:firstLine="436" w:firstLineChars="200"/>
        <w:rPr>
          <w:rFonts w:ascii="宋体" w:hAnsi="宋体" w:cs="宋体"/>
          <w:color w:val="auto"/>
          <w:spacing w:val="9"/>
          <w:sz w:val="20"/>
          <w:szCs w:val="20"/>
          <w:highlight w:val="none"/>
        </w:rPr>
      </w:pPr>
      <w:r>
        <w:rPr>
          <w:rFonts w:hint="eastAsia" w:ascii="宋体" w:hAnsi="宋体" w:cs="宋体"/>
          <w:color w:val="auto"/>
          <w:spacing w:val="9"/>
          <w:sz w:val="20"/>
          <w:szCs w:val="20"/>
          <w:highlight w:val="none"/>
        </w:rPr>
        <w:t>7..保修期内每半年至少提供一次维护保养，并提供保养报告单；定期的维护保养服务包括：设备的安全检查、影像质量检查、设备清洁保养、性能测试及校准、 运行状态检查等。保修期内需更换的损耗品由乙方负责提供，不得额外收取费用。</w:t>
      </w:r>
    </w:p>
    <w:p w14:paraId="6EAF2513">
      <w:pPr>
        <w:spacing w:before="93" w:line="228" w:lineRule="auto"/>
        <w:ind w:left="358"/>
        <w:outlineLvl w:val="1"/>
        <w:rPr>
          <w:rFonts w:ascii="宋体" w:hAnsi="宋体" w:cs="宋体"/>
          <w:b/>
          <w:bCs/>
          <w:color w:val="auto"/>
          <w:spacing w:val="5"/>
          <w:sz w:val="20"/>
          <w:szCs w:val="20"/>
          <w:highlight w:val="none"/>
        </w:rPr>
      </w:pPr>
      <w:r>
        <w:rPr>
          <w:rFonts w:ascii="宋体" w:hAnsi="宋体" w:cs="宋体"/>
          <w:b/>
          <w:bCs/>
          <w:color w:val="auto"/>
          <w:spacing w:val="5"/>
          <w:sz w:val="20"/>
          <w:szCs w:val="20"/>
          <w:highlight w:val="none"/>
        </w:rPr>
        <w:t>第十二条调试（如有）和验收</w:t>
      </w:r>
    </w:p>
    <w:p w14:paraId="06056725">
      <w:pPr>
        <w:spacing w:before="114" w:line="360" w:lineRule="auto"/>
        <w:ind w:right="79" w:firstLine="436" w:firstLineChars="200"/>
        <w:rPr>
          <w:rFonts w:ascii="宋体" w:hAnsi="宋体" w:cs="宋体"/>
          <w:color w:val="auto"/>
          <w:spacing w:val="9"/>
          <w:sz w:val="20"/>
          <w:szCs w:val="20"/>
          <w:highlight w:val="none"/>
        </w:rPr>
      </w:pPr>
      <w:r>
        <w:rPr>
          <w:rFonts w:hint="eastAsia" w:ascii="宋体" w:hAnsi="宋体" w:cs="宋体"/>
          <w:color w:val="auto"/>
          <w:spacing w:val="9"/>
          <w:sz w:val="20"/>
          <w:szCs w:val="20"/>
          <w:highlight w:val="none"/>
        </w:rPr>
        <w:t>1.甲方对乙方提交的货物依据招标文件上的技术规格要求和国家有关质量标准进行现场初步验收，外观、说明书符合招标文件技术要求的，给予签收，初步验收不合格的不予签收。货到后，甲方应当在到货后七个工作日内进行验收。</w:t>
      </w:r>
    </w:p>
    <w:p w14:paraId="49E4F566">
      <w:pPr>
        <w:spacing w:before="114" w:line="360" w:lineRule="auto"/>
        <w:ind w:right="79" w:firstLine="436" w:firstLineChars="200"/>
        <w:rPr>
          <w:rFonts w:ascii="宋体" w:hAnsi="宋体" w:cs="宋体"/>
          <w:color w:val="auto"/>
          <w:spacing w:val="9"/>
          <w:sz w:val="20"/>
          <w:szCs w:val="20"/>
          <w:highlight w:val="none"/>
        </w:rPr>
      </w:pPr>
      <w:r>
        <w:rPr>
          <w:rFonts w:hint="eastAsia" w:ascii="宋体" w:hAnsi="宋体" w:cs="宋体"/>
          <w:color w:val="auto"/>
          <w:spacing w:val="9"/>
          <w:sz w:val="20"/>
          <w:szCs w:val="20"/>
          <w:highlight w:val="none"/>
        </w:rPr>
        <w:t>2.乙方交货前应对产品作出全面检查和对验收文件进行整理，并列出清单，作为甲方收货验收和使用的技术条件依据，检验的结果应随货物交甲方。</w:t>
      </w:r>
    </w:p>
    <w:p w14:paraId="7231A6C1">
      <w:pPr>
        <w:spacing w:before="114" w:line="360" w:lineRule="auto"/>
        <w:ind w:right="79" w:firstLine="436" w:firstLineChars="200"/>
        <w:rPr>
          <w:rFonts w:ascii="宋体" w:hAnsi="宋体" w:cs="宋体"/>
          <w:color w:val="auto"/>
          <w:spacing w:val="9"/>
          <w:sz w:val="20"/>
          <w:szCs w:val="20"/>
          <w:highlight w:val="none"/>
        </w:rPr>
      </w:pPr>
      <w:r>
        <w:rPr>
          <w:rFonts w:hint="eastAsia" w:ascii="宋体" w:hAnsi="宋体" w:cs="宋体"/>
          <w:color w:val="auto"/>
          <w:spacing w:val="9"/>
          <w:sz w:val="20"/>
          <w:szCs w:val="20"/>
          <w:highlight w:val="none"/>
        </w:rPr>
        <w:t xml:space="preserve">3. 甲方对乙方提供的货物在使用前进行调试时，乙方需负责安装并培训甲方的使用操作人员，并协助甲方一起调试，直到符合技术要求，甲方才做最终验收。 </w:t>
      </w:r>
    </w:p>
    <w:p w14:paraId="7C6A83F3">
      <w:pPr>
        <w:spacing w:before="114" w:line="360" w:lineRule="auto"/>
        <w:ind w:right="79" w:firstLine="436" w:firstLineChars="200"/>
        <w:rPr>
          <w:rFonts w:ascii="宋体" w:hAnsi="宋体" w:cs="宋体"/>
          <w:color w:val="auto"/>
          <w:spacing w:val="9"/>
          <w:sz w:val="20"/>
          <w:szCs w:val="20"/>
          <w:highlight w:val="none"/>
        </w:rPr>
      </w:pPr>
      <w:r>
        <w:rPr>
          <w:rFonts w:hint="eastAsia" w:ascii="宋体" w:hAnsi="宋体" w:cs="宋体"/>
          <w:color w:val="auto"/>
          <w:spacing w:val="9"/>
          <w:sz w:val="20"/>
          <w:szCs w:val="20"/>
          <w:highlight w:val="none"/>
        </w:rPr>
        <w:t xml:space="preserve">4.在项目交付验收时，由甲乙双方对照竞争性磋商文件、乙方提交的投标文件以及合同的项目需求及技术要求，全面逐项核对检验（含测试或试运行），核验不合格的，甲方有权终止合同执行并全部退货，同时报相关监督管理部门处理，由此造成甲方经济损失的由乙方负责承担全部赔偿责任。验收存在争议时，应邀请技术专家、参加本项目的其他供应商或者第三方机构参与验收。如服务符合标准或要求的，鉴定费由甲方承担；如不符合竞争性磋商文件、乙方提交的投标文件以或合同的技术需求及要求以及提供虚假响应材料、承诺的，按相关规定做违约处理，乙方承担所有责任和费用，甲方保留进一步追究责任的权利。 </w:t>
      </w:r>
    </w:p>
    <w:p w14:paraId="13F386A0">
      <w:pPr>
        <w:spacing w:before="114" w:line="360" w:lineRule="auto"/>
        <w:ind w:right="79" w:firstLine="436" w:firstLineChars="200"/>
        <w:rPr>
          <w:rFonts w:ascii="宋体" w:hAnsi="宋体" w:cs="宋体"/>
          <w:color w:val="auto"/>
          <w:spacing w:val="9"/>
          <w:sz w:val="20"/>
          <w:szCs w:val="20"/>
          <w:highlight w:val="none"/>
        </w:rPr>
      </w:pPr>
      <w:r>
        <w:rPr>
          <w:rFonts w:hint="eastAsia" w:ascii="宋体" w:hAnsi="宋体" w:cs="宋体"/>
          <w:color w:val="auto"/>
          <w:spacing w:val="9"/>
          <w:sz w:val="20"/>
          <w:szCs w:val="20"/>
          <w:highlight w:val="none"/>
        </w:rPr>
        <w:t xml:space="preserve">5. 对技术复杂的货物，甲方应请国家认可的专业检测机构参与初步验收及最终验收，并由其出具质量检测报告。 </w:t>
      </w:r>
    </w:p>
    <w:p w14:paraId="76795EE8">
      <w:pPr>
        <w:spacing w:before="114" w:line="360" w:lineRule="auto"/>
        <w:ind w:right="79" w:firstLine="436" w:firstLineChars="200"/>
        <w:rPr>
          <w:rFonts w:ascii="宋体" w:hAnsi="宋体" w:cs="宋体"/>
          <w:color w:val="auto"/>
          <w:spacing w:val="9"/>
          <w:sz w:val="20"/>
          <w:szCs w:val="20"/>
          <w:highlight w:val="none"/>
        </w:rPr>
      </w:pPr>
      <w:r>
        <w:rPr>
          <w:rFonts w:hint="eastAsia" w:ascii="宋体" w:hAnsi="宋体" w:cs="宋体"/>
          <w:color w:val="auto"/>
          <w:spacing w:val="9"/>
          <w:sz w:val="20"/>
          <w:szCs w:val="20"/>
          <w:highlight w:val="none"/>
        </w:rPr>
        <w:t>6. 验收时乙方必须在现场，验收完毕后作出验收结果报告；验收费用由乙方负责。</w:t>
      </w:r>
    </w:p>
    <w:p w14:paraId="6F791EC7">
      <w:pPr>
        <w:spacing w:before="93" w:line="228" w:lineRule="auto"/>
        <w:ind w:left="358"/>
        <w:outlineLvl w:val="1"/>
        <w:rPr>
          <w:rFonts w:ascii="宋体" w:hAnsi="宋体" w:cs="宋体"/>
          <w:b/>
          <w:bCs/>
          <w:color w:val="auto"/>
          <w:spacing w:val="5"/>
          <w:sz w:val="20"/>
          <w:szCs w:val="20"/>
          <w:highlight w:val="none"/>
        </w:rPr>
      </w:pPr>
      <w:r>
        <w:rPr>
          <w:rFonts w:ascii="宋体" w:hAnsi="宋体" w:cs="宋体"/>
          <w:b/>
          <w:bCs/>
          <w:color w:val="auto"/>
          <w:spacing w:val="5"/>
          <w:sz w:val="20"/>
          <w:szCs w:val="20"/>
          <w:highlight w:val="none"/>
        </w:rPr>
        <w:t>第十三条货物包装及运输</w:t>
      </w:r>
    </w:p>
    <w:p w14:paraId="134E3650">
      <w:pPr>
        <w:spacing w:before="114" w:line="360" w:lineRule="auto"/>
        <w:ind w:right="79" w:firstLine="436" w:firstLineChars="200"/>
        <w:rPr>
          <w:rFonts w:ascii="宋体" w:hAnsi="宋体" w:cs="宋体"/>
          <w:color w:val="auto"/>
          <w:spacing w:val="9"/>
          <w:sz w:val="20"/>
          <w:szCs w:val="20"/>
          <w:highlight w:val="none"/>
        </w:rPr>
      </w:pPr>
      <w:r>
        <w:rPr>
          <w:rFonts w:hint="eastAsia" w:ascii="宋体" w:hAnsi="宋体" w:cs="宋体"/>
          <w:color w:val="auto"/>
          <w:spacing w:val="9"/>
          <w:sz w:val="20"/>
          <w:szCs w:val="20"/>
          <w:highlight w:val="none"/>
        </w:rPr>
        <w:t>1.乙方应在货物发运前对其进行满足运输距离、防潮、防震和防破损装卸等要求包装，以保证货物安全运达甲方指定地点。</w:t>
      </w:r>
    </w:p>
    <w:p w14:paraId="75760BC9">
      <w:pPr>
        <w:spacing w:before="114" w:line="360" w:lineRule="auto"/>
        <w:ind w:right="79" w:firstLine="436" w:firstLineChars="200"/>
        <w:rPr>
          <w:rFonts w:ascii="宋体" w:hAnsi="宋体" w:cs="宋体"/>
          <w:color w:val="auto"/>
          <w:spacing w:val="9"/>
          <w:sz w:val="20"/>
          <w:szCs w:val="20"/>
          <w:highlight w:val="none"/>
        </w:rPr>
      </w:pPr>
      <w:r>
        <w:rPr>
          <w:rFonts w:hint="eastAsia" w:ascii="宋体" w:hAnsi="宋体" w:cs="宋体"/>
          <w:color w:val="auto"/>
          <w:spacing w:val="9"/>
          <w:sz w:val="20"/>
          <w:szCs w:val="20"/>
          <w:highlight w:val="none"/>
        </w:rPr>
        <w:t>2.使用说明书、质量检验证明书、随配附件和工具以及清单一并附于货物内。</w:t>
      </w:r>
    </w:p>
    <w:p w14:paraId="5F28FC31">
      <w:pPr>
        <w:spacing w:before="114" w:line="360" w:lineRule="auto"/>
        <w:ind w:right="79" w:firstLine="436" w:firstLineChars="200"/>
        <w:rPr>
          <w:rFonts w:ascii="宋体" w:hAnsi="宋体" w:cs="宋体"/>
          <w:color w:val="auto"/>
          <w:spacing w:val="9"/>
          <w:sz w:val="20"/>
          <w:szCs w:val="20"/>
          <w:highlight w:val="none"/>
        </w:rPr>
      </w:pPr>
      <w:r>
        <w:rPr>
          <w:rFonts w:hint="eastAsia" w:ascii="宋体" w:hAnsi="宋体" w:cs="宋体"/>
          <w:color w:val="auto"/>
          <w:spacing w:val="9"/>
          <w:sz w:val="20"/>
          <w:szCs w:val="20"/>
          <w:highlight w:val="none"/>
        </w:rPr>
        <w:t>3.乙方在货物发运手续办理完毕后二十四小时内或货到甲方四十八小时前通知甲方，以准备接货。</w:t>
      </w:r>
    </w:p>
    <w:p w14:paraId="5FF3D19A">
      <w:pPr>
        <w:spacing w:before="114" w:line="360" w:lineRule="auto"/>
        <w:ind w:right="79" w:firstLine="436" w:firstLineChars="200"/>
        <w:rPr>
          <w:rFonts w:ascii="宋体" w:hAnsi="宋体" w:cs="宋体"/>
          <w:color w:val="auto"/>
          <w:spacing w:val="9"/>
          <w:sz w:val="20"/>
          <w:szCs w:val="20"/>
          <w:highlight w:val="none"/>
        </w:rPr>
      </w:pPr>
      <w:r>
        <w:rPr>
          <w:rFonts w:hint="eastAsia" w:ascii="宋体" w:hAnsi="宋体" w:cs="宋体"/>
          <w:color w:val="auto"/>
          <w:spacing w:val="9"/>
          <w:sz w:val="20"/>
          <w:szCs w:val="20"/>
          <w:highlight w:val="none"/>
        </w:rPr>
        <w:t>4.货物在交付甲方前发生的风险均由乙方负责。</w:t>
      </w:r>
    </w:p>
    <w:p w14:paraId="2ED8A1AC">
      <w:pPr>
        <w:spacing w:before="114" w:line="360" w:lineRule="auto"/>
        <w:ind w:right="79" w:firstLine="436" w:firstLineChars="200"/>
        <w:rPr>
          <w:rFonts w:ascii="宋体" w:hAnsi="宋体" w:cs="宋体"/>
          <w:color w:val="auto"/>
          <w:spacing w:val="9"/>
          <w:sz w:val="20"/>
          <w:szCs w:val="20"/>
          <w:highlight w:val="none"/>
        </w:rPr>
      </w:pPr>
      <w:r>
        <w:rPr>
          <w:rFonts w:hint="eastAsia" w:ascii="宋体" w:hAnsi="宋体" w:cs="宋体"/>
          <w:color w:val="auto"/>
          <w:spacing w:val="9"/>
          <w:sz w:val="20"/>
          <w:szCs w:val="20"/>
          <w:highlight w:val="none"/>
        </w:rPr>
        <w:t>5.货物在规定的交付期限内由乙方送达甲方指定的地点视为交付，乙方同时需通知甲方货物已送达。</w:t>
      </w:r>
    </w:p>
    <w:p w14:paraId="4F221813">
      <w:pPr>
        <w:spacing w:before="93" w:line="228" w:lineRule="auto"/>
        <w:ind w:left="358"/>
        <w:outlineLvl w:val="1"/>
        <w:rPr>
          <w:rFonts w:ascii="宋体" w:hAnsi="宋体" w:cs="宋体"/>
          <w:b/>
          <w:bCs/>
          <w:color w:val="auto"/>
          <w:spacing w:val="5"/>
          <w:sz w:val="20"/>
          <w:szCs w:val="20"/>
          <w:highlight w:val="none"/>
        </w:rPr>
      </w:pPr>
      <w:r>
        <w:rPr>
          <w:rFonts w:ascii="宋体" w:hAnsi="宋体" w:cs="宋体"/>
          <w:b/>
          <w:bCs/>
          <w:color w:val="auto"/>
          <w:spacing w:val="5"/>
          <w:sz w:val="20"/>
          <w:szCs w:val="20"/>
          <w:highlight w:val="none"/>
        </w:rPr>
        <w:t>第十四条违约责任</w:t>
      </w:r>
    </w:p>
    <w:p w14:paraId="6985C247">
      <w:pPr>
        <w:spacing w:before="114" w:line="360" w:lineRule="auto"/>
        <w:ind w:right="79" w:firstLine="436" w:firstLineChars="200"/>
        <w:rPr>
          <w:rFonts w:ascii="宋体" w:hAnsi="宋体" w:cs="宋体"/>
          <w:color w:val="auto"/>
          <w:spacing w:val="9"/>
          <w:sz w:val="20"/>
          <w:szCs w:val="20"/>
          <w:highlight w:val="none"/>
        </w:rPr>
      </w:pPr>
      <w:r>
        <w:rPr>
          <w:rFonts w:hint="eastAsia" w:ascii="宋体" w:hAnsi="宋体" w:cs="宋体"/>
          <w:color w:val="auto"/>
          <w:spacing w:val="9"/>
          <w:sz w:val="20"/>
          <w:szCs w:val="20"/>
          <w:highlight w:val="none"/>
        </w:rPr>
        <w:t>1.乙方所提供的货物规格、技术标准、材料等质量不合格的，应及时更换，更换不及时的按逾期交货处罚；因质量问题甲方不同意接收的或特殊情况甲方同意接收的，乙方应向甲方支付违约货款额5%违约金并赔偿甲方经济损失。</w:t>
      </w:r>
    </w:p>
    <w:p w14:paraId="1651EDAA">
      <w:pPr>
        <w:spacing w:before="114" w:line="360" w:lineRule="auto"/>
        <w:ind w:right="79" w:firstLine="436" w:firstLineChars="200"/>
        <w:rPr>
          <w:rFonts w:ascii="宋体" w:hAnsi="宋体" w:cs="宋体"/>
          <w:color w:val="auto"/>
          <w:spacing w:val="9"/>
          <w:sz w:val="20"/>
          <w:szCs w:val="20"/>
          <w:highlight w:val="none"/>
        </w:rPr>
      </w:pPr>
      <w:r>
        <w:rPr>
          <w:rFonts w:hint="eastAsia" w:ascii="宋体" w:hAnsi="宋体" w:cs="宋体"/>
          <w:color w:val="auto"/>
          <w:spacing w:val="9"/>
          <w:sz w:val="20"/>
          <w:szCs w:val="20"/>
          <w:highlight w:val="none"/>
        </w:rPr>
        <w:t>2.乙方提供的货物如侵犯了第三方合法权益而引发的任何纠纷或诉讼，均由乙方负责交涉并承担全部责任。乙方支付的违约金不足以弥补甲方损失的，还应承担赔偿责任。甲方为维护权益向乙方追偿的一切费用(包括但不限于律师费、担保费、保全保险费、差旅费、鉴定费等等)均由乙方承担。</w:t>
      </w:r>
    </w:p>
    <w:p w14:paraId="3E0A4167">
      <w:pPr>
        <w:spacing w:before="114" w:line="360" w:lineRule="auto"/>
        <w:ind w:right="79" w:firstLine="436" w:firstLineChars="200"/>
        <w:rPr>
          <w:rFonts w:ascii="宋体" w:hAnsi="宋体" w:cs="宋体"/>
          <w:color w:val="auto"/>
          <w:spacing w:val="9"/>
          <w:sz w:val="20"/>
          <w:szCs w:val="20"/>
          <w:highlight w:val="none"/>
        </w:rPr>
      </w:pPr>
      <w:r>
        <w:rPr>
          <w:rFonts w:hint="eastAsia" w:ascii="宋体" w:hAnsi="宋体" w:cs="宋体"/>
          <w:color w:val="auto"/>
          <w:spacing w:val="9"/>
          <w:sz w:val="20"/>
          <w:szCs w:val="20"/>
          <w:highlight w:val="none"/>
        </w:rPr>
        <w:t>3.因包装、运输引起的货物损坏，按质量不合格处罚。</w:t>
      </w:r>
    </w:p>
    <w:p w14:paraId="1133ABD3">
      <w:pPr>
        <w:spacing w:before="114" w:line="360" w:lineRule="auto"/>
        <w:ind w:right="79" w:firstLine="436" w:firstLineChars="200"/>
        <w:rPr>
          <w:rFonts w:ascii="宋体" w:hAnsi="宋体" w:cs="宋体"/>
          <w:color w:val="auto"/>
          <w:spacing w:val="9"/>
          <w:sz w:val="20"/>
          <w:szCs w:val="20"/>
          <w:highlight w:val="none"/>
        </w:rPr>
      </w:pPr>
      <w:r>
        <w:rPr>
          <w:rFonts w:hint="eastAsia" w:ascii="宋体" w:hAnsi="宋体" w:cs="宋体"/>
          <w:color w:val="auto"/>
          <w:spacing w:val="9"/>
          <w:sz w:val="20"/>
          <w:szCs w:val="20"/>
          <w:highlight w:val="none"/>
        </w:rPr>
        <w:t>4.甲方无故延期接收货物、乙方逾期交货的，每天向对方偿付违约货款额3‰违约金，但违约金累计不得超过违约货款额5%，超过30天对方有权解除或终止合同，违约方承担因此给对方造成经济损失；甲方延期付货款的，每天向乙方偿付延期货款额3‰滞纳金，但滞纳金累计不得超过延期货款额5%。</w:t>
      </w:r>
    </w:p>
    <w:p w14:paraId="37964EB7">
      <w:pPr>
        <w:spacing w:before="114" w:line="360" w:lineRule="auto"/>
        <w:ind w:right="79" w:firstLine="436" w:firstLineChars="200"/>
        <w:rPr>
          <w:rFonts w:ascii="宋体" w:hAnsi="宋体" w:cs="宋体"/>
          <w:color w:val="auto"/>
          <w:spacing w:val="9"/>
          <w:sz w:val="20"/>
          <w:szCs w:val="20"/>
          <w:highlight w:val="none"/>
        </w:rPr>
      </w:pPr>
      <w:r>
        <w:rPr>
          <w:rFonts w:hint="eastAsia" w:ascii="宋体" w:hAnsi="宋体" w:cs="宋体"/>
          <w:color w:val="auto"/>
          <w:spacing w:val="9"/>
          <w:sz w:val="20"/>
          <w:szCs w:val="20"/>
          <w:highlight w:val="none"/>
        </w:rPr>
        <w:t>5.乙方未按本合同和投标文件中规定的服务承诺提供售后服务的，乙方应按本合同合计金额5%向甲方支付违约金。</w:t>
      </w:r>
    </w:p>
    <w:p w14:paraId="5D7420F1">
      <w:pPr>
        <w:spacing w:before="114" w:line="360" w:lineRule="auto"/>
        <w:ind w:right="79" w:firstLine="436" w:firstLineChars="200"/>
        <w:rPr>
          <w:rFonts w:ascii="宋体" w:hAnsi="宋体" w:cs="宋体"/>
          <w:color w:val="auto"/>
          <w:spacing w:val="9"/>
          <w:sz w:val="20"/>
          <w:szCs w:val="20"/>
          <w:highlight w:val="none"/>
        </w:rPr>
      </w:pPr>
      <w:r>
        <w:rPr>
          <w:rFonts w:hint="eastAsia" w:ascii="宋体" w:hAnsi="宋体" w:cs="宋体"/>
          <w:color w:val="auto"/>
          <w:spacing w:val="9"/>
          <w:sz w:val="20"/>
          <w:szCs w:val="20"/>
          <w:highlight w:val="none"/>
        </w:rPr>
        <w:t>6.乙方提供的货物在质量保证期内，因设计、工艺或材料的缺陷和其它质量原因造成的问题，由乙方负责，费用从质量保证金中扣除，不足另补。</w:t>
      </w:r>
    </w:p>
    <w:p w14:paraId="7BDBB9D8">
      <w:pPr>
        <w:spacing w:before="114" w:line="360" w:lineRule="auto"/>
        <w:ind w:right="79" w:firstLine="436" w:firstLineChars="200"/>
        <w:rPr>
          <w:rFonts w:ascii="宋体" w:hAnsi="宋体" w:cs="宋体"/>
          <w:color w:val="auto"/>
          <w:spacing w:val="9"/>
          <w:sz w:val="20"/>
          <w:szCs w:val="20"/>
          <w:highlight w:val="none"/>
        </w:rPr>
      </w:pPr>
      <w:r>
        <w:rPr>
          <w:rFonts w:hint="eastAsia" w:ascii="宋体" w:hAnsi="宋体" w:cs="宋体"/>
          <w:color w:val="auto"/>
          <w:spacing w:val="9"/>
          <w:sz w:val="20"/>
          <w:szCs w:val="20"/>
          <w:highlight w:val="none"/>
        </w:rPr>
        <w:t>7.乙方未经甲方书面许可，乙方擅自将本合同项下义务交由第三方完成的，视为乙方根本违约，甲方有权解除或终止本合同，乙方应按本合同价的20%支付违约金，由此造成甲方经济损失的，还应承担全部赔偿责任。</w:t>
      </w:r>
    </w:p>
    <w:p w14:paraId="09C914CB">
      <w:pPr>
        <w:spacing w:before="114" w:line="360" w:lineRule="auto"/>
        <w:ind w:right="79" w:firstLine="436" w:firstLineChars="200"/>
        <w:rPr>
          <w:rFonts w:ascii="宋体" w:hAnsi="宋体" w:cs="宋体"/>
          <w:color w:val="auto"/>
          <w:spacing w:val="9"/>
          <w:sz w:val="20"/>
          <w:szCs w:val="20"/>
          <w:highlight w:val="none"/>
        </w:rPr>
      </w:pPr>
      <w:r>
        <w:rPr>
          <w:rFonts w:hint="eastAsia" w:ascii="宋体" w:hAnsi="宋体" w:cs="宋体"/>
          <w:color w:val="auto"/>
          <w:spacing w:val="9"/>
          <w:sz w:val="20"/>
          <w:szCs w:val="20"/>
          <w:highlight w:val="none"/>
        </w:rPr>
        <w:t>8.甲方不按时支付乙方费用的，应向乙方支付违约金，每日违约金额为成交金额的1‰，但违约金累计不得超过合同总额的5%。</w:t>
      </w:r>
    </w:p>
    <w:p w14:paraId="729B10EB">
      <w:pPr>
        <w:spacing w:before="114" w:line="360" w:lineRule="auto"/>
        <w:ind w:right="79" w:firstLine="436" w:firstLineChars="200"/>
        <w:rPr>
          <w:rFonts w:ascii="宋体" w:hAnsi="宋体" w:cs="宋体"/>
          <w:color w:val="auto"/>
          <w:sz w:val="19"/>
          <w:szCs w:val="19"/>
          <w:highlight w:val="none"/>
        </w:rPr>
      </w:pPr>
      <w:r>
        <w:rPr>
          <w:rFonts w:hint="eastAsia" w:ascii="宋体" w:hAnsi="宋体" w:cs="宋体"/>
          <w:color w:val="auto"/>
          <w:spacing w:val="9"/>
          <w:sz w:val="20"/>
          <w:szCs w:val="20"/>
          <w:highlight w:val="none"/>
        </w:rPr>
        <w:t>9.其它违约行为按违约货款额5%收取违约金并赔偿经济损失。</w:t>
      </w:r>
    </w:p>
    <w:p w14:paraId="58918356">
      <w:pPr>
        <w:spacing w:before="93" w:line="228" w:lineRule="auto"/>
        <w:ind w:left="358"/>
        <w:outlineLvl w:val="1"/>
        <w:rPr>
          <w:rFonts w:ascii="宋体" w:hAnsi="宋体" w:cs="宋体"/>
          <w:b/>
          <w:bCs/>
          <w:color w:val="auto"/>
          <w:spacing w:val="5"/>
          <w:sz w:val="20"/>
          <w:szCs w:val="20"/>
          <w:highlight w:val="none"/>
        </w:rPr>
      </w:pPr>
      <w:r>
        <w:rPr>
          <w:rFonts w:ascii="宋体" w:hAnsi="宋体" w:cs="宋体"/>
          <w:b/>
          <w:bCs/>
          <w:color w:val="auto"/>
          <w:spacing w:val="5"/>
          <w:sz w:val="20"/>
          <w:szCs w:val="20"/>
          <w:highlight w:val="none"/>
        </w:rPr>
        <w:t>第十五条不可抗力事件处理</w:t>
      </w:r>
    </w:p>
    <w:p w14:paraId="3C829FF5">
      <w:pPr>
        <w:spacing w:before="114" w:line="360" w:lineRule="auto"/>
        <w:ind w:right="79" w:firstLine="436" w:firstLineChars="200"/>
        <w:rPr>
          <w:rFonts w:ascii="宋体" w:hAnsi="宋体" w:cs="宋体"/>
          <w:color w:val="auto"/>
          <w:spacing w:val="9"/>
          <w:sz w:val="20"/>
          <w:szCs w:val="20"/>
          <w:highlight w:val="none"/>
        </w:rPr>
      </w:pPr>
      <w:r>
        <w:rPr>
          <w:rFonts w:hint="eastAsia" w:ascii="宋体" w:hAnsi="宋体" w:cs="宋体"/>
          <w:color w:val="auto"/>
          <w:spacing w:val="9"/>
          <w:sz w:val="20"/>
          <w:szCs w:val="20"/>
          <w:highlight w:val="none"/>
        </w:rPr>
        <w:t>1.在合同有效期内，任何一方因不可抗力事件导致不能履行合同，则合同履行期可延长，其延长期与不可抗力影响期相同。</w:t>
      </w:r>
    </w:p>
    <w:p w14:paraId="09A92ABC">
      <w:pPr>
        <w:spacing w:before="114" w:line="360" w:lineRule="auto"/>
        <w:ind w:right="79" w:firstLine="436" w:firstLineChars="200"/>
        <w:rPr>
          <w:rFonts w:ascii="宋体" w:hAnsi="宋体" w:cs="宋体"/>
          <w:color w:val="auto"/>
          <w:spacing w:val="9"/>
          <w:sz w:val="20"/>
          <w:szCs w:val="20"/>
          <w:highlight w:val="none"/>
        </w:rPr>
      </w:pPr>
      <w:r>
        <w:rPr>
          <w:rFonts w:hint="eastAsia" w:ascii="宋体" w:hAnsi="宋体" w:cs="宋体"/>
          <w:color w:val="auto"/>
          <w:spacing w:val="9"/>
          <w:sz w:val="20"/>
          <w:szCs w:val="20"/>
          <w:highlight w:val="none"/>
        </w:rPr>
        <w:t>2.不可抗力事件发生后，应立即通知对方，并寄送有关权威机构出具的证明。</w:t>
      </w:r>
    </w:p>
    <w:p w14:paraId="112D457D">
      <w:pPr>
        <w:spacing w:before="114" w:line="360" w:lineRule="auto"/>
        <w:ind w:right="79" w:firstLine="436" w:firstLineChars="200"/>
        <w:rPr>
          <w:rFonts w:ascii="宋体" w:hAnsi="宋体" w:cs="宋体"/>
          <w:color w:val="auto"/>
          <w:sz w:val="20"/>
          <w:szCs w:val="20"/>
          <w:highlight w:val="none"/>
        </w:rPr>
      </w:pPr>
      <w:r>
        <w:rPr>
          <w:rFonts w:hint="eastAsia" w:ascii="宋体" w:hAnsi="宋体" w:cs="宋体"/>
          <w:color w:val="auto"/>
          <w:spacing w:val="9"/>
          <w:sz w:val="20"/>
          <w:szCs w:val="20"/>
          <w:highlight w:val="none"/>
        </w:rPr>
        <w:t>3.不可抗力事件延续一百二十天以上，双方应通过友好协商，确定是否继续履行合同。</w:t>
      </w:r>
    </w:p>
    <w:p w14:paraId="45B4900D">
      <w:pPr>
        <w:spacing w:before="93" w:line="228" w:lineRule="auto"/>
        <w:ind w:left="358"/>
        <w:outlineLvl w:val="1"/>
        <w:rPr>
          <w:rFonts w:ascii="宋体" w:hAnsi="宋体" w:cs="宋体"/>
          <w:b/>
          <w:bCs/>
          <w:color w:val="auto"/>
          <w:spacing w:val="5"/>
          <w:sz w:val="20"/>
          <w:szCs w:val="20"/>
          <w:highlight w:val="none"/>
        </w:rPr>
      </w:pPr>
      <w:r>
        <w:rPr>
          <w:rFonts w:ascii="宋体" w:hAnsi="宋体" w:cs="宋体"/>
          <w:b/>
          <w:bCs/>
          <w:color w:val="auto"/>
          <w:spacing w:val="5"/>
          <w:sz w:val="20"/>
          <w:szCs w:val="20"/>
          <w:highlight w:val="none"/>
        </w:rPr>
        <w:t>第十六条合同争议解决</w:t>
      </w:r>
    </w:p>
    <w:p w14:paraId="3862A51F">
      <w:pPr>
        <w:spacing w:before="114" w:line="360" w:lineRule="auto"/>
        <w:ind w:right="79" w:firstLine="436" w:firstLineChars="200"/>
        <w:rPr>
          <w:rFonts w:ascii="宋体" w:hAnsi="宋体" w:cs="宋体"/>
          <w:color w:val="auto"/>
          <w:spacing w:val="9"/>
          <w:sz w:val="20"/>
          <w:szCs w:val="20"/>
          <w:highlight w:val="none"/>
        </w:rPr>
      </w:pPr>
      <w:r>
        <w:rPr>
          <w:rFonts w:hint="eastAsia" w:ascii="宋体" w:hAnsi="宋体" w:cs="宋体"/>
          <w:color w:val="auto"/>
          <w:spacing w:val="9"/>
          <w:sz w:val="20"/>
          <w:szCs w:val="20"/>
          <w:highlight w:val="none"/>
        </w:rPr>
        <w:t>1.因货物质量问题发生争议的，应邀请国家认可的质量检测机构对货物质量进行鉴定。货物符合标准的，鉴定费由甲方承担；货物不符合标准的，鉴定费由乙方承担。</w:t>
      </w:r>
    </w:p>
    <w:p w14:paraId="7F6B499B">
      <w:pPr>
        <w:spacing w:before="114" w:line="360" w:lineRule="auto"/>
        <w:ind w:right="79" w:firstLine="436" w:firstLineChars="200"/>
        <w:rPr>
          <w:rFonts w:ascii="宋体" w:hAnsi="宋体" w:cs="宋体"/>
          <w:color w:val="auto"/>
          <w:sz w:val="20"/>
          <w:szCs w:val="20"/>
          <w:highlight w:val="none"/>
        </w:rPr>
      </w:pPr>
      <w:r>
        <w:rPr>
          <w:rFonts w:hint="eastAsia" w:ascii="宋体" w:hAnsi="宋体" w:cs="宋体"/>
          <w:color w:val="auto"/>
          <w:spacing w:val="9"/>
          <w:sz w:val="20"/>
          <w:szCs w:val="20"/>
          <w:highlight w:val="none"/>
        </w:rPr>
        <w:t>2.因履行本合同引起的或与本合同有关的争议，甲乙双方应首先通过友好协商解决，如果协商不能解决，可向甲方</w:t>
      </w:r>
      <w:r>
        <w:rPr>
          <w:rFonts w:ascii="宋体" w:hAnsi="宋体" w:cs="宋体"/>
          <w:color w:val="auto"/>
          <w:spacing w:val="7"/>
          <w:sz w:val="20"/>
          <w:szCs w:val="20"/>
          <w:highlight w:val="none"/>
        </w:rPr>
        <w:t>所在地的</w:t>
      </w:r>
      <w:r>
        <w:rPr>
          <w:rFonts w:ascii="宋体" w:hAnsi="宋体" w:cs="宋体"/>
          <w:b/>
          <w:bCs/>
          <w:color w:val="auto"/>
          <w:spacing w:val="7"/>
          <w:sz w:val="20"/>
          <w:szCs w:val="20"/>
          <w:highlight w:val="none"/>
          <w:u w:val="single"/>
        </w:rPr>
        <w:t>人民法院提起诉讼</w:t>
      </w:r>
      <w:r>
        <w:rPr>
          <w:rFonts w:ascii="宋体" w:hAnsi="宋体" w:cs="宋体"/>
          <w:color w:val="auto"/>
          <w:spacing w:val="7"/>
          <w:sz w:val="20"/>
          <w:szCs w:val="20"/>
          <w:highlight w:val="none"/>
        </w:rPr>
        <w:t>。</w:t>
      </w:r>
      <w:r>
        <w:rPr>
          <w:rFonts w:ascii="宋体" w:hAnsi="宋体" w:cs="宋体"/>
          <w:b/>
          <w:bCs/>
          <w:color w:val="auto"/>
          <w:spacing w:val="7"/>
          <w:sz w:val="20"/>
          <w:szCs w:val="20"/>
          <w:highlight w:val="none"/>
        </w:rPr>
        <w:t>（注：由甲乙双方</w:t>
      </w:r>
      <w:r>
        <w:rPr>
          <w:rFonts w:ascii="宋体" w:hAnsi="宋体" w:cs="宋体"/>
          <w:b/>
          <w:bCs/>
          <w:color w:val="auto"/>
          <w:spacing w:val="6"/>
          <w:sz w:val="20"/>
          <w:szCs w:val="20"/>
          <w:highlight w:val="none"/>
        </w:rPr>
        <w:t>约定选择向仲裁委员会申请仲裁或</w:t>
      </w:r>
      <w:r>
        <w:rPr>
          <w:rFonts w:ascii="宋体" w:hAnsi="宋体" w:cs="宋体"/>
          <w:b/>
          <w:bCs/>
          <w:color w:val="auto"/>
          <w:spacing w:val="7"/>
          <w:sz w:val="20"/>
          <w:szCs w:val="20"/>
          <w:highlight w:val="none"/>
        </w:rPr>
        <w:t>者向人民法院提起诉讼的其中一种方式处理合同争议）</w:t>
      </w:r>
      <w:r>
        <w:rPr>
          <w:rFonts w:ascii="宋体" w:hAnsi="宋体" w:cs="宋体"/>
          <w:color w:val="auto"/>
          <w:spacing w:val="7"/>
          <w:sz w:val="20"/>
          <w:szCs w:val="20"/>
          <w:highlight w:val="none"/>
        </w:rPr>
        <w:t>。</w:t>
      </w:r>
    </w:p>
    <w:p w14:paraId="1884BE60">
      <w:pPr>
        <w:spacing w:before="114" w:line="360" w:lineRule="auto"/>
        <w:ind w:right="79" w:firstLine="436" w:firstLineChars="200"/>
        <w:rPr>
          <w:rFonts w:ascii="宋体" w:hAnsi="宋体" w:cs="宋体"/>
          <w:color w:val="auto"/>
          <w:spacing w:val="9"/>
          <w:sz w:val="20"/>
          <w:szCs w:val="20"/>
          <w:highlight w:val="none"/>
        </w:rPr>
      </w:pPr>
      <w:r>
        <w:rPr>
          <w:rFonts w:hint="eastAsia" w:ascii="宋体" w:hAnsi="宋体" w:cs="宋体"/>
          <w:color w:val="auto"/>
          <w:spacing w:val="9"/>
          <w:sz w:val="20"/>
          <w:szCs w:val="20"/>
          <w:highlight w:val="none"/>
        </w:rPr>
        <w:t>3.仲裁或诉讼期间，本合同继续履行。</w:t>
      </w:r>
    </w:p>
    <w:p w14:paraId="1AE9BF39">
      <w:pPr>
        <w:spacing w:before="93" w:line="228" w:lineRule="auto"/>
        <w:ind w:left="358"/>
        <w:outlineLvl w:val="1"/>
        <w:rPr>
          <w:rFonts w:ascii="宋体" w:hAnsi="宋体" w:cs="宋体"/>
          <w:b/>
          <w:bCs/>
          <w:color w:val="auto"/>
          <w:spacing w:val="5"/>
          <w:sz w:val="20"/>
          <w:szCs w:val="20"/>
          <w:highlight w:val="none"/>
        </w:rPr>
      </w:pPr>
      <w:r>
        <w:rPr>
          <w:rFonts w:ascii="宋体" w:hAnsi="宋体" w:cs="宋体"/>
          <w:b/>
          <w:bCs/>
          <w:color w:val="auto"/>
          <w:spacing w:val="5"/>
          <w:sz w:val="20"/>
          <w:szCs w:val="20"/>
          <w:highlight w:val="none"/>
        </w:rPr>
        <w:t>第十七条合同生效及其它</w:t>
      </w:r>
    </w:p>
    <w:p w14:paraId="29DAF8A2">
      <w:pPr>
        <w:spacing w:before="114" w:line="360" w:lineRule="auto"/>
        <w:ind w:right="79" w:firstLine="436" w:firstLineChars="200"/>
        <w:rPr>
          <w:rFonts w:ascii="宋体" w:hAnsi="宋体" w:cs="宋体"/>
          <w:color w:val="auto"/>
          <w:spacing w:val="9"/>
          <w:sz w:val="20"/>
          <w:szCs w:val="20"/>
          <w:highlight w:val="none"/>
        </w:rPr>
      </w:pPr>
      <w:r>
        <w:rPr>
          <w:rFonts w:hint="eastAsia" w:ascii="宋体" w:hAnsi="宋体" w:cs="宋体"/>
          <w:color w:val="auto"/>
          <w:spacing w:val="9"/>
          <w:sz w:val="20"/>
          <w:szCs w:val="20"/>
          <w:highlight w:val="none"/>
        </w:rPr>
        <w:t>1．合同经双方法定代表人（负责人）或授权代表签字并加盖单位公章后生效。</w:t>
      </w:r>
    </w:p>
    <w:p w14:paraId="5B62F651">
      <w:pPr>
        <w:spacing w:before="114" w:line="360" w:lineRule="auto"/>
        <w:ind w:right="79" w:firstLine="436" w:firstLineChars="200"/>
        <w:rPr>
          <w:rFonts w:ascii="宋体" w:hAnsi="宋体" w:cs="宋体"/>
          <w:color w:val="auto"/>
          <w:spacing w:val="9"/>
          <w:sz w:val="20"/>
          <w:szCs w:val="20"/>
          <w:highlight w:val="none"/>
        </w:rPr>
      </w:pPr>
      <w:r>
        <w:rPr>
          <w:rFonts w:hint="eastAsia" w:ascii="宋体" w:hAnsi="宋体" w:cs="宋体"/>
          <w:color w:val="auto"/>
          <w:spacing w:val="9"/>
          <w:sz w:val="20"/>
          <w:szCs w:val="20"/>
          <w:highlight w:val="none"/>
        </w:rPr>
        <w:t>2．合同执行中涉及采购资金和采购内容修改或补充的，须经财政部门审批，并签书面补充协议报政府采购监管部门备案，方可作为主合同不可分割的一部分。</w:t>
      </w:r>
    </w:p>
    <w:p w14:paraId="0B7AFE22">
      <w:pPr>
        <w:spacing w:before="114" w:line="360" w:lineRule="auto"/>
        <w:ind w:right="79" w:firstLine="436" w:firstLineChars="200"/>
        <w:rPr>
          <w:rFonts w:ascii="宋体" w:hAnsi="宋体" w:cs="宋体"/>
          <w:color w:val="auto"/>
          <w:sz w:val="20"/>
          <w:szCs w:val="20"/>
          <w:highlight w:val="none"/>
        </w:rPr>
      </w:pPr>
      <w:r>
        <w:rPr>
          <w:rFonts w:hint="eastAsia" w:ascii="宋体" w:hAnsi="宋体" w:cs="宋体"/>
          <w:color w:val="auto"/>
          <w:spacing w:val="9"/>
          <w:sz w:val="20"/>
          <w:szCs w:val="20"/>
          <w:highlight w:val="none"/>
        </w:rPr>
        <w:t>3．本合同未尽事宜，遵照《民法典》有关条文执行。</w:t>
      </w:r>
    </w:p>
    <w:p w14:paraId="45D2F781">
      <w:pPr>
        <w:spacing w:before="93" w:line="228" w:lineRule="auto"/>
        <w:ind w:left="358"/>
        <w:outlineLvl w:val="1"/>
        <w:rPr>
          <w:rFonts w:ascii="宋体" w:hAnsi="宋体" w:cs="宋体"/>
          <w:b/>
          <w:bCs/>
          <w:color w:val="auto"/>
          <w:spacing w:val="5"/>
          <w:sz w:val="20"/>
          <w:szCs w:val="20"/>
          <w:highlight w:val="none"/>
        </w:rPr>
      </w:pPr>
      <w:r>
        <w:rPr>
          <w:rFonts w:ascii="宋体" w:hAnsi="宋体" w:cs="宋体"/>
          <w:b/>
          <w:bCs/>
          <w:color w:val="auto"/>
          <w:spacing w:val="5"/>
          <w:sz w:val="20"/>
          <w:szCs w:val="20"/>
          <w:highlight w:val="none"/>
        </w:rPr>
        <w:t>第十八条合同的变更、终止与转让</w:t>
      </w:r>
    </w:p>
    <w:p w14:paraId="5F7DD9A7">
      <w:pPr>
        <w:spacing w:before="114" w:line="360" w:lineRule="auto"/>
        <w:ind w:right="79" w:firstLine="436" w:firstLineChars="200"/>
        <w:rPr>
          <w:rFonts w:ascii="宋体" w:hAnsi="宋体" w:cs="宋体"/>
          <w:color w:val="auto"/>
          <w:spacing w:val="9"/>
          <w:sz w:val="20"/>
          <w:szCs w:val="20"/>
          <w:highlight w:val="none"/>
        </w:rPr>
      </w:pPr>
      <w:r>
        <w:rPr>
          <w:rFonts w:hint="eastAsia" w:ascii="宋体" w:hAnsi="宋体" w:cs="宋体"/>
          <w:color w:val="auto"/>
          <w:spacing w:val="9"/>
          <w:sz w:val="20"/>
          <w:szCs w:val="20"/>
          <w:highlight w:val="none"/>
        </w:rPr>
        <w:t>1.除《中华人民共和国政府采购法》第五十条规定的情形外，本合同一经签订，甲乙双方不得擅自变更、中止或终止。</w:t>
      </w:r>
    </w:p>
    <w:p w14:paraId="7A95E8F8">
      <w:pPr>
        <w:spacing w:before="114" w:line="360" w:lineRule="auto"/>
        <w:ind w:right="79" w:firstLine="436" w:firstLineChars="200"/>
        <w:rPr>
          <w:rFonts w:ascii="宋体" w:hAnsi="宋体" w:cs="宋体"/>
          <w:color w:val="auto"/>
          <w:spacing w:val="9"/>
          <w:sz w:val="20"/>
          <w:szCs w:val="20"/>
          <w:highlight w:val="none"/>
        </w:rPr>
      </w:pPr>
      <w:r>
        <w:rPr>
          <w:rFonts w:hint="eastAsia" w:ascii="宋体" w:hAnsi="宋体" w:cs="宋体"/>
          <w:color w:val="auto"/>
          <w:spacing w:val="9"/>
          <w:sz w:val="20"/>
          <w:szCs w:val="20"/>
          <w:highlight w:val="none"/>
        </w:rPr>
        <w:t>2.乙方不得擅自转让（无进口资格的供应商委托进口货物除外）其应履行的合同义务。</w:t>
      </w:r>
    </w:p>
    <w:p w14:paraId="0E5DD922">
      <w:pPr>
        <w:spacing w:before="93" w:line="228" w:lineRule="auto"/>
        <w:ind w:left="358"/>
        <w:outlineLvl w:val="1"/>
        <w:rPr>
          <w:rFonts w:ascii="宋体" w:hAnsi="宋体" w:cs="宋体"/>
          <w:b/>
          <w:bCs/>
          <w:color w:val="auto"/>
          <w:spacing w:val="5"/>
          <w:sz w:val="20"/>
          <w:szCs w:val="20"/>
          <w:highlight w:val="none"/>
        </w:rPr>
      </w:pPr>
      <w:r>
        <w:rPr>
          <w:rFonts w:ascii="宋体" w:hAnsi="宋体" w:cs="宋体"/>
          <w:b/>
          <w:bCs/>
          <w:color w:val="auto"/>
          <w:spacing w:val="5"/>
          <w:sz w:val="20"/>
          <w:szCs w:val="20"/>
          <w:highlight w:val="none"/>
        </w:rPr>
        <w:t>第十九条签订本合同依据</w:t>
      </w:r>
    </w:p>
    <w:p w14:paraId="50045781">
      <w:pPr>
        <w:spacing w:before="114" w:line="360" w:lineRule="auto"/>
        <w:ind w:right="79" w:firstLine="436" w:firstLineChars="200"/>
        <w:rPr>
          <w:rFonts w:ascii="宋体" w:hAnsi="宋体" w:cs="宋体"/>
          <w:color w:val="auto"/>
          <w:spacing w:val="9"/>
          <w:sz w:val="20"/>
          <w:szCs w:val="20"/>
          <w:highlight w:val="none"/>
        </w:rPr>
      </w:pPr>
      <w:r>
        <w:rPr>
          <w:rFonts w:hint="eastAsia" w:ascii="宋体" w:hAnsi="宋体" w:cs="宋体"/>
          <w:color w:val="auto"/>
          <w:spacing w:val="9"/>
          <w:sz w:val="20"/>
          <w:szCs w:val="20"/>
          <w:highlight w:val="none"/>
        </w:rPr>
        <w:t>1.政府采购招标文件；</w:t>
      </w:r>
    </w:p>
    <w:p w14:paraId="5DDB5280">
      <w:pPr>
        <w:spacing w:before="114" w:line="360" w:lineRule="auto"/>
        <w:ind w:right="79" w:firstLine="436" w:firstLineChars="200"/>
        <w:rPr>
          <w:rFonts w:ascii="宋体" w:hAnsi="宋体" w:cs="宋体"/>
          <w:color w:val="auto"/>
          <w:spacing w:val="9"/>
          <w:sz w:val="20"/>
          <w:szCs w:val="20"/>
          <w:highlight w:val="none"/>
        </w:rPr>
      </w:pPr>
      <w:r>
        <w:rPr>
          <w:rFonts w:hint="eastAsia" w:ascii="宋体" w:hAnsi="宋体" w:cs="宋体"/>
          <w:color w:val="auto"/>
          <w:spacing w:val="9"/>
          <w:sz w:val="20"/>
          <w:szCs w:val="20"/>
          <w:highlight w:val="none"/>
        </w:rPr>
        <w:t>2.乙方提供的投标文件；</w:t>
      </w:r>
    </w:p>
    <w:p w14:paraId="74F9C9BB">
      <w:pPr>
        <w:spacing w:before="114" w:line="360" w:lineRule="auto"/>
        <w:ind w:right="79" w:firstLine="436" w:firstLineChars="200"/>
        <w:rPr>
          <w:rFonts w:ascii="宋体" w:hAnsi="宋体" w:cs="宋体"/>
          <w:color w:val="auto"/>
          <w:spacing w:val="9"/>
          <w:sz w:val="20"/>
          <w:szCs w:val="20"/>
          <w:highlight w:val="none"/>
        </w:rPr>
      </w:pPr>
      <w:r>
        <w:rPr>
          <w:rFonts w:hint="eastAsia" w:ascii="宋体" w:hAnsi="宋体" w:cs="宋体"/>
          <w:color w:val="auto"/>
          <w:spacing w:val="9"/>
          <w:sz w:val="20"/>
          <w:szCs w:val="20"/>
          <w:highlight w:val="none"/>
        </w:rPr>
        <w:t>3.投标承诺书；</w:t>
      </w:r>
    </w:p>
    <w:p w14:paraId="13678326">
      <w:pPr>
        <w:spacing w:before="114" w:line="360" w:lineRule="auto"/>
        <w:ind w:right="79" w:firstLine="436" w:firstLineChars="200"/>
        <w:rPr>
          <w:rFonts w:ascii="宋体" w:hAnsi="宋体" w:cs="宋体"/>
          <w:color w:val="auto"/>
          <w:spacing w:val="9"/>
          <w:sz w:val="20"/>
          <w:szCs w:val="20"/>
          <w:highlight w:val="none"/>
        </w:rPr>
      </w:pPr>
      <w:r>
        <w:rPr>
          <w:rFonts w:hint="eastAsia" w:ascii="宋体" w:hAnsi="宋体" w:cs="宋体"/>
          <w:color w:val="auto"/>
          <w:spacing w:val="9"/>
          <w:sz w:val="20"/>
          <w:szCs w:val="20"/>
          <w:highlight w:val="none"/>
        </w:rPr>
        <w:t>4.中标通知书；</w:t>
      </w:r>
    </w:p>
    <w:p w14:paraId="31459BBB">
      <w:pPr>
        <w:spacing w:before="114" w:line="360" w:lineRule="auto"/>
        <w:ind w:right="79" w:firstLine="436" w:firstLineChars="200"/>
        <w:rPr>
          <w:rFonts w:ascii="宋体" w:hAnsi="宋体" w:cs="宋体"/>
          <w:color w:val="auto"/>
          <w:sz w:val="20"/>
          <w:szCs w:val="20"/>
          <w:highlight w:val="none"/>
        </w:rPr>
      </w:pPr>
      <w:r>
        <w:rPr>
          <w:rFonts w:hint="eastAsia" w:ascii="宋体" w:hAnsi="宋体" w:cs="宋体"/>
          <w:color w:val="auto"/>
          <w:spacing w:val="9"/>
          <w:sz w:val="20"/>
          <w:szCs w:val="20"/>
          <w:highlight w:val="none"/>
        </w:rPr>
        <w:t>5.其他有关文件</w:t>
      </w:r>
      <w:r>
        <w:rPr>
          <w:rFonts w:ascii="宋体" w:hAnsi="宋体" w:cs="宋体"/>
          <w:color w:val="auto"/>
          <w:spacing w:val="6"/>
          <w:sz w:val="20"/>
          <w:szCs w:val="20"/>
          <w:highlight w:val="none"/>
        </w:rPr>
        <w:t>。</w:t>
      </w:r>
    </w:p>
    <w:p w14:paraId="2C77341B">
      <w:pPr>
        <w:spacing w:before="114" w:line="227" w:lineRule="auto"/>
        <w:ind w:left="420"/>
        <w:rPr>
          <w:rFonts w:ascii="宋体" w:hAnsi="宋体" w:cs="宋体"/>
          <w:color w:val="auto"/>
          <w:sz w:val="20"/>
          <w:szCs w:val="20"/>
          <w:highlight w:val="none"/>
        </w:rPr>
      </w:pPr>
      <w:r>
        <w:rPr>
          <w:rFonts w:ascii="宋体" w:hAnsi="宋体" w:cs="宋体"/>
          <w:b/>
          <w:bCs/>
          <w:color w:val="auto"/>
          <w:spacing w:val="9"/>
          <w:sz w:val="20"/>
          <w:szCs w:val="20"/>
          <w:highlight w:val="none"/>
        </w:rPr>
        <w:t>第二十条</w:t>
      </w:r>
      <w:r>
        <w:rPr>
          <w:rFonts w:ascii="宋体" w:hAnsi="宋体" w:cs="宋体"/>
          <w:color w:val="auto"/>
          <w:spacing w:val="9"/>
          <w:sz w:val="20"/>
          <w:szCs w:val="20"/>
          <w:highlight w:val="none"/>
        </w:rPr>
        <w:t>本合同一式五份，采购代理机构一份，甲乙双方各二份（可根据需要另增加）。</w:t>
      </w:r>
    </w:p>
    <w:tbl>
      <w:tblPr>
        <w:tblStyle w:val="249"/>
        <w:tblW w:w="929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18"/>
        <w:gridCol w:w="4774"/>
      </w:tblGrid>
      <w:tr w14:paraId="0AD9C1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7" w:hRule="atLeast"/>
        </w:trPr>
        <w:tc>
          <w:tcPr>
            <w:tcW w:w="4518" w:type="dxa"/>
          </w:tcPr>
          <w:p w14:paraId="7637DF74">
            <w:pPr>
              <w:spacing w:before="164" w:line="227" w:lineRule="auto"/>
              <w:ind w:left="143"/>
              <w:rPr>
                <w:rFonts w:ascii="宋体" w:hAnsi="宋体" w:cs="宋体"/>
                <w:color w:val="auto"/>
                <w:sz w:val="20"/>
                <w:szCs w:val="20"/>
                <w:highlight w:val="none"/>
              </w:rPr>
            </w:pPr>
            <w:r>
              <w:rPr>
                <w:rFonts w:ascii="宋体" w:hAnsi="宋体" w:cs="宋体"/>
                <w:color w:val="auto"/>
                <w:sz w:val="20"/>
                <w:szCs w:val="20"/>
                <w:highlight w:val="none"/>
              </w:rPr>
              <w:t>甲方（章）</w:t>
            </w:r>
          </w:p>
          <w:p w14:paraId="61BFCD46">
            <w:pPr>
              <w:spacing w:before="298" w:line="228" w:lineRule="auto"/>
              <w:ind w:left="3155"/>
              <w:rPr>
                <w:rFonts w:ascii="宋体" w:hAnsi="宋体" w:cs="宋体"/>
                <w:color w:val="auto"/>
                <w:sz w:val="20"/>
                <w:szCs w:val="20"/>
                <w:highlight w:val="none"/>
              </w:rPr>
            </w:pPr>
            <w:r>
              <w:rPr>
                <w:rFonts w:ascii="宋体" w:hAnsi="宋体" w:cs="宋体"/>
                <w:color w:val="auto"/>
                <w:spacing w:val="-2"/>
                <w:sz w:val="20"/>
                <w:szCs w:val="20"/>
                <w:highlight w:val="none"/>
              </w:rPr>
              <w:t>年月日</w:t>
            </w:r>
          </w:p>
        </w:tc>
        <w:tc>
          <w:tcPr>
            <w:tcW w:w="4774" w:type="dxa"/>
          </w:tcPr>
          <w:p w14:paraId="6383F73C">
            <w:pPr>
              <w:spacing w:before="164" w:line="227" w:lineRule="auto"/>
              <w:ind w:left="133"/>
              <w:rPr>
                <w:rFonts w:ascii="宋体" w:hAnsi="宋体" w:cs="宋体"/>
                <w:color w:val="auto"/>
                <w:sz w:val="20"/>
                <w:szCs w:val="20"/>
                <w:highlight w:val="none"/>
              </w:rPr>
            </w:pPr>
            <w:r>
              <w:rPr>
                <w:rFonts w:ascii="宋体" w:hAnsi="宋体" w:cs="宋体"/>
                <w:color w:val="auto"/>
                <w:spacing w:val="1"/>
                <w:sz w:val="20"/>
                <w:szCs w:val="20"/>
                <w:highlight w:val="none"/>
              </w:rPr>
              <w:t>乙方（章）</w:t>
            </w:r>
          </w:p>
          <w:p w14:paraId="3BD2082C">
            <w:pPr>
              <w:spacing w:before="298" w:line="228" w:lineRule="auto"/>
              <w:ind w:left="3411"/>
              <w:rPr>
                <w:rFonts w:ascii="宋体" w:hAnsi="宋体" w:cs="宋体"/>
                <w:color w:val="auto"/>
                <w:sz w:val="20"/>
                <w:szCs w:val="20"/>
                <w:highlight w:val="none"/>
              </w:rPr>
            </w:pPr>
            <w:r>
              <w:rPr>
                <w:rFonts w:ascii="宋体" w:hAnsi="宋体" w:cs="宋体"/>
                <w:color w:val="auto"/>
                <w:spacing w:val="-2"/>
                <w:sz w:val="20"/>
                <w:szCs w:val="20"/>
                <w:highlight w:val="none"/>
              </w:rPr>
              <w:t>年月日</w:t>
            </w:r>
          </w:p>
        </w:tc>
      </w:tr>
      <w:tr w14:paraId="4BD584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4518" w:type="dxa"/>
          </w:tcPr>
          <w:p w14:paraId="677CFAB3">
            <w:pPr>
              <w:spacing w:before="172" w:line="228" w:lineRule="auto"/>
              <w:ind w:left="118"/>
              <w:rPr>
                <w:rFonts w:ascii="宋体" w:hAnsi="宋体" w:cs="宋体"/>
                <w:color w:val="auto"/>
                <w:sz w:val="20"/>
                <w:szCs w:val="20"/>
                <w:highlight w:val="none"/>
              </w:rPr>
            </w:pPr>
            <w:r>
              <w:rPr>
                <w:rFonts w:ascii="宋体" w:hAnsi="宋体" w:cs="宋体"/>
                <w:color w:val="auto"/>
                <w:spacing w:val="5"/>
                <w:sz w:val="20"/>
                <w:szCs w:val="20"/>
                <w:highlight w:val="none"/>
              </w:rPr>
              <w:t>单位地址：</w:t>
            </w:r>
          </w:p>
        </w:tc>
        <w:tc>
          <w:tcPr>
            <w:tcW w:w="4774" w:type="dxa"/>
          </w:tcPr>
          <w:p w14:paraId="28DD75D0">
            <w:pPr>
              <w:spacing w:before="172" w:line="228" w:lineRule="auto"/>
              <w:ind w:left="114"/>
              <w:rPr>
                <w:rFonts w:ascii="宋体" w:hAnsi="宋体" w:cs="宋体"/>
                <w:color w:val="auto"/>
                <w:sz w:val="20"/>
                <w:szCs w:val="20"/>
                <w:highlight w:val="none"/>
              </w:rPr>
            </w:pPr>
            <w:r>
              <w:rPr>
                <w:rFonts w:ascii="宋体" w:hAnsi="宋体" w:cs="宋体"/>
                <w:color w:val="auto"/>
                <w:spacing w:val="5"/>
                <w:sz w:val="20"/>
                <w:szCs w:val="20"/>
                <w:highlight w:val="none"/>
              </w:rPr>
              <w:t>单位地址：</w:t>
            </w:r>
          </w:p>
        </w:tc>
      </w:tr>
      <w:tr w14:paraId="052F94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4518" w:type="dxa"/>
          </w:tcPr>
          <w:p w14:paraId="54503BA9">
            <w:pPr>
              <w:spacing w:before="173" w:line="228" w:lineRule="auto"/>
              <w:ind w:left="117"/>
              <w:rPr>
                <w:rFonts w:ascii="宋体" w:hAnsi="宋体" w:cs="宋体"/>
                <w:color w:val="auto"/>
                <w:sz w:val="20"/>
                <w:szCs w:val="20"/>
                <w:highlight w:val="none"/>
              </w:rPr>
            </w:pPr>
            <w:r>
              <w:rPr>
                <w:rFonts w:ascii="宋体" w:hAnsi="宋体" w:cs="宋体"/>
                <w:color w:val="auto"/>
                <w:spacing w:val="8"/>
                <w:sz w:val="20"/>
                <w:szCs w:val="20"/>
                <w:highlight w:val="none"/>
              </w:rPr>
              <w:t>法定（或授权）代表人：</w:t>
            </w:r>
          </w:p>
        </w:tc>
        <w:tc>
          <w:tcPr>
            <w:tcW w:w="4774" w:type="dxa"/>
          </w:tcPr>
          <w:p w14:paraId="53643E50">
            <w:pPr>
              <w:spacing w:before="173" w:line="228" w:lineRule="auto"/>
              <w:ind w:left="113"/>
              <w:rPr>
                <w:rFonts w:ascii="宋体" w:hAnsi="宋体" w:cs="宋体"/>
                <w:color w:val="auto"/>
                <w:sz w:val="20"/>
                <w:szCs w:val="20"/>
                <w:highlight w:val="none"/>
              </w:rPr>
            </w:pPr>
            <w:r>
              <w:rPr>
                <w:rFonts w:ascii="宋体" w:hAnsi="宋体" w:cs="宋体"/>
                <w:color w:val="auto"/>
                <w:spacing w:val="8"/>
                <w:sz w:val="20"/>
                <w:szCs w:val="20"/>
                <w:highlight w:val="none"/>
              </w:rPr>
              <w:t>法定代表人（负责人</w:t>
            </w:r>
            <w:r>
              <w:rPr>
                <w:rFonts w:ascii="宋体" w:hAnsi="宋体" w:cs="宋体"/>
                <w:color w:val="auto"/>
                <w:spacing w:val="3"/>
                <w:sz w:val="20"/>
                <w:szCs w:val="20"/>
                <w:highlight w:val="none"/>
              </w:rPr>
              <w:t>）：</w:t>
            </w:r>
          </w:p>
        </w:tc>
      </w:tr>
      <w:tr w14:paraId="644618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4518" w:type="dxa"/>
          </w:tcPr>
          <w:p w14:paraId="2BFF639D">
            <w:pPr>
              <w:spacing w:before="174" w:line="227" w:lineRule="auto"/>
              <w:ind w:left="116"/>
              <w:rPr>
                <w:rFonts w:ascii="宋体" w:hAnsi="宋体" w:cs="宋体"/>
                <w:color w:val="auto"/>
                <w:sz w:val="20"/>
                <w:szCs w:val="20"/>
                <w:highlight w:val="none"/>
              </w:rPr>
            </w:pPr>
            <w:r>
              <w:rPr>
                <w:rFonts w:ascii="宋体" w:hAnsi="宋体" w:cs="宋体"/>
                <w:color w:val="auto"/>
                <w:spacing w:val="6"/>
                <w:sz w:val="20"/>
                <w:szCs w:val="20"/>
                <w:highlight w:val="none"/>
              </w:rPr>
              <w:t>科室负责人：</w:t>
            </w:r>
          </w:p>
        </w:tc>
        <w:tc>
          <w:tcPr>
            <w:tcW w:w="4774" w:type="dxa"/>
          </w:tcPr>
          <w:p w14:paraId="796E3BDE">
            <w:pPr>
              <w:spacing w:before="174" w:line="228" w:lineRule="auto"/>
              <w:ind w:left="115"/>
              <w:rPr>
                <w:rFonts w:ascii="宋体" w:hAnsi="宋体" w:cs="宋体"/>
                <w:color w:val="auto"/>
                <w:sz w:val="20"/>
                <w:szCs w:val="20"/>
                <w:highlight w:val="none"/>
              </w:rPr>
            </w:pPr>
            <w:r>
              <w:rPr>
                <w:rFonts w:ascii="宋体" w:hAnsi="宋体" w:cs="宋体"/>
                <w:color w:val="auto"/>
                <w:spacing w:val="8"/>
                <w:sz w:val="20"/>
                <w:szCs w:val="20"/>
                <w:highlight w:val="none"/>
              </w:rPr>
              <w:t>或委托代理人</w:t>
            </w:r>
          </w:p>
        </w:tc>
      </w:tr>
      <w:tr w14:paraId="2E9EAE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4518" w:type="dxa"/>
          </w:tcPr>
          <w:p w14:paraId="4F4450D5">
            <w:pPr>
              <w:spacing w:before="174" w:line="230" w:lineRule="auto"/>
              <w:ind w:left="141"/>
              <w:rPr>
                <w:rFonts w:ascii="宋体" w:hAnsi="宋体" w:cs="宋体"/>
                <w:color w:val="auto"/>
                <w:sz w:val="20"/>
                <w:szCs w:val="20"/>
                <w:highlight w:val="none"/>
              </w:rPr>
            </w:pPr>
            <w:r>
              <w:rPr>
                <w:rFonts w:ascii="宋体" w:hAnsi="宋体" w:cs="宋体"/>
                <w:color w:val="auto"/>
                <w:spacing w:val="-5"/>
                <w:sz w:val="20"/>
                <w:szCs w:val="20"/>
                <w:highlight w:val="none"/>
              </w:rPr>
              <w:t>电话：</w:t>
            </w:r>
          </w:p>
        </w:tc>
        <w:tc>
          <w:tcPr>
            <w:tcW w:w="4774" w:type="dxa"/>
          </w:tcPr>
          <w:p w14:paraId="34FC4B3C">
            <w:pPr>
              <w:spacing w:before="174" w:line="230" w:lineRule="auto"/>
              <w:ind w:left="137"/>
              <w:rPr>
                <w:rFonts w:ascii="宋体" w:hAnsi="宋体" w:cs="宋体"/>
                <w:color w:val="auto"/>
                <w:sz w:val="20"/>
                <w:szCs w:val="20"/>
                <w:highlight w:val="none"/>
              </w:rPr>
            </w:pPr>
            <w:r>
              <w:rPr>
                <w:rFonts w:ascii="宋体" w:hAnsi="宋体" w:cs="宋体"/>
                <w:color w:val="auto"/>
                <w:spacing w:val="-5"/>
                <w:sz w:val="20"/>
                <w:szCs w:val="20"/>
                <w:highlight w:val="none"/>
              </w:rPr>
              <w:t>电话：</w:t>
            </w:r>
          </w:p>
        </w:tc>
      </w:tr>
      <w:tr w14:paraId="06F119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4518" w:type="dxa"/>
          </w:tcPr>
          <w:p w14:paraId="772B903F">
            <w:pPr>
              <w:spacing w:before="175" w:line="228" w:lineRule="auto"/>
              <w:ind w:left="141"/>
              <w:rPr>
                <w:rFonts w:ascii="宋体" w:hAnsi="宋体" w:cs="宋体"/>
                <w:color w:val="auto"/>
                <w:sz w:val="20"/>
                <w:szCs w:val="20"/>
                <w:highlight w:val="none"/>
              </w:rPr>
            </w:pPr>
            <w:r>
              <w:rPr>
                <w:rFonts w:ascii="宋体" w:hAnsi="宋体" w:cs="宋体"/>
                <w:color w:val="auto"/>
                <w:spacing w:val="1"/>
                <w:sz w:val="20"/>
                <w:szCs w:val="20"/>
                <w:highlight w:val="none"/>
              </w:rPr>
              <w:t>电子邮箱：</w:t>
            </w:r>
          </w:p>
        </w:tc>
        <w:tc>
          <w:tcPr>
            <w:tcW w:w="4774" w:type="dxa"/>
          </w:tcPr>
          <w:p w14:paraId="374323FF">
            <w:pPr>
              <w:spacing w:before="175" w:line="228" w:lineRule="auto"/>
              <w:ind w:left="137"/>
              <w:rPr>
                <w:rFonts w:ascii="宋体" w:hAnsi="宋体" w:cs="宋体"/>
                <w:color w:val="auto"/>
                <w:sz w:val="20"/>
                <w:szCs w:val="20"/>
                <w:highlight w:val="none"/>
              </w:rPr>
            </w:pPr>
            <w:r>
              <w:rPr>
                <w:rFonts w:ascii="宋体" w:hAnsi="宋体" w:cs="宋体"/>
                <w:color w:val="auto"/>
                <w:spacing w:val="1"/>
                <w:sz w:val="20"/>
                <w:szCs w:val="20"/>
                <w:highlight w:val="none"/>
              </w:rPr>
              <w:t>电子邮箱：</w:t>
            </w:r>
          </w:p>
        </w:tc>
      </w:tr>
      <w:tr w14:paraId="1009C6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4518" w:type="dxa"/>
          </w:tcPr>
          <w:p w14:paraId="3F6516CA">
            <w:pPr>
              <w:spacing w:before="177" w:line="228" w:lineRule="auto"/>
              <w:ind w:left="117"/>
              <w:rPr>
                <w:rFonts w:ascii="宋体" w:hAnsi="宋体" w:cs="宋体"/>
                <w:color w:val="auto"/>
                <w:sz w:val="20"/>
                <w:szCs w:val="20"/>
                <w:highlight w:val="none"/>
              </w:rPr>
            </w:pPr>
            <w:r>
              <w:rPr>
                <w:rFonts w:ascii="宋体" w:hAnsi="宋体" w:cs="宋体"/>
                <w:color w:val="auto"/>
                <w:spacing w:val="5"/>
                <w:sz w:val="20"/>
                <w:szCs w:val="20"/>
                <w:highlight w:val="none"/>
              </w:rPr>
              <w:t>开户银行：</w:t>
            </w:r>
          </w:p>
        </w:tc>
        <w:tc>
          <w:tcPr>
            <w:tcW w:w="4774" w:type="dxa"/>
          </w:tcPr>
          <w:p w14:paraId="56C5247B">
            <w:pPr>
              <w:spacing w:before="177" w:line="228" w:lineRule="auto"/>
              <w:ind w:left="113"/>
              <w:rPr>
                <w:rFonts w:ascii="宋体" w:hAnsi="宋体" w:cs="宋体"/>
                <w:color w:val="auto"/>
                <w:sz w:val="20"/>
                <w:szCs w:val="20"/>
                <w:highlight w:val="none"/>
              </w:rPr>
            </w:pPr>
            <w:r>
              <w:rPr>
                <w:rFonts w:ascii="宋体" w:hAnsi="宋体" w:cs="宋体"/>
                <w:color w:val="auto"/>
                <w:spacing w:val="5"/>
                <w:sz w:val="20"/>
                <w:szCs w:val="20"/>
                <w:highlight w:val="none"/>
              </w:rPr>
              <w:t>开户银行：</w:t>
            </w:r>
          </w:p>
        </w:tc>
      </w:tr>
      <w:tr w14:paraId="1FFA86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4518" w:type="dxa"/>
          </w:tcPr>
          <w:p w14:paraId="70D0A213">
            <w:pPr>
              <w:spacing w:before="177" w:line="229" w:lineRule="auto"/>
              <w:ind w:left="119"/>
              <w:rPr>
                <w:rFonts w:ascii="宋体" w:hAnsi="宋体" w:cs="宋体"/>
                <w:color w:val="auto"/>
                <w:sz w:val="20"/>
                <w:szCs w:val="20"/>
                <w:highlight w:val="none"/>
              </w:rPr>
            </w:pPr>
            <w:r>
              <w:rPr>
                <w:rFonts w:ascii="宋体" w:hAnsi="宋体" w:cs="宋体"/>
                <w:color w:val="auto"/>
                <w:spacing w:val="2"/>
                <w:sz w:val="20"/>
                <w:szCs w:val="20"/>
                <w:highlight w:val="none"/>
              </w:rPr>
              <w:t>账号：</w:t>
            </w:r>
          </w:p>
        </w:tc>
        <w:tc>
          <w:tcPr>
            <w:tcW w:w="4774" w:type="dxa"/>
          </w:tcPr>
          <w:p w14:paraId="59468CC7">
            <w:pPr>
              <w:spacing w:before="177" w:line="229" w:lineRule="auto"/>
              <w:ind w:left="116"/>
              <w:rPr>
                <w:rFonts w:ascii="宋体" w:hAnsi="宋体" w:cs="宋体"/>
                <w:color w:val="auto"/>
                <w:sz w:val="20"/>
                <w:szCs w:val="20"/>
                <w:highlight w:val="none"/>
              </w:rPr>
            </w:pPr>
            <w:r>
              <w:rPr>
                <w:rFonts w:ascii="宋体" w:hAnsi="宋体" w:cs="宋体"/>
                <w:color w:val="auto"/>
                <w:spacing w:val="2"/>
                <w:sz w:val="20"/>
                <w:szCs w:val="20"/>
                <w:highlight w:val="none"/>
              </w:rPr>
              <w:t>账号：</w:t>
            </w:r>
          </w:p>
        </w:tc>
      </w:tr>
      <w:tr w14:paraId="31826F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4518" w:type="dxa"/>
          </w:tcPr>
          <w:p w14:paraId="5559B2E4">
            <w:pPr>
              <w:spacing w:before="176" w:line="228" w:lineRule="auto"/>
              <w:ind w:left="132"/>
              <w:rPr>
                <w:rFonts w:ascii="宋体" w:hAnsi="宋体" w:cs="宋体"/>
                <w:color w:val="auto"/>
                <w:sz w:val="20"/>
                <w:szCs w:val="20"/>
                <w:highlight w:val="none"/>
              </w:rPr>
            </w:pPr>
            <w:r>
              <w:rPr>
                <w:rFonts w:ascii="宋体" w:hAnsi="宋体" w:cs="宋体"/>
                <w:color w:val="auto"/>
                <w:spacing w:val="2"/>
                <w:sz w:val="20"/>
                <w:szCs w:val="20"/>
                <w:highlight w:val="none"/>
              </w:rPr>
              <w:t>邮政编码：</w:t>
            </w:r>
          </w:p>
        </w:tc>
        <w:tc>
          <w:tcPr>
            <w:tcW w:w="4774" w:type="dxa"/>
          </w:tcPr>
          <w:p w14:paraId="1ED73BB9">
            <w:pPr>
              <w:spacing w:before="176" w:line="228" w:lineRule="auto"/>
              <w:ind w:left="128"/>
              <w:rPr>
                <w:rFonts w:ascii="宋体" w:hAnsi="宋体" w:cs="宋体"/>
                <w:color w:val="auto"/>
                <w:sz w:val="20"/>
                <w:szCs w:val="20"/>
                <w:highlight w:val="none"/>
              </w:rPr>
            </w:pPr>
            <w:r>
              <w:rPr>
                <w:rFonts w:ascii="宋体" w:hAnsi="宋体" w:cs="宋体"/>
                <w:color w:val="auto"/>
                <w:spacing w:val="2"/>
                <w:sz w:val="20"/>
                <w:szCs w:val="20"/>
                <w:highlight w:val="none"/>
              </w:rPr>
              <w:t>邮政编码：</w:t>
            </w:r>
          </w:p>
        </w:tc>
      </w:tr>
    </w:tbl>
    <w:p w14:paraId="49AC3635">
      <w:pPr>
        <w:spacing w:line="380" w:lineRule="exact"/>
        <w:rPr>
          <w:color w:val="auto"/>
          <w:sz w:val="24"/>
          <w:highlight w:val="none"/>
        </w:rPr>
      </w:pPr>
    </w:p>
    <w:p w14:paraId="18EF18DB">
      <w:pPr>
        <w:rPr>
          <w:color w:val="auto"/>
          <w:highlight w:val="none"/>
        </w:rPr>
        <w:sectPr>
          <w:headerReference r:id="rId14" w:type="default"/>
          <w:pgSz w:w="11906" w:h="16839"/>
          <w:pgMar w:top="1431" w:right="1020" w:bottom="1156" w:left="1588" w:header="850" w:footer="994" w:gutter="0"/>
          <w:cols w:space="720" w:num="1"/>
        </w:sectPr>
      </w:pPr>
    </w:p>
    <w:p w14:paraId="19175A3B">
      <w:pPr>
        <w:spacing w:before="91" w:line="219" w:lineRule="auto"/>
        <w:ind w:left="3798"/>
        <w:outlineLvl w:val="2"/>
        <w:rPr>
          <w:rFonts w:ascii="宋体" w:hAnsi="宋体" w:cs="宋体"/>
          <w:color w:val="auto"/>
          <w:sz w:val="28"/>
          <w:szCs w:val="28"/>
          <w:highlight w:val="none"/>
        </w:rPr>
      </w:pPr>
      <w:r>
        <w:rPr>
          <w:rFonts w:ascii="宋体" w:hAnsi="宋体" w:cs="宋体"/>
          <w:b/>
          <w:bCs/>
          <w:color w:val="auto"/>
          <w:spacing w:val="-24"/>
          <w:sz w:val="28"/>
          <w:szCs w:val="28"/>
          <w:highlight w:val="none"/>
        </w:rPr>
        <w:t>合同附件1：</w:t>
      </w:r>
    </w:p>
    <w:p w14:paraId="040F81A9">
      <w:pPr>
        <w:spacing w:before="78" w:line="212" w:lineRule="auto"/>
        <w:rPr>
          <w:rFonts w:ascii="宋体" w:hAnsi="宋体" w:cs="宋体"/>
          <w:color w:val="auto"/>
          <w:sz w:val="24"/>
          <w:highlight w:val="none"/>
        </w:rPr>
      </w:pPr>
      <w:r>
        <w:rPr>
          <w:rFonts w:ascii="宋体" w:hAnsi="宋体" w:cs="宋体"/>
          <w:b/>
          <w:bCs/>
          <w:color w:val="auto"/>
          <w:spacing w:val="-5"/>
          <w:sz w:val="24"/>
          <w:highlight w:val="none"/>
        </w:rPr>
        <w:t>一般货物类</w:t>
      </w:r>
    </w:p>
    <w:tbl>
      <w:tblPr>
        <w:tblStyle w:val="249"/>
        <w:tblW w:w="9317" w:type="dxa"/>
        <w:tblInd w:w="14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91"/>
        <w:gridCol w:w="4726"/>
      </w:tblGrid>
      <w:tr w14:paraId="320357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1" w:hRule="atLeast"/>
        </w:trPr>
        <w:tc>
          <w:tcPr>
            <w:tcW w:w="9317" w:type="dxa"/>
            <w:gridSpan w:val="2"/>
          </w:tcPr>
          <w:p w14:paraId="06A93F39">
            <w:pPr>
              <w:spacing w:before="112" w:line="227" w:lineRule="auto"/>
              <w:ind w:left="132"/>
              <w:rPr>
                <w:rFonts w:ascii="宋体" w:hAnsi="宋体" w:cs="宋体"/>
                <w:color w:val="auto"/>
                <w:sz w:val="20"/>
                <w:szCs w:val="20"/>
                <w:highlight w:val="none"/>
              </w:rPr>
            </w:pPr>
            <w:r>
              <w:rPr>
                <w:rFonts w:ascii="宋体" w:hAnsi="宋体" w:cs="宋体"/>
                <w:color w:val="auto"/>
                <w:spacing w:val="6"/>
                <w:sz w:val="20"/>
                <w:szCs w:val="20"/>
                <w:highlight w:val="none"/>
              </w:rPr>
              <w:t>1、供应商承诺具体事项：</w:t>
            </w:r>
          </w:p>
        </w:tc>
      </w:tr>
      <w:tr w14:paraId="2FD515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6" w:hRule="atLeast"/>
        </w:trPr>
        <w:tc>
          <w:tcPr>
            <w:tcW w:w="9317" w:type="dxa"/>
            <w:gridSpan w:val="2"/>
          </w:tcPr>
          <w:p w14:paraId="71D1A8C4">
            <w:pPr>
              <w:spacing w:before="108" w:line="228" w:lineRule="auto"/>
              <w:ind w:left="119"/>
              <w:rPr>
                <w:rFonts w:ascii="宋体" w:hAnsi="宋体" w:cs="宋体"/>
                <w:color w:val="auto"/>
                <w:sz w:val="20"/>
                <w:szCs w:val="20"/>
                <w:highlight w:val="none"/>
              </w:rPr>
            </w:pPr>
            <w:r>
              <w:rPr>
                <w:rFonts w:ascii="宋体" w:hAnsi="宋体" w:cs="宋体"/>
                <w:color w:val="auto"/>
                <w:spacing w:val="7"/>
                <w:sz w:val="20"/>
                <w:szCs w:val="20"/>
                <w:highlight w:val="none"/>
              </w:rPr>
              <w:t>2、售后服务具体事项：</w:t>
            </w:r>
          </w:p>
        </w:tc>
      </w:tr>
      <w:tr w14:paraId="2D70DD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8" w:hRule="atLeast"/>
        </w:trPr>
        <w:tc>
          <w:tcPr>
            <w:tcW w:w="9317" w:type="dxa"/>
            <w:gridSpan w:val="2"/>
          </w:tcPr>
          <w:p w14:paraId="54854BA7">
            <w:pPr>
              <w:spacing w:before="108" w:line="228" w:lineRule="auto"/>
              <w:ind w:left="120"/>
              <w:rPr>
                <w:rFonts w:ascii="宋体" w:hAnsi="宋体" w:cs="宋体"/>
                <w:color w:val="auto"/>
                <w:sz w:val="20"/>
                <w:szCs w:val="20"/>
                <w:highlight w:val="none"/>
              </w:rPr>
            </w:pPr>
            <w:r>
              <w:rPr>
                <w:rFonts w:ascii="宋体" w:hAnsi="宋体" w:cs="宋体"/>
                <w:color w:val="auto"/>
                <w:spacing w:val="6"/>
                <w:sz w:val="20"/>
                <w:szCs w:val="20"/>
                <w:highlight w:val="none"/>
              </w:rPr>
              <w:t>3、保修期责任：</w:t>
            </w:r>
          </w:p>
        </w:tc>
      </w:tr>
      <w:tr w14:paraId="7BD11E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9317" w:type="dxa"/>
            <w:gridSpan w:val="2"/>
          </w:tcPr>
          <w:p w14:paraId="6DB25852">
            <w:pPr>
              <w:spacing w:before="111" w:line="228" w:lineRule="auto"/>
              <w:ind w:left="115"/>
              <w:rPr>
                <w:rFonts w:ascii="宋体" w:hAnsi="宋体" w:cs="宋体"/>
                <w:color w:val="auto"/>
                <w:sz w:val="20"/>
                <w:szCs w:val="20"/>
                <w:highlight w:val="none"/>
              </w:rPr>
            </w:pPr>
            <w:r>
              <w:rPr>
                <w:rFonts w:ascii="宋体" w:hAnsi="宋体" w:cs="宋体"/>
                <w:color w:val="auto"/>
                <w:spacing w:val="7"/>
                <w:sz w:val="20"/>
                <w:szCs w:val="20"/>
                <w:highlight w:val="none"/>
              </w:rPr>
              <w:t>4、其他具体事项：</w:t>
            </w:r>
          </w:p>
        </w:tc>
      </w:tr>
      <w:tr w14:paraId="242BA3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75" w:hRule="atLeast"/>
        </w:trPr>
        <w:tc>
          <w:tcPr>
            <w:tcW w:w="4591" w:type="dxa"/>
          </w:tcPr>
          <w:p w14:paraId="4FB67120">
            <w:pPr>
              <w:spacing w:before="134" w:line="227" w:lineRule="auto"/>
              <w:ind w:left="143"/>
              <w:rPr>
                <w:rFonts w:ascii="宋体" w:hAnsi="宋体" w:cs="宋体"/>
                <w:color w:val="auto"/>
                <w:sz w:val="20"/>
                <w:szCs w:val="20"/>
                <w:highlight w:val="none"/>
              </w:rPr>
            </w:pPr>
            <w:r>
              <w:rPr>
                <w:rFonts w:ascii="宋体" w:hAnsi="宋体" w:cs="宋体"/>
                <w:color w:val="auto"/>
                <w:sz w:val="20"/>
                <w:szCs w:val="20"/>
                <w:highlight w:val="none"/>
              </w:rPr>
              <w:t>甲方（章）</w:t>
            </w:r>
          </w:p>
          <w:p w14:paraId="4C204AC2">
            <w:pPr>
              <w:spacing w:before="68" w:line="262" w:lineRule="auto"/>
              <w:rPr>
                <w:rFonts w:ascii="宋体" w:hAnsi="宋体" w:cs="宋体"/>
                <w:color w:val="auto"/>
                <w:szCs w:val="21"/>
                <w:highlight w:val="none"/>
                <w:lang w:eastAsia="en-US"/>
              </w:rPr>
            </w:pPr>
          </w:p>
          <w:p w14:paraId="5968142A">
            <w:pPr>
              <w:spacing w:before="68" w:line="262" w:lineRule="auto"/>
              <w:rPr>
                <w:rFonts w:ascii="宋体" w:hAnsi="宋体" w:cs="宋体"/>
                <w:color w:val="auto"/>
                <w:szCs w:val="21"/>
                <w:highlight w:val="none"/>
                <w:lang w:eastAsia="en-US"/>
              </w:rPr>
            </w:pPr>
          </w:p>
          <w:p w14:paraId="261A3EA9">
            <w:pPr>
              <w:spacing w:before="68" w:line="262" w:lineRule="auto"/>
              <w:rPr>
                <w:rFonts w:ascii="宋体" w:hAnsi="宋体" w:cs="宋体"/>
                <w:color w:val="auto"/>
                <w:szCs w:val="21"/>
                <w:highlight w:val="none"/>
                <w:lang w:eastAsia="en-US"/>
              </w:rPr>
            </w:pPr>
          </w:p>
          <w:p w14:paraId="7EED41E7">
            <w:pPr>
              <w:spacing w:before="68" w:line="262" w:lineRule="auto"/>
              <w:rPr>
                <w:rFonts w:ascii="宋体" w:hAnsi="宋体" w:cs="宋体"/>
                <w:color w:val="auto"/>
                <w:szCs w:val="21"/>
                <w:highlight w:val="none"/>
                <w:lang w:eastAsia="en-US"/>
              </w:rPr>
            </w:pPr>
          </w:p>
          <w:p w14:paraId="52FBCF09">
            <w:pPr>
              <w:spacing w:before="68" w:line="263" w:lineRule="auto"/>
              <w:rPr>
                <w:rFonts w:ascii="宋体" w:hAnsi="宋体" w:cs="宋体"/>
                <w:color w:val="auto"/>
                <w:szCs w:val="21"/>
                <w:highlight w:val="none"/>
                <w:lang w:eastAsia="en-US"/>
              </w:rPr>
            </w:pPr>
          </w:p>
          <w:p w14:paraId="57428852">
            <w:pPr>
              <w:spacing w:before="68" w:line="263" w:lineRule="auto"/>
              <w:rPr>
                <w:rFonts w:ascii="宋体" w:hAnsi="宋体" w:cs="宋体"/>
                <w:color w:val="auto"/>
                <w:szCs w:val="21"/>
                <w:highlight w:val="none"/>
                <w:lang w:eastAsia="en-US"/>
              </w:rPr>
            </w:pPr>
          </w:p>
          <w:p w14:paraId="6570485A">
            <w:pPr>
              <w:spacing w:before="68" w:line="263" w:lineRule="auto"/>
              <w:rPr>
                <w:rFonts w:ascii="宋体" w:hAnsi="宋体" w:cs="宋体"/>
                <w:color w:val="auto"/>
                <w:szCs w:val="21"/>
                <w:highlight w:val="none"/>
                <w:lang w:eastAsia="en-US"/>
              </w:rPr>
            </w:pPr>
          </w:p>
          <w:p w14:paraId="5F8A75F2">
            <w:pPr>
              <w:spacing w:before="65" w:line="228" w:lineRule="auto"/>
              <w:ind w:left="2848"/>
              <w:rPr>
                <w:rFonts w:ascii="宋体" w:hAnsi="宋体" w:cs="宋体"/>
                <w:color w:val="auto"/>
                <w:sz w:val="20"/>
                <w:szCs w:val="20"/>
                <w:highlight w:val="none"/>
              </w:rPr>
            </w:pPr>
            <w:r>
              <w:rPr>
                <w:rFonts w:ascii="宋体" w:hAnsi="宋体" w:cs="宋体"/>
                <w:color w:val="auto"/>
                <w:spacing w:val="-2"/>
                <w:sz w:val="20"/>
                <w:szCs w:val="20"/>
                <w:highlight w:val="none"/>
              </w:rPr>
              <w:t>年月日</w:t>
            </w:r>
          </w:p>
        </w:tc>
        <w:tc>
          <w:tcPr>
            <w:tcW w:w="4726" w:type="dxa"/>
          </w:tcPr>
          <w:p w14:paraId="5F159521">
            <w:pPr>
              <w:spacing w:before="134" w:line="227" w:lineRule="auto"/>
              <w:ind w:left="134"/>
              <w:rPr>
                <w:rFonts w:ascii="宋体" w:hAnsi="宋体" w:cs="宋体"/>
                <w:color w:val="auto"/>
                <w:sz w:val="20"/>
                <w:szCs w:val="20"/>
                <w:highlight w:val="none"/>
              </w:rPr>
            </w:pPr>
            <w:r>
              <w:rPr>
                <w:rFonts w:ascii="宋体" w:hAnsi="宋体" w:cs="宋体"/>
                <w:color w:val="auto"/>
                <w:spacing w:val="1"/>
                <w:sz w:val="20"/>
                <w:szCs w:val="20"/>
                <w:highlight w:val="none"/>
              </w:rPr>
              <w:t>乙方（章）</w:t>
            </w:r>
          </w:p>
          <w:p w14:paraId="017002A1">
            <w:pPr>
              <w:spacing w:before="68" w:line="262" w:lineRule="auto"/>
              <w:rPr>
                <w:rFonts w:ascii="宋体" w:hAnsi="宋体" w:cs="宋体"/>
                <w:color w:val="auto"/>
                <w:szCs w:val="21"/>
                <w:highlight w:val="none"/>
                <w:lang w:eastAsia="en-US"/>
              </w:rPr>
            </w:pPr>
          </w:p>
          <w:p w14:paraId="1781B056">
            <w:pPr>
              <w:spacing w:before="68" w:line="262" w:lineRule="auto"/>
              <w:rPr>
                <w:rFonts w:ascii="宋体" w:hAnsi="宋体" w:cs="宋体"/>
                <w:color w:val="auto"/>
                <w:szCs w:val="21"/>
                <w:highlight w:val="none"/>
                <w:lang w:eastAsia="en-US"/>
              </w:rPr>
            </w:pPr>
          </w:p>
          <w:p w14:paraId="3483D8A2">
            <w:pPr>
              <w:spacing w:before="68" w:line="262" w:lineRule="auto"/>
              <w:rPr>
                <w:rFonts w:ascii="宋体" w:hAnsi="宋体" w:cs="宋体"/>
                <w:color w:val="auto"/>
                <w:szCs w:val="21"/>
                <w:highlight w:val="none"/>
                <w:lang w:eastAsia="en-US"/>
              </w:rPr>
            </w:pPr>
          </w:p>
          <w:p w14:paraId="2B8F35F6">
            <w:pPr>
              <w:spacing w:before="68" w:line="262" w:lineRule="auto"/>
              <w:rPr>
                <w:rFonts w:ascii="宋体" w:hAnsi="宋体" w:cs="宋体"/>
                <w:color w:val="auto"/>
                <w:szCs w:val="21"/>
                <w:highlight w:val="none"/>
                <w:lang w:eastAsia="en-US"/>
              </w:rPr>
            </w:pPr>
          </w:p>
          <w:p w14:paraId="5E5AB8B0">
            <w:pPr>
              <w:spacing w:before="68" w:line="263" w:lineRule="auto"/>
              <w:rPr>
                <w:rFonts w:ascii="宋体" w:hAnsi="宋体" w:cs="宋体"/>
                <w:color w:val="auto"/>
                <w:szCs w:val="21"/>
                <w:highlight w:val="none"/>
                <w:lang w:eastAsia="en-US"/>
              </w:rPr>
            </w:pPr>
          </w:p>
          <w:p w14:paraId="71EE35AE">
            <w:pPr>
              <w:spacing w:before="68" w:line="263" w:lineRule="auto"/>
              <w:rPr>
                <w:rFonts w:ascii="宋体" w:hAnsi="宋体" w:cs="宋体"/>
                <w:color w:val="auto"/>
                <w:szCs w:val="21"/>
                <w:highlight w:val="none"/>
                <w:lang w:eastAsia="en-US"/>
              </w:rPr>
            </w:pPr>
          </w:p>
          <w:p w14:paraId="5855BCB9">
            <w:pPr>
              <w:spacing w:before="68" w:line="263" w:lineRule="auto"/>
              <w:rPr>
                <w:rFonts w:ascii="宋体" w:hAnsi="宋体" w:cs="宋体"/>
                <w:color w:val="auto"/>
                <w:szCs w:val="21"/>
                <w:highlight w:val="none"/>
                <w:lang w:eastAsia="en-US"/>
              </w:rPr>
            </w:pPr>
          </w:p>
          <w:p w14:paraId="2AECFDF5">
            <w:pPr>
              <w:spacing w:before="65" w:line="228" w:lineRule="auto"/>
              <w:ind w:left="2951"/>
              <w:rPr>
                <w:rFonts w:ascii="宋体" w:hAnsi="宋体" w:cs="宋体"/>
                <w:color w:val="auto"/>
                <w:sz w:val="20"/>
                <w:szCs w:val="20"/>
                <w:highlight w:val="none"/>
              </w:rPr>
            </w:pPr>
            <w:r>
              <w:rPr>
                <w:rFonts w:ascii="宋体" w:hAnsi="宋体" w:cs="宋体"/>
                <w:color w:val="auto"/>
                <w:spacing w:val="-2"/>
                <w:sz w:val="20"/>
                <w:szCs w:val="20"/>
                <w:highlight w:val="none"/>
              </w:rPr>
              <w:t>年月日</w:t>
            </w:r>
          </w:p>
        </w:tc>
      </w:tr>
    </w:tbl>
    <w:p w14:paraId="3DC828B0">
      <w:pPr>
        <w:pStyle w:val="19"/>
        <w:ind w:left="1764" w:hanging="924"/>
        <w:jc w:val="center"/>
        <w:rPr>
          <w:rFonts w:ascii="宋体" w:hAnsi="宋体" w:cs="宋体"/>
          <w:b/>
          <w:bCs/>
          <w:color w:val="auto"/>
          <w:spacing w:val="-20"/>
          <w:kern w:val="44"/>
          <w:sz w:val="48"/>
          <w:szCs w:val="48"/>
          <w:highlight w:val="none"/>
        </w:rPr>
      </w:pPr>
      <w:r>
        <w:rPr>
          <w:rFonts w:ascii="宋体" w:hAnsi="宋体" w:cs="宋体"/>
          <w:color w:val="auto"/>
          <w:spacing w:val="9"/>
          <w:sz w:val="20"/>
          <w:szCs w:val="20"/>
          <w:highlight w:val="none"/>
        </w:rPr>
        <w:t>注：售后服务事项填不下时可另加附页</w:t>
      </w:r>
    </w:p>
    <w:p w14:paraId="6D9269F1">
      <w:pPr>
        <w:pStyle w:val="19"/>
        <w:rPr>
          <w:color w:val="auto"/>
          <w:sz w:val="32"/>
          <w:szCs w:val="32"/>
          <w:highlight w:val="none"/>
        </w:rPr>
      </w:pPr>
    </w:p>
    <w:bookmarkEnd w:id="0"/>
    <w:bookmarkEnd w:id="1"/>
    <w:p w14:paraId="14235DE1">
      <w:pPr>
        <w:widowControl/>
        <w:jc w:val="left"/>
        <w:rPr>
          <w:rFonts w:ascii="仿宋" w:hAnsi="仿宋" w:eastAsia="仿宋"/>
          <w:color w:val="auto"/>
          <w:szCs w:val="21"/>
          <w:highlight w:val="none"/>
          <w:u w:val="single"/>
        </w:rPr>
      </w:pPr>
    </w:p>
    <w:p w14:paraId="288EE250">
      <w:pPr>
        <w:widowControl/>
        <w:jc w:val="center"/>
        <w:outlineLvl w:val="0"/>
        <w:rPr>
          <w:color w:val="auto"/>
          <w:sz w:val="32"/>
          <w:szCs w:val="32"/>
          <w:highlight w:val="none"/>
        </w:rPr>
      </w:pPr>
      <w:r>
        <w:rPr>
          <w:color w:val="auto"/>
          <w:sz w:val="32"/>
          <w:szCs w:val="32"/>
          <w:highlight w:val="none"/>
        </w:rPr>
        <w:br w:type="page"/>
      </w:r>
      <w:bookmarkStart w:id="87" w:name="_Toc1021"/>
      <w:r>
        <w:rPr>
          <w:color w:val="auto"/>
          <w:sz w:val="32"/>
          <w:szCs w:val="32"/>
          <w:highlight w:val="none"/>
        </w:rPr>
        <w:t>第六章  响应文件格式</w:t>
      </w:r>
      <w:bookmarkEnd w:id="87"/>
    </w:p>
    <w:p w14:paraId="1008C7D4">
      <w:pPr>
        <w:rPr>
          <w:color w:val="auto"/>
          <w:sz w:val="28"/>
          <w:szCs w:val="28"/>
          <w:highlight w:val="none"/>
        </w:rPr>
      </w:pPr>
      <w:bookmarkStart w:id="88" w:name="_Toc254970697"/>
      <w:bookmarkStart w:id="89" w:name="_Toc254970556"/>
    </w:p>
    <w:p w14:paraId="6868050E">
      <w:pPr>
        <w:rPr>
          <w:color w:val="auto"/>
          <w:sz w:val="28"/>
          <w:szCs w:val="28"/>
          <w:highlight w:val="none"/>
        </w:rPr>
      </w:pPr>
    </w:p>
    <w:p w14:paraId="398EE6C7">
      <w:pPr>
        <w:spacing w:line="500" w:lineRule="exact"/>
        <w:ind w:firstLine="560" w:firstLineChars="200"/>
        <w:rPr>
          <w:color w:val="auto"/>
          <w:sz w:val="28"/>
          <w:szCs w:val="28"/>
          <w:highlight w:val="none"/>
        </w:rPr>
      </w:pPr>
      <w:bookmarkStart w:id="90" w:name="_Hlk89181132"/>
      <w:r>
        <w:rPr>
          <w:rFonts w:hint="eastAsia"/>
          <w:color w:val="auto"/>
          <w:sz w:val="28"/>
          <w:szCs w:val="28"/>
          <w:highlight w:val="none"/>
        </w:rPr>
        <w:t>注：有签字、盖章要求的应按要求签字（签章）、盖章（签章）</w:t>
      </w:r>
      <w:bookmarkEnd w:id="88"/>
      <w:bookmarkEnd w:id="89"/>
      <w:bookmarkEnd w:id="90"/>
    </w:p>
    <w:p w14:paraId="52831E50">
      <w:pPr>
        <w:snapToGrid w:val="0"/>
        <w:spacing w:before="120" w:beforeLines="50" w:after="50" w:line="440" w:lineRule="exact"/>
        <w:jc w:val="left"/>
        <w:outlineLvl w:val="1"/>
        <w:rPr>
          <w:b/>
          <w:color w:val="auto"/>
          <w:sz w:val="24"/>
          <w:highlight w:val="none"/>
        </w:rPr>
      </w:pPr>
      <w:r>
        <w:rPr>
          <w:color w:val="auto"/>
          <w:sz w:val="24"/>
          <w:highlight w:val="none"/>
        </w:rPr>
        <w:br w:type="page"/>
      </w:r>
      <w:r>
        <w:rPr>
          <w:rFonts w:hint="eastAsia"/>
          <w:color w:val="auto"/>
          <w:sz w:val="24"/>
          <w:highlight w:val="none"/>
        </w:rPr>
        <w:t>1.</w:t>
      </w:r>
      <w:r>
        <w:rPr>
          <w:color w:val="auto"/>
          <w:sz w:val="24"/>
          <w:highlight w:val="none"/>
        </w:rPr>
        <w:t>响应文件封面</w:t>
      </w:r>
      <w:r>
        <w:rPr>
          <w:rFonts w:hint="eastAsia"/>
          <w:color w:val="auto"/>
          <w:sz w:val="24"/>
          <w:highlight w:val="none"/>
        </w:rPr>
        <w:t>参考</w:t>
      </w:r>
      <w:r>
        <w:rPr>
          <w:color w:val="auto"/>
          <w:sz w:val="24"/>
          <w:highlight w:val="none"/>
        </w:rPr>
        <w:t>格式</w:t>
      </w:r>
      <w:bookmarkStart w:id="91" w:name="_Hlk92966991"/>
      <w:r>
        <w:rPr>
          <w:rFonts w:hint="eastAsia"/>
          <w:color w:val="auto"/>
          <w:sz w:val="24"/>
          <w:highlight w:val="none"/>
        </w:rPr>
        <w:t>（资格证明文件）</w:t>
      </w:r>
      <w:bookmarkEnd w:id="91"/>
      <w:r>
        <w:rPr>
          <w:color w:val="auto"/>
          <w:sz w:val="24"/>
          <w:highlight w:val="none"/>
        </w:rPr>
        <w:t>：</w:t>
      </w:r>
      <w:r>
        <w:rPr>
          <w:b/>
          <w:bCs/>
          <w:color w:val="auto"/>
          <w:sz w:val="24"/>
          <w:highlight w:val="none"/>
        </w:rPr>
        <w:t xml:space="preserve"> </w:t>
      </w:r>
    </w:p>
    <w:p w14:paraId="7532AA26">
      <w:pPr>
        <w:snapToGrid w:val="0"/>
        <w:spacing w:before="120" w:beforeLines="50" w:after="50" w:line="360" w:lineRule="exact"/>
        <w:rPr>
          <w:color w:val="auto"/>
          <w:sz w:val="24"/>
          <w:highlight w:val="none"/>
        </w:rPr>
      </w:pPr>
    </w:p>
    <w:p w14:paraId="4BEBE972">
      <w:pPr>
        <w:snapToGrid w:val="0"/>
        <w:spacing w:before="120" w:beforeLines="50" w:after="50" w:line="360" w:lineRule="exact"/>
        <w:jc w:val="right"/>
        <w:rPr>
          <w:bCs/>
          <w:color w:val="auto"/>
          <w:sz w:val="24"/>
          <w:highlight w:val="none"/>
        </w:rPr>
      </w:pPr>
    </w:p>
    <w:p w14:paraId="58157F51">
      <w:pPr>
        <w:snapToGrid w:val="0"/>
        <w:spacing w:before="120" w:beforeLines="50" w:after="50" w:line="360" w:lineRule="exact"/>
        <w:jc w:val="center"/>
        <w:rPr>
          <w:bCs/>
          <w:color w:val="auto"/>
          <w:sz w:val="24"/>
          <w:highlight w:val="none"/>
        </w:rPr>
      </w:pPr>
      <w:r>
        <w:rPr>
          <w:rFonts w:hint="eastAsia" w:ascii="宋体" w:hAnsi="宋体"/>
          <w:b/>
          <w:color w:val="auto"/>
          <w:sz w:val="44"/>
          <w:highlight w:val="none"/>
        </w:rPr>
        <w:t>电子响应文件</w:t>
      </w:r>
    </w:p>
    <w:p w14:paraId="4ABA2E3F">
      <w:pPr>
        <w:snapToGrid w:val="0"/>
        <w:spacing w:before="120" w:beforeLines="50" w:after="50" w:line="360" w:lineRule="exact"/>
        <w:jc w:val="center"/>
        <w:rPr>
          <w:b/>
          <w:bCs/>
          <w:color w:val="auto"/>
          <w:sz w:val="44"/>
          <w:szCs w:val="44"/>
          <w:highlight w:val="none"/>
        </w:rPr>
      </w:pPr>
    </w:p>
    <w:p w14:paraId="32B3E513">
      <w:pPr>
        <w:snapToGrid w:val="0"/>
        <w:spacing w:before="120" w:beforeLines="50" w:after="50" w:line="360" w:lineRule="exact"/>
        <w:jc w:val="center"/>
        <w:rPr>
          <w:b/>
          <w:bCs/>
          <w:color w:val="auto"/>
          <w:sz w:val="44"/>
          <w:szCs w:val="44"/>
          <w:highlight w:val="none"/>
        </w:rPr>
      </w:pPr>
    </w:p>
    <w:p w14:paraId="385D8F01">
      <w:pPr>
        <w:snapToGrid w:val="0"/>
        <w:spacing w:before="120" w:beforeLines="50" w:after="50" w:line="360" w:lineRule="exact"/>
        <w:jc w:val="center"/>
        <w:rPr>
          <w:b/>
          <w:bCs/>
          <w:color w:val="auto"/>
          <w:sz w:val="44"/>
          <w:szCs w:val="44"/>
          <w:highlight w:val="none"/>
        </w:rPr>
      </w:pPr>
      <w:bookmarkStart w:id="92" w:name="_Hlk92967018"/>
      <w:r>
        <w:rPr>
          <w:b/>
          <w:bCs/>
          <w:color w:val="auto"/>
          <w:sz w:val="44"/>
          <w:szCs w:val="44"/>
          <w:highlight w:val="none"/>
        </w:rPr>
        <w:t>资格</w:t>
      </w:r>
      <w:r>
        <w:rPr>
          <w:rFonts w:hint="eastAsia"/>
          <w:b/>
          <w:bCs/>
          <w:color w:val="auto"/>
          <w:sz w:val="44"/>
          <w:szCs w:val="44"/>
          <w:highlight w:val="none"/>
        </w:rPr>
        <w:t>证明文件</w:t>
      </w:r>
    </w:p>
    <w:bookmarkEnd w:id="92"/>
    <w:p w14:paraId="0405CCDB">
      <w:pPr>
        <w:snapToGrid w:val="0"/>
        <w:spacing w:before="120" w:beforeLines="50" w:after="50" w:line="360" w:lineRule="exact"/>
        <w:jc w:val="center"/>
        <w:rPr>
          <w:b/>
          <w:bCs/>
          <w:color w:val="auto"/>
          <w:sz w:val="44"/>
          <w:szCs w:val="44"/>
          <w:highlight w:val="none"/>
        </w:rPr>
      </w:pPr>
    </w:p>
    <w:p w14:paraId="774E8F7B">
      <w:pPr>
        <w:snapToGrid w:val="0"/>
        <w:spacing w:before="120" w:beforeLines="50" w:after="50" w:line="360" w:lineRule="exact"/>
        <w:rPr>
          <w:bCs/>
          <w:color w:val="auto"/>
          <w:sz w:val="24"/>
          <w:highlight w:val="none"/>
        </w:rPr>
      </w:pPr>
    </w:p>
    <w:p w14:paraId="120414E8">
      <w:pPr>
        <w:snapToGrid w:val="0"/>
        <w:spacing w:before="120" w:beforeLines="50" w:after="50" w:line="360" w:lineRule="exact"/>
        <w:ind w:firstLine="720" w:firstLineChars="300"/>
        <w:rPr>
          <w:bCs/>
          <w:color w:val="auto"/>
          <w:sz w:val="24"/>
          <w:highlight w:val="none"/>
        </w:rPr>
      </w:pPr>
      <w:r>
        <w:rPr>
          <w:bCs/>
          <w:color w:val="auto"/>
          <w:sz w:val="24"/>
          <w:highlight w:val="none"/>
        </w:rPr>
        <w:t xml:space="preserve">项目名称： </w:t>
      </w:r>
    </w:p>
    <w:p w14:paraId="41CCDFF4">
      <w:pPr>
        <w:snapToGrid w:val="0"/>
        <w:spacing w:before="120" w:beforeLines="50" w:after="50" w:line="360" w:lineRule="exact"/>
        <w:ind w:firstLine="720" w:firstLineChars="300"/>
        <w:rPr>
          <w:bCs/>
          <w:color w:val="auto"/>
          <w:sz w:val="24"/>
          <w:highlight w:val="none"/>
        </w:rPr>
      </w:pPr>
      <w:r>
        <w:rPr>
          <w:bCs/>
          <w:color w:val="auto"/>
          <w:sz w:val="24"/>
          <w:highlight w:val="none"/>
        </w:rPr>
        <w:t>项目编号：</w:t>
      </w:r>
    </w:p>
    <w:p w14:paraId="4989FA6C">
      <w:pPr>
        <w:snapToGrid w:val="0"/>
        <w:spacing w:before="120" w:beforeLines="50" w:after="50" w:line="440" w:lineRule="exact"/>
        <w:ind w:firstLine="720" w:firstLineChars="300"/>
        <w:rPr>
          <w:bCs/>
          <w:color w:val="auto"/>
          <w:sz w:val="24"/>
          <w:highlight w:val="none"/>
        </w:rPr>
      </w:pPr>
      <w:r>
        <w:rPr>
          <w:bCs/>
          <w:color w:val="auto"/>
          <w:sz w:val="24"/>
          <w:highlight w:val="none"/>
        </w:rPr>
        <w:t>分标号：（若无</w:t>
      </w:r>
      <w:r>
        <w:rPr>
          <w:rFonts w:hint="eastAsia"/>
          <w:bCs/>
          <w:color w:val="auto"/>
          <w:sz w:val="24"/>
          <w:highlight w:val="none"/>
        </w:rPr>
        <w:t>留空或写</w:t>
      </w:r>
      <w:r>
        <w:rPr>
          <w:bCs/>
          <w:color w:val="auto"/>
          <w:sz w:val="24"/>
          <w:highlight w:val="none"/>
        </w:rPr>
        <w:t>“/”）</w:t>
      </w:r>
    </w:p>
    <w:p w14:paraId="155519B7">
      <w:pPr>
        <w:snapToGrid w:val="0"/>
        <w:spacing w:before="120" w:beforeLines="50" w:after="50" w:line="360" w:lineRule="exact"/>
        <w:ind w:firstLine="720" w:firstLineChars="300"/>
        <w:rPr>
          <w:bCs/>
          <w:color w:val="auto"/>
          <w:sz w:val="24"/>
          <w:highlight w:val="none"/>
        </w:rPr>
      </w:pPr>
      <w:r>
        <w:rPr>
          <w:bCs/>
          <w:color w:val="auto"/>
          <w:sz w:val="24"/>
          <w:highlight w:val="none"/>
        </w:rPr>
        <w:t>供应商名称：</w:t>
      </w:r>
    </w:p>
    <w:p w14:paraId="085F97BA">
      <w:pPr>
        <w:snapToGrid w:val="0"/>
        <w:spacing w:before="120" w:beforeLines="50" w:after="50" w:line="360" w:lineRule="exact"/>
        <w:ind w:firstLine="720" w:firstLineChars="300"/>
        <w:rPr>
          <w:bCs/>
          <w:color w:val="auto"/>
          <w:sz w:val="24"/>
          <w:highlight w:val="none"/>
        </w:rPr>
      </w:pPr>
      <w:r>
        <w:rPr>
          <w:bCs/>
          <w:color w:val="auto"/>
          <w:sz w:val="24"/>
          <w:highlight w:val="none"/>
        </w:rPr>
        <w:t>供应商地址：</w:t>
      </w:r>
    </w:p>
    <w:p w14:paraId="5C76ED35">
      <w:pPr>
        <w:pStyle w:val="7"/>
        <w:snapToGrid w:val="0"/>
        <w:spacing w:before="50" w:after="50" w:line="360" w:lineRule="exact"/>
        <w:ind w:firstLine="960" w:firstLineChars="400"/>
        <w:rPr>
          <w:bCs/>
          <w:color w:val="auto"/>
          <w:sz w:val="24"/>
          <w:szCs w:val="24"/>
          <w:highlight w:val="none"/>
        </w:rPr>
      </w:pPr>
    </w:p>
    <w:p w14:paraId="17F36974">
      <w:pPr>
        <w:snapToGrid w:val="0"/>
        <w:spacing w:before="120" w:beforeLines="50" w:after="50" w:line="360" w:lineRule="exact"/>
        <w:jc w:val="center"/>
        <w:rPr>
          <w:color w:val="auto"/>
          <w:sz w:val="24"/>
          <w:highlight w:val="none"/>
        </w:rPr>
      </w:pPr>
      <w:r>
        <w:rPr>
          <w:color w:val="auto"/>
          <w:sz w:val="24"/>
          <w:highlight w:val="none"/>
        </w:rPr>
        <w:t xml:space="preserve">                        年  月  日</w:t>
      </w:r>
    </w:p>
    <w:p w14:paraId="111572CA">
      <w:pPr>
        <w:snapToGrid w:val="0"/>
        <w:spacing w:before="50" w:after="50" w:line="440" w:lineRule="exact"/>
        <w:rPr>
          <w:b/>
          <w:color w:val="auto"/>
          <w:sz w:val="24"/>
          <w:highlight w:val="none"/>
        </w:rPr>
      </w:pPr>
      <w:r>
        <w:rPr>
          <w:b/>
          <w:color w:val="auto"/>
          <w:sz w:val="24"/>
          <w:highlight w:val="none"/>
        </w:rPr>
        <w:t xml:space="preserve"> </w:t>
      </w:r>
    </w:p>
    <w:p w14:paraId="2DBA151F">
      <w:pPr>
        <w:rPr>
          <w:color w:val="auto"/>
          <w:highlight w:val="none"/>
        </w:rPr>
      </w:pPr>
      <w:r>
        <w:rPr>
          <w:color w:val="auto"/>
          <w:highlight w:val="none"/>
        </w:rPr>
        <w:t xml:space="preserve"> </w:t>
      </w:r>
    </w:p>
    <w:p w14:paraId="34B53CB1">
      <w:pPr>
        <w:snapToGrid w:val="0"/>
        <w:spacing w:before="120" w:beforeLines="50" w:after="50" w:line="440" w:lineRule="exact"/>
        <w:jc w:val="center"/>
        <w:rPr>
          <w:b/>
          <w:bCs/>
          <w:color w:val="auto"/>
          <w:sz w:val="24"/>
          <w:highlight w:val="none"/>
        </w:rPr>
      </w:pPr>
      <w:bookmarkStart w:id="93" w:name="_Toc254970698"/>
      <w:bookmarkStart w:id="94" w:name="_Toc254970557"/>
      <w:r>
        <w:rPr>
          <w:color w:val="auto"/>
          <w:sz w:val="24"/>
          <w:highlight w:val="none"/>
        </w:rPr>
        <w:br w:type="page"/>
      </w:r>
      <w:bookmarkEnd w:id="93"/>
      <w:bookmarkEnd w:id="94"/>
    </w:p>
    <w:p w14:paraId="7DDD7CC2">
      <w:pPr>
        <w:snapToGrid w:val="0"/>
        <w:spacing w:before="120" w:beforeLines="50" w:after="50" w:line="440" w:lineRule="exact"/>
        <w:jc w:val="center"/>
        <w:rPr>
          <w:color w:val="auto"/>
          <w:sz w:val="24"/>
          <w:highlight w:val="none"/>
        </w:rPr>
      </w:pPr>
    </w:p>
    <w:p w14:paraId="071E96B7">
      <w:pPr>
        <w:snapToGrid w:val="0"/>
        <w:spacing w:before="50" w:after="50" w:line="440" w:lineRule="exact"/>
        <w:ind w:firstLine="138" w:firstLineChars="49"/>
        <w:jc w:val="center"/>
        <w:rPr>
          <w:b/>
          <w:color w:val="auto"/>
          <w:sz w:val="28"/>
          <w:szCs w:val="28"/>
          <w:highlight w:val="none"/>
        </w:rPr>
      </w:pPr>
      <w:r>
        <w:rPr>
          <w:b/>
          <w:color w:val="auto"/>
          <w:sz w:val="28"/>
          <w:szCs w:val="28"/>
          <w:highlight w:val="none"/>
        </w:rPr>
        <w:t>目录</w:t>
      </w:r>
    </w:p>
    <w:p w14:paraId="381F3CB8">
      <w:pPr>
        <w:snapToGrid w:val="0"/>
        <w:spacing w:before="50" w:after="50" w:line="440" w:lineRule="exact"/>
        <w:ind w:firstLine="118" w:firstLineChars="49"/>
        <w:jc w:val="center"/>
        <w:rPr>
          <w:b/>
          <w:color w:val="auto"/>
          <w:sz w:val="24"/>
          <w:highlight w:val="none"/>
        </w:rPr>
      </w:pPr>
      <w:r>
        <w:rPr>
          <w:b/>
          <w:color w:val="auto"/>
          <w:sz w:val="24"/>
          <w:highlight w:val="none"/>
        </w:rPr>
        <w:t>（需有页码）</w:t>
      </w:r>
    </w:p>
    <w:p w14:paraId="74369721">
      <w:pPr>
        <w:snapToGrid w:val="0"/>
        <w:spacing w:before="120" w:beforeLines="50" w:after="50" w:line="440" w:lineRule="exact"/>
        <w:jc w:val="center"/>
        <w:rPr>
          <w:rStyle w:val="60"/>
          <w:rFonts w:ascii="Times New Roman" w:hAnsi="Times New Roman" w:eastAsia="宋体"/>
          <w:color w:val="auto"/>
          <w:highlight w:val="none"/>
        </w:rPr>
      </w:pPr>
      <w:r>
        <w:rPr>
          <w:b/>
          <w:color w:val="auto"/>
          <w:sz w:val="24"/>
          <w:highlight w:val="none"/>
        </w:rPr>
        <w:br w:type="page"/>
      </w:r>
      <w:r>
        <w:rPr>
          <w:b/>
          <w:color w:val="auto"/>
          <w:sz w:val="24"/>
          <w:highlight w:val="none"/>
        </w:rPr>
        <w:t>第</w:t>
      </w:r>
      <w:r>
        <w:rPr>
          <w:rFonts w:hint="eastAsia"/>
          <w:b/>
          <w:color w:val="auto"/>
          <w:sz w:val="24"/>
          <w:highlight w:val="none"/>
        </w:rPr>
        <w:t>一</w:t>
      </w:r>
      <w:r>
        <w:rPr>
          <w:b/>
          <w:color w:val="auto"/>
          <w:sz w:val="24"/>
          <w:highlight w:val="none"/>
        </w:rPr>
        <w:t xml:space="preserve">部分 </w:t>
      </w:r>
      <w:r>
        <w:rPr>
          <w:rFonts w:hint="eastAsia"/>
          <w:b/>
          <w:color w:val="auto"/>
          <w:sz w:val="24"/>
          <w:highlight w:val="none"/>
        </w:rPr>
        <w:t>资格证明</w:t>
      </w:r>
      <w:r>
        <w:rPr>
          <w:b/>
          <w:color w:val="auto"/>
          <w:sz w:val="24"/>
          <w:highlight w:val="none"/>
        </w:rPr>
        <w:t>文件</w:t>
      </w:r>
    </w:p>
    <w:p w14:paraId="4D3689AB">
      <w:pPr>
        <w:widowControl/>
        <w:jc w:val="left"/>
        <w:rPr>
          <w:color w:val="auto"/>
          <w:highlight w:val="none"/>
        </w:rPr>
      </w:pPr>
      <w:r>
        <w:rPr>
          <w:b/>
          <w:color w:val="auto"/>
          <w:szCs w:val="21"/>
          <w:highlight w:val="none"/>
        </w:rPr>
        <w:t>1．</w:t>
      </w:r>
      <w:r>
        <w:rPr>
          <w:rFonts w:hint="eastAsia"/>
          <w:b/>
          <w:color w:val="auto"/>
          <w:szCs w:val="21"/>
          <w:highlight w:val="none"/>
        </w:rPr>
        <w:t>北海市政府采购供应商信用承诺函</w:t>
      </w:r>
    </w:p>
    <w:p w14:paraId="1663B9F3">
      <w:pPr>
        <w:widowControl/>
        <w:jc w:val="center"/>
        <w:rPr>
          <w:rFonts w:ascii="宋体" w:hAnsi="宋体" w:cs="宋体"/>
          <w:b/>
          <w:bCs/>
          <w:color w:val="auto"/>
          <w:kern w:val="0"/>
          <w:sz w:val="28"/>
          <w:szCs w:val="28"/>
          <w:highlight w:val="none"/>
          <w:lang w:bidi="ar"/>
        </w:rPr>
      </w:pPr>
    </w:p>
    <w:p w14:paraId="7793C6A2">
      <w:pPr>
        <w:widowControl/>
        <w:jc w:val="center"/>
        <w:rPr>
          <w:color w:val="auto"/>
          <w:highlight w:val="none"/>
        </w:rPr>
      </w:pPr>
      <w:r>
        <w:rPr>
          <w:rFonts w:hint="eastAsia" w:ascii="宋体" w:hAnsi="宋体" w:cs="宋体"/>
          <w:b/>
          <w:bCs/>
          <w:color w:val="auto"/>
          <w:kern w:val="0"/>
          <w:sz w:val="28"/>
          <w:szCs w:val="28"/>
          <w:highlight w:val="none"/>
          <w:lang w:bidi="ar"/>
        </w:rPr>
        <w:t>北海市政府采购供应商信用承诺函（格式）</w:t>
      </w:r>
    </w:p>
    <w:p w14:paraId="795AD0E9">
      <w:pPr>
        <w:snapToGrid w:val="0"/>
        <w:spacing w:before="120" w:beforeLines="50" w:line="360" w:lineRule="exact"/>
        <w:rPr>
          <w:color w:val="auto"/>
          <w:szCs w:val="21"/>
          <w:highlight w:val="none"/>
        </w:rPr>
      </w:pPr>
      <w:r>
        <w:rPr>
          <w:rFonts w:hint="eastAsia"/>
          <w:color w:val="auto"/>
          <w:szCs w:val="21"/>
          <w:highlight w:val="none"/>
        </w:rPr>
        <w:t>致</w:t>
      </w:r>
      <w:r>
        <w:rPr>
          <w:rFonts w:hint="eastAsia"/>
          <w:color w:val="auto"/>
          <w:szCs w:val="21"/>
          <w:highlight w:val="none"/>
          <w:u w:val="single"/>
        </w:rPr>
        <w:t>（采购人或采购代理机构）：</w:t>
      </w:r>
    </w:p>
    <w:p w14:paraId="0A22A5CE">
      <w:pPr>
        <w:snapToGrid w:val="0"/>
        <w:spacing w:before="120" w:beforeLines="50" w:line="360" w:lineRule="exact"/>
        <w:rPr>
          <w:color w:val="auto"/>
          <w:szCs w:val="21"/>
          <w:highlight w:val="none"/>
        </w:rPr>
      </w:pPr>
      <w:r>
        <w:rPr>
          <w:rFonts w:hint="eastAsia"/>
          <w:color w:val="auto"/>
          <w:szCs w:val="21"/>
          <w:highlight w:val="none"/>
        </w:rPr>
        <w:t>　　供应商名称：</w:t>
      </w:r>
    </w:p>
    <w:p w14:paraId="72FAB453">
      <w:pPr>
        <w:snapToGrid w:val="0"/>
        <w:spacing w:before="120" w:beforeLines="50" w:line="360" w:lineRule="exact"/>
        <w:rPr>
          <w:color w:val="auto"/>
          <w:szCs w:val="21"/>
          <w:highlight w:val="none"/>
        </w:rPr>
      </w:pPr>
      <w:r>
        <w:rPr>
          <w:rFonts w:hint="eastAsia"/>
          <w:color w:val="auto"/>
          <w:szCs w:val="21"/>
          <w:highlight w:val="none"/>
        </w:rPr>
        <w:t>　　统一社会信用代码：</w:t>
      </w:r>
    </w:p>
    <w:p w14:paraId="369BAF8D">
      <w:pPr>
        <w:snapToGrid w:val="0"/>
        <w:spacing w:before="120" w:beforeLines="50" w:line="360" w:lineRule="exact"/>
        <w:rPr>
          <w:color w:val="auto"/>
          <w:szCs w:val="21"/>
          <w:highlight w:val="none"/>
        </w:rPr>
      </w:pPr>
      <w:r>
        <w:rPr>
          <w:rFonts w:hint="eastAsia"/>
          <w:color w:val="auto"/>
          <w:szCs w:val="21"/>
          <w:highlight w:val="none"/>
        </w:rPr>
        <w:t>　　供应商地址：</w:t>
      </w:r>
    </w:p>
    <w:p w14:paraId="30D159CF">
      <w:pPr>
        <w:snapToGrid w:val="0"/>
        <w:spacing w:before="120" w:beforeLines="50" w:line="360" w:lineRule="exact"/>
        <w:rPr>
          <w:color w:val="auto"/>
          <w:szCs w:val="21"/>
          <w:highlight w:val="none"/>
        </w:rPr>
      </w:pPr>
      <w:r>
        <w:rPr>
          <w:rFonts w:hint="eastAsia"/>
          <w:color w:val="auto"/>
          <w:szCs w:val="21"/>
          <w:highlight w:val="none"/>
        </w:rPr>
        <w:t>　　我单位自愿参加本次政府采购活动，严格遵守《中华人民共和国政府采购法》及相关法律法规，</w:t>
      </w:r>
    </w:p>
    <w:p w14:paraId="270A207B">
      <w:pPr>
        <w:snapToGrid w:val="0"/>
        <w:spacing w:before="120" w:beforeLines="50" w:line="360" w:lineRule="exact"/>
        <w:rPr>
          <w:color w:val="auto"/>
          <w:szCs w:val="21"/>
          <w:highlight w:val="none"/>
        </w:rPr>
      </w:pPr>
      <w:r>
        <w:rPr>
          <w:rFonts w:hint="eastAsia"/>
          <w:color w:val="auto"/>
          <w:szCs w:val="21"/>
          <w:highlight w:val="none"/>
        </w:rPr>
        <w:t>依法诚信经营，无条件遵守本次政府采购活动的各项规定。我单位郑重承诺，本单位符合《中华人</w:t>
      </w:r>
    </w:p>
    <w:p w14:paraId="1BE21655">
      <w:pPr>
        <w:snapToGrid w:val="0"/>
        <w:spacing w:before="120" w:beforeLines="50" w:line="360" w:lineRule="exact"/>
        <w:rPr>
          <w:color w:val="auto"/>
          <w:szCs w:val="21"/>
          <w:highlight w:val="none"/>
        </w:rPr>
      </w:pPr>
      <w:r>
        <w:rPr>
          <w:rFonts w:hint="eastAsia"/>
          <w:color w:val="auto"/>
          <w:szCs w:val="21"/>
          <w:highlight w:val="none"/>
        </w:rPr>
        <w:t>民共和国政府采购法》第二十二条规定的条件：</w:t>
      </w:r>
    </w:p>
    <w:p w14:paraId="23D0C423">
      <w:pPr>
        <w:snapToGrid w:val="0"/>
        <w:spacing w:before="120" w:beforeLines="50" w:line="360" w:lineRule="exact"/>
        <w:rPr>
          <w:color w:val="auto"/>
          <w:szCs w:val="21"/>
          <w:highlight w:val="none"/>
        </w:rPr>
      </w:pPr>
      <w:r>
        <w:rPr>
          <w:rFonts w:hint="eastAsia"/>
          <w:color w:val="auto"/>
          <w:szCs w:val="21"/>
          <w:highlight w:val="none"/>
        </w:rPr>
        <w:t>　　1.我单位具有符合招标文件资格要求独立承担民事责任的能力。</w:t>
      </w:r>
    </w:p>
    <w:p w14:paraId="3F49E2DD">
      <w:pPr>
        <w:snapToGrid w:val="0"/>
        <w:spacing w:before="120" w:beforeLines="50" w:line="360" w:lineRule="exact"/>
        <w:rPr>
          <w:color w:val="auto"/>
          <w:szCs w:val="21"/>
          <w:highlight w:val="none"/>
        </w:rPr>
      </w:pPr>
      <w:r>
        <w:rPr>
          <w:rFonts w:hint="eastAsia"/>
          <w:color w:val="auto"/>
          <w:szCs w:val="21"/>
          <w:highlight w:val="none"/>
        </w:rPr>
        <w:t>　　2.我单位具有符合招标文件资格要求的财务状况报告。</w:t>
      </w:r>
    </w:p>
    <w:p w14:paraId="4A6EF63C">
      <w:pPr>
        <w:snapToGrid w:val="0"/>
        <w:spacing w:before="120" w:beforeLines="50" w:line="360" w:lineRule="exact"/>
        <w:rPr>
          <w:color w:val="auto"/>
          <w:szCs w:val="21"/>
          <w:highlight w:val="none"/>
        </w:rPr>
      </w:pPr>
      <w:r>
        <w:rPr>
          <w:rFonts w:hint="eastAsia"/>
          <w:color w:val="auto"/>
          <w:szCs w:val="21"/>
          <w:highlight w:val="none"/>
        </w:rPr>
        <w:t>　　3.我单位具有符合招标文件资格要求的依法缴纳税收和社会保障记录的良好记录。</w:t>
      </w:r>
    </w:p>
    <w:p w14:paraId="69DEF505">
      <w:pPr>
        <w:snapToGrid w:val="0"/>
        <w:spacing w:before="120" w:beforeLines="50" w:line="360" w:lineRule="exact"/>
        <w:rPr>
          <w:color w:val="auto"/>
          <w:szCs w:val="21"/>
          <w:highlight w:val="none"/>
        </w:rPr>
      </w:pPr>
      <w:r>
        <w:rPr>
          <w:rFonts w:hint="eastAsia"/>
          <w:color w:val="auto"/>
          <w:szCs w:val="21"/>
          <w:highlight w:val="none"/>
        </w:rPr>
        <w:t>　　4.我单位具有符合招标文件资格要求履行合同所必需的设备和专业技术能力。</w:t>
      </w:r>
    </w:p>
    <w:p w14:paraId="4B390B91">
      <w:pPr>
        <w:snapToGrid w:val="0"/>
        <w:spacing w:before="120" w:beforeLines="50" w:line="360" w:lineRule="exact"/>
        <w:rPr>
          <w:color w:val="auto"/>
          <w:szCs w:val="21"/>
          <w:highlight w:val="none"/>
        </w:rPr>
      </w:pPr>
      <w:r>
        <w:rPr>
          <w:rFonts w:hint="eastAsia"/>
          <w:color w:val="auto"/>
          <w:szCs w:val="21"/>
          <w:highlight w:val="none"/>
        </w:rPr>
        <w:t>　　5.参加政府采购活动前三年内，在经营活动中没有重大违法记录。</w:t>
      </w:r>
    </w:p>
    <w:p w14:paraId="5BA57468">
      <w:pPr>
        <w:snapToGrid w:val="0"/>
        <w:spacing w:before="120" w:beforeLines="50" w:line="360" w:lineRule="exact"/>
        <w:rPr>
          <w:color w:val="auto"/>
          <w:szCs w:val="21"/>
          <w:highlight w:val="none"/>
        </w:rPr>
      </w:pPr>
      <w:r>
        <w:rPr>
          <w:rFonts w:hint="eastAsia"/>
          <w:color w:val="auto"/>
          <w:szCs w:val="21"/>
          <w:highlight w:val="none"/>
        </w:rPr>
        <w:t>　　若我单位承诺不实，自愿承担提供虚假材料谋取中标、成交的法律责任。</w:t>
      </w:r>
    </w:p>
    <w:p w14:paraId="2E0BF76A">
      <w:pPr>
        <w:snapToGrid w:val="0"/>
        <w:spacing w:before="120" w:beforeLines="50" w:line="360" w:lineRule="exact"/>
        <w:rPr>
          <w:color w:val="auto"/>
          <w:szCs w:val="21"/>
          <w:highlight w:val="none"/>
        </w:rPr>
      </w:pPr>
      <w:r>
        <w:rPr>
          <w:rFonts w:hint="eastAsia"/>
          <w:color w:val="auto"/>
          <w:szCs w:val="21"/>
          <w:highlight w:val="none"/>
        </w:rPr>
        <w:t>　　供应商名称（电子签章）：</w:t>
      </w:r>
    </w:p>
    <w:p w14:paraId="38482925">
      <w:pPr>
        <w:snapToGrid w:val="0"/>
        <w:spacing w:before="120" w:beforeLines="50" w:line="360" w:lineRule="exact"/>
        <w:rPr>
          <w:color w:val="auto"/>
          <w:szCs w:val="21"/>
          <w:highlight w:val="none"/>
        </w:rPr>
      </w:pPr>
      <w:r>
        <w:rPr>
          <w:rFonts w:hint="eastAsia"/>
          <w:color w:val="auto"/>
          <w:szCs w:val="21"/>
          <w:highlight w:val="none"/>
        </w:rPr>
        <w:t>　　法定代表人或授权代表(签名)：</w:t>
      </w:r>
    </w:p>
    <w:p w14:paraId="50F29F23">
      <w:pPr>
        <w:snapToGrid w:val="0"/>
        <w:spacing w:before="120" w:beforeLines="50" w:line="360" w:lineRule="exact"/>
        <w:rPr>
          <w:color w:val="auto"/>
          <w:szCs w:val="21"/>
          <w:highlight w:val="none"/>
        </w:rPr>
      </w:pPr>
      <w:r>
        <w:rPr>
          <w:rFonts w:hint="eastAsia"/>
          <w:color w:val="auto"/>
          <w:szCs w:val="21"/>
          <w:highlight w:val="none"/>
        </w:rPr>
        <w:t>　　日期：年月日</w:t>
      </w:r>
    </w:p>
    <w:p w14:paraId="7E6256F3">
      <w:pPr>
        <w:snapToGrid w:val="0"/>
        <w:spacing w:before="120" w:beforeLines="50" w:line="360" w:lineRule="exact"/>
        <w:rPr>
          <w:color w:val="auto"/>
          <w:szCs w:val="21"/>
          <w:highlight w:val="none"/>
        </w:rPr>
      </w:pPr>
      <w:r>
        <w:rPr>
          <w:rFonts w:hint="eastAsia"/>
          <w:color w:val="auto"/>
          <w:szCs w:val="21"/>
          <w:highlight w:val="none"/>
        </w:rPr>
        <w:t>　　注：1.供应商须在投标（响应）文件中按此模板提供承诺函，未提供视为未实质性响应招标（采购）文件要求，按无效投标（响应）处理。</w:t>
      </w:r>
    </w:p>
    <w:p w14:paraId="663115F2">
      <w:pPr>
        <w:snapToGrid w:val="0"/>
        <w:spacing w:before="120" w:beforeLines="50" w:line="360" w:lineRule="exact"/>
        <w:rPr>
          <w:color w:val="auto"/>
          <w:szCs w:val="21"/>
          <w:highlight w:val="none"/>
        </w:rPr>
      </w:pPr>
      <w:r>
        <w:rPr>
          <w:rFonts w:hint="eastAsia"/>
          <w:color w:val="auto"/>
          <w:szCs w:val="21"/>
          <w:highlight w:val="none"/>
        </w:rPr>
        <w:t>　　2.供应商的法定代表人（其他组织的为负责人）或者授权代表的签名或盖章应真实、有效，如</w:t>
      </w:r>
    </w:p>
    <w:p w14:paraId="079E0F0E">
      <w:pPr>
        <w:rPr>
          <w:b/>
          <w:color w:val="auto"/>
          <w:szCs w:val="21"/>
          <w:highlight w:val="none"/>
        </w:rPr>
      </w:pPr>
      <w:r>
        <w:rPr>
          <w:rFonts w:hint="eastAsia"/>
          <w:color w:val="auto"/>
          <w:szCs w:val="21"/>
          <w:highlight w:val="none"/>
        </w:rPr>
        <w:t>　　授权代表签名或盖章的，应提供“法定代表人授权书”。</w:t>
      </w:r>
      <w:r>
        <w:rPr>
          <w:b/>
          <w:color w:val="auto"/>
          <w:szCs w:val="21"/>
          <w:highlight w:val="none"/>
        </w:rPr>
        <w:br w:type="page"/>
      </w:r>
    </w:p>
    <w:p w14:paraId="14AB2B1E">
      <w:pPr>
        <w:pStyle w:val="26"/>
        <w:tabs>
          <w:tab w:val="left" w:pos="2127"/>
        </w:tabs>
        <w:spacing w:line="340" w:lineRule="exact"/>
        <w:rPr>
          <w:b/>
          <w:color w:val="auto"/>
          <w:highlight w:val="none"/>
        </w:rPr>
      </w:pPr>
      <w:r>
        <w:rPr>
          <w:rFonts w:hint="eastAsia" w:ascii="Times New Roman" w:hAnsi="Times New Roman" w:cs="Times New Roman"/>
          <w:color w:val="auto"/>
          <w:highlight w:val="none"/>
        </w:rPr>
        <w:t>2</w:t>
      </w:r>
      <w:r>
        <w:rPr>
          <w:rFonts w:ascii="Times New Roman" w:hAnsi="Times New Roman" w:cs="Times New Roman"/>
          <w:color w:val="auto"/>
          <w:highlight w:val="none"/>
        </w:rPr>
        <w:t>．满足供应商特定资格条件的其他证明材料加盖供应商</w:t>
      </w:r>
      <w:r>
        <w:rPr>
          <w:rFonts w:hint="eastAsia" w:ascii="Times New Roman" w:hAnsi="Times New Roman" w:cs="Times New Roman"/>
          <w:color w:val="auto"/>
          <w:highlight w:val="none"/>
        </w:rPr>
        <w:t>电子签章</w:t>
      </w:r>
      <w:r>
        <w:rPr>
          <w:rFonts w:ascii="Times New Roman" w:hAnsi="Times New Roman" w:cs="Times New Roman"/>
          <w:color w:val="auto"/>
          <w:highlight w:val="none"/>
        </w:rPr>
        <w:t>（按“评审方法及标准” “资格性检查表”规定提供）。</w:t>
      </w:r>
      <w:r>
        <w:rPr>
          <w:rFonts w:hint="eastAsia"/>
          <w:b/>
          <w:color w:val="auto"/>
          <w:highlight w:val="none"/>
        </w:rPr>
        <w:t>（如采购文件有要求时提供）</w:t>
      </w:r>
    </w:p>
    <w:p w14:paraId="4FDE702E">
      <w:pPr>
        <w:snapToGrid w:val="0"/>
        <w:spacing w:before="50" w:after="120" w:afterLines="50" w:line="360" w:lineRule="auto"/>
        <w:jc w:val="left"/>
        <w:rPr>
          <w:color w:val="auto"/>
          <w:szCs w:val="21"/>
          <w:highlight w:val="none"/>
        </w:rPr>
      </w:pPr>
      <w:r>
        <w:rPr>
          <w:color w:val="auto"/>
          <w:highlight w:val="none"/>
        </w:rPr>
        <w:br w:type="page"/>
      </w:r>
      <w:r>
        <w:rPr>
          <w:rFonts w:hint="eastAsia"/>
          <w:color w:val="auto"/>
          <w:szCs w:val="21"/>
          <w:highlight w:val="none"/>
        </w:rPr>
        <w:t>2</w:t>
      </w:r>
      <w:r>
        <w:rPr>
          <w:color w:val="auto"/>
          <w:szCs w:val="21"/>
          <w:highlight w:val="none"/>
        </w:rPr>
        <w:t>.1</w:t>
      </w:r>
      <w:r>
        <w:rPr>
          <w:rFonts w:hint="eastAsia"/>
          <w:color w:val="auto"/>
          <w:szCs w:val="21"/>
          <w:highlight w:val="none"/>
        </w:rPr>
        <w:t>供应商直接控股股东信息表</w:t>
      </w:r>
    </w:p>
    <w:tbl>
      <w:tblPr>
        <w:tblStyle w:val="51"/>
        <w:tblW w:w="9476" w:type="dxa"/>
        <w:tblInd w:w="125" w:type="dxa"/>
        <w:tblLayout w:type="fixed"/>
        <w:tblCellMar>
          <w:top w:w="0" w:type="dxa"/>
          <w:left w:w="0" w:type="dxa"/>
          <w:bottom w:w="0" w:type="dxa"/>
          <w:right w:w="0" w:type="dxa"/>
        </w:tblCellMar>
      </w:tblPr>
      <w:tblGrid>
        <w:gridCol w:w="828"/>
        <w:gridCol w:w="2269"/>
        <w:gridCol w:w="1239"/>
        <w:gridCol w:w="3722"/>
        <w:gridCol w:w="1418"/>
      </w:tblGrid>
      <w:tr w14:paraId="4DC89992">
        <w:tblPrEx>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2B1F026B">
            <w:pPr>
              <w:spacing w:line="360" w:lineRule="auto"/>
              <w:jc w:val="center"/>
              <w:rPr>
                <w:color w:val="auto"/>
                <w:szCs w:val="21"/>
                <w:highlight w:val="none"/>
              </w:rPr>
            </w:pPr>
            <w:r>
              <w:rPr>
                <w:rFonts w:hint="eastAsia"/>
                <w:color w:val="auto"/>
                <w:szCs w:val="21"/>
                <w:highlight w:val="none"/>
              </w:rPr>
              <w:t>序号</w:t>
            </w:r>
          </w:p>
        </w:tc>
        <w:tc>
          <w:tcPr>
            <w:tcW w:w="226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45E5F516">
            <w:pPr>
              <w:spacing w:line="360" w:lineRule="auto"/>
              <w:jc w:val="center"/>
              <w:rPr>
                <w:color w:val="auto"/>
                <w:szCs w:val="21"/>
                <w:highlight w:val="none"/>
              </w:rPr>
            </w:pPr>
            <w:r>
              <w:rPr>
                <w:rFonts w:hint="eastAsia"/>
                <w:color w:val="auto"/>
                <w:szCs w:val="21"/>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674C9C1B">
            <w:pPr>
              <w:spacing w:line="360" w:lineRule="auto"/>
              <w:jc w:val="center"/>
              <w:rPr>
                <w:color w:val="auto"/>
                <w:szCs w:val="21"/>
                <w:highlight w:val="none"/>
              </w:rPr>
            </w:pPr>
            <w:r>
              <w:rPr>
                <w:rFonts w:hint="eastAsia"/>
                <w:color w:val="auto"/>
                <w:szCs w:val="21"/>
                <w:highlight w:val="none"/>
              </w:rPr>
              <w:t>出资比例</w:t>
            </w:r>
          </w:p>
        </w:tc>
        <w:tc>
          <w:tcPr>
            <w:tcW w:w="3722"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281699E5">
            <w:pPr>
              <w:spacing w:line="360" w:lineRule="auto"/>
              <w:jc w:val="center"/>
              <w:rPr>
                <w:color w:val="auto"/>
                <w:szCs w:val="21"/>
                <w:highlight w:val="none"/>
              </w:rPr>
            </w:pPr>
            <w:r>
              <w:rPr>
                <w:rFonts w:hint="eastAsia"/>
                <w:color w:val="auto"/>
                <w:szCs w:val="21"/>
                <w:highlight w:val="none"/>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1185E987">
            <w:pPr>
              <w:spacing w:line="360" w:lineRule="auto"/>
              <w:jc w:val="center"/>
              <w:rPr>
                <w:color w:val="auto"/>
                <w:szCs w:val="21"/>
                <w:highlight w:val="none"/>
              </w:rPr>
            </w:pPr>
            <w:r>
              <w:rPr>
                <w:rFonts w:hint="eastAsia"/>
                <w:color w:val="auto"/>
                <w:szCs w:val="21"/>
                <w:highlight w:val="none"/>
              </w:rPr>
              <w:t>备注</w:t>
            </w:r>
          </w:p>
        </w:tc>
      </w:tr>
      <w:tr w14:paraId="722F5FEF">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3544FB06">
            <w:pPr>
              <w:spacing w:line="360" w:lineRule="auto"/>
              <w:jc w:val="center"/>
              <w:rPr>
                <w:color w:val="auto"/>
                <w:szCs w:val="21"/>
                <w:highlight w:val="none"/>
              </w:rPr>
            </w:pPr>
            <w:r>
              <w:rPr>
                <w:rFonts w:hint="eastAsia"/>
                <w:color w:val="auto"/>
                <w:szCs w:val="21"/>
                <w:highlight w:val="none"/>
              </w:rPr>
              <w:t>1</w:t>
            </w:r>
          </w:p>
        </w:tc>
        <w:tc>
          <w:tcPr>
            <w:tcW w:w="226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0F3896B3">
            <w:pPr>
              <w:spacing w:line="360" w:lineRule="auto"/>
              <w:jc w:val="center"/>
              <w:rPr>
                <w:color w:val="auto"/>
                <w:szCs w:val="21"/>
                <w:highlight w:val="none"/>
              </w:rPr>
            </w:pPr>
          </w:p>
        </w:tc>
        <w:tc>
          <w:tcPr>
            <w:tcW w:w="123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3C99F0F2">
            <w:pPr>
              <w:spacing w:line="360" w:lineRule="auto"/>
              <w:jc w:val="center"/>
              <w:rPr>
                <w:color w:val="auto"/>
                <w:szCs w:val="21"/>
                <w:highlight w:val="none"/>
              </w:rPr>
            </w:pPr>
          </w:p>
        </w:tc>
        <w:tc>
          <w:tcPr>
            <w:tcW w:w="3722"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2A788E4D">
            <w:pPr>
              <w:spacing w:line="360" w:lineRule="auto"/>
              <w:jc w:val="center"/>
              <w:rPr>
                <w:color w:val="auto"/>
                <w:szCs w:val="21"/>
                <w:highlight w:val="none"/>
              </w:rPr>
            </w:pPr>
          </w:p>
        </w:tc>
        <w:tc>
          <w:tcPr>
            <w:tcW w:w="141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27C416BD">
            <w:pPr>
              <w:spacing w:line="360" w:lineRule="auto"/>
              <w:jc w:val="center"/>
              <w:rPr>
                <w:color w:val="auto"/>
                <w:szCs w:val="21"/>
                <w:highlight w:val="none"/>
              </w:rPr>
            </w:pPr>
          </w:p>
        </w:tc>
      </w:tr>
      <w:tr w14:paraId="32C51AB7">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04145CAE">
            <w:pPr>
              <w:spacing w:line="360" w:lineRule="auto"/>
              <w:jc w:val="center"/>
              <w:rPr>
                <w:color w:val="auto"/>
                <w:szCs w:val="21"/>
                <w:highlight w:val="none"/>
              </w:rPr>
            </w:pPr>
            <w:r>
              <w:rPr>
                <w:rFonts w:hint="eastAsia"/>
                <w:color w:val="auto"/>
                <w:szCs w:val="21"/>
                <w:highlight w:val="none"/>
              </w:rPr>
              <w:t>2</w:t>
            </w:r>
          </w:p>
        </w:tc>
        <w:tc>
          <w:tcPr>
            <w:tcW w:w="226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528727B4">
            <w:pPr>
              <w:spacing w:line="360" w:lineRule="auto"/>
              <w:jc w:val="center"/>
              <w:rPr>
                <w:color w:val="auto"/>
                <w:szCs w:val="21"/>
                <w:highlight w:val="none"/>
              </w:rPr>
            </w:pPr>
          </w:p>
        </w:tc>
        <w:tc>
          <w:tcPr>
            <w:tcW w:w="123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7B911AD8">
            <w:pPr>
              <w:spacing w:line="360" w:lineRule="auto"/>
              <w:jc w:val="center"/>
              <w:rPr>
                <w:color w:val="auto"/>
                <w:szCs w:val="21"/>
                <w:highlight w:val="none"/>
              </w:rPr>
            </w:pPr>
          </w:p>
        </w:tc>
        <w:tc>
          <w:tcPr>
            <w:tcW w:w="3722"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049C9FA3">
            <w:pPr>
              <w:spacing w:line="360" w:lineRule="auto"/>
              <w:jc w:val="center"/>
              <w:rPr>
                <w:color w:val="auto"/>
                <w:szCs w:val="21"/>
                <w:highlight w:val="none"/>
              </w:rPr>
            </w:pPr>
          </w:p>
        </w:tc>
        <w:tc>
          <w:tcPr>
            <w:tcW w:w="141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38780216">
            <w:pPr>
              <w:spacing w:line="360" w:lineRule="auto"/>
              <w:jc w:val="center"/>
              <w:rPr>
                <w:color w:val="auto"/>
                <w:szCs w:val="21"/>
                <w:highlight w:val="none"/>
              </w:rPr>
            </w:pPr>
          </w:p>
        </w:tc>
      </w:tr>
      <w:tr w14:paraId="2D288196">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0C3147D4">
            <w:pPr>
              <w:spacing w:line="360" w:lineRule="auto"/>
              <w:jc w:val="center"/>
              <w:rPr>
                <w:color w:val="auto"/>
                <w:szCs w:val="21"/>
                <w:highlight w:val="none"/>
              </w:rPr>
            </w:pPr>
            <w:r>
              <w:rPr>
                <w:rFonts w:hint="eastAsia"/>
                <w:color w:val="auto"/>
                <w:szCs w:val="21"/>
                <w:highlight w:val="none"/>
              </w:rPr>
              <w:t>3</w:t>
            </w:r>
          </w:p>
        </w:tc>
        <w:tc>
          <w:tcPr>
            <w:tcW w:w="226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5FFFB92F">
            <w:pPr>
              <w:spacing w:line="360" w:lineRule="auto"/>
              <w:jc w:val="center"/>
              <w:rPr>
                <w:color w:val="auto"/>
                <w:szCs w:val="21"/>
                <w:highlight w:val="none"/>
              </w:rPr>
            </w:pPr>
          </w:p>
        </w:tc>
        <w:tc>
          <w:tcPr>
            <w:tcW w:w="123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30E647FC">
            <w:pPr>
              <w:spacing w:line="360" w:lineRule="auto"/>
              <w:jc w:val="center"/>
              <w:rPr>
                <w:color w:val="auto"/>
                <w:szCs w:val="21"/>
                <w:highlight w:val="none"/>
              </w:rPr>
            </w:pPr>
          </w:p>
        </w:tc>
        <w:tc>
          <w:tcPr>
            <w:tcW w:w="3722"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25AA1882">
            <w:pPr>
              <w:spacing w:line="360" w:lineRule="auto"/>
              <w:jc w:val="center"/>
              <w:rPr>
                <w:color w:val="auto"/>
                <w:szCs w:val="21"/>
                <w:highlight w:val="none"/>
              </w:rPr>
            </w:pPr>
          </w:p>
        </w:tc>
        <w:tc>
          <w:tcPr>
            <w:tcW w:w="141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763396A9">
            <w:pPr>
              <w:spacing w:line="360" w:lineRule="auto"/>
              <w:jc w:val="center"/>
              <w:rPr>
                <w:color w:val="auto"/>
                <w:szCs w:val="21"/>
                <w:highlight w:val="none"/>
              </w:rPr>
            </w:pPr>
          </w:p>
        </w:tc>
      </w:tr>
      <w:tr w14:paraId="29E82D10">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566AA3BB">
            <w:pPr>
              <w:spacing w:line="360" w:lineRule="auto"/>
              <w:jc w:val="center"/>
              <w:rPr>
                <w:color w:val="auto"/>
                <w:szCs w:val="21"/>
                <w:highlight w:val="none"/>
              </w:rPr>
            </w:pPr>
            <w:r>
              <w:rPr>
                <w:rFonts w:hint="eastAsia"/>
                <w:color w:val="auto"/>
                <w:szCs w:val="21"/>
                <w:highlight w:val="none"/>
              </w:rPr>
              <w:t>……</w:t>
            </w:r>
          </w:p>
        </w:tc>
        <w:tc>
          <w:tcPr>
            <w:tcW w:w="226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27078375">
            <w:pPr>
              <w:spacing w:line="360" w:lineRule="auto"/>
              <w:jc w:val="center"/>
              <w:rPr>
                <w:color w:val="auto"/>
                <w:szCs w:val="21"/>
                <w:highlight w:val="none"/>
              </w:rPr>
            </w:pPr>
          </w:p>
        </w:tc>
        <w:tc>
          <w:tcPr>
            <w:tcW w:w="123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76A90F1C">
            <w:pPr>
              <w:spacing w:line="360" w:lineRule="auto"/>
              <w:jc w:val="center"/>
              <w:rPr>
                <w:color w:val="auto"/>
                <w:szCs w:val="21"/>
                <w:highlight w:val="none"/>
              </w:rPr>
            </w:pPr>
          </w:p>
        </w:tc>
        <w:tc>
          <w:tcPr>
            <w:tcW w:w="3722"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531BEB3B">
            <w:pPr>
              <w:spacing w:line="360" w:lineRule="auto"/>
              <w:jc w:val="center"/>
              <w:rPr>
                <w:color w:val="auto"/>
                <w:szCs w:val="21"/>
                <w:highlight w:val="none"/>
              </w:rPr>
            </w:pPr>
          </w:p>
        </w:tc>
        <w:tc>
          <w:tcPr>
            <w:tcW w:w="141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6F41F159">
            <w:pPr>
              <w:spacing w:line="360" w:lineRule="auto"/>
              <w:jc w:val="center"/>
              <w:rPr>
                <w:color w:val="auto"/>
                <w:szCs w:val="21"/>
                <w:highlight w:val="none"/>
              </w:rPr>
            </w:pPr>
          </w:p>
        </w:tc>
      </w:tr>
    </w:tbl>
    <w:p w14:paraId="25C2A1A7">
      <w:pPr>
        <w:snapToGrid w:val="0"/>
        <w:spacing w:line="360" w:lineRule="auto"/>
        <w:jc w:val="left"/>
        <w:rPr>
          <w:color w:val="auto"/>
          <w:szCs w:val="21"/>
          <w:highlight w:val="none"/>
        </w:rPr>
      </w:pPr>
      <w:r>
        <w:rPr>
          <w:rFonts w:hint="eastAsia"/>
          <w:color w:val="auto"/>
          <w:szCs w:val="21"/>
          <w:highlight w:val="none"/>
        </w:rPr>
        <w:t>注：</w:t>
      </w:r>
    </w:p>
    <w:p w14:paraId="2F723020">
      <w:pPr>
        <w:snapToGrid w:val="0"/>
        <w:spacing w:line="360" w:lineRule="auto"/>
        <w:jc w:val="left"/>
        <w:rPr>
          <w:color w:val="auto"/>
          <w:szCs w:val="21"/>
          <w:highlight w:val="none"/>
        </w:rPr>
      </w:pPr>
      <w:r>
        <w:rPr>
          <w:rFonts w:hint="eastAsia"/>
          <w:color w:val="auto"/>
          <w:szCs w:val="21"/>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6CD30403">
      <w:pPr>
        <w:snapToGrid w:val="0"/>
        <w:spacing w:line="360" w:lineRule="auto"/>
        <w:jc w:val="left"/>
        <w:rPr>
          <w:color w:val="auto"/>
          <w:szCs w:val="21"/>
          <w:highlight w:val="none"/>
        </w:rPr>
      </w:pPr>
      <w:r>
        <w:rPr>
          <w:rFonts w:hint="eastAsia"/>
          <w:color w:val="auto"/>
          <w:szCs w:val="21"/>
          <w:highlight w:val="none"/>
        </w:rPr>
        <w:t>2.本表所指的控股关系仅限于直接控股关系，不包括间接的控股关系。公司实际控制人与公司之间的关系不属于本表所指的直接控股关系。</w:t>
      </w:r>
    </w:p>
    <w:p w14:paraId="24D76BBB">
      <w:pPr>
        <w:snapToGrid w:val="0"/>
        <w:spacing w:line="360" w:lineRule="auto"/>
        <w:jc w:val="left"/>
        <w:rPr>
          <w:color w:val="auto"/>
          <w:szCs w:val="21"/>
          <w:highlight w:val="none"/>
        </w:rPr>
      </w:pPr>
      <w:r>
        <w:rPr>
          <w:rFonts w:hint="eastAsia"/>
          <w:color w:val="auto"/>
          <w:szCs w:val="21"/>
          <w:highlight w:val="none"/>
        </w:rPr>
        <w:t>3.供应商不存在直接控股股东的，则填“无”。</w:t>
      </w:r>
    </w:p>
    <w:p w14:paraId="3A19C59E">
      <w:pPr>
        <w:snapToGrid w:val="0"/>
        <w:spacing w:line="360" w:lineRule="auto"/>
        <w:jc w:val="left"/>
        <w:rPr>
          <w:color w:val="auto"/>
          <w:szCs w:val="21"/>
          <w:highlight w:val="none"/>
        </w:rPr>
      </w:pPr>
    </w:p>
    <w:p w14:paraId="6E731F60">
      <w:pPr>
        <w:snapToGrid w:val="0"/>
        <w:spacing w:line="360" w:lineRule="auto"/>
        <w:jc w:val="left"/>
        <w:rPr>
          <w:color w:val="auto"/>
          <w:szCs w:val="21"/>
          <w:highlight w:val="none"/>
        </w:rPr>
      </w:pPr>
    </w:p>
    <w:p w14:paraId="1495FCF2">
      <w:pPr>
        <w:snapToGrid w:val="0"/>
        <w:spacing w:line="360" w:lineRule="auto"/>
        <w:jc w:val="left"/>
        <w:rPr>
          <w:color w:val="auto"/>
          <w:szCs w:val="21"/>
          <w:highlight w:val="none"/>
        </w:rPr>
      </w:pPr>
    </w:p>
    <w:p w14:paraId="762996BC">
      <w:pPr>
        <w:snapToGrid w:val="0"/>
        <w:spacing w:line="360" w:lineRule="auto"/>
        <w:jc w:val="left"/>
        <w:rPr>
          <w:color w:val="auto"/>
          <w:szCs w:val="21"/>
          <w:highlight w:val="none"/>
        </w:rPr>
      </w:pPr>
    </w:p>
    <w:p w14:paraId="0A46578D">
      <w:pPr>
        <w:snapToGrid w:val="0"/>
        <w:spacing w:line="360" w:lineRule="auto"/>
        <w:jc w:val="left"/>
        <w:rPr>
          <w:color w:val="auto"/>
          <w:szCs w:val="21"/>
          <w:highlight w:val="none"/>
        </w:rPr>
      </w:pPr>
    </w:p>
    <w:p w14:paraId="16DEBE18">
      <w:pPr>
        <w:snapToGrid w:val="0"/>
        <w:spacing w:line="360" w:lineRule="auto"/>
        <w:ind w:firstLine="4410" w:firstLineChars="2100"/>
        <w:rPr>
          <w:color w:val="auto"/>
          <w:szCs w:val="21"/>
          <w:highlight w:val="none"/>
        </w:rPr>
      </w:pPr>
      <w:r>
        <w:rPr>
          <w:rFonts w:hint="eastAsia"/>
          <w:color w:val="auto"/>
          <w:szCs w:val="21"/>
          <w:highlight w:val="none"/>
        </w:rPr>
        <w:t>供应商名称(电子签章)：</w:t>
      </w:r>
    </w:p>
    <w:p w14:paraId="6983CBC0">
      <w:pPr>
        <w:snapToGrid w:val="0"/>
        <w:spacing w:line="360" w:lineRule="auto"/>
        <w:ind w:firstLine="4515" w:firstLineChars="2150"/>
        <w:rPr>
          <w:color w:val="auto"/>
          <w:szCs w:val="21"/>
          <w:highlight w:val="none"/>
        </w:rPr>
      </w:pPr>
      <w:r>
        <w:rPr>
          <w:rFonts w:hint="eastAsia"/>
          <w:color w:val="auto"/>
          <w:szCs w:val="21"/>
          <w:highlight w:val="none"/>
        </w:rPr>
        <w:t>日期：  年  月   日</w:t>
      </w:r>
    </w:p>
    <w:p w14:paraId="150E6A15">
      <w:pPr>
        <w:snapToGrid w:val="0"/>
        <w:rPr>
          <w:rFonts w:ascii="宋体" w:hAnsi="宋体"/>
          <w:b/>
          <w:color w:val="auto"/>
          <w:sz w:val="28"/>
          <w:szCs w:val="28"/>
          <w:highlight w:val="none"/>
        </w:rPr>
      </w:pPr>
      <w:r>
        <w:rPr>
          <w:rFonts w:ascii="宋体" w:hAnsi="宋体"/>
          <w:b/>
          <w:color w:val="auto"/>
          <w:sz w:val="28"/>
          <w:szCs w:val="28"/>
          <w:highlight w:val="none"/>
        </w:rPr>
        <w:br w:type="page"/>
      </w:r>
      <w:r>
        <w:rPr>
          <w:rFonts w:hint="eastAsia"/>
          <w:color w:val="auto"/>
          <w:szCs w:val="21"/>
          <w:highlight w:val="none"/>
        </w:rPr>
        <w:t>2</w:t>
      </w:r>
      <w:r>
        <w:rPr>
          <w:color w:val="auto"/>
          <w:szCs w:val="21"/>
          <w:highlight w:val="none"/>
        </w:rPr>
        <w:t>.2</w:t>
      </w:r>
      <w:r>
        <w:rPr>
          <w:rFonts w:hint="eastAsia"/>
          <w:color w:val="auto"/>
          <w:szCs w:val="21"/>
          <w:highlight w:val="none"/>
        </w:rPr>
        <w:t>供应商直接管理关系信息表</w:t>
      </w:r>
    </w:p>
    <w:tbl>
      <w:tblPr>
        <w:tblStyle w:val="51"/>
        <w:tblW w:w="9652" w:type="dxa"/>
        <w:tblInd w:w="125" w:type="dxa"/>
        <w:shd w:val="clear" w:color="auto" w:fill="FBFBFB"/>
        <w:tblLayout w:type="fixed"/>
        <w:tblCellMar>
          <w:top w:w="0" w:type="dxa"/>
          <w:left w:w="0" w:type="dxa"/>
          <w:bottom w:w="0" w:type="dxa"/>
          <w:right w:w="0" w:type="dxa"/>
        </w:tblCellMar>
      </w:tblPr>
      <w:tblGrid>
        <w:gridCol w:w="1005"/>
        <w:gridCol w:w="2659"/>
        <w:gridCol w:w="3924"/>
        <w:gridCol w:w="2064"/>
      </w:tblGrid>
      <w:tr w14:paraId="61257ADE">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7C20733">
            <w:pPr>
              <w:spacing w:line="360" w:lineRule="auto"/>
              <w:jc w:val="center"/>
              <w:rPr>
                <w:color w:val="auto"/>
                <w:szCs w:val="21"/>
                <w:highlight w:val="none"/>
              </w:rPr>
            </w:pPr>
            <w:r>
              <w:rPr>
                <w:rFonts w:hint="eastAsia"/>
                <w:color w:val="auto"/>
                <w:szCs w:val="21"/>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06550F1">
            <w:pPr>
              <w:spacing w:line="360" w:lineRule="auto"/>
              <w:jc w:val="center"/>
              <w:rPr>
                <w:color w:val="auto"/>
                <w:szCs w:val="21"/>
                <w:highlight w:val="none"/>
              </w:rPr>
            </w:pPr>
            <w:r>
              <w:rPr>
                <w:rFonts w:hint="eastAsia"/>
                <w:color w:val="auto"/>
                <w:szCs w:val="21"/>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4516CBF">
            <w:pPr>
              <w:spacing w:line="360" w:lineRule="auto"/>
              <w:jc w:val="center"/>
              <w:rPr>
                <w:color w:val="auto"/>
                <w:szCs w:val="21"/>
                <w:highlight w:val="none"/>
              </w:rPr>
            </w:pPr>
            <w:r>
              <w:rPr>
                <w:rFonts w:hint="eastAsia"/>
                <w:color w:val="auto"/>
                <w:szCs w:val="21"/>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EF18554">
            <w:pPr>
              <w:spacing w:line="360" w:lineRule="auto"/>
              <w:jc w:val="center"/>
              <w:rPr>
                <w:color w:val="auto"/>
                <w:szCs w:val="21"/>
                <w:highlight w:val="none"/>
              </w:rPr>
            </w:pPr>
            <w:r>
              <w:rPr>
                <w:rFonts w:hint="eastAsia"/>
                <w:color w:val="auto"/>
                <w:szCs w:val="21"/>
                <w:highlight w:val="none"/>
              </w:rPr>
              <w:t>备注</w:t>
            </w:r>
          </w:p>
        </w:tc>
      </w:tr>
      <w:tr w14:paraId="58CF6712">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B55050E">
            <w:pPr>
              <w:spacing w:line="360" w:lineRule="auto"/>
              <w:jc w:val="center"/>
              <w:rPr>
                <w:color w:val="auto"/>
                <w:szCs w:val="21"/>
                <w:highlight w:val="none"/>
              </w:rPr>
            </w:pPr>
            <w:r>
              <w:rPr>
                <w:rFonts w:hint="eastAsia"/>
                <w:color w:val="auto"/>
                <w:szCs w:val="21"/>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1808243">
            <w:pPr>
              <w:spacing w:line="360" w:lineRule="auto"/>
              <w:jc w:val="center"/>
              <w:rPr>
                <w:color w:val="auto"/>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58F3FC1">
            <w:pPr>
              <w:spacing w:line="360" w:lineRule="auto"/>
              <w:jc w:val="center"/>
              <w:rPr>
                <w:color w:val="auto"/>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7383746">
            <w:pPr>
              <w:spacing w:line="360" w:lineRule="auto"/>
              <w:jc w:val="center"/>
              <w:rPr>
                <w:color w:val="auto"/>
                <w:szCs w:val="21"/>
                <w:highlight w:val="none"/>
              </w:rPr>
            </w:pPr>
          </w:p>
        </w:tc>
      </w:tr>
      <w:tr w14:paraId="0FD2EE27">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941013B">
            <w:pPr>
              <w:spacing w:line="360" w:lineRule="auto"/>
              <w:jc w:val="center"/>
              <w:rPr>
                <w:color w:val="auto"/>
                <w:szCs w:val="21"/>
                <w:highlight w:val="none"/>
              </w:rPr>
            </w:pPr>
            <w:r>
              <w:rPr>
                <w:rFonts w:hint="eastAsia"/>
                <w:color w:val="auto"/>
                <w:szCs w:val="21"/>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995A561">
            <w:pPr>
              <w:spacing w:line="360" w:lineRule="auto"/>
              <w:jc w:val="center"/>
              <w:rPr>
                <w:color w:val="auto"/>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0946A9B">
            <w:pPr>
              <w:spacing w:line="360" w:lineRule="auto"/>
              <w:jc w:val="center"/>
              <w:rPr>
                <w:color w:val="auto"/>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D4F3412">
            <w:pPr>
              <w:spacing w:line="360" w:lineRule="auto"/>
              <w:jc w:val="center"/>
              <w:rPr>
                <w:color w:val="auto"/>
                <w:szCs w:val="21"/>
                <w:highlight w:val="none"/>
              </w:rPr>
            </w:pPr>
          </w:p>
        </w:tc>
      </w:tr>
      <w:tr w14:paraId="10D2BA0F">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FA7179A">
            <w:pPr>
              <w:spacing w:line="360" w:lineRule="auto"/>
              <w:jc w:val="center"/>
              <w:rPr>
                <w:color w:val="auto"/>
                <w:szCs w:val="21"/>
                <w:highlight w:val="none"/>
              </w:rPr>
            </w:pPr>
            <w:r>
              <w:rPr>
                <w:rFonts w:hint="eastAsia"/>
                <w:color w:val="auto"/>
                <w:szCs w:val="21"/>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831FBE2">
            <w:pPr>
              <w:spacing w:line="360" w:lineRule="auto"/>
              <w:jc w:val="center"/>
              <w:rPr>
                <w:color w:val="auto"/>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DFFC15D">
            <w:pPr>
              <w:spacing w:line="360" w:lineRule="auto"/>
              <w:jc w:val="center"/>
              <w:rPr>
                <w:color w:val="auto"/>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9EF1235">
            <w:pPr>
              <w:spacing w:line="360" w:lineRule="auto"/>
              <w:jc w:val="center"/>
              <w:rPr>
                <w:color w:val="auto"/>
                <w:szCs w:val="21"/>
                <w:highlight w:val="none"/>
              </w:rPr>
            </w:pPr>
          </w:p>
        </w:tc>
      </w:tr>
      <w:tr w14:paraId="7DFC32D3">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550E6A2">
            <w:pPr>
              <w:spacing w:line="360" w:lineRule="auto"/>
              <w:jc w:val="center"/>
              <w:rPr>
                <w:color w:val="auto"/>
                <w:szCs w:val="21"/>
                <w:highlight w:val="none"/>
              </w:rPr>
            </w:pPr>
            <w:r>
              <w:rPr>
                <w:rFonts w:hint="eastAsia"/>
                <w:color w:val="auto"/>
                <w:szCs w:val="21"/>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2E8C86F">
            <w:pPr>
              <w:spacing w:line="360" w:lineRule="auto"/>
              <w:jc w:val="center"/>
              <w:rPr>
                <w:color w:val="auto"/>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602E965">
            <w:pPr>
              <w:spacing w:line="360" w:lineRule="auto"/>
              <w:jc w:val="center"/>
              <w:rPr>
                <w:color w:val="auto"/>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2E9BB8D">
            <w:pPr>
              <w:spacing w:line="360" w:lineRule="auto"/>
              <w:jc w:val="center"/>
              <w:rPr>
                <w:color w:val="auto"/>
                <w:szCs w:val="21"/>
                <w:highlight w:val="none"/>
              </w:rPr>
            </w:pPr>
          </w:p>
        </w:tc>
      </w:tr>
    </w:tbl>
    <w:p w14:paraId="7F66F73A">
      <w:pPr>
        <w:snapToGrid w:val="0"/>
        <w:spacing w:line="360" w:lineRule="auto"/>
        <w:jc w:val="left"/>
        <w:rPr>
          <w:color w:val="auto"/>
          <w:szCs w:val="21"/>
          <w:highlight w:val="none"/>
        </w:rPr>
      </w:pPr>
      <w:r>
        <w:rPr>
          <w:rFonts w:hint="eastAsia"/>
          <w:color w:val="auto"/>
          <w:szCs w:val="21"/>
          <w:highlight w:val="none"/>
        </w:rPr>
        <w:t>注：</w:t>
      </w:r>
    </w:p>
    <w:p w14:paraId="31AFC8B1">
      <w:pPr>
        <w:snapToGrid w:val="0"/>
        <w:spacing w:line="360" w:lineRule="auto"/>
        <w:ind w:firstLine="420" w:firstLineChars="200"/>
        <w:jc w:val="left"/>
        <w:rPr>
          <w:color w:val="auto"/>
          <w:szCs w:val="21"/>
          <w:highlight w:val="none"/>
        </w:rPr>
      </w:pPr>
      <w:r>
        <w:rPr>
          <w:rFonts w:hint="eastAsia"/>
          <w:color w:val="auto"/>
          <w:szCs w:val="21"/>
          <w:highlight w:val="none"/>
        </w:rPr>
        <w:t>1.管理关系：是指不具有出资持股关系的其他单位之间存在的管理与被管理关系，如一些上下级关系的事业单位和团体组织。</w:t>
      </w:r>
    </w:p>
    <w:p w14:paraId="66AA4A32">
      <w:pPr>
        <w:snapToGrid w:val="0"/>
        <w:spacing w:line="360" w:lineRule="auto"/>
        <w:ind w:firstLine="420" w:firstLineChars="200"/>
        <w:jc w:val="left"/>
        <w:rPr>
          <w:color w:val="auto"/>
          <w:szCs w:val="21"/>
          <w:highlight w:val="none"/>
        </w:rPr>
      </w:pPr>
      <w:r>
        <w:rPr>
          <w:rFonts w:hint="eastAsia"/>
          <w:color w:val="auto"/>
          <w:szCs w:val="21"/>
          <w:highlight w:val="none"/>
        </w:rPr>
        <w:t>2.本表所指的管理关系仅限于直接管理关系，不包括间接的管理关系。</w:t>
      </w:r>
    </w:p>
    <w:p w14:paraId="3D0192D5">
      <w:pPr>
        <w:snapToGrid w:val="0"/>
        <w:spacing w:line="360" w:lineRule="auto"/>
        <w:ind w:firstLine="420" w:firstLineChars="200"/>
        <w:jc w:val="left"/>
        <w:rPr>
          <w:color w:val="auto"/>
          <w:szCs w:val="21"/>
          <w:highlight w:val="none"/>
        </w:rPr>
      </w:pPr>
      <w:r>
        <w:rPr>
          <w:rFonts w:hint="eastAsia"/>
          <w:color w:val="auto"/>
          <w:szCs w:val="21"/>
          <w:highlight w:val="none"/>
        </w:rPr>
        <w:t>3.供应商不存在直接管理关系的，则填“无”。</w:t>
      </w:r>
    </w:p>
    <w:p w14:paraId="5C00A8EC">
      <w:pPr>
        <w:snapToGrid w:val="0"/>
        <w:spacing w:line="360" w:lineRule="auto"/>
        <w:jc w:val="left"/>
        <w:rPr>
          <w:color w:val="auto"/>
          <w:szCs w:val="21"/>
          <w:highlight w:val="none"/>
        </w:rPr>
      </w:pPr>
    </w:p>
    <w:p w14:paraId="5A7A9824">
      <w:pPr>
        <w:snapToGrid w:val="0"/>
        <w:spacing w:line="360" w:lineRule="auto"/>
        <w:jc w:val="left"/>
        <w:rPr>
          <w:color w:val="auto"/>
          <w:szCs w:val="21"/>
          <w:highlight w:val="none"/>
        </w:rPr>
      </w:pPr>
    </w:p>
    <w:p w14:paraId="4A300445">
      <w:pPr>
        <w:snapToGrid w:val="0"/>
        <w:spacing w:line="360" w:lineRule="auto"/>
        <w:jc w:val="left"/>
        <w:rPr>
          <w:color w:val="auto"/>
          <w:szCs w:val="21"/>
          <w:highlight w:val="none"/>
        </w:rPr>
      </w:pPr>
    </w:p>
    <w:p w14:paraId="2892901A">
      <w:pPr>
        <w:snapToGrid w:val="0"/>
        <w:spacing w:line="360" w:lineRule="auto"/>
        <w:jc w:val="left"/>
        <w:rPr>
          <w:color w:val="auto"/>
          <w:szCs w:val="21"/>
          <w:highlight w:val="none"/>
        </w:rPr>
      </w:pPr>
    </w:p>
    <w:p w14:paraId="2EFF9D81">
      <w:pPr>
        <w:snapToGrid w:val="0"/>
        <w:spacing w:line="360" w:lineRule="auto"/>
        <w:jc w:val="left"/>
        <w:rPr>
          <w:color w:val="auto"/>
          <w:szCs w:val="21"/>
          <w:highlight w:val="none"/>
        </w:rPr>
      </w:pPr>
    </w:p>
    <w:p w14:paraId="60CC2813">
      <w:pPr>
        <w:snapToGrid w:val="0"/>
        <w:spacing w:line="360" w:lineRule="auto"/>
        <w:jc w:val="left"/>
        <w:rPr>
          <w:color w:val="auto"/>
          <w:szCs w:val="21"/>
          <w:highlight w:val="none"/>
        </w:rPr>
      </w:pPr>
    </w:p>
    <w:p w14:paraId="3955B6B4">
      <w:pPr>
        <w:snapToGrid w:val="0"/>
        <w:spacing w:line="360" w:lineRule="auto"/>
        <w:jc w:val="left"/>
        <w:rPr>
          <w:color w:val="auto"/>
          <w:szCs w:val="21"/>
          <w:highlight w:val="none"/>
        </w:rPr>
      </w:pPr>
    </w:p>
    <w:p w14:paraId="7CEC41E3">
      <w:pPr>
        <w:snapToGrid w:val="0"/>
        <w:spacing w:line="360" w:lineRule="auto"/>
        <w:jc w:val="left"/>
        <w:rPr>
          <w:color w:val="auto"/>
          <w:szCs w:val="21"/>
          <w:highlight w:val="none"/>
        </w:rPr>
      </w:pPr>
    </w:p>
    <w:p w14:paraId="16C679E1">
      <w:pPr>
        <w:snapToGrid w:val="0"/>
        <w:spacing w:line="360" w:lineRule="auto"/>
        <w:ind w:firstLine="4410" w:firstLineChars="2100"/>
        <w:rPr>
          <w:color w:val="auto"/>
          <w:szCs w:val="21"/>
          <w:highlight w:val="none"/>
        </w:rPr>
      </w:pPr>
      <w:r>
        <w:rPr>
          <w:rFonts w:hint="eastAsia"/>
          <w:color w:val="auto"/>
          <w:szCs w:val="21"/>
          <w:highlight w:val="none"/>
        </w:rPr>
        <w:t>供应商名称(电子签章)：</w:t>
      </w:r>
    </w:p>
    <w:p w14:paraId="43A7A8B4">
      <w:pPr>
        <w:snapToGrid w:val="0"/>
        <w:spacing w:line="360" w:lineRule="auto"/>
        <w:ind w:firstLine="4515" w:firstLineChars="2150"/>
        <w:rPr>
          <w:color w:val="auto"/>
          <w:szCs w:val="21"/>
          <w:highlight w:val="none"/>
        </w:rPr>
      </w:pPr>
      <w:r>
        <w:rPr>
          <w:rFonts w:hint="eastAsia"/>
          <w:color w:val="auto"/>
          <w:szCs w:val="21"/>
          <w:highlight w:val="none"/>
        </w:rPr>
        <w:t>日期：  年  月   日</w:t>
      </w:r>
    </w:p>
    <w:p w14:paraId="50B940C1">
      <w:pPr>
        <w:snapToGrid w:val="0"/>
        <w:spacing w:before="50" w:after="120" w:afterLines="50" w:line="276" w:lineRule="auto"/>
        <w:jc w:val="left"/>
        <w:rPr>
          <w:b/>
          <w:color w:val="auto"/>
          <w:szCs w:val="21"/>
          <w:highlight w:val="none"/>
        </w:rPr>
      </w:pPr>
      <w:r>
        <w:rPr>
          <w:color w:val="auto"/>
          <w:highlight w:val="none"/>
        </w:rPr>
        <w:br w:type="page"/>
      </w:r>
      <w:bookmarkStart w:id="95" w:name="_Hlk21623617"/>
      <w:r>
        <w:rPr>
          <w:rFonts w:hint="eastAsia"/>
          <w:color w:val="auto"/>
          <w:szCs w:val="21"/>
          <w:highlight w:val="none"/>
        </w:rPr>
        <w:t>3</w:t>
      </w:r>
      <w:r>
        <w:rPr>
          <w:color w:val="auto"/>
          <w:szCs w:val="21"/>
          <w:highlight w:val="none"/>
        </w:rPr>
        <w:t>．供应商认为应当要提交的资格证明材料。</w:t>
      </w:r>
      <w:r>
        <w:rPr>
          <w:bCs/>
          <w:color w:val="auto"/>
          <w:sz w:val="24"/>
          <w:highlight w:val="none"/>
        </w:rPr>
        <w:t xml:space="preserve"> </w:t>
      </w:r>
    </w:p>
    <w:bookmarkEnd w:id="95"/>
    <w:p w14:paraId="0256CC5F">
      <w:pPr>
        <w:spacing w:line="276" w:lineRule="auto"/>
        <w:rPr>
          <w:color w:val="auto"/>
          <w:szCs w:val="21"/>
          <w:highlight w:val="none"/>
        </w:rPr>
      </w:pPr>
      <w:bookmarkStart w:id="96" w:name="_Hlk60649396"/>
    </w:p>
    <w:p w14:paraId="54E4491C">
      <w:pPr>
        <w:pStyle w:val="7"/>
        <w:overflowPunct w:val="0"/>
        <w:ind w:firstLine="0"/>
        <w:rPr>
          <w:color w:val="auto"/>
          <w:highlight w:val="none"/>
        </w:rPr>
      </w:pPr>
    </w:p>
    <w:p w14:paraId="1EC2613A">
      <w:pPr>
        <w:widowControl/>
        <w:jc w:val="left"/>
        <w:rPr>
          <w:bCs/>
          <w:color w:val="auto"/>
          <w:sz w:val="24"/>
          <w:highlight w:val="none"/>
        </w:rPr>
      </w:pPr>
    </w:p>
    <w:bookmarkEnd w:id="96"/>
    <w:p w14:paraId="5483F441">
      <w:pPr>
        <w:snapToGrid w:val="0"/>
        <w:spacing w:before="120" w:beforeLines="50" w:after="50" w:line="440" w:lineRule="exact"/>
        <w:jc w:val="left"/>
        <w:outlineLvl w:val="1"/>
        <w:rPr>
          <w:b/>
          <w:color w:val="auto"/>
          <w:sz w:val="24"/>
          <w:highlight w:val="none"/>
        </w:rPr>
      </w:pPr>
      <w:r>
        <w:rPr>
          <w:bCs/>
          <w:color w:val="auto"/>
          <w:sz w:val="24"/>
          <w:highlight w:val="none"/>
        </w:rPr>
        <w:br w:type="page"/>
      </w:r>
      <w:r>
        <w:rPr>
          <w:rFonts w:hint="eastAsia"/>
          <w:color w:val="auto"/>
          <w:sz w:val="24"/>
          <w:highlight w:val="none"/>
        </w:rPr>
        <w:t>2</w:t>
      </w:r>
      <w:r>
        <w:rPr>
          <w:color w:val="auto"/>
          <w:sz w:val="24"/>
          <w:highlight w:val="none"/>
        </w:rPr>
        <w:t>.</w:t>
      </w:r>
      <w:r>
        <w:rPr>
          <w:rFonts w:hint="eastAsia" w:ascii="宋体" w:hAnsi="宋体"/>
          <w:color w:val="auto"/>
          <w:sz w:val="24"/>
          <w:highlight w:val="none"/>
        </w:rPr>
        <w:t xml:space="preserve">响应文件封面参考格式（商务技术文件）： </w:t>
      </w:r>
    </w:p>
    <w:p w14:paraId="2C3223B1">
      <w:pPr>
        <w:snapToGrid w:val="0"/>
        <w:spacing w:before="120" w:beforeLines="50" w:after="50" w:line="360" w:lineRule="exact"/>
        <w:rPr>
          <w:color w:val="auto"/>
          <w:sz w:val="24"/>
          <w:highlight w:val="none"/>
        </w:rPr>
      </w:pPr>
    </w:p>
    <w:p w14:paraId="1C1C77DF">
      <w:pPr>
        <w:snapToGrid w:val="0"/>
        <w:spacing w:before="120" w:beforeLines="50" w:after="50" w:line="360" w:lineRule="exact"/>
        <w:jc w:val="right"/>
        <w:rPr>
          <w:color w:val="auto"/>
          <w:sz w:val="24"/>
          <w:highlight w:val="none"/>
        </w:rPr>
      </w:pPr>
    </w:p>
    <w:p w14:paraId="09B7C4C9">
      <w:pPr>
        <w:snapToGrid w:val="0"/>
        <w:spacing w:before="120" w:beforeLines="50" w:after="50" w:line="360" w:lineRule="exact"/>
        <w:jc w:val="center"/>
        <w:rPr>
          <w:color w:val="auto"/>
          <w:sz w:val="24"/>
          <w:highlight w:val="none"/>
        </w:rPr>
      </w:pPr>
      <w:r>
        <w:rPr>
          <w:rFonts w:hint="eastAsia" w:ascii="宋体" w:hAnsi="宋体"/>
          <w:b/>
          <w:color w:val="auto"/>
          <w:sz w:val="44"/>
          <w:highlight w:val="none"/>
        </w:rPr>
        <w:t>电子响应文件</w:t>
      </w:r>
    </w:p>
    <w:p w14:paraId="34CA96D7">
      <w:pPr>
        <w:snapToGrid w:val="0"/>
        <w:spacing w:before="120" w:beforeLines="50" w:after="50" w:line="360" w:lineRule="exact"/>
        <w:jc w:val="center"/>
        <w:rPr>
          <w:b/>
          <w:color w:val="auto"/>
          <w:sz w:val="44"/>
          <w:highlight w:val="none"/>
        </w:rPr>
      </w:pPr>
    </w:p>
    <w:p w14:paraId="51A77151">
      <w:pPr>
        <w:snapToGrid w:val="0"/>
        <w:spacing w:before="120" w:beforeLines="50" w:after="50" w:line="360" w:lineRule="exact"/>
        <w:jc w:val="center"/>
        <w:rPr>
          <w:b/>
          <w:color w:val="auto"/>
          <w:sz w:val="44"/>
          <w:highlight w:val="none"/>
        </w:rPr>
      </w:pPr>
    </w:p>
    <w:p w14:paraId="63BA1BD6">
      <w:pPr>
        <w:snapToGrid w:val="0"/>
        <w:spacing w:before="120" w:beforeLines="50" w:after="50" w:line="360" w:lineRule="exact"/>
        <w:jc w:val="center"/>
        <w:rPr>
          <w:b/>
          <w:color w:val="auto"/>
          <w:sz w:val="44"/>
          <w:highlight w:val="none"/>
        </w:rPr>
      </w:pPr>
      <w:r>
        <w:rPr>
          <w:rFonts w:hint="eastAsia"/>
          <w:b/>
          <w:color w:val="auto"/>
          <w:sz w:val="44"/>
          <w:highlight w:val="none"/>
        </w:rPr>
        <w:t>商务技术文件</w:t>
      </w:r>
    </w:p>
    <w:p w14:paraId="408F109E">
      <w:pPr>
        <w:snapToGrid w:val="0"/>
        <w:spacing w:before="120" w:beforeLines="50" w:after="50" w:line="360" w:lineRule="exact"/>
        <w:jc w:val="center"/>
        <w:rPr>
          <w:b/>
          <w:color w:val="auto"/>
          <w:sz w:val="44"/>
          <w:highlight w:val="none"/>
        </w:rPr>
      </w:pPr>
    </w:p>
    <w:p w14:paraId="065B8A93">
      <w:pPr>
        <w:snapToGrid w:val="0"/>
        <w:spacing w:before="120" w:beforeLines="50" w:after="50" w:line="360" w:lineRule="exact"/>
        <w:rPr>
          <w:color w:val="auto"/>
          <w:sz w:val="24"/>
          <w:highlight w:val="none"/>
        </w:rPr>
      </w:pPr>
    </w:p>
    <w:p w14:paraId="1D4DA9FB">
      <w:pPr>
        <w:snapToGrid w:val="0"/>
        <w:spacing w:before="120" w:beforeLines="50" w:after="50" w:line="360" w:lineRule="exact"/>
        <w:ind w:firstLine="720" w:firstLineChars="300"/>
        <w:rPr>
          <w:color w:val="auto"/>
          <w:sz w:val="24"/>
          <w:highlight w:val="none"/>
        </w:rPr>
      </w:pPr>
      <w:r>
        <w:rPr>
          <w:rFonts w:hint="eastAsia"/>
          <w:color w:val="auto"/>
          <w:sz w:val="24"/>
          <w:highlight w:val="none"/>
        </w:rPr>
        <w:t xml:space="preserve">项目名称： </w:t>
      </w:r>
    </w:p>
    <w:p w14:paraId="19C67BA1">
      <w:pPr>
        <w:snapToGrid w:val="0"/>
        <w:spacing w:before="120" w:beforeLines="50" w:after="50" w:line="360" w:lineRule="exact"/>
        <w:ind w:firstLine="720" w:firstLineChars="300"/>
        <w:rPr>
          <w:color w:val="auto"/>
          <w:sz w:val="24"/>
          <w:highlight w:val="none"/>
        </w:rPr>
      </w:pPr>
      <w:r>
        <w:rPr>
          <w:rFonts w:hint="eastAsia"/>
          <w:color w:val="auto"/>
          <w:sz w:val="24"/>
          <w:highlight w:val="none"/>
        </w:rPr>
        <w:t>项目编号：</w:t>
      </w:r>
    </w:p>
    <w:p w14:paraId="5AB06BA6">
      <w:pPr>
        <w:snapToGrid w:val="0"/>
        <w:spacing w:before="120" w:beforeLines="50" w:after="50" w:line="440" w:lineRule="exact"/>
        <w:ind w:firstLine="720" w:firstLineChars="300"/>
        <w:rPr>
          <w:color w:val="auto"/>
          <w:sz w:val="24"/>
          <w:highlight w:val="none"/>
        </w:rPr>
      </w:pPr>
      <w:r>
        <w:rPr>
          <w:rFonts w:hint="eastAsia"/>
          <w:color w:val="auto"/>
          <w:sz w:val="24"/>
          <w:highlight w:val="none"/>
        </w:rPr>
        <w:t>分标号：（若无留空或写</w:t>
      </w:r>
      <w:r>
        <w:rPr>
          <w:color w:val="auto"/>
          <w:sz w:val="24"/>
          <w:highlight w:val="none"/>
        </w:rPr>
        <w:t>“/”</w:t>
      </w:r>
      <w:r>
        <w:rPr>
          <w:rFonts w:hint="eastAsia"/>
          <w:color w:val="auto"/>
          <w:sz w:val="24"/>
          <w:highlight w:val="none"/>
        </w:rPr>
        <w:t>）</w:t>
      </w:r>
    </w:p>
    <w:p w14:paraId="5760E803">
      <w:pPr>
        <w:snapToGrid w:val="0"/>
        <w:spacing w:before="120" w:beforeLines="50" w:after="50" w:line="360" w:lineRule="exact"/>
        <w:ind w:firstLine="720" w:firstLineChars="300"/>
        <w:rPr>
          <w:color w:val="auto"/>
          <w:sz w:val="24"/>
          <w:highlight w:val="none"/>
        </w:rPr>
      </w:pPr>
      <w:r>
        <w:rPr>
          <w:rFonts w:hint="eastAsia"/>
          <w:color w:val="auto"/>
          <w:sz w:val="24"/>
          <w:highlight w:val="none"/>
        </w:rPr>
        <w:t>供应商名称：</w:t>
      </w:r>
    </w:p>
    <w:p w14:paraId="360C3074">
      <w:pPr>
        <w:snapToGrid w:val="0"/>
        <w:spacing w:before="120" w:beforeLines="50" w:after="50" w:line="360" w:lineRule="exact"/>
        <w:ind w:firstLine="720" w:firstLineChars="300"/>
        <w:rPr>
          <w:color w:val="auto"/>
          <w:sz w:val="24"/>
          <w:highlight w:val="none"/>
        </w:rPr>
      </w:pPr>
      <w:r>
        <w:rPr>
          <w:rFonts w:hint="eastAsia"/>
          <w:color w:val="auto"/>
          <w:sz w:val="24"/>
          <w:highlight w:val="none"/>
        </w:rPr>
        <w:t>供应商地址：</w:t>
      </w:r>
    </w:p>
    <w:p w14:paraId="526083B2">
      <w:pPr>
        <w:pStyle w:val="7"/>
        <w:snapToGrid w:val="0"/>
        <w:spacing w:before="50" w:after="50" w:line="360" w:lineRule="exact"/>
        <w:ind w:firstLine="960" w:firstLineChars="400"/>
        <w:rPr>
          <w:color w:val="auto"/>
          <w:sz w:val="24"/>
          <w:szCs w:val="24"/>
          <w:highlight w:val="none"/>
        </w:rPr>
      </w:pPr>
    </w:p>
    <w:p w14:paraId="7177905C">
      <w:pPr>
        <w:snapToGrid w:val="0"/>
        <w:spacing w:before="120" w:beforeLines="50" w:after="50" w:line="360" w:lineRule="exact"/>
        <w:jc w:val="center"/>
        <w:rPr>
          <w:color w:val="auto"/>
          <w:sz w:val="24"/>
          <w:highlight w:val="none"/>
        </w:rPr>
      </w:pPr>
      <w:r>
        <w:rPr>
          <w:color w:val="auto"/>
          <w:sz w:val="24"/>
          <w:highlight w:val="none"/>
        </w:rPr>
        <w:t xml:space="preserve">                        </w:t>
      </w:r>
      <w:r>
        <w:rPr>
          <w:rFonts w:hint="eastAsia"/>
          <w:color w:val="auto"/>
          <w:sz w:val="24"/>
          <w:highlight w:val="none"/>
        </w:rPr>
        <w:t>年  月  日</w:t>
      </w:r>
    </w:p>
    <w:p w14:paraId="6CDBBCEC">
      <w:pPr>
        <w:snapToGrid w:val="0"/>
        <w:spacing w:before="120" w:beforeLines="50" w:after="50" w:line="440" w:lineRule="exact"/>
        <w:jc w:val="center"/>
        <w:outlineLvl w:val="1"/>
        <w:rPr>
          <w:bCs/>
          <w:color w:val="auto"/>
          <w:sz w:val="24"/>
          <w:highlight w:val="none"/>
        </w:rPr>
        <w:sectPr>
          <w:headerReference r:id="rId15" w:type="default"/>
          <w:footerReference r:id="rId16" w:type="default"/>
          <w:pgSz w:w="11906" w:h="16838"/>
          <w:pgMar w:top="1418" w:right="1274" w:bottom="1418" w:left="1418" w:header="851" w:footer="992" w:gutter="0"/>
          <w:cols w:space="720" w:num="1"/>
          <w:docGrid w:linePitch="312" w:charSpace="0"/>
        </w:sectPr>
      </w:pPr>
    </w:p>
    <w:p w14:paraId="2E3ABE6F">
      <w:pPr>
        <w:snapToGrid w:val="0"/>
        <w:spacing w:before="120" w:beforeLines="50" w:after="50" w:line="440" w:lineRule="exact"/>
        <w:jc w:val="center"/>
        <w:rPr>
          <w:b/>
          <w:bCs/>
          <w:color w:val="auto"/>
          <w:sz w:val="24"/>
          <w:highlight w:val="none"/>
        </w:rPr>
      </w:pPr>
    </w:p>
    <w:p w14:paraId="67378283">
      <w:pPr>
        <w:snapToGrid w:val="0"/>
        <w:spacing w:before="120" w:beforeLines="50" w:after="50" w:line="440" w:lineRule="exact"/>
        <w:jc w:val="center"/>
        <w:rPr>
          <w:color w:val="auto"/>
          <w:sz w:val="24"/>
          <w:highlight w:val="none"/>
        </w:rPr>
      </w:pPr>
    </w:p>
    <w:p w14:paraId="4BEF9960">
      <w:pPr>
        <w:snapToGrid w:val="0"/>
        <w:spacing w:before="50" w:after="50" w:line="440" w:lineRule="exact"/>
        <w:ind w:firstLine="138" w:firstLineChars="49"/>
        <w:jc w:val="center"/>
        <w:rPr>
          <w:b/>
          <w:color w:val="auto"/>
          <w:sz w:val="28"/>
          <w:szCs w:val="28"/>
          <w:highlight w:val="none"/>
        </w:rPr>
      </w:pPr>
      <w:r>
        <w:rPr>
          <w:b/>
          <w:color w:val="auto"/>
          <w:sz w:val="28"/>
          <w:szCs w:val="28"/>
          <w:highlight w:val="none"/>
        </w:rPr>
        <w:t>目录</w:t>
      </w:r>
    </w:p>
    <w:p w14:paraId="379212A1">
      <w:pPr>
        <w:snapToGrid w:val="0"/>
        <w:spacing w:before="120" w:beforeLines="50" w:after="50" w:line="440" w:lineRule="exact"/>
        <w:jc w:val="center"/>
        <w:rPr>
          <w:bCs/>
          <w:color w:val="auto"/>
          <w:sz w:val="24"/>
          <w:highlight w:val="none"/>
        </w:rPr>
        <w:sectPr>
          <w:pgSz w:w="11906" w:h="16838"/>
          <w:pgMar w:top="1418" w:right="1274" w:bottom="1418" w:left="1418" w:header="851" w:footer="992" w:gutter="0"/>
          <w:cols w:space="720" w:num="1"/>
          <w:docGrid w:linePitch="312" w:charSpace="0"/>
        </w:sectPr>
      </w:pPr>
      <w:r>
        <w:rPr>
          <w:b/>
          <w:color w:val="auto"/>
          <w:sz w:val="24"/>
          <w:highlight w:val="none"/>
        </w:rPr>
        <w:t>（需有页码）</w:t>
      </w:r>
    </w:p>
    <w:p w14:paraId="3B88F454">
      <w:pPr>
        <w:snapToGrid w:val="0"/>
        <w:spacing w:before="120" w:beforeLines="50" w:after="50" w:line="440" w:lineRule="exact"/>
        <w:jc w:val="center"/>
        <w:rPr>
          <w:bCs/>
          <w:color w:val="auto"/>
          <w:sz w:val="24"/>
          <w:highlight w:val="none"/>
        </w:rPr>
      </w:pPr>
      <w:r>
        <w:rPr>
          <w:bCs/>
          <w:color w:val="auto"/>
          <w:sz w:val="24"/>
          <w:highlight w:val="none"/>
        </w:rPr>
        <w:t>第二部分 商务技术文件</w:t>
      </w:r>
    </w:p>
    <w:p w14:paraId="1283C919">
      <w:pPr>
        <w:snapToGrid w:val="0"/>
        <w:spacing w:before="120" w:beforeLines="50" w:after="50" w:line="360" w:lineRule="exact"/>
        <w:rPr>
          <w:b/>
          <w:color w:val="auto"/>
          <w:szCs w:val="21"/>
          <w:highlight w:val="none"/>
        </w:rPr>
      </w:pPr>
      <w:bookmarkStart w:id="97" w:name="_Toc462320613"/>
      <w:bookmarkStart w:id="98" w:name="_Toc462223472"/>
      <w:bookmarkStart w:id="99" w:name="_Toc455309222"/>
      <w:r>
        <w:rPr>
          <w:rFonts w:hint="eastAsia"/>
          <w:b/>
          <w:color w:val="auto"/>
          <w:szCs w:val="21"/>
          <w:highlight w:val="none"/>
        </w:rPr>
        <w:t>1</w:t>
      </w:r>
      <w:r>
        <w:rPr>
          <w:b/>
          <w:color w:val="auto"/>
          <w:szCs w:val="21"/>
          <w:highlight w:val="none"/>
        </w:rPr>
        <w:t>．法定代表人身份证明</w:t>
      </w:r>
      <w:r>
        <w:rPr>
          <w:rFonts w:hint="eastAsia"/>
          <w:b/>
          <w:color w:val="auto"/>
          <w:szCs w:val="21"/>
          <w:highlight w:val="none"/>
        </w:rPr>
        <w:t>（无授权</w:t>
      </w:r>
      <w:r>
        <w:rPr>
          <w:b/>
          <w:color w:val="auto"/>
          <w:szCs w:val="21"/>
          <w:highlight w:val="none"/>
        </w:rPr>
        <w:t>代表</w:t>
      </w:r>
      <w:r>
        <w:rPr>
          <w:rFonts w:hint="eastAsia"/>
          <w:b/>
          <w:color w:val="auto"/>
          <w:szCs w:val="21"/>
          <w:highlight w:val="none"/>
        </w:rPr>
        <w:t>时必须提供）</w:t>
      </w:r>
      <w:r>
        <w:rPr>
          <w:b/>
          <w:color w:val="auto"/>
          <w:szCs w:val="21"/>
          <w:highlight w:val="none"/>
        </w:rPr>
        <w:t>：</w:t>
      </w:r>
    </w:p>
    <w:p w14:paraId="1543769D">
      <w:pPr>
        <w:snapToGrid w:val="0"/>
        <w:spacing w:before="120" w:beforeLines="50" w:after="50" w:line="360" w:lineRule="exact"/>
        <w:rPr>
          <w:color w:val="auto"/>
          <w:highlight w:val="none"/>
        </w:rPr>
      </w:pPr>
    </w:p>
    <w:p w14:paraId="51FBDA32">
      <w:pPr>
        <w:snapToGrid w:val="0"/>
        <w:spacing w:before="120" w:beforeLines="50" w:after="50" w:line="440" w:lineRule="exact"/>
        <w:jc w:val="center"/>
        <w:rPr>
          <w:b/>
          <w:color w:val="auto"/>
          <w:szCs w:val="21"/>
          <w:highlight w:val="none"/>
        </w:rPr>
      </w:pPr>
      <w:r>
        <w:rPr>
          <w:b/>
          <w:color w:val="auto"/>
          <w:szCs w:val="21"/>
          <w:highlight w:val="none"/>
        </w:rPr>
        <w:t>法定代表人身份证明</w:t>
      </w:r>
      <w:bookmarkEnd w:id="97"/>
      <w:bookmarkEnd w:id="98"/>
      <w:bookmarkEnd w:id="99"/>
    </w:p>
    <w:p w14:paraId="73B5335A">
      <w:pPr>
        <w:spacing w:line="360" w:lineRule="auto"/>
        <w:rPr>
          <w:color w:val="auto"/>
          <w:highlight w:val="none"/>
        </w:rPr>
      </w:pPr>
    </w:p>
    <w:p w14:paraId="205573EC">
      <w:pPr>
        <w:spacing w:line="360" w:lineRule="auto"/>
        <w:rPr>
          <w:color w:val="auto"/>
          <w:highlight w:val="none"/>
        </w:rPr>
      </w:pPr>
    </w:p>
    <w:p w14:paraId="24A9EB30">
      <w:pPr>
        <w:spacing w:line="540" w:lineRule="exact"/>
        <w:rPr>
          <w:color w:val="auto"/>
          <w:szCs w:val="21"/>
          <w:highlight w:val="none"/>
        </w:rPr>
      </w:pPr>
      <w:r>
        <w:rPr>
          <w:color w:val="auto"/>
          <w:szCs w:val="21"/>
          <w:highlight w:val="none"/>
        </w:rPr>
        <w:t>供应商名称：</w:t>
      </w:r>
      <w:r>
        <w:rPr>
          <w:color w:val="auto"/>
          <w:szCs w:val="21"/>
          <w:highlight w:val="none"/>
          <w:u w:val="single"/>
        </w:rPr>
        <w:t xml:space="preserve">                                         </w:t>
      </w:r>
    </w:p>
    <w:p w14:paraId="353A0F7D">
      <w:pPr>
        <w:spacing w:line="540" w:lineRule="exact"/>
        <w:rPr>
          <w:color w:val="auto"/>
          <w:szCs w:val="21"/>
          <w:highlight w:val="none"/>
        </w:rPr>
      </w:pPr>
      <w:r>
        <w:rPr>
          <w:color w:val="auto"/>
          <w:szCs w:val="21"/>
          <w:highlight w:val="none"/>
        </w:rPr>
        <w:t>单位性质：</w:t>
      </w:r>
      <w:r>
        <w:rPr>
          <w:color w:val="auto"/>
          <w:szCs w:val="21"/>
          <w:highlight w:val="none"/>
          <w:u w:val="single"/>
        </w:rPr>
        <w:t xml:space="preserve">                                           </w:t>
      </w:r>
    </w:p>
    <w:p w14:paraId="0390DBC5">
      <w:pPr>
        <w:spacing w:line="540" w:lineRule="exact"/>
        <w:rPr>
          <w:color w:val="auto"/>
          <w:szCs w:val="21"/>
          <w:highlight w:val="none"/>
        </w:rPr>
      </w:pPr>
      <w:r>
        <w:rPr>
          <w:color w:val="auto"/>
          <w:szCs w:val="21"/>
          <w:highlight w:val="none"/>
        </w:rPr>
        <w:t>地址：</w:t>
      </w:r>
      <w:r>
        <w:rPr>
          <w:color w:val="auto"/>
          <w:szCs w:val="21"/>
          <w:highlight w:val="none"/>
          <w:u w:val="single"/>
        </w:rPr>
        <w:t xml:space="preserve">                                               </w:t>
      </w:r>
    </w:p>
    <w:p w14:paraId="34D9E199">
      <w:pPr>
        <w:spacing w:line="540" w:lineRule="exact"/>
        <w:rPr>
          <w:color w:val="auto"/>
          <w:szCs w:val="21"/>
          <w:highlight w:val="none"/>
          <w:u w:val="single"/>
        </w:rPr>
      </w:pPr>
      <w:r>
        <w:rPr>
          <w:color w:val="auto"/>
          <w:szCs w:val="21"/>
          <w:highlight w:val="none"/>
        </w:rPr>
        <w:t>成立时间：</w:t>
      </w:r>
      <w:r>
        <w:rPr>
          <w:color w:val="auto"/>
          <w:szCs w:val="21"/>
          <w:highlight w:val="none"/>
          <w:u w:val="single"/>
        </w:rPr>
        <w:t xml:space="preserve">          年        月        日</w:t>
      </w:r>
    </w:p>
    <w:p w14:paraId="7CA0AB3C">
      <w:pPr>
        <w:spacing w:line="540" w:lineRule="exact"/>
        <w:rPr>
          <w:color w:val="auto"/>
          <w:szCs w:val="21"/>
          <w:highlight w:val="none"/>
        </w:rPr>
      </w:pPr>
      <w:r>
        <w:rPr>
          <w:color w:val="auto"/>
          <w:szCs w:val="21"/>
          <w:highlight w:val="none"/>
        </w:rPr>
        <w:t>经营期限：</w:t>
      </w:r>
      <w:r>
        <w:rPr>
          <w:color w:val="auto"/>
          <w:szCs w:val="21"/>
          <w:highlight w:val="none"/>
          <w:u w:val="single"/>
        </w:rPr>
        <w:t xml:space="preserve">                                           </w:t>
      </w:r>
    </w:p>
    <w:p w14:paraId="450F32C1">
      <w:pPr>
        <w:spacing w:line="540" w:lineRule="exact"/>
        <w:rPr>
          <w:color w:val="auto"/>
          <w:szCs w:val="21"/>
          <w:highlight w:val="none"/>
        </w:rPr>
      </w:pPr>
      <w:r>
        <w:rPr>
          <w:color w:val="auto"/>
          <w:szCs w:val="21"/>
          <w:highlight w:val="none"/>
        </w:rPr>
        <w:t>姓名：</w:t>
      </w:r>
      <w:r>
        <w:rPr>
          <w:color w:val="auto"/>
          <w:szCs w:val="21"/>
          <w:highlight w:val="none"/>
          <w:u w:val="single"/>
        </w:rPr>
        <w:t xml:space="preserve">                   </w:t>
      </w:r>
      <w:r>
        <w:rPr>
          <w:color w:val="auto"/>
          <w:szCs w:val="21"/>
          <w:highlight w:val="none"/>
        </w:rPr>
        <w:t>；性别：</w:t>
      </w:r>
      <w:r>
        <w:rPr>
          <w:color w:val="auto"/>
          <w:szCs w:val="21"/>
          <w:highlight w:val="none"/>
          <w:u w:val="single"/>
        </w:rPr>
        <w:t xml:space="preserve">              </w:t>
      </w:r>
      <w:r>
        <w:rPr>
          <w:color w:val="auto"/>
          <w:szCs w:val="21"/>
          <w:highlight w:val="none"/>
        </w:rPr>
        <w:t xml:space="preserve">        </w:t>
      </w:r>
    </w:p>
    <w:p w14:paraId="7A8C5FD5">
      <w:pPr>
        <w:spacing w:line="540" w:lineRule="exact"/>
        <w:rPr>
          <w:color w:val="auto"/>
          <w:szCs w:val="21"/>
          <w:highlight w:val="none"/>
        </w:rPr>
      </w:pPr>
      <w:r>
        <w:rPr>
          <w:color w:val="auto"/>
          <w:szCs w:val="21"/>
          <w:highlight w:val="none"/>
        </w:rPr>
        <w:t>年龄：</w:t>
      </w:r>
      <w:r>
        <w:rPr>
          <w:color w:val="auto"/>
          <w:szCs w:val="21"/>
          <w:highlight w:val="none"/>
          <w:u w:val="single"/>
        </w:rPr>
        <w:t xml:space="preserve">         </w:t>
      </w:r>
      <w:r>
        <w:rPr>
          <w:color w:val="auto"/>
          <w:szCs w:val="21"/>
          <w:highlight w:val="none"/>
        </w:rPr>
        <w:t>；职务：</w:t>
      </w:r>
      <w:r>
        <w:rPr>
          <w:color w:val="auto"/>
          <w:szCs w:val="21"/>
          <w:highlight w:val="none"/>
          <w:u w:val="single"/>
        </w:rPr>
        <w:t xml:space="preserve">              </w:t>
      </w:r>
      <w:r>
        <w:rPr>
          <w:color w:val="auto"/>
          <w:szCs w:val="21"/>
          <w:highlight w:val="none"/>
        </w:rPr>
        <w:t>；身份证：</w:t>
      </w:r>
      <w:r>
        <w:rPr>
          <w:color w:val="auto"/>
          <w:szCs w:val="21"/>
          <w:highlight w:val="none"/>
          <w:u w:val="single"/>
        </w:rPr>
        <w:t xml:space="preserve">                                      </w:t>
      </w:r>
    </w:p>
    <w:p w14:paraId="1B755D2B">
      <w:pPr>
        <w:spacing w:line="540" w:lineRule="exact"/>
        <w:rPr>
          <w:color w:val="auto"/>
          <w:szCs w:val="21"/>
          <w:highlight w:val="none"/>
        </w:rPr>
      </w:pPr>
      <w:r>
        <w:rPr>
          <w:color w:val="auto"/>
          <w:szCs w:val="21"/>
          <w:highlight w:val="none"/>
        </w:rPr>
        <w:t>系</w:t>
      </w:r>
      <w:r>
        <w:rPr>
          <w:color w:val="auto"/>
          <w:szCs w:val="21"/>
          <w:highlight w:val="none"/>
          <w:u w:val="single"/>
        </w:rPr>
        <w:t xml:space="preserve">                                      （ 供应商名称）</w:t>
      </w:r>
      <w:r>
        <w:rPr>
          <w:color w:val="auto"/>
          <w:szCs w:val="21"/>
          <w:highlight w:val="none"/>
        </w:rPr>
        <w:t>的法定代表人。</w:t>
      </w:r>
    </w:p>
    <w:p w14:paraId="4823CCBF">
      <w:pPr>
        <w:spacing w:line="540" w:lineRule="exact"/>
        <w:rPr>
          <w:color w:val="auto"/>
          <w:szCs w:val="21"/>
          <w:highlight w:val="none"/>
        </w:rPr>
      </w:pPr>
    </w:p>
    <w:p w14:paraId="347D8281">
      <w:pPr>
        <w:spacing w:line="540" w:lineRule="exact"/>
        <w:ind w:firstLine="420" w:firstLineChars="200"/>
        <w:rPr>
          <w:color w:val="auto"/>
          <w:szCs w:val="21"/>
          <w:highlight w:val="none"/>
        </w:rPr>
      </w:pPr>
      <w:r>
        <w:rPr>
          <w:color w:val="auto"/>
          <w:szCs w:val="21"/>
          <w:highlight w:val="none"/>
        </w:rPr>
        <w:t>特此证明。</w:t>
      </w:r>
    </w:p>
    <w:p w14:paraId="2492F130">
      <w:pPr>
        <w:spacing w:line="360" w:lineRule="auto"/>
        <w:ind w:firstLine="420" w:firstLineChars="200"/>
        <w:rPr>
          <w:color w:val="auto"/>
          <w:szCs w:val="21"/>
          <w:highlight w:val="none"/>
        </w:rPr>
      </w:pPr>
    </w:p>
    <w:p w14:paraId="7B5277FA">
      <w:pPr>
        <w:spacing w:line="360" w:lineRule="auto"/>
        <w:ind w:firstLine="4830" w:firstLineChars="2300"/>
        <w:rPr>
          <w:color w:val="auto"/>
          <w:szCs w:val="21"/>
          <w:highlight w:val="none"/>
        </w:rPr>
      </w:pPr>
      <w:bookmarkStart w:id="100" w:name="_Hlk89181226"/>
      <w:r>
        <w:rPr>
          <w:color w:val="auto"/>
          <w:szCs w:val="21"/>
          <w:highlight w:val="none"/>
        </w:rPr>
        <w:t>供应商</w:t>
      </w:r>
      <w:r>
        <w:rPr>
          <w:rFonts w:hint="eastAsia"/>
          <w:color w:val="auto"/>
          <w:szCs w:val="21"/>
          <w:highlight w:val="none"/>
        </w:rPr>
        <w:t>名称（电子签章）</w:t>
      </w:r>
      <w:r>
        <w:rPr>
          <w:color w:val="auto"/>
          <w:szCs w:val="21"/>
          <w:highlight w:val="none"/>
        </w:rPr>
        <w:t>：</w:t>
      </w:r>
      <w:r>
        <w:rPr>
          <w:color w:val="auto"/>
          <w:szCs w:val="21"/>
          <w:highlight w:val="none"/>
          <w:u w:val="single"/>
        </w:rPr>
        <w:t xml:space="preserve">                </w:t>
      </w:r>
    </w:p>
    <w:p w14:paraId="316989D2">
      <w:pPr>
        <w:spacing w:line="360" w:lineRule="auto"/>
        <w:rPr>
          <w:color w:val="auto"/>
          <w:szCs w:val="21"/>
          <w:highlight w:val="none"/>
        </w:rPr>
      </w:pPr>
      <w:r>
        <w:rPr>
          <w:color w:val="auto"/>
          <w:szCs w:val="21"/>
          <w:highlight w:val="none"/>
        </w:rPr>
        <w:t xml:space="preserve">                                                   年       月       日 </w:t>
      </w:r>
    </w:p>
    <w:bookmarkEnd w:id="100"/>
    <w:p w14:paraId="111ABEA1">
      <w:pPr>
        <w:spacing w:line="360" w:lineRule="auto"/>
        <w:ind w:firstLine="420" w:firstLineChars="200"/>
        <w:rPr>
          <w:color w:val="auto"/>
          <w:szCs w:val="21"/>
          <w:highlight w:val="none"/>
        </w:rPr>
      </w:pPr>
    </w:p>
    <w:p w14:paraId="045F66D0">
      <w:pPr>
        <w:spacing w:line="360" w:lineRule="auto"/>
        <w:rPr>
          <w:color w:val="auto"/>
          <w:szCs w:val="21"/>
          <w:highlight w:val="none"/>
        </w:rPr>
      </w:pPr>
      <w:r>
        <w:rPr>
          <w:color w:val="auto"/>
          <w:szCs w:val="21"/>
          <w:highlight w:val="none"/>
        </w:rPr>
        <w:t>附件：法定代表人身份证复印件</w:t>
      </w:r>
    </w:p>
    <w:p w14:paraId="7D58647A">
      <w:pPr>
        <w:spacing w:line="360" w:lineRule="auto"/>
        <w:rPr>
          <w:color w:val="auto"/>
          <w:szCs w:val="21"/>
          <w:highlight w:val="none"/>
        </w:rPr>
      </w:pPr>
    </w:p>
    <w:p w14:paraId="6029F5E9">
      <w:pPr>
        <w:snapToGrid w:val="0"/>
        <w:spacing w:before="120" w:beforeLines="50" w:after="50" w:line="360" w:lineRule="exact"/>
        <w:rPr>
          <w:b/>
          <w:color w:val="auto"/>
          <w:szCs w:val="21"/>
          <w:highlight w:val="none"/>
        </w:rPr>
      </w:pPr>
      <w:r>
        <w:rPr>
          <w:b/>
          <w:color w:val="auto"/>
          <w:szCs w:val="21"/>
          <w:highlight w:val="none"/>
        </w:rPr>
        <w:br w:type="page"/>
      </w:r>
      <w:r>
        <w:rPr>
          <w:rFonts w:hint="eastAsia"/>
          <w:b/>
          <w:color w:val="auto"/>
          <w:szCs w:val="21"/>
          <w:highlight w:val="none"/>
        </w:rPr>
        <w:t>1</w:t>
      </w:r>
      <w:r>
        <w:rPr>
          <w:b/>
          <w:color w:val="auto"/>
          <w:szCs w:val="21"/>
          <w:highlight w:val="none"/>
        </w:rPr>
        <w:t>．法定代表</w:t>
      </w:r>
      <w:r>
        <w:rPr>
          <w:rFonts w:hint="eastAsia"/>
          <w:b/>
          <w:color w:val="auto"/>
          <w:szCs w:val="21"/>
          <w:highlight w:val="none"/>
        </w:rPr>
        <w:t>授权</w:t>
      </w:r>
      <w:r>
        <w:rPr>
          <w:b/>
          <w:color w:val="auto"/>
          <w:szCs w:val="21"/>
          <w:highlight w:val="none"/>
        </w:rPr>
        <w:t>委托书</w:t>
      </w:r>
      <w:r>
        <w:rPr>
          <w:rFonts w:hint="eastAsia"/>
          <w:b/>
          <w:color w:val="auto"/>
          <w:szCs w:val="21"/>
          <w:highlight w:val="none"/>
        </w:rPr>
        <w:t>（有授权</w:t>
      </w:r>
      <w:r>
        <w:rPr>
          <w:b/>
          <w:color w:val="auto"/>
          <w:szCs w:val="21"/>
          <w:highlight w:val="none"/>
        </w:rPr>
        <w:t>代表</w:t>
      </w:r>
      <w:r>
        <w:rPr>
          <w:rFonts w:hint="eastAsia"/>
          <w:b/>
          <w:color w:val="auto"/>
          <w:szCs w:val="21"/>
          <w:highlight w:val="none"/>
        </w:rPr>
        <w:t>时提供）</w:t>
      </w:r>
      <w:r>
        <w:rPr>
          <w:b/>
          <w:color w:val="auto"/>
          <w:szCs w:val="21"/>
          <w:highlight w:val="none"/>
        </w:rPr>
        <w:t>：</w:t>
      </w:r>
    </w:p>
    <w:p w14:paraId="7AE1CF65">
      <w:pPr>
        <w:snapToGrid w:val="0"/>
        <w:spacing w:before="120" w:beforeLines="50" w:after="50" w:line="360" w:lineRule="exact"/>
        <w:rPr>
          <w:b/>
          <w:color w:val="auto"/>
          <w:szCs w:val="21"/>
          <w:highlight w:val="none"/>
        </w:rPr>
      </w:pPr>
    </w:p>
    <w:p w14:paraId="0DED8153">
      <w:pPr>
        <w:snapToGrid w:val="0"/>
        <w:spacing w:before="120" w:beforeLines="50" w:after="50" w:line="440" w:lineRule="exact"/>
        <w:jc w:val="center"/>
        <w:rPr>
          <w:b/>
          <w:color w:val="auto"/>
          <w:szCs w:val="21"/>
          <w:highlight w:val="none"/>
        </w:rPr>
      </w:pPr>
      <w:r>
        <w:rPr>
          <w:b/>
          <w:color w:val="auto"/>
          <w:szCs w:val="21"/>
          <w:highlight w:val="none"/>
        </w:rPr>
        <w:t>法定代表人授权委托书</w:t>
      </w:r>
    </w:p>
    <w:p w14:paraId="1EA1985B">
      <w:pPr>
        <w:snapToGrid w:val="0"/>
        <w:spacing w:before="120" w:beforeLines="50" w:after="50" w:line="440" w:lineRule="exact"/>
        <w:rPr>
          <w:bCs/>
          <w:color w:val="auto"/>
          <w:szCs w:val="21"/>
          <w:highlight w:val="none"/>
        </w:rPr>
      </w:pPr>
    </w:p>
    <w:p w14:paraId="7392371A">
      <w:pPr>
        <w:snapToGrid w:val="0"/>
        <w:spacing w:before="120" w:beforeLines="50" w:after="50" w:line="440" w:lineRule="exact"/>
        <w:rPr>
          <w:b/>
          <w:bCs/>
          <w:color w:val="auto"/>
          <w:szCs w:val="21"/>
          <w:highlight w:val="none"/>
        </w:rPr>
      </w:pPr>
      <w:r>
        <w:rPr>
          <w:bCs/>
          <w:color w:val="auto"/>
          <w:szCs w:val="21"/>
          <w:highlight w:val="none"/>
        </w:rPr>
        <w:t>致：</w:t>
      </w:r>
      <w:r>
        <w:rPr>
          <w:i/>
          <w:iCs/>
          <w:color w:val="auto"/>
          <w:szCs w:val="21"/>
          <w:highlight w:val="none"/>
          <w:u w:val="single"/>
        </w:rPr>
        <w:t>（采购人名称）</w:t>
      </w:r>
    </w:p>
    <w:p w14:paraId="6C343851">
      <w:pPr>
        <w:snapToGrid w:val="0"/>
        <w:spacing w:before="120" w:beforeLines="50" w:after="50" w:line="440" w:lineRule="exact"/>
        <w:ind w:firstLine="420" w:firstLineChars="200"/>
        <w:rPr>
          <w:color w:val="auto"/>
          <w:szCs w:val="21"/>
          <w:highlight w:val="none"/>
        </w:rPr>
      </w:pPr>
      <w:r>
        <w:rPr>
          <w:color w:val="auto"/>
          <w:szCs w:val="21"/>
          <w:highlight w:val="none"/>
        </w:rPr>
        <w:t>我</w:t>
      </w:r>
      <w:r>
        <w:rPr>
          <w:rFonts w:hint="eastAsia"/>
          <w:color w:val="auto"/>
          <w:szCs w:val="21"/>
          <w:highlight w:val="none"/>
        </w:rPr>
        <w:t xml:space="preserve"> </w:t>
      </w:r>
      <w:r>
        <w:rPr>
          <w:i/>
          <w:iCs/>
          <w:color w:val="auto"/>
          <w:szCs w:val="21"/>
          <w:highlight w:val="none"/>
          <w:u w:val="single"/>
        </w:rPr>
        <w:t>（姓名）</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系</w:t>
      </w:r>
      <w:r>
        <w:rPr>
          <w:i/>
          <w:iCs/>
          <w:color w:val="auto"/>
          <w:szCs w:val="21"/>
          <w:highlight w:val="none"/>
          <w:u w:val="single"/>
        </w:rPr>
        <w:t>（供应商名称）</w:t>
      </w:r>
      <w:r>
        <w:rPr>
          <w:color w:val="auto"/>
          <w:szCs w:val="21"/>
          <w:highlight w:val="none"/>
        </w:rPr>
        <w:t>的法定代表人，现授权委托本单位在职职工</w:t>
      </w:r>
      <w:r>
        <w:rPr>
          <w:i/>
          <w:iCs/>
          <w:color w:val="auto"/>
          <w:szCs w:val="21"/>
          <w:highlight w:val="none"/>
          <w:u w:val="single"/>
        </w:rPr>
        <w:t>（姓名）</w:t>
      </w:r>
      <w:r>
        <w:rPr>
          <w:color w:val="auto"/>
          <w:szCs w:val="21"/>
          <w:highlight w:val="none"/>
        </w:rPr>
        <w:t>以我方的名义参加</w:t>
      </w:r>
      <w:r>
        <w:rPr>
          <w:rFonts w:hint="eastAsia"/>
          <w:i/>
          <w:iCs/>
          <w:color w:val="auto"/>
          <w:szCs w:val="21"/>
          <w:highlight w:val="none"/>
          <w:u w:val="single"/>
        </w:rPr>
        <w:t>（项目名称 ）</w:t>
      </w:r>
      <w:r>
        <w:rPr>
          <w:color w:val="auto"/>
          <w:szCs w:val="21"/>
          <w:highlight w:val="none"/>
        </w:rPr>
        <w:t>项目的</w:t>
      </w:r>
      <w:r>
        <w:rPr>
          <w:rFonts w:hint="eastAsia"/>
          <w:color w:val="auto"/>
          <w:szCs w:val="21"/>
          <w:highlight w:val="none"/>
        </w:rPr>
        <w:t>谈判</w:t>
      </w:r>
      <w:r>
        <w:rPr>
          <w:color w:val="auto"/>
          <w:szCs w:val="21"/>
          <w:highlight w:val="none"/>
        </w:rPr>
        <w:t>活动，并代表我方全权办理针对上述项目的</w:t>
      </w:r>
      <w:r>
        <w:rPr>
          <w:rFonts w:hint="eastAsia"/>
          <w:color w:val="auto"/>
          <w:szCs w:val="21"/>
          <w:highlight w:val="none"/>
        </w:rPr>
        <w:t>谈判</w:t>
      </w:r>
      <w:r>
        <w:rPr>
          <w:color w:val="auto"/>
          <w:szCs w:val="21"/>
          <w:highlight w:val="none"/>
        </w:rPr>
        <w:t>、截标、评审、签约等具体事务和签署相关文件。</w:t>
      </w:r>
    </w:p>
    <w:p w14:paraId="6E101CD2">
      <w:pPr>
        <w:snapToGrid w:val="0"/>
        <w:spacing w:before="120" w:beforeLines="50" w:after="50" w:line="440" w:lineRule="exact"/>
        <w:rPr>
          <w:color w:val="auto"/>
          <w:szCs w:val="21"/>
          <w:highlight w:val="none"/>
        </w:rPr>
      </w:pPr>
      <w:r>
        <w:rPr>
          <w:color w:val="auto"/>
          <w:szCs w:val="21"/>
          <w:highlight w:val="none"/>
        </w:rPr>
        <w:t xml:space="preserve">    我方对被授权人的签名事项负全部责任。</w:t>
      </w:r>
    </w:p>
    <w:p w14:paraId="49B65996">
      <w:pPr>
        <w:snapToGrid w:val="0"/>
        <w:spacing w:before="120" w:beforeLines="50" w:after="50" w:line="440" w:lineRule="exact"/>
        <w:ind w:firstLine="480"/>
        <w:rPr>
          <w:color w:val="auto"/>
          <w:szCs w:val="21"/>
          <w:highlight w:val="none"/>
        </w:rPr>
      </w:pPr>
      <w:r>
        <w:rPr>
          <w:color w:val="auto"/>
          <w:szCs w:val="21"/>
          <w:highlight w:val="none"/>
        </w:rPr>
        <w:t>在撤销授权的书面通知以前，本授权书一直有效。被授权人在授权书有效期内签署的所有文件不因授权的撤销而失效。</w:t>
      </w:r>
    </w:p>
    <w:p w14:paraId="16E7DA81">
      <w:pPr>
        <w:snapToGrid w:val="0"/>
        <w:spacing w:before="120" w:beforeLines="50" w:after="50" w:line="440" w:lineRule="exact"/>
        <w:ind w:firstLine="480"/>
        <w:rPr>
          <w:color w:val="auto"/>
          <w:szCs w:val="21"/>
          <w:highlight w:val="none"/>
        </w:rPr>
      </w:pPr>
      <w:r>
        <w:rPr>
          <w:color w:val="auto"/>
          <w:szCs w:val="21"/>
          <w:highlight w:val="none"/>
        </w:rPr>
        <w:t>被授权人无转委托权，特此委托。</w:t>
      </w:r>
    </w:p>
    <w:p w14:paraId="0F10D367">
      <w:pPr>
        <w:snapToGrid w:val="0"/>
        <w:spacing w:before="120" w:beforeLines="50" w:after="50" w:line="440" w:lineRule="exact"/>
        <w:rPr>
          <w:color w:val="auto"/>
          <w:szCs w:val="21"/>
          <w:highlight w:val="none"/>
          <w:u w:val="single"/>
        </w:rPr>
      </w:pPr>
      <w:r>
        <w:rPr>
          <w:color w:val="auto"/>
          <w:szCs w:val="21"/>
          <w:highlight w:val="none"/>
        </w:rPr>
        <w:t>被授权人签名或</w:t>
      </w:r>
      <w:r>
        <w:rPr>
          <w:rFonts w:hint="eastAsia"/>
          <w:color w:val="auto"/>
          <w:szCs w:val="21"/>
          <w:highlight w:val="none"/>
        </w:rPr>
        <w:t>签</w:t>
      </w:r>
      <w:r>
        <w:rPr>
          <w:color w:val="auto"/>
          <w:szCs w:val="21"/>
          <w:highlight w:val="none"/>
        </w:rPr>
        <w:t>章：</w:t>
      </w:r>
      <w:r>
        <w:rPr>
          <w:color w:val="auto"/>
          <w:szCs w:val="21"/>
          <w:highlight w:val="none"/>
          <w:u w:val="single"/>
        </w:rPr>
        <w:t xml:space="preserve">          </w:t>
      </w:r>
      <w:r>
        <w:rPr>
          <w:color w:val="auto"/>
          <w:szCs w:val="21"/>
          <w:highlight w:val="none"/>
        </w:rPr>
        <w:t xml:space="preserve">                           法定代表人签名或</w:t>
      </w:r>
      <w:r>
        <w:rPr>
          <w:rFonts w:hint="eastAsia"/>
          <w:color w:val="auto"/>
          <w:szCs w:val="21"/>
          <w:highlight w:val="none"/>
        </w:rPr>
        <w:t>签</w:t>
      </w:r>
      <w:r>
        <w:rPr>
          <w:color w:val="auto"/>
          <w:szCs w:val="21"/>
          <w:highlight w:val="none"/>
        </w:rPr>
        <w:t>章：</w:t>
      </w:r>
      <w:r>
        <w:rPr>
          <w:color w:val="auto"/>
          <w:szCs w:val="21"/>
          <w:highlight w:val="none"/>
          <w:u w:val="single"/>
        </w:rPr>
        <w:t xml:space="preserve">          </w:t>
      </w:r>
    </w:p>
    <w:p w14:paraId="26750F91">
      <w:pPr>
        <w:snapToGrid w:val="0"/>
        <w:spacing w:before="120" w:beforeLines="50" w:after="50" w:line="440" w:lineRule="exact"/>
        <w:rPr>
          <w:color w:val="auto"/>
          <w:szCs w:val="21"/>
          <w:highlight w:val="none"/>
        </w:rPr>
      </w:pPr>
      <w:r>
        <w:rPr>
          <w:color w:val="auto"/>
          <w:szCs w:val="21"/>
          <w:highlight w:val="none"/>
        </w:rPr>
        <w:t>职务：</w:t>
      </w:r>
      <w:r>
        <w:rPr>
          <w:color w:val="auto"/>
          <w:szCs w:val="21"/>
          <w:highlight w:val="none"/>
          <w:u w:val="single"/>
        </w:rPr>
        <w:t xml:space="preserve">           </w:t>
      </w:r>
      <w:r>
        <w:rPr>
          <w:color w:val="auto"/>
          <w:szCs w:val="21"/>
          <w:highlight w:val="none"/>
        </w:rPr>
        <w:t xml:space="preserve">                                  职务：</w:t>
      </w:r>
      <w:r>
        <w:rPr>
          <w:color w:val="auto"/>
          <w:szCs w:val="21"/>
          <w:highlight w:val="none"/>
          <w:u w:val="single"/>
        </w:rPr>
        <w:t xml:space="preserve">           </w:t>
      </w:r>
    </w:p>
    <w:p w14:paraId="1577AFCF">
      <w:pPr>
        <w:snapToGrid w:val="0"/>
        <w:spacing w:before="120" w:beforeLines="50" w:after="50" w:line="440" w:lineRule="exact"/>
        <w:rPr>
          <w:color w:val="auto"/>
          <w:szCs w:val="21"/>
          <w:highlight w:val="none"/>
        </w:rPr>
      </w:pPr>
      <w:r>
        <w:rPr>
          <w:color w:val="auto"/>
          <w:szCs w:val="21"/>
          <w:highlight w:val="none"/>
        </w:rPr>
        <w:t>被授权人身份证号码：</w:t>
      </w:r>
      <w:r>
        <w:rPr>
          <w:color w:val="auto"/>
          <w:szCs w:val="21"/>
          <w:highlight w:val="none"/>
          <w:u w:val="single"/>
        </w:rPr>
        <w:t xml:space="preserve">                   </w:t>
      </w:r>
      <w:r>
        <w:rPr>
          <w:color w:val="auto"/>
          <w:szCs w:val="21"/>
          <w:highlight w:val="none"/>
        </w:rPr>
        <w:t xml:space="preserve">            授权人身份证号码：</w:t>
      </w:r>
      <w:r>
        <w:rPr>
          <w:color w:val="auto"/>
          <w:szCs w:val="21"/>
          <w:highlight w:val="none"/>
          <w:u w:val="single"/>
        </w:rPr>
        <w:t xml:space="preserve">                 </w:t>
      </w:r>
    </w:p>
    <w:p w14:paraId="465D5C43">
      <w:pPr>
        <w:snapToGrid w:val="0"/>
        <w:spacing w:before="120" w:beforeLines="50" w:after="50" w:line="440" w:lineRule="exact"/>
        <w:rPr>
          <w:color w:val="auto"/>
          <w:szCs w:val="21"/>
          <w:highlight w:val="none"/>
        </w:rPr>
      </w:pPr>
      <w:r>
        <w:rPr>
          <w:rFonts w:hint="eastAsia"/>
          <w:color w:val="auto"/>
          <w:szCs w:val="21"/>
          <w:highlight w:val="none"/>
        </w:rPr>
        <w:t>被授权人手机号码及邮箱：</w:t>
      </w:r>
      <w:r>
        <w:rPr>
          <w:rFonts w:hint="eastAsia"/>
          <w:color w:val="auto"/>
          <w:szCs w:val="21"/>
          <w:highlight w:val="none"/>
          <w:u w:val="single"/>
        </w:rPr>
        <w:t xml:space="preserve"> </w:t>
      </w:r>
      <w:r>
        <w:rPr>
          <w:color w:val="auto"/>
          <w:szCs w:val="21"/>
          <w:highlight w:val="none"/>
          <w:u w:val="single"/>
        </w:rPr>
        <w:t xml:space="preserve">                      </w:t>
      </w:r>
    </w:p>
    <w:p w14:paraId="08D471B6">
      <w:pPr>
        <w:snapToGrid w:val="0"/>
        <w:spacing w:before="120" w:beforeLines="50" w:after="50" w:line="440" w:lineRule="exact"/>
        <w:rPr>
          <w:color w:val="auto"/>
          <w:szCs w:val="21"/>
          <w:highlight w:val="none"/>
        </w:rPr>
      </w:pPr>
      <w:r>
        <w:rPr>
          <w:color w:val="auto"/>
          <w:szCs w:val="21"/>
          <w:highlight w:val="none"/>
        </w:rPr>
        <w:t xml:space="preserve">                   </w:t>
      </w:r>
    </w:p>
    <w:p w14:paraId="08E90FBC">
      <w:pPr>
        <w:snapToGrid w:val="0"/>
        <w:spacing w:before="120" w:beforeLines="50" w:after="50" w:line="440" w:lineRule="exact"/>
        <w:ind w:firstLine="5670" w:firstLineChars="2700"/>
        <w:rPr>
          <w:color w:val="auto"/>
          <w:szCs w:val="21"/>
          <w:highlight w:val="none"/>
        </w:rPr>
      </w:pPr>
      <w:bookmarkStart w:id="101" w:name="_Hlk89181256"/>
      <w:r>
        <w:rPr>
          <w:color w:val="auto"/>
          <w:szCs w:val="21"/>
          <w:highlight w:val="none"/>
        </w:rPr>
        <w:t>供应商</w:t>
      </w:r>
      <w:r>
        <w:rPr>
          <w:rFonts w:hint="eastAsia"/>
          <w:color w:val="auto"/>
          <w:szCs w:val="21"/>
          <w:highlight w:val="none"/>
        </w:rPr>
        <w:t>名称（电子签章）</w:t>
      </w:r>
      <w:r>
        <w:rPr>
          <w:color w:val="auto"/>
          <w:szCs w:val="21"/>
          <w:highlight w:val="none"/>
        </w:rPr>
        <w:t>：</w:t>
      </w:r>
      <w:r>
        <w:rPr>
          <w:color w:val="auto"/>
          <w:szCs w:val="21"/>
          <w:highlight w:val="none"/>
          <w:u w:val="single"/>
        </w:rPr>
        <w:t xml:space="preserve">                </w:t>
      </w:r>
    </w:p>
    <w:p w14:paraId="670CF648">
      <w:pPr>
        <w:snapToGrid w:val="0"/>
        <w:spacing w:before="120" w:beforeLines="50" w:after="50" w:line="440" w:lineRule="exact"/>
        <w:jc w:val="center"/>
        <w:rPr>
          <w:color w:val="auto"/>
          <w:szCs w:val="21"/>
          <w:highlight w:val="none"/>
        </w:rPr>
      </w:pPr>
      <w:r>
        <w:rPr>
          <w:color w:val="auto"/>
          <w:szCs w:val="21"/>
          <w:highlight w:val="none"/>
        </w:rPr>
        <w:t xml:space="preserve">                                        年    月    日</w:t>
      </w:r>
    </w:p>
    <w:bookmarkEnd w:id="101"/>
    <w:p w14:paraId="00C60E9F">
      <w:pPr>
        <w:spacing w:line="360" w:lineRule="auto"/>
        <w:rPr>
          <w:color w:val="auto"/>
          <w:szCs w:val="21"/>
          <w:highlight w:val="none"/>
        </w:rPr>
      </w:pPr>
    </w:p>
    <w:p w14:paraId="201B6A9D">
      <w:pPr>
        <w:spacing w:line="360" w:lineRule="auto"/>
        <w:rPr>
          <w:color w:val="auto"/>
          <w:szCs w:val="21"/>
          <w:highlight w:val="none"/>
        </w:rPr>
      </w:pPr>
    </w:p>
    <w:p w14:paraId="74BF6D04">
      <w:pPr>
        <w:spacing w:line="360" w:lineRule="auto"/>
        <w:rPr>
          <w:color w:val="auto"/>
          <w:szCs w:val="21"/>
          <w:highlight w:val="none"/>
        </w:rPr>
      </w:pPr>
    </w:p>
    <w:p w14:paraId="2D7961C2">
      <w:pPr>
        <w:spacing w:line="360" w:lineRule="auto"/>
        <w:rPr>
          <w:color w:val="auto"/>
          <w:szCs w:val="21"/>
          <w:highlight w:val="none"/>
        </w:rPr>
      </w:pPr>
      <w:r>
        <w:rPr>
          <w:color w:val="auto"/>
          <w:szCs w:val="21"/>
          <w:highlight w:val="none"/>
        </w:rPr>
        <w:t>附件：法定代表人身份证复印件及授权代表身份证复印件</w:t>
      </w:r>
    </w:p>
    <w:p w14:paraId="58943A90">
      <w:pPr>
        <w:snapToGrid w:val="0"/>
        <w:spacing w:before="120" w:beforeLines="50" w:after="50" w:line="440" w:lineRule="exact"/>
        <w:jc w:val="center"/>
        <w:rPr>
          <w:bCs/>
          <w:color w:val="auto"/>
          <w:sz w:val="24"/>
          <w:highlight w:val="none"/>
        </w:rPr>
      </w:pPr>
      <w:r>
        <w:rPr>
          <w:bCs/>
          <w:color w:val="auto"/>
          <w:sz w:val="24"/>
          <w:highlight w:val="none"/>
        </w:rPr>
        <w:br w:type="page"/>
      </w:r>
      <w:r>
        <w:rPr>
          <w:bCs/>
          <w:color w:val="auto"/>
          <w:sz w:val="24"/>
          <w:highlight w:val="none"/>
        </w:rPr>
        <w:t>第</w:t>
      </w:r>
      <w:r>
        <w:rPr>
          <w:rFonts w:hint="eastAsia"/>
          <w:bCs/>
          <w:color w:val="auto"/>
          <w:sz w:val="24"/>
          <w:highlight w:val="none"/>
        </w:rPr>
        <w:t>二</w:t>
      </w:r>
      <w:r>
        <w:rPr>
          <w:bCs/>
          <w:color w:val="auto"/>
          <w:sz w:val="24"/>
          <w:highlight w:val="none"/>
        </w:rPr>
        <w:t xml:space="preserve">部分 </w:t>
      </w:r>
      <w:r>
        <w:rPr>
          <w:rFonts w:hint="eastAsia"/>
          <w:bCs/>
          <w:color w:val="auto"/>
          <w:sz w:val="24"/>
          <w:highlight w:val="none"/>
        </w:rPr>
        <w:t>技术商务</w:t>
      </w:r>
      <w:r>
        <w:rPr>
          <w:bCs/>
          <w:color w:val="auto"/>
          <w:sz w:val="24"/>
          <w:highlight w:val="none"/>
        </w:rPr>
        <w:t>文件</w:t>
      </w:r>
    </w:p>
    <w:p w14:paraId="4B139CA7">
      <w:pPr>
        <w:snapToGrid w:val="0"/>
        <w:spacing w:before="50" w:after="120" w:afterLines="50" w:line="440" w:lineRule="exact"/>
        <w:jc w:val="center"/>
        <w:rPr>
          <w:color w:val="auto"/>
          <w:highlight w:val="none"/>
        </w:rPr>
      </w:pPr>
      <w:r>
        <w:rPr>
          <w:color w:val="auto"/>
          <w:highlight w:val="none"/>
        </w:rPr>
        <w:t>（本商务</w:t>
      </w:r>
      <w:r>
        <w:rPr>
          <w:rFonts w:hint="eastAsia"/>
          <w:color w:val="auto"/>
          <w:highlight w:val="none"/>
        </w:rPr>
        <w:t>技术</w:t>
      </w:r>
      <w:r>
        <w:rPr>
          <w:color w:val="auto"/>
          <w:highlight w:val="none"/>
        </w:rPr>
        <w:t>文件供应商可自行编写，也可参照下述提纲编写）</w:t>
      </w:r>
    </w:p>
    <w:p w14:paraId="67C44686">
      <w:pPr>
        <w:rPr>
          <w:color w:val="auto"/>
          <w:szCs w:val="21"/>
          <w:highlight w:val="none"/>
        </w:rPr>
      </w:pPr>
      <w:bookmarkStart w:id="102" w:name="_Hlk21623674"/>
      <w:r>
        <w:rPr>
          <w:rFonts w:hint="eastAsia"/>
          <w:color w:val="auto"/>
          <w:szCs w:val="21"/>
          <w:highlight w:val="none"/>
        </w:rPr>
        <w:t>1</w:t>
      </w:r>
      <w:r>
        <w:rPr>
          <w:color w:val="auto"/>
          <w:szCs w:val="21"/>
          <w:highlight w:val="none"/>
        </w:rPr>
        <w:t>．</w:t>
      </w:r>
      <w:r>
        <w:rPr>
          <w:rFonts w:hint="eastAsia"/>
          <w:color w:val="auto"/>
          <w:szCs w:val="21"/>
          <w:highlight w:val="none"/>
        </w:rPr>
        <w:t>对</w:t>
      </w:r>
      <w:r>
        <w:rPr>
          <w:color w:val="auto"/>
          <w:szCs w:val="21"/>
          <w:highlight w:val="none"/>
        </w:rPr>
        <w:t>本项目第</w:t>
      </w:r>
      <w:r>
        <w:rPr>
          <w:rFonts w:hint="eastAsia"/>
          <w:color w:val="auto"/>
          <w:szCs w:val="21"/>
          <w:highlight w:val="none"/>
        </w:rPr>
        <w:t>二</w:t>
      </w:r>
      <w:r>
        <w:rPr>
          <w:color w:val="auto"/>
          <w:szCs w:val="21"/>
          <w:highlight w:val="none"/>
        </w:rPr>
        <w:t>章</w:t>
      </w:r>
      <w:r>
        <w:rPr>
          <w:rFonts w:hint="eastAsia"/>
          <w:color w:val="auto"/>
          <w:szCs w:val="21"/>
          <w:highlight w:val="none"/>
        </w:rPr>
        <w:t>《</w:t>
      </w:r>
      <w:r>
        <w:rPr>
          <w:color w:val="auto"/>
          <w:szCs w:val="21"/>
          <w:highlight w:val="none"/>
        </w:rPr>
        <w:t>采购需求</w:t>
      </w:r>
      <w:r>
        <w:rPr>
          <w:rFonts w:hint="eastAsia"/>
          <w:color w:val="auto"/>
          <w:szCs w:val="21"/>
          <w:highlight w:val="none"/>
        </w:rPr>
        <w:t>》技术</w:t>
      </w:r>
      <w:r>
        <w:rPr>
          <w:color w:val="auto"/>
          <w:szCs w:val="21"/>
          <w:highlight w:val="none"/>
        </w:rPr>
        <w:t>要求的</w:t>
      </w:r>
      <w:r>
        <w:rPr>
          <w:rFonts w:hint="eastAsia"/>
          <w:color w:val="auto"/>
          <w:szCs w:val="21"/>
          <w:highlight w:val="none"/>
        </w:rPr>
        <w:t>响应表</w:t>
      </w:r>
      <w:r>
        <w:rPr>
          <w:color w:val="auto"/>
          <w:szCs w:val="21"/>
          <w:highlight w:val="none"/>
        </w:rPr>
        <w:t>：</w:t>
      </w:r>
    </w:p>
    <w:p w14:paraId="4FB5C26C">
      <w:pPr>
        <w:rPr>
          <w:color w:val="auto"/>
          <w:szCs w:val="21"/>
          <w:highlight w:val="none"/>
        </w:rPr>
      </w:pPr>
    </w:p>
    <w:tbl>
      <w:tblPr>
        <w:tblStyle w:val="51"/>
        <w:tblW w:w="882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46"/>
        <w:gridCol w:w="3595"/>
        <w:gridCol w:w="3405"/>
        <w:gridCol w:w="1082"/>
      </w:tblGrid>
      <w:tr w14:paraId="429244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88" w:hRule="atLeast"/>
          <w:jc w:val="center"/>
        </w:trPr>
        <w:tc>
          <w:tcPr>
            <w:tcW w:w="746" w:type="dxa"/>
            <w:tcBorders>
              <w:top w:val="single" w:color="auto" w:sz="4" w:space="0"/>
              <w:left w:val="single" w:color="auto" w:sz="4" w:space="0"/>
              <w:bottom w:val="single" w:color="auto" w:sz="4" w:space="0"/>
              <w:right w:val="single" w:color="auto" w:sz="4" w:space="0"/>
            </w:tcBorders>
            <w:vAlign w:val="center"/>
          </w:tcPr>
          <w:p w14:paraId="102767EB">
            <w:pPr>
              <w:snapToGrid w:val="0"/>
              <w:spacing w:before="120" w:beforeLines="50"/>
              <w:jc w:val="center"/>
              <w:rPr>
                <w:color w:val="auto"/>
                <w:szCs w:val="21"/>
                <w:highlight w:val="none"/>
              </w:rPr>
            </w:pPr>
            <w:r>
              <w:rPr>
                <w:color w:val="auto"/>
                <w:szCs w:val="21"/>
                <w:highlight w:val="none"/>
              </w:rPr>
              <w:t>序号</w:t>
            </w:r>
          </w:p>
        </w:tc>
        <w:tc>
          <w:tcPr>
            <w:tcW w:w="3595" w:type="dxa"/>
            <w:tcBorders>
              <w:top w:val="single" w:color="auto" w:sz="4" w:space="0"/>
              <w:left w:val="single" w:color="auto" w:sz="4" w:space="0"/>
              <w:bottom w:val="single" w:color="auto" w:sz="4" w:space="0"/>
              <w:right w:val="single" w:color="auto" w:sz="4" w:space="0"/>
            </w:tcBorders>
            <w:vAlign w:val="center"/>
          </w:tcPr>
          <w:p w14:paraId="2C2D875C">
            <w:pPr>
              <w:snapToGrid w:val="0"/>
              <w:spacing w:before="120" w:beforeLines="50"/>
              <w:jc w:val="center"/>
              <w:rPr>
                <w:color w:val="auto"/>
                <w:szCs w:val="21"/>
                <w:highlight w:val="none"/>
              </w:rPr>
            </w:pPr>
            <w:r>
              <w:rPr>
                <w:rFonts w:hint="eastAsia"/>
                <w:color w:val="auto"/>
                <w:szCs w:val="21"/>
                <w:highlight w:val="none"/>
              </w:rPr>
              <w:t>采购文件</w:t>
            </w:r>
            <w:r>
              <w:rPr>
                <w:color w:val="auto"/>
                <w:szCs w:val="21"/>
                <w:highlight w:val="none"/>
              </w:rPr>
              <w:t>要求</w:t>
            </w:r>
          </w:p>
          <w:p w14:paraId="04F2E7FD">
            <w:pPr>
              <w:snapToGrid w:val="0"/>
              <w:spacing w:before="120" w:beforeLines="50"/>
              <w:jc w:val="center"/>
              <w:rPr>
                <w:color w:val="auto"/>
                <w:szCs w:val="21"/>
                <w:highlight w:val="none"/>
              </w:rPr>
            </w:pPr>
            <w:r>
              <w:rPr>
                <w:color w:val="auto"/>
                <w:szCs w:val="21"/>
                <w:highlight w:val="none"/>
              </w:rPr>
              <w:t>（注明章节及条款号）</w:t>
            </w:r>
          </w:p>
        </w:tc>
        <w:tc>
          <w:tcPr>
            <w:tcW w:w="3405" w:type="dxa"/>
            <w:tcBorders>
              <w:top w:val="single" w:color="auto" w:sz="4" w:space="0"/>
              <w:left w:val="single" w:color="auto" w:sz="4" w:space="0"/>
              <w:bottom w:val="single" w:color="auto" w:sz="4" w:space="0"/>
              <w:right w:val="single" w:color="auto" w:sz="4" w:space="0"/>
            </w:tcBorders>
            <w:vAlign w:val="center"/>
          </w:tcPr>
          <w:p w14:paraId="41EB9889">
            <w:pPr>
              <w:snapToGrid w:val="0"/>
              <w:spacing w:before="120" w:beforeLines="50"/>
              <w:jc w:val="center"/>
              <w:rPr>
                <w:color w:val="auto"/>
                <w:szCs w:val="21"/>
                <w:highlight w:val="none"/>
              </w:rPr>
            </w:pPr>
            <w:r>
              <w:rPr>
                <w:rFonts w:hint="eastAsia"/>
                <w:color w:val="auto"/>
                <w:szCs w:val="21"/>
                <w:highlight w:val="none"/>
              </w:rPr>
              <w:t>响应</w:t>
            </w:r>
            <w:r>
              <w:rPr>
                <w:color w:val="auto"/>
                <w:szCs w:val="21"/>
                <w:highlight w:val="none"/>
              </w:rPr>
              <w:t>文件响应内容</w:t>
            </w:r>
          </w:p>
        </w:tc>
        <w:tc>
          <w:tcPr>
            <w:tcW w:w="1082" w:type="dxa"/>
            <w:tcBorders>
              <w:top w:val="single" w:color="auto" w:sz="4" w:space="0"/>
              <w:left w:val="single" w:color="auto" w:sz="4" w:space="0"/>
              <w:bottom w:val="single" w:color="auto" w:sz="4" w:space="0"/>
              <w:right w:val="single" w:color="auto" w:sz="4" w:space="0"/>
            </w:tcBorders>
            <w:vAlign w:val="center"/>
          </w:tcPr>
          <w:p w14:paraId="479163E9">
            <w:pPr>
              <w:snapToGrid w:val="0"/>
              <w:spacing w:before="120" w:beforeLines="50"/>
              <w:jc w:val="center"/>
              <w:rPr>
                <w:color w:val="auto"/>
                <w:szCs w:val="21"/>
                <w:highlight w:val="none"/>
              </w:rPr>
            </w:pPr>
            <w:r>
              <w:rPr>
                <w:color w:val="auto"/>
                <w:highlight w:val="none"/>
              </w:rPr>
              <w:t>偏离</w:t>
            </w:r>
            <w:r>
              <w:rPr>
                <w:color w:val="auto"/>
                <w:szCs w:val="21"/>
                <w:highlight w:val="none"/>
              </w:rPr>
              <w:t>说明</w:t>
            </w:r>
          </w:p>
        </w:tc>
      </w:tr>
      <w:tr w14:paraId="419DAF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vAlign w:val="center"/>
          </w:tcPr>
          <w:p w14:paraId="7C03FC1C">
            <w:pPr>
              <w:snapToGrid w:val="0"/>
              <w:spacing w:before="120" w:beforeLines="50"/>
              <w:jc w:val="center"/>
              <w:rPr>
                <w:color w:val="auto"/>
                <w:szCs w:val="21"/>
                <w:highlight w:val="none"/>
              </w:rPr>
            </w:pPr>
          </w:p>
        </w:tc>
        <w:tc>
          <w:tcPr>
            <w:tcW w:w="3595" w:type="dxa"/>
            <w:tcBorders>
              <w:top w:val="single" w:color="auto" w:sz="4" w:space="0"/>
              <w:left w:val="single" w:color="auto" w:sz="4" w:space="0"/>
              <w:bottom w:val="single" w:color="auto" w:sz="4" w:space="0"/>
              <w:right w:val="single" w:color="auto" w:sz="4" w:space="0"/>
            </w:tcBorders>
            <w:vAlign w:val="center"/>
          </w:tcPr>
          <w:p w14:paraId="3021BA93">
            <w:pPr>
              <w:snapToGrid w:val="0"/>
              <w:spacing w:before="120" w:beforeLines="50"/>
              <w:jc w:val="center"/>
              <w:rPr>
                <w:color w:val="auto"/>
                <w:szCs w:val="21"/>
                <w:highlight w:val="none"/>
              </w:rPr>
            </w:pPr>
          </w:p>
        </w:tc>
        <w:tc>
          <w:tcPr>
            <w:tcW w:w="3405" w:type="dxa"/>
            <w:tcBorders>
              <w:top w:val="single" w:color="auto" w:sz="4" w:space="0"/>
              <w:left w:val="single" w:color="auto" w:sz="4" w:space="0"/>
              <w:bottom w:val="single" w:color="auto" w:sz="4" w:space="0"/>
              <w:right w:val="single" w:color="auto" w:sz="4" w:space="0"/>
            </w:tcBorders>
            <w:vAlign w:val="center"/>
          </w:tcPr>
          <w:p w14:paraId="522BA36B">
            <w:pPr>
              <w:snapToGrid w:val="0"/>
              <w:spacing w:before="120" w:beforeLines="50"/>
              <w:jc w:val="center"/>
              <w:rPr>
                <w:color w:val="auto"/>
                <w:szCs w:val="21"/>
                <w:highlight w:val="none"/>
              </w:rPr>
            </w:pPr>
          </w:p>
        </w:tc>
        <w:tc>
          <w:tcPr>
            <w:tcW w:w="1082" w:type="dxa"/>
            <w:tcBorders>
              <w:top w:val="single" w:color="auto" w:sz="4" w:space="0"/>
              <w:left w:val="single" w:color="auto" w:sz="4" w:space="0"/>
              <w:bottom w:val="single" w:color="auto" w:sz="4" w:space="0"/>
              <w:right w:val="single" w:color="auto" w:sz="4" w:space="0"/>
            </w:tcBorders>
            <w:vAlign w:val="center"/>
          </w:tcPr>
          <w:p w14:paraId="28029FC2">
            <w:pPr>
              <w:snapToGrid w:val="0"/>
              <w:spacing w:before="120" w:beforeLines="50"/>
              <w:jc w:val="center"/>
              <w:rPr>
                <w:color w:val="auto"/>
                <w:szCs w:val="21"/>
                <w:highlight w:val="none"/>
              </w:rPr>
            </w:pPr>
          </w:p>
        </w:tc>
      </w:tr>
      <w:tr w14:paraId="25EBE7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vAlign w:val="center"/>
          </w:tcPr>
          <w:p w14:paraId="1FEB13FC">
            <w:pPr>
              <w:snapToGrid w:val="0"/>
              <w:spacing w:before="120" w:beforeLines="50"/>
              <w:jc w:val="center"/>
              <w:rPr>
                <w:color w:val="auto"/>
                <w:szCs w:val="21"/>
                <w:highlight w:val="none"/>
              </w:rPr>
            </w:pPr>
          </w:p>
        </w:tc>
        <w:tc>
          <w:tcPr>
            <w:tcW w:w="3595" w:type="dxa"/>
            <w:tcBorders>
              <w:top w:val="single" w:color="auto" w:sz="4" w:space="0"/>
              <w:left w:val="single" w:color="auto" w:sz="4" w:space="0"/>
              <w:bottom w:val="single" w:color="auto" w:sz="4" w:space="0"/>
              <w:right w:val="single" w:color="auto" w:sz="4" w:space="0"/>
            </w:tcBorders>
            <w:vAlign w:val="center"/>
          </w:tcPr>
          <w:p w14:paraId="7251EA40">
            <w:pPr>
              <w:snapToGrid w:val="0"/>
              <w:spacing w:before="120" w:beforeLines="50"/>
              <w:jc w:val="center"/>
              <w:rPr>
                <w:color w:val="auto"/>
                <w:szCs w:val="21"/>
                <w:highlight w:val="none"/>
              </w:rPr>
            </w:pPr>
          </w:p>
        </w:tc>
        <w:tc>
          <w:tcPr>
            <w:tcW w:w="3405" w:type="dxa"/>
            <w:tcBorders>
              <w:top w:val="single" w:color="auto" w:sz="4" w:space="0"/>
              <w:left w:val="single" w:color="auto" w:sz="4" w:space="0"/>
              <w:bottom w:val="single" w:color="auto" w:sz="4" w:space="0"/>
              <w:right w:val="single" w:color="auto" w:sz="4" w:space="0"/>
            </w:tcBorders>
            <w:vAlign w:val="center"/>
          </w:tcPr>
          <w:p w14:paraId="6418D80A">
            <w:pPr>
              <w:snapToGrid w:val="0"/>
              <w:spacing w:before="120" w:beforeLines="50"/>
              <w:jc w:val="center"/>
              <w:rPr>
                <w:color w:val="auto"/>
                <w:szCs w:val="21"/>
                <w:highlight w:val="none"/>
              </w:rPr>
            </w:pPr>
          </w:p>
        </w:tc>
        <w:tc>
          <w:tcPr>
            <w:tcW w:w="1082" w:type="dxa"/>
            <w:tcBorders>
              <w:top w:val="single" w:color="auto" w:sz="4" w:space="0"/>
              <w:left w:val="single" w:color="auto" w:sz="4" w:space="0"/>
              <w:bottom w:val="single" w:color="auto" w:sz="4" w:space="0"/>
              <w:right w:val="single" w:color="auto" w:sz="4" w:space="0"/>
            </w:tcBorders>
            <w:vAlign w:val="center"/>
          </w:tcPr>
          <w:p w14:paraId="53EBFB86">
            <w:pPr>
              <w:snapToGrid w:val="0"/>
              <w:spacing w:before="120" w:beforeLines="50"/>
              <w:jc w:val="center"/>
              <w:rPr>
                <w:color w:val="auto"/>
                <w:szCs w:val="21"/>
                <w:highlight w:val="none"/>
              </w:rPr>
            </w:pPr>
          </w:p>
        </w:tc>
      </w:tr>
      <w:tr w14:paraId="2B063A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vAlign w:val="center"/>
          </w:tcPr>
          <w:p w14:paraId="2F34C5FB">
            <w:pPr>
              <w:snapToGrid w:val="0"/>
              <w:spacing w:before="120" w:beforeLines="50"/>
              <w:jc w:val="center"/>
              <w:rPr>
                <w:color w:val="auto"/>
                <w:szCs w:val="21"/>
                <w:highlight w:val="none"/>
              </w:rPr>
            </w:pPr>
          </w:p>
        </w:tc>
        <w:tc>
          <w:tcPr>
            <w:tcW w:w="3595" w:type="dxa"/>
            <w:tcBorders>
              <w:top w:val="single" w:color="auto" w:sz="4" w:space="0"/>
              <w:left w:val="single" w:color="auto" w:sz="4" w:space="0"/>
              <w:bottom w:val="single" w:color="auto" w:sz="4" w:space="0"/>
              <w:right w:val="single" w:color="auto" w:sz="4" w:space="0"/>
            </w:tcBorders>
            <w:vAlign w:val="center"/>
          </w:tcPr>
          <w:p w14:paraId="5EC2E6CD">
            <w:pPr>
              <w:snapToGrid w:val="0"/>
              <w:spacing w:before="120" w:beforeLines="50"/>
              <w:jc w:val="center"/>
              <w:rPr>
                <w:color w:val="auto"/>
                <w:szCs w:val="21"/>
                <w:highlight w:val="none"/>
              </w:rPr>
            </w:pPr>
          </w:p>
        </w:tc>
        <w:tc>
          <w:tcPr>
            <w:tcW w:w="3405" w:type="dxa"/>
            <w:tcBorders>
              <w:top w:val="single" w:color="auto" w:sz="4" w:space="0"/>
              <w:left w:val="single" w:color="auto" w:sz="4" w:space="0"/>
              <w:bottom w:val="single" w:color="auto" w:sz="4" w:space="0"/>
              <w:right w:val="single" w:color="auto" w:sz="4" w:space="0"/>
            </w:tcBorders>
            <w:vAlign w:val="center"/>
          </w:tcPr>
          <w:p w14:paraId="2F2275DD">
            <w:pPr>
              <w:snapToGrid w:val="0"/>
              <w:spacing w:before="120" w:beforeLines="50"/>
              <w:jc w:val="center"/>
              <w:rPr>
                <w:color w:val="auto"/>
                <w:szCs w:val="21"/>
                <w:highlight w:val="none"/>
              </w:rPr>
            </w:pPr>
          </w:p>
        </w:tc>
        <w:tc>
          <w:tcPr>
            <w:tcW w:w="1082" w:type="dxa"/>
            <w:tcBorders>
              <w:top w:val="single" w:color="auto" w:sz="4" w:space="0"/>
              <w:left w:val="single" w:color="auto" w:sz="4" w:space="0"/>
              <w:bottom w:val="single" w:color="auto" w:sz="4" w:space="0"/>
              <w:right w:val="single" w:color="auto" w:sz="4" w:space="0"/>
            </w:tcBorders>
            <w:vAlign w:val="center"/>
          </w:tcPr>
          <w:p w14:paraId="62E71212">
            <w:pPr>
              <w:snapToGrid w:val="0"/>
              <w:spacing w:before="120" w:beforeLines="50"/>
              <w:jc w:val="center"/>
              <w:rPr>
                <w:color w:val="auto"/>
                <w:szCs w:val="21"/>
                <w:highlight w:val="none"/>
              </w:rPr>
            </w:pPr>
          </w:p>
        </w:tc>
      </w:tr>
      <w:tr w14:paraId="546E75B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vAlign w:val="center"/>
          </w:tcPr>
          <w:p w14:paraId="6113A146">
            <w:pPr>
              <w:snapToGrid w:val="0"/>
              <w:spacing w:before="120" w:beforeLines="50"/>
              <w:jc w:val="center"/>
              <w:rPr>
                <w:color w:val="auto"/>
                <w:szCs w:val="21"/>
                <w:highlight w:val="none"/>
              </w:rPr>
            </w:pPr>
            <w:r>
              <w:rPr>
                <w:color w:val="auto"/>
                <w:szCs w:val="21"/>
                <w:highlight w:val="none"/>
              </w:rPr>
              <w:t>……</w:t>
            </w:r>
          </w:p>
        </w:tc>
        <w:tc>
          <w:tcPr>
            <w:tcW w:w="3595" w:type="dxa"/>
            <w:tcBorders>
              <w:top w:val="single" w:color="auto" w:sz="4" w:space="0"/>
              <w:left w:val="single" w:color="auto" w:sz="4" w:space="0"/>
              <w:bottom w:val="single" w:color="auto" w:sz="4" w:space="0"/>
              <w:right w:val="single" w:color="auto" w:sz="4" w:space="0"/>
            </w:tcBorders>
            <w:vAlign w:val="center"/>
          </w:tcPr>
          <w:p w14:paraId="7CF50F52">
            <w:pPr>
              <w:snapToGrid w:val="0"/>
              <w:spacing w:before="120" w:beforeLines="50"/>
              <w:jc w:val="center"/>
              <w:rPr>
                <w:color w:val="auto"/>
                <w:szCs w:val="21"/>
                <w:highlight w:val="none"/>
              </w:rPr>
            </w:pPr>
            <w:r>
              <w:rPr>
                <w:color w:val="auto"/>
                <w:szCs w:val="21"/>
                <w:highlight w:val="none"/>
              </w:rPr>
              <w:t>……</w:t>
            </w:r>
          </w:p>
        </w:tc>
        <w:tc>
          <w:tcPr>
            <w:tcW w:w="3405" w:type="dxa"/>
            <w:tcBorders>
              <w:top w:val="single" w:color="auto" w:sz="4" w:space="0"/>
              <w:left w:val="single" w:color="auto" w:sz="4" w:space="0"/>
              <w:bottom w:val="single" w:color="auto" w:sz="4" w:space="0"/>
              <w:right w:val="single" w:color="auto" w:sz="4" w:space="0"/>
            </w:tcBorders>
            <w:vAlign w:val="center"/>
          </w:tcPr>
          <w:p w14:paraId="515C08FE">
            <w:pPr>
              <w:snapToGrid w:val="0"/>
              <w:spacing w:before="120" w:beforeLines="50"/>
              <w:jc w:val="center"/>
              <w:rPr>
                <w:color w:val="auto"/>
                <w:szCs w:val="21"/>
                <w:highlight w:val="none"/>
              </w:rPr>
            </w:pPr>
            <w:r>
              <w:rPr>
                <w:color w:val="auto"/>
                <w:szCs w:val="21"/>
                <w:highlight w:val="none"/>
              </w:rPr>
              <w:t>……</w:t>
            </w:r>
          </w:p>
        </w:tc>
        <w:tc>
          <w:tcPr>
            <w:tcW w:w="1082" w:type="dxa"/>
            <w:tcBorders>
              <w:top w:val="single" w:color="auto" w:sz="4" w:space="0"/>
              <w:left w:val="single" w:color="auto" w:sz="4" w:space="0"/>
              <w:bottom w:val="single" w:color="auto" w:sz="4" w:space="0"/>
              <w:right w:val="single" w:color="auto" w:sz="4" w:space="0"/>
            </w:tcBorders>
            <w:vAlign w:val="center"/>
          </w:tcPr>
          <w:p w14:paraId="5BC3F675">
            <w:pPr>
              <w:snapToGrid w:val="0"/>
              <w:spacing w:before="120" w:beforeLines="50"/>
              <w:jc w:val="center"/>
              <w:rPr>
                <w:color w:val="auto"/>
                <w:szCs w:val="21"/>
                <w:highlight w:val="none"/>
              </w:rPr>
            </w:pPr>
            <w:r>
              <w:rPr>
                <w:color w:val="auto"/>
                <w:szCs w:val="21"/>
                <w:highlight w:val="none"/>
              </w:rPr>
              <w:t>……</w:t>
            </w:r>
          </w:p>
        </w:tc>
      </w:tr>
    </w:tbl>
    <w:p w14:paraId="02C3406D">
      <w:pPr>
        <w:rPr>
          <w:color w:val="auto"/>
          <w:szCs w:val="21"/>
          <w:highlight w:val="none"/>
        </w:rPr>
      </w:pPr>
    </w:p>
    <w:bookmarkEnd w:id="102"/>
    <w:p w14:paraId="7FDDE31D">
      <w:pPr>
        <w:pStyle w:val="26"/>
        <w:tabs>
          <w:tab w:val="left" w:pos="2127"/>
        </w:tabs>
        <w:spacing w:line="340" w:lineRule="exact"/>
        <w:jc w:val="left"/>
        <w:rPr>
          <w:rFonts w:ascii="Times New Roman" w:hAnsi="Times New Roman" w:cs="Times New Roman"/>
          <w:color w:val="auto"/>
          <w:highlight w:val="none"/>
        </w:rPr>
      </w:pPr>
      <w:bookmarkStart w:id="103" w:name="_Hlk89181501"/>
      <w:r>
        <w:rPr>
          <w:color w:val="auto"/>
          <w:highlight w:val="none"/>
        </w:rPr>
        <w:t>注：（1）</w:t>
      </w:r>
      <w:r>
        <w:rPr>
          <w:rFonts w:ascii="Times New Roman" w:hAnsi="Times New Roman" w:cs="Times New Roman"/>
          <w:color w:val="auto"/>
          <w:highlight w:val="none"/>
        </w:rPr>
        <w:t>本表应对采购文件</w:t>
      </w:r>
      <w:r>
        <w:rPr>
          <w:color w:val="auto"/>
          <w:highlight w:val="none"/>
        </w:rPr>
        <w:t>第</w:t>
      </w:r>
      <w:r>
        <w:rPr>
          <w:rFonts w:hint="eastAsia"/>
          <w:color w:val="auto"/>
          <w:highlight w:val="none"/>
        </w:rPr>
        <w:t>二</w:t>
      </w:r>
      <w:r>
        <w:rPr>
          <w:color w:val="auto"/>
          <w:highlight w:val="none"/>
        </w:rPr>
        <w:t>章</w:t>
      </w:r>
      <w:r>
        <w:rPr>
          <w:rFonts w:hint="eastAsia"/>
          <w:color w:val="auto"/>
          <w:highlight w:val="none"/>
        </w:rPr>
        <w:t>《采购需求》</w:t>
      </w:r>
      <w:r>
        <w:rPr>
          <w:rFonts w:ascii="Times New Roman" w:hAnsi="Times New Roman" w:cs="Times New Roman"/>
          <w:color w:val="auto"/>
          <w:highlight w:val="none"/>
        </w:rPr>
        <w:t>中所列</w:t>
      </w:r>
      <w:r>
        <w:rPr>
          <w:rFonts w:hint="eastAsia" w:ascii="Times New Roman" w:hAnsi="Times New Roman" w:cs="Times New Roman"/>
          <w:color w:val="auto"/>
          <w:highlight w:val="none"/>
        </w:rPr>
        <w:t>技术</w:t>
      </w:r>
      <w:r>
        <w:rPr>
          <w:rFonts w:ascii="Times New Roman" w:hAnsi="Times New Roman" w:cs="Times New Roman"/>
          <w:color w:val="auto"/>
          <w:highlight w:val="none"/>
        </w:rPr>
        <w:t>要求进行响应，并根据响应情况在“偏离说明”栏填写正偏离或负偏离及原因，完全符合的填写</w:t>
      </w:r>
      <w:r>
        <w:rPr>
          <w:rFonts w:hint="eastAsia" w:ascii="Times New Roman" w:hAnsi="Times New Roman" w:cs="Times New Roman"/>
          <w:color w:val="auto"/>
          <w:highlight w:val="none"/>
        </w:rPr>
        <w:t>“</w:t>
      </w:r>
      <w:r>
        <w:rPr>
          <w:rFonts w:ascii="Times New Roman" w:hAnsi="Times New Roman" w:cs="Times New Roman"/>
          <w:color w:val="auto"/>
          <w:highlight w:val="none"/>
        </w:rPr>
        <w:t>无偏离</w:t>
      </w:r>
      <w:r>
        <w:rPr>
          <w:rFonts w:hint="eastAsia" w:ascii="Times New Roman" w:hAnsi="Times New Roman" w:cs="Times New Roman"/>
          <w:color w:val="auto"/>
          <w:highlight w:val="none"/>
        </w:rPr>
        <w:t>”</w:t>
      </w:r>
      <w:r>
        <w:rPr>
          <w:rFonts w:ascii="Times New Roman" w:hAnsi="Times New Roman" w:cs="Times New Roman"/>
          <w:color w:val="auto"/>
          <w:highlight w:val="none"/>
        </w:rPr>
        <w:t>。</w:t>
      </w:r>
    </w:p>
    <w:p w14:paraId="745B9879">
      <w:pPr>
        <w:rPr>
          <w:color w:val="auto"/>
          <w:highlight w:val="none"/>
        </w:rPr>
      </w:pPr>
      <w:r>
        <w:rPr>
          <w:rFonts w:hint="eastAsia"/>
          <w:color w:val="auto"/>
          <w:highlight w:val="none"/>
        </w:rPr>
        <w:t>（2）</w:t>
      </w:r>
      <w:r>
        <w:rPr>
          <w:color w:val="auto"/>
          <w:highlight w:val="none"/>
        </w:rPr>
        <w:t>第</w:t>
      </w:r>
      <w:r>
        <w:rPr>
          <w:rFonts w:hint="eastAsia"/>
          <w:color w:val="auto"/>
          <w:highlight w:val="none"/>
        </w:rPr>
        <w:t>二</w:t>
      </w:r>
      <w:r>
        <w:rPr>
          <w:color w:val="auto"/>
          <w:highlight w:val="none"/>
        </w:rPr>
        <w:t>章</w:t>
      </w:r>
      <w:r>
        <w:rPr>
          <w:rFonts w:hint="eastAsia"/>
          <w:color w:val="auto"/>
          <w:highlight w:val="none"/>
        </w:rPr>
        <w:t>《采购需求》中的总体要求无需响应。</w:t>
      </w:r>
    </w:p>
    <w:p w14:paraId="4E68F50E">
      <w:pPr>
        <w:rPr>
          <w:color w:val="auto"/>
          <w:highlight w:val="none"/>
        </w:rPr>
      </w:pPr>
      <w:r>
        <w:rPr>
          <w:rFonts w:hint="eastAsia"/>
          <w:color w:val="auto"/>
          <w:highlight w:val="none"/>
        </w:rPr>
        <w:t>（</w:t>
      </w:r>
      <w:r>
        <w:rPr>
          <w:color w:val="auto"/>
          <w:highlight w:val="none"/>
        </w:rPr>
        <w:t>3</w:t>
      </w:r>
      <w:r>
        <w:rPr>
          <w:rFonts w:hint="eastAsia"/>
          <w:color w:val="auto"/>
          <w:highlight w:val="none"/>
        </w:rPr>
        <w:t>）偏离认定说明详见评审方法及标准。</w:t>
      </w:r>
    </w:p>
    <w:p w14:paraId="7BAD0177">
      <w:pPr>
        <w:rPr>
          <w:color w:val="auto"/>
          <w:highlight w:val="none"/>
        </w:rPr>
      </w:pPr>
      <w:r>
        <w:rPr>
          <w:color w:val="auto"/>
          <w:highlight w:val="none"/>
        </w:rPr>
        <w:t>（4）本表可扩展。</w:t>
      </w:r>
    </w:p>
    <w:p w14:paraId="0B306DCE">
      <w:pPr>
        <w:rPr>
          <w:color w:val="auto"/>
          <w:szCs w:val="21"/>
          <w:highlight w:val="none"/>
        </w:rPr>
      </w:pPr>
    </w:p>
    <w:p w14:paraId="109A79FD">
      <w:pPr>
        <w:rPr>
          <w:color w:val="auto"/>
          <w:spacing w:val="20"/>
          <w:szCs w:val="21"/>
          <w:highlight w:val="none"/>
          <w:u w:val="single"/>
        </w:rPr>
      </w:pPr>
    </w:p>
    <w:p w14:paraId="45FD3510">
      <w:pPr>
        <w:rPr>
          <w:color w:val="auto"/>
          <w:szCs w:val="21"/>
          <w:highlight w:val="none"/>
        </w:rPr>
      </w:pPr>
      <w:r>
        <w:rPr>
          <w:color w:val="auto"/>
          <w:szCs w:val="21"/>
          <w:highlight w:val="none"/>
        </w:rPr>
        <w:t>供应商</w:t>
      </w:r>
      <w:r>
        <w:rPr>
          <w:rFonts w:hint="eastAsia"/>
          <w:color w:val="auto"/>
          <w:szCs w:val="21"/>
          <w:highlight w:val="none"/>
        </w:rPr>
        <w:t>名称(电子签章</w:t>
      </w:r>
      <w:r>
        <w:rPr>
          <w:color w:val="auto"/>
          <w:szCs w:val="21"/>
          <w:highlight w:val="none"/>
        </w:rPr>
        <w:t>)</w:t>
      </w:r>
      <w:r>
        <w:rPr>
          <w:color w:val="auto"/>
          <w:spacing w:val="20"/>
          <w:szCs w:val="21"/>
          <w:highlight w:val="none"/>
        </w:rPr>
        <w:t>：</w:t>
      </w:r>
      <w:r>
        <w:rPr>
          <w:color w:val="auto"/>
          <w:spacing w:val="20"/>
          <w:szCs w:val="21"/>
          <w:highlight w:val="none"/>
          <w:u w:val="single"/>
        </w:rPr>
        <w:t xml:space="preserve">            </w:t>
      </w:r>
      <w:r>
        <w:rPr>
          <w:color w:val="auto"/>
          <w:spacing w:val="20"/>
          <w:szCs w:val="21"/>
          <w:highlight w:val="none"/>
        </w:rPr>
        <w:t xml:space="preserve">              日 期：</w:t>
      </w:r>
      <w:r>
        <w:rPr>
          <w:color w:val="auto"/>
          <w:spacing w:val="20"/>
          <w:szCs w:val="21"/>
          <w:highlight w:val="none"/>
          <w:u w:val="single"/>
        </w:rPr>
        <w:t xml:space="preserve">            </w:t>
      </w:r>
    </w:p>
    <w:bookmarkEnd w:id="103"/>
    <w:p w14:paraId="3A009ECA">
      <w:pPr>
        <w:rPr>
          <w:color w:val="auto"/>
          <w:szCs w:val="21"/>
          <w:highlight w:val="none"/>
        </w:rPr>
      </w:pPr>
    </w:p>
    <w:p w14:paraId="022620CB">
      <w:pPr>
        <w:snapToGrid w:val="0"/>
        <w:spacing w:before="50" w:after="120" w:afterLines="50"/>
        <w:jc w:val="left"/>
        <w:rPr>
          <w:color w:val="auto"/>
          <w:szCs w:val="21"/>
          <w:highlight w:val="none"/>
        </w:rPr>
      </w:pPr>
      <w:bookmarkStart w:id="104" w:name="_Hlk21623696"/>
      <w:r>
        <w:rPr>
          <w:color w:val="auto"/>
          <w:szCs w:val="21"/>
          <w:highlight w:val="none"/>
        </w:rPr>
        <w:t>2．</w:t>
      </w:r>
      <w:r>
        <w:rPr>
          <w:rFonts w:hint="eastAsia"/>
          <w:color w:val="auto"/>
          <w:szCs w:val="21"/>
          <w:highlight w:val="none"/>
        </w:rPr>
        <w:t>货物或产品</w:t>
      </w:r>
      <w:r>
        <w:rPr>
          <w:color w:val="auto"/>
          <w:szCs w:val="21"/>
          <w:highlight w:val="none"/>
        </w:rPr>
        <w:t>配置清单格式：</w:t>
      </w:r>
    </w:p>
    <w:tbl>
      <w:tblPr>
        <w:tblStyle w:val="51"/>
        <w:tblW w:w="894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54"/>
        <w:gridCol w:w="1681"/>
        <w:gridCol w:w="1174"/>
        <w:gridCol w:w="1163"/>
        <w:gridCol w:w="1596"/>
        <w:gridCol w:w="1695"/>
        <w:gridCol w:w="1080"/>
      </w:tblGrid>
      <w:tr w14:paraId="05DCDE1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554" w:type="dxa"/>
            <w:tcBorders>
              <w:top w:val="single" w:color="auto" w:sz="4" w:space="0"/>
              <w:left w:val="single" w:color="auto" w:sz="4" w:space="0"/>
              <w:bottom w:val="single" w:color="auto" w:sz="4" w:space="0"/>
              <w:right w:val="single" w:color="auto" w:sz="4" w:space="0"/>
            </w:tcBorders>
            <w:vAlign w:val="center"/>
          </w:tcPr>
          <w:p w14:paraId="6C286CBC">
            <w:pPr>
              <w:snapToGrid w:val="0"/>
              <w:spacing w:before="50" w:after="50" w:line="440" w:lineRule="exact"/>
              <w:jc w:val="center"/>
              <w:rPr>
                <w:color w:val="auto"/>
                <w:szCs w:val="21"/>
                <w:highlight w:val="none"/>
              </w:rPr>
            </w:pPr>
            <w:r>
              <w:rPr>
                <w:color w:val="auto"/>
                <w:szCs w:val="21"/>
                <w:highlight w:val="none"/>
              </w:rPr>
              <w:t>序号</w:t>
            </w:r>
          </w:p>
        </w:tc>
        <w:tc>
          <w:tcPr>
            <w:tcW w:w="1681" w:type="dxa"/>
            <w:tcBorders>
              <w:top w:val="single" w:color="auto" w:sz="4" w:space="0"/>
              <w:left w:val="single" w:color="auto" w:sz="4" w:space="0"/>
              <w:bottom w:val="single" w:color="auto" w:sz="4" w:space="0"/>
              <w:right w:val="single" w:color="auto" w:sz="4" w:space="0"/>
            </w:tcBorders>
            <w:vAlign w:val="center"/>
          </w:tcPr>
          <w:p w14:paraId="0ED933F6">
            <w:pPr>
              <w:snapToGrid w:val="0"/>
              <w:spacing w:before="50" w:after="50" w:line="440" w:lineRule="exact"/>
              <w:jc w:val="center"/>
              <w:rPr>
                <w:color w:val="auto"/>
                <w:szCs w:val="21"/>
                <w:highlight w:val="none"/>
              </w:rPr>
            </w:pPr>
            <w:r>
              <w:rPr>
                <w:rFonts w:hint="eastAsia"/>
                <w:color w:val="auto"/>
                <w:szCs w:val="21"/>
                <w:highlight w:val="none"/>
              </w:rPr>
              <w:t>货物或产品</w:t>
            </w:r>
          </w:p>
          <w:p w14:paraId="29CF2AC0">
            <w:pPr>
              <w:snapToGrid w:val="0"/>
              <w:spacing w:before="50" w:after="50" w:line="440" w:lineRule="exact"/>
              <w:jc w:val="center"/>
              <w:rPr>
                <w:color w:val="auto"/>
                <w:szCs w:val="21"/>
                <w:highlight w:val="none"/>
              </w:rPr>
            </w:pPr>
            <w:r>
              <w:rPr>
                <w:color w:val="auto"/>
                <w:szCs w:val="21"/>
                <w:highlight w:val="none"/>
              </w:rPr>
              <w:t>名称</w:t>
            </w:r>
          </w:p>
        </w:tc>
        <w:tc>
          <w:tcPr>
            <w:tcW w:w="1174" w:type="dxa"/>
            <w:tcBorders>
              <w:top w:val="single" w:color="auto" w:sz="4" w:space="0"/>
              <w:left w:val="single" w:color="auto" w:sz="4" w:space="0"/>
              <w:bottom w:val="single" w:color="auto" w:sz="4" w:space="0"/>
              <w:right w:val="single" w:color="auto" w:sz="4" w:space="0"/>
            </w:tcBorders>
            <w:vAlign w:val="center"/>
          </w:tcPr>
          <w:p w14:paraId="31741F20">
            <w:pPr>
              <w:snapToGrid w:val="0"/>
              <w:spacing w:before="50" w:after="50" w:line="440" w:lineRule="exact"/>
              <w:jc w:val="center"/>
              <w:rPr>
                <w:color w:val="auto"/>
                <w:szCs w:val="21"/>
                <w:highlight w:val="none"/>
              </w:rPr>
            </w:pPr>
            <w:r>
              <w:rPr>
                <w:color w:val="auto"/>
                <w:szCs w:val="21"/>
                <w:highlight w:val="none"/>
              </w:rPr>
              <w:t>品牌或制造商</w:t>
            </w:r>
          </w:p>
        </w:tc>
        <w:tc>
          <w:tcPr>
            <w:tcW w:w="1163" w:type="dxa"/>
            <w:tcBorders>
              <w:top w:val="single" w:color="auto" w:sz="4" w:space="0"/>
              <w:left w:val="single" w:color="auto" w:sz="4" w:space="0"/>
              <w:bottom w:val="single" w:color="auto" w:sz="4" w:space="0"/>
              <w:right w:val="single" w:color="auto" w:sz="4" w:space="0"/>
            </w:tcBorders>
            <w:vAlign w:val="center"/>
          </w:tcPr>
          <w:p w14:paraId="3FABE3A6">
            <w:pPr>
              <w:snapToGrid w:val="0"/>
              <w:spacing w:before="50" w:after="50" w:line="440" w:lineRule="exact"/>
              <w:jc w:val="center"/>
              <w:rPr>
                <w:color w:val="auto"/>
                <w:szCs w:val="21"/>
                <w:highlight w:val="none"/>
              </w:rPr>
            </w:pPr>
            <w:r>
              <w:rPr>
                <w:color w:val="auto"/>
                <w:szCs w:val="21"/>
                <w:highlight w:val="none"/>
              </w:rPr>
              <w:t>规格型号</w:t>
            </w:r>
          </w:p>
        </w:tc>
        <w:tc>
          <w:tcPr>
            <w:tcW w:w="1596" w:type="dxa"/>
            <w:tcBorders>
              <w:top w:val="single" w:color="auto" w:sz="4" w:space="0"/>
              <w:left w:val="single" w:color="auto" w:sz="4" w:space="0"/>
              <w:bottom w:val="single" w:color="auto" w:sz="4" w:space="0"/>
              <w:right w:val="single" w:color="auto" w:sz="4" w:space="0"/>
            </w:tcBorders>
            <w:vAlign w:val="center"/>
          </w:tcPr>
          <w:p w14:paraId="6364F5BA">
            <w:pPr>
              <w:snapToGrid w:val="0"/>
              <w:spacing w:before="50" w:after="50" w:line="440" w:lineRule="exact"/>
              <w:jc w:val="center"/>
              <w:rPr>
                <w:color w:val="auto"/>
                <w:szCs w:val="21"/>
                <w:highlight w:val="none"/>
              </w:rPr>
            </w:pPr>
            <w:r>
              <w:rPr>
                <w:color w:val="auto"/>
                <w:szCs w:val="21"/>
                <w:highlight w:val="none"/>
              </w:rPr>
              <w:t>单位及数量</w:t>
            </w:r>
          </w:p>
        </w:tc>
        <w:tc>
          <w:tcPr>
            <w:tcW w:w="1695" w:type="dxa"/>
            <w:tcBorders>
              <w:top w:val="single" w:color="auto" w:sz="4" w:space="0"/>
              <w:left w:val="single" w:color="auto" w:sz="4" w:space="0"/>
              <w:bottom w:val="single" w:color="auto" w:sz="4" w:space="0"/>
              <w:right w:val="single" w:color="auto" w:sz="4" w:space="0"/>
            </w:tcBorders>
            <w:vAlign w:val="center"/>
          </w:tcPr>
          <w:p w14:paraId="623B79E7">
            <w:pPr>
              <w:snapToGrid w:val="0"/>
              <w:spacing w:before="50" w:after="50" w:line="440" w:lineRule="exact"/>
              <w:jc w:val="center"/>
              <w:rPr>
                <w:color w:val="auto"/>
                <w:szCs w:val="21"/>
                <w:highlight w:val="none"/>
              </w:rPr>
            </w:pPr>
            <w:r>
              <w:rPr>
                <w:color w:val="auto"/>
                <w:szCs w:val="21"/>
                <w:highlight w:val="none"/>
              </w:rPr>
              <w:t>性能及指标</w:t>
            </w:r>
          </w:p>
        </w:tc>
        <w:tc>
          <w:tcPr>
            <w:tcW w:w="1080" w:type="dxa"/>
            <w:tcBorders>
              <w:top w:val="single" w:color="auto" w:sz="4" w:space="0"/>
              <w:left w:val="single" w:color="auto" w:sz="4" w:space="0"/>
              <w:bottom w:val="single" w:color="auto" w:sz="4" w:space="0"/>
              <w:right w:val="single" w:color="auto" w:sz="4" w:space="0"/>
            </w:tcBorders>
            <w:vAlign w:val="center"/>
          </w:tcPr>
          <w:p w14:paraId="09107609">
            <w:pPr>
              <w:snapToGrid w:val="0"/>
              <w:spacing w:before="50" w:after="50" w:line="440" w:lineRule="exact"/>
              <w:jc w:val="center"/>
              <w:rPr>
                <w:color w:val="auto"/>
                <w:szCs w:val="21"/>
                <w:highlight w:val="none"/>
              </w:rPr>
            </w:pPr>
            <w:r>
              <w:rPr>
                <w:color w:val="auto"/>
                <w:szCs w:val="21"/>
                <w:highlight w:val="none"/>
              </w:rPr>
              <w:t>产地</w:t>
            </w:r>
          </w:p>
        </w:tc>
      </w:tr>
      <w:tr w14:paraId="12BB62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3" w:hRule="atLeast"/>
          <w:jc w:val="center"/>
        </w:trPr>
        <w:tc>
          <w:tcPr>
            <w:tcW w:w="554" w:type="dxa"/>
            <w:tcBorders>
              <w:top w:val="single" w:color="auto" w:sz="4" w:space="0"/>
              <w:left w:val="single" w:color="auto" w:sz="4" w:space="0"/>
              <w:bottom w:val="single" w:color="auto" w:sz="4" w:space="0"/>
              <w:right w:val="single" w:color="auto" w:sz="4" w:space="0"/>
            </w:tcBorders>
            <w:vAlign w:val="center"/>
          </w:tcPr>
          <w:p w14:paraId="679EFB18">
            <w:pPr>
              <w:snapToGrid w:val="0"/>
              <w:spacing w:before="50" w:after="50" w:line="440" w:lineRule="exact"/>
              <w:jc w:val="center"/>
              <w:rPr>
                <w:color w:val="auto"/>
                <w:szCs w:val="21"/>
                <w:highlight w:val="none"/>
              </w:rPr>
            </w:pPr>
          </w:p>
        </w:tc>
        <w:tc>
          <w:tcPr>
            <w:tcW w:w="1681" w:type="dxa"/>
            <w:tcBorders>
              <w:top w:val="single" w:color="auto" w:sz="4" w:space="0"/>
              <w:left w:val="single" w:color="auto" w:sz="4" w:space="0"/>
              <w:bottom w:val="single" w:color="auto" w:sz="4" w:space="0"/>
              <w:right w:val="single" w:color="auto" w:sz="4" w:space="0"/>
            </w:tcBorders>
            <w:vAlign w:val="center"/>
          </w:tcPr>
          <w:p w14:paraId="18EDB032">
            <w:pPr>
              <w:snapToGrid w:val="0"/>
              <w:spacing w:before="50" w:after="50" w:line="440" w:lineRule="exact"/>
              <w:rPr>
                <w:color w:val="auto"/>
                <w:szCs w:val="21"/>
                <w:highlight w:val="none"/>
              </w:rPr>
            </w:pPr>
          </w:p>
        </w:tc>
        <w:tc>
          <w:tcPr>
            <w:tcW w:w="1174" w:type="dxa"/>
            <w:tcBorders>
              <w:top w:val="single" w:color="auto" w:sz="4" w:space="0"/>
              <w:left w:val="single" w:color="auto" w:sz="4" w:space="0"/>
              <w:bottom w:val="single" w:color="auto" w:sz="4" w:space="0"/>
              <w:right w:val="single" w:color="auto" w:sz="4" w:space="0"/>
            </w:tcBorders>
            <w:vAlign w:val="center"/>
          </w:tcPr>
          <w:p w14:paraId="22A28FAA">
            <w:pPr>
              <w:snapToGrid w:val="0"/>
              <w:spacing w:before="50" w:after="50" w:line="440" w:lineRule="exact"/>
              <w:jc w:val="center"/>
              <w:rPr>
                <w:color w:val="auto"/>
                <w:szCs w:val="21"/>
                <w:highlight w:val="none"/>
              </w:rPr>
            </w:pPr>
          </w:p>
        </w:tc>
        <w:tc>
          <w:tcPr>
            <w:tcW w:w="1163" w:type="dxa"/>
            <w:tcBorders>
              <w:top w:val="single" w:color="auto" w:sz="4" w:space="0"/>
              <w:left w:val="single" w:color="auto" w:sz="4" w:space="0"/>
              <w:bottom w:val="single" w:color="auto" w:sz="4" w:space="0"/>
              <w:right w:val="single" w:color="auto" w:sz="4" w:space="0"/>
            </w:tcBorders>
            <w:vAlign w:val="center"/>
          </w:tcPr>
          <w:p w14:paraId="5F0B0958">
            <w:pPr>
              <w:snapToGrid w:val="0"/>
              <w:spacing w:before="50" w:after="50" w:line="440" w:lineRule="exact"/>
              <w:jc w:val="center"/>
              <w:rPr>
                <w:color w:val="auto"/>
                <w:szCs w:val="21"/>
                <w:highlight w:val="none"/>
              </w:rPr>
            </w:pPr>
          </w:p>
        </w:tc>
        <w:tc>
          <w:tcPr>
            <w:tcW w:w="1596" w:type="dxa"/>
            <w:tcBorders>
              <w:top w:val="single" w:color="auto" w:sz="4" w:space="0"/>
              <w:left w:val="single" w:color="auto" w:sz="4" w:space="0"/>
              <w:bottom w:val="single" w:color="auto" w:sz="4" w:space="0"/>
              <w:right w:val="single" w:color="auto" w:sz="4" w:space="0"/>
            </w:tcBorders>
            <w:vAlign w:val="center"/>
          </w:tcPr>
          <w:p w14:paraId="5E331594">
            <w:pPr>
              <w:snapToGrid w:val="0"/>
              <w:spacing w:before="50" w:after="50" w:line="440" w:lineRule="exact"/>
              <w:jc w:val="center"/>
              <w:rPr>
                <w:color w:val="auto"/>
                <w:szCs w:val="21"/>
                <w:highlight w:val="none"/>
              </w:rPr>
            </w:pPr>
          </w:p>
        </w:tc>
        <w:tc>
          <w:tcPr>
            <w:tcW w:w="1695" w:type="dxa"/>
            <w:tcBorders>
              <w:top w:val="single" w:color="auto" w:sz="4" w:space="0"/>
              <w:left w:val="single" w:color="auto" w:sz="4" w:space="0"/>
              <w:bottom w:val="single" w:color="auto" w:sz="4" w:space="0"/>
              <w:right w:val="single" w:color="auto" w:sz="4" w:space="0"/>
            </w:tcBorders>
            <w:vAlign w:val="center"/>
          </w:tcPr>
          <w:p w14:paraId="685649C5">
            <w:pPr>
              <w:snapToGrid w:val="0"/>
              <w:spacing w:before="50" w:after="50" w:line="440" w:lineRule="exact"/>
              <w:jc w:val="center"/>
              <w:rPr>
                <w:color w:val="auto"/>
                <w:szCs w:val="21"/>
                <w:highlight w:val="none"/>
              </w:rPr>
            </w:pPr>
          </w:p>
        </w:tc>
        <w:tc>
          <w:tcPr>
            <w:tcW w:w="1080" w:type="dxa"/>
            <w:tcBorders>
              <w:top w:val="single" w:color="auto" w:sz="4" w:space="0"/>
              <w:left w:val="single" w:color="auto" w:sz="4" w:space="0"/>
              <w:bottom w:val="single" w:color="auto" w:sz="4" w:space="0"/>
              <w:right w:val="single" w:color="auto" w:sz="4" w:space="0"/>
            </w:tcBorders>
            <w:vAlign w:val="center"/>
          </w:tcPr>
          <w:p w14:paraId="214242E0">
            <w:pPr>
              <w:snapToGrid w:val="0"/>
              <w:spacing w:before="50" w:after="50" w:line="440" w:lineRule="exact"/>
              <w:jc w:val="center"/>
              <w:rPr>
                <w:color w:val="auto"/>
                <w:szCs w:val="21"/>
                <w:highlight w:val="none"/>
              </w:rPr>
            </w:pPr>
          </w:p>
        </w:tc>
      </w:tr>
      <w:tr w14:paraId="53EF4A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8" w:hRule="atLeast"/>
          <w:jc w:val="center"/>
        </w:trPr>
        <w:tc>
          <w:tcPr>
            <w:tcW w:w="554" w:type="dxa"/>
            <w:tcBorders>
              <w:top w:val="single" w:color="auto" w:sz="4" w:space="0"/>
              <w:left w:val="single" w:color="auto" w:sz="4" w:space="0"/>
              <w:bottom w:val="single" w:color="auto" w:sz="4" w:space="0"/>
              <w:right w:val="single" w:color="auto" w:sz="4" w:space="0"/>
            </w:tcBorders>
            <w:vAlign w:val="center"/>
          </w:tcPr>
          <w:p w14:paraId="2D4FED17">
            <w:pPr>
              <w:snapToGrid w:val="0"/>
              <w:spacing w:before="50" w:after="50" w:line="440" w:lineRule="exact"/>
              <w:jc w:val="center"/>
              <w:rPr>
                <w:color w:val="auto"/>
                <w:szCs w:val="21"/>
                <w:highlight w:val="none"/>
              </w:rPr>
            </w:pPr>
          </w:p>
        </w:tc>
        <w:tc>
          <w:tcPr>
            <w:tcW w:w="1681" w:type="dxa"/>
            <w:tcBorders>
              <w:top w:val="single" w:color="auto" w:sz="4" w:space="0"/>
              <w:left w:val="single" w:color="auto" w:sz="4" w:space="0"/>
              <w:bottom w:val="single" w:color="auto" w:sz="4" w:space="0"/>
              <w:right w:val="single" w:color="auto" w:sz="4" w:space="0"/>
            </w:tcBorders>
            <w:vAlign w:val="center"/>
          </w:tcPr>
          <w:p w14:paraId="50EB38F0">
            <w:pPr>
              <w:snapToGrid w:val="0"/>
              <w:spacing w:before="50" w:after="50" w:line="440" w:lineRule="exact"/>
              <w:jc w:val="center"/>
              <w:rPr>
                <w:color w:val="auto"/>
                <w:szCs w:val="21"/>
                <w:highlight w:val="none"/>
              </w:rPr>
            </w:pPr>
          </w:p>
        </w:tc>
        <w:tc>
          <w:tcPr>
            <w:tcW w:w="1174" w:type="dxa"/>
            <w:tcBorders>
              <w:top w:val="single" w:color="auto" w:sz="4" w:space="0"/>
              <w:left w:val="single" w:color="auto" w:sz="4" w:space="0"/>
              <w:bottom w:val="single" w:color="auto" w:sz="4" w:space="0"/>
              <w:right w:val="single" w:color="auto" w:sz="4" w:space="0"/>
            </w:tcBorders>
            <w:vAlign w:val="center"/>
          </w:tcPr>
          <w:p w14:paraId="34E1B7FA">
            <w:pPr>
              <w:snapToGrid w:val="0"/>
              <w:spacing w:before="50" w:after="50" w:line="440" w:lineRule="exact"/>
              <w:jc w:val="center"/>
              <w:rPr>
                <w:color w:val="auto"/>
                <w:szCs w:val="21"/>
                <w:highlight w:val="none"/>
              </w:rPr>
            </w:pPr>
          </w:p>
        </w:tc>
        <w:tc>
          <w:tcPr>
            <w:tcW w:w="1163" w:type="dxa"/>
            <w:tcBorders>
              <w:top w:val="single" w:color="auto" w:sz="4" w:space="0"/>
              <w:left w:val="single" w:color="auto" w:sz="4" w:space="0"/>
              <w:bottom w:val="single" w:color="auto" w:sz="4" w:space="0"/>
              <w:right w:val="single" w:color="auto" w:sz="4" w:space="0"/>
            </w:tcBorders>
            <w:vAlign w:val="center"/>
          </w:tcPr>
          <w:p w14:paraId="1A597610">
            <w:pPr>
              <w:snapToGrid w:val="0"/>
              <w:spacing w:before="50" w:after="50" w:line="440" w:lineRule="exact"/>
              <w:jc w:val="center"/>
              <w:rPr>
                <w:color w:val="auto"/>
                <w:szCs w:val="21"/>
                <w:highlight w:val="none"/>
              </w:rPr>
            </w:pPr>
          </w:p>
        </w:tc>
        <w:tc>
          <w:tcPr>
            <w:tcW w:w="1596" w:type="dxa"/>
            <w:tcBorders>
              <w:top w:val="single" w:color="auto" w:sz="4" w:space="0"/>
              <w:left w:val="single" w:color="auto" w:sz="4" w:space="0"/>
              <w:bottom w:val="single" w:color="auto" w:sz="4" w:space="0"/>
              <w:right w:val="single" w:color="auto" w:sz="4" w:space="0"/>
            </w:tcBorders>
            <w:vAlign w:val="center"/>
          </w:tcPr>
          <w:p w14:paraId="6079FEAF">
            <w:pPr>
              <w:snapToGrid w:val="0"/>
              <w:spacing w:before="50" w:after="50" w:line="440" w:lineRule="exact"/>
              <w:jc w:val="center"/>
              <w:rPr>
                <w:color w:val="auto"/>
                <w:szCs w:val="21"/>
                <w:highlight w:val="none"/>
              </w:rPr>
            </w:pPr>
          </w:p>
        </w:tc>
        <w:tc>
          <w:tcPr>
            <w:tcW w:w="1695" w:type="dxa"/>
            <w:tcBorders>
              <w:top w:val="single" w:color="auto" w:sz="4" w:space="0"/>
              <w:left w:val="single" w:color="auto" w:sz="4" w:space="0"/>
              <w:bottom w:val="single" w:color="auto" w:sz="4" w:space="0"/>
              <w:right w:val="single" w:color="auto" w:sz="4" w:space="0"/>
            </w:tcBorders>
            <w:vAlign w:val="center"/>
          </w:tcPr>
          <w:p w14:paraId="48BF643C">
            <w:pPr>
              <w:snapToGrid w:val="0"/>
              <w:spacing w:before="50" w:after="50" w:line="440" w:lineRule="exact"/>
              <w:jc w:val="center"/>
              <w:rPr>
                <w:color w:val="auto"/>
                <w:szCs w:val="21"/>
                <w:highlight w:val="none"/>
              </w:rPr>
            </w:pPr>
          </w:p>
        </w:tc>
        <w:tc>
          <w:tcPr>
            <w:tcW w:w="1080" w:type="dxa"/>
            <w:tcBorders>
              <w:top w:val="single" w:color="auto" w:sz="4" w:space="0"/>
              <w:left w:val="single" w:color="auto" w:sz="4" w:space="0"/>
              <w:bottom w:val="single" w:color="auto" w:sz="4" w:space="0"/>
              <w:right w:val="single" w:color="auto" w:sz="4" w:space="0"/>
            </w:tcBorders>
            <w:vAlign w:val="center"/>
          </w:tcPr>
          <w:p w14:paraId="6F852548">
            <w:pPr>
              <w:snapToGrid w:val="0"/>
              <w:spacing w:before="50" w:after="50" w:line="440" w:lineRule="exact"/>
              <w:jc w:val="center"/>
              <w:rPr>
                <w:color w:val="auto"/>
                <w:szCs w:val="21"/>
                <w:highlight w:val="none"/>
              </w:rPr>
            </w:pPr>
          </w:p>
        </w:tc>
      </w:tr>
      <w:tr w14:paraId="3F16CE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9" w:hRule="atLeast"/>
          <w:jc w:val="center"/>
        </w:trPr>
        <w:tc>
          <w:tcPr>
            <w:tcW w:w="554" w:type="dxa"/>
            <w:tcBorders>
              <w:top w:val="single" w:color="auto" w:sz="4" w:space="0"/>
              <w:left w:val="single" w:color="auto" w:sz="4" w:space="0"/>
              <w:bottom w:val="single" w:color="auto" w:sz="4" w:space="0"/>
              <w:right w:val="single" w:color="auto" w:sz="4" w:space="0"/>
            </w:tcBorders>
            <w:vAlign w:val="center"/>
          </w:tcPr>
          <w:p w14:paraId="13DBD3C2">
            <w:pPr>
              <w:snapToGrid w:val="0"/>
              <w:spacing w:before="50" w:after="50" w:line="440" w:lineRule="exact"/>
              <w:jc w:val="center"/>
              <w:rPr>
                <w:color w:val="auto"/>
                <w:szCs w:val="21"/>
                <w:highlight w:val="none"/>
              </w:rPr>
            </w:pPr>
          </w:p>
        </w:tc>
        <w:tc>
          <w:tcPr>
            <w:tcW w:w="1681" w:type="dxa"/>
            <w:tcBorders>
              <w:top w:val="single" w:color="auto" w:sz="4" w:space="0"/>
              <w:left w:val="single" w:color="auto" w:sz="4" w:space="0"/>
              <w:bottom w:val="single" w:color="auto" w:sz="4" w:space="0"/>
              <w:right w:val="single" w:color="auto" w:sz="4" w:space="0"/>
            </w:tcBorders>
            <w:vAlign w:val="center"/>
          </w:tcPr>
          <w:p w14:paraId="6F5EAE92">
            <w:pPr>
              <w:snapToGrid w:val="0"/>
              <w:spacing w:before="50" w:after="50" w:line="440" w:lineRule="exact"/>
              <w:jc w:val="center"/>
              <w:rPr>
                <w:color w:val="auto"/>
                <w:szCs w:val="21"/>
                <w:highlight w:val="none"/>
              </w:rPr>
            </w:pPr>
          </w:p>
        </w:tc>
        <w:tc>
          <w:tcPr>
            <w:tcW w:w="1174" w:type="dxa"/>
            <w:tcBorders>
              <w:top w:val="single" w:color="auto" w:sz="4" w:space="0"/>
              <w:left w:val="single" w:color="auto" w:sz="4" w:space="0"/>
              <w:bottom w:val="single" w:color="auto" w:sz="4" w:space="0"/>
              <w:right w:val="single" w:color="auto" w:sz="4" w:space="0"/>
            </w:tcBorders>
            <w:vAlign w:val="center"/>
          </w:tcPr>
          <w:p w14:paraId="4463F7CA">
            <w:pPr>
              <w:snapToGrid w:val="0"/>
              <w:spacing w:before="50" w:after="50" w:line="440" w:lineRule="exact"/>
              <w:jc w:val="center"/>
              <w:rPr>
                <w:color w:val="auto"/>
                <w:szCs w:val="21"/>
                <w:highlight w:val="none"/>
              </w:rPr>
            </w:pPr>
          </w:p>
        </w:tc>
        <w:tc>
          <w:tcPr>
            <w:tcW w:w="1163" w:type="dxa"/>
            <w:tcBorders>
              <w:top w:val="single" w:color="auto" w:sz="4" w:space="0"/>
              <w:left w:val="single" w:color="auto" w:sz="4" w:space="0"/>
              <w:bottom w:val="single" w:color="auto" w:sz="4" w:space="0"/>
              <w:right w:val="single" w:color="auto" w:sz="4" w:space="0"/>
            </w:tcBorders>
            <w:vAlign w:val="center"/>
          </w:tcPr>
          <w:p w14:paraId="28D84E62">
            <w:pPr>
              <w:snapToGrid w:val="0"/>
              <w:spacing w:before="50" w:after="50" w:line="440" w:lineRule="exact"/>
              <w:jc w:val="center"/>
              <w:rPr>
                <w:color w:val="auto"/>
                <w:szCs w:val="21"/>
                <w:highlight w:val="none"/>
              </w:rPr>
            </w:pPr>
          </w:p>
        </w:tc>
        <w:tc>
          <w:tcPr>
            <w:tcW w:w="1596" w:type="dxa"/>
            <w:tcBorders>
              <w:top w:val="single" w:color="auto" w:sz="4" w:space="0"/>
              <w:left w:val="single" w:color="auto" w:sz="4" w:space="0"/>
              <w:bottom w:val="single" w:color="auto" w:sz="4" w:space="0"/>
              <w:right w:val="single" w:color="auto" w:sz="4" w:space="0"/>
            </w:tcBorders>
            <w:vAlign w:val="center"/>
          </w:tcPr>
          <w:p w14:paraId="45504C93">
            <w:pPr>
              <w:snapToGrid w:val="0"/>
              <w:spacing w:before="50" w:after="50" w:line="440" w:lineRule="exact"/>
              <w:jc w:val="center"/>
              <w:rPr>
                <w:color w:val="auto"/>
                <w:szCs w:val="21"/>
                <w:highlight w:val="none"/>
              </w:rPr>
            </w:pPr>
          </w:p>
        </w:tc>
        <w:tc>
          <w:tcPr>
            <w:tcW w:w="1695" w:type="dxa"/>
            <w:tcBorders>
              <w:top w:val="single" w:color="auto" w:sz="4" w:space="0"/>
              <w:left w:val="single" w:color="auto" w:sz="4" w:space="0"/>
              <w:bottom w:val="single" w:color="auto" w:sz="4" w:space="0"/>
              <w:right w:val="single" w:color="auto" w:sz="4" w:space="0"/>
            </w:tcBorders>
            <w:vAlign w:val="center"/>
          </w:tcPr>
          <w:p w14:paraId="583AD39D">
            <w:pPr>
              <w:snapToGrid w:val="0"/>
              <w:spacing w:before="50" w:after="50" w:line="440" w:lineRule="exact"/>
              <w:jc w:val="center"/>
              <w:rPr>
                <w:color w:val="auto"/>
                <w:szCs w:val="21"/>
                <w:highlight w:val="none"/>
              </w:rPr>
            </w:pPr>
          </w:p>
        </w:tc>
        <w:tc>
          <w:tcPr>
            <w:tcW w:w="1080" w:type="dxa"/>
            <w:tcBorders>
              <w:top w:val="single" w:color="auto" w:sz="4" w:space="0"/>
              <w:left w:val="single" w:color="auto" w:sz="4" w:space="0"/>
              <w:bottom w:val="single" w:color="auto" w:sz="4" w:space="0"/>
              <w:right w:val="single" w:color="auto" w:sz="4" w:space="0"/>
            </w:tcBorders>
            <w:vAlign w:val="center"/>
          </w:tcPr>
          <w:p w14:paraId="42DCD17C">
            <w:pPr>
              <w:snapToGrid w:val="0"/>
              <w:spacing w:before="50" w:after="50" w:line="440" w:lineRule="exact"/>
              <w:jc w:val="center"/>
              <w:rPr>
                <w:color w:val="auto"/>
                <w:szCs w:val="21"/>
                <w:highlight w:val="none"/>
              </w:rPr>
            </w:pPr>
          </w:p>
        </w:tc>
      </w:tr>
    </w:tbl>
    <w:p w14:paraId="4B3E60E7">
      <w:pPr>
        <w:snapToGrid w:val="0"/>
        <w:spacing w:before="50" w:after="50" w:line="440" w:lineRule="exact"/>
        <w:rPr>
          <w:color w:val="auto"/>
          <w:spacing w:val="20"/>
          <w:szCs w:val="21"/>
          <w:highlight w:val="none"/>
          <w:u w:val="single"/>
        </w:rPr>
      </w:pPr>
    </w:p>
    <w:p w14:paraId="7E382D1B">
      <w:pPr>
        <w:snapToGrid w:val="0"/>
        <w:spacing w:before="50" w:after="50" w:line="440" w:lineRule="exact"/>
        <w:rPr>
          <w:color w:val="auto"/>
          <w:szCs w:val="21"/>
          <w:highlight w:val="none"/>
        </w:rPr>
      </w:pPr>
      <w:bookmarkStart w:id="105" w:name="_Hlk89181513"/>
      <w:r>
        <w:rPr>
          <w:color w:val="auto"/>
          <w:szCs w:val="21"/>
          <w:highlight w:val="none"/>
        </w:rPr>
        <w:t>供应商</w:t>
      </w:r>
      <w:r>
        <w:rPr>
          <w:rFonts w:hint="eastAsia"/>
          <w:color w:val="auto"/>
          <w:szCs w:val="21"/>
          <w:highlight w:val="none"/>
        </w:rPr>
        <w:t>名称(电子签章</w:t>
      </w:r>
      <w:r>
        <w:rPr>
          <w:color w:val="auto"/>
          <w:szCs w:val="21"/>
          <w:highlight w:val="none"/>
        </w:rPr>
        <w:t>)</w:t>
      </w:r>
      <w:r>
        <w:rPr>
          <w:color w:val="auto"/>
          <w:spacing w:val="20"/>
          <w:szCs w:val="21"/>
          <w:highlight w:val="none"/>
        </w:rPr>
        <w:t>：</w:t>
      </w:r>
      <w:r>
        <w:rPr>
          <w:color w:val="auto"/>
          <w:spacing w:val="20"/>
          <w:szCs w:val="21"/>
          <w:highlight w:val="none"/>
          <w:u w:val="single"/>
        </w:rPr>
        <w:t xml:space="preserve">            </w:t>
      </w:r>
      <w:r>
        <w:rPr>
          <w:color w:val="auto"/>
          <w:spacing w:val="20"/>
          <w:szCs w:val="21"/>
          <w:highlight w:val="none"/>
        </w:rPr>
        <w:t xml:space="preserve">              日  期：</w:t>
      </w:r>
      <w:r>
        <w:rPr>
          <w:color w:val="auto"/>
          <w:spacing w:val="20"/>
          <w:szCs w:val="21"/>
          <w:highlight w:val="none"/>
          <w:u w:val="single"/>
        </w:rPr>
        <w:t xml:space="preserve">          </w:t>
      </w:r>
      <w:bookmarkEnd w:id="105"/>
    </w:p>
    <w:p w14:paraId="110F6A54">
      <w:pPr>
        <w:rPr>
          <w:color w:val="auto"/>
          <w:szCs w:val="21"/>
          <w:highlight w:val="none"/>
        </w:rPr>
      </w:pPr>
    </w:p>
    <w:p w14:paraId="2C3C6B0C">
      <w:pPr>
        <w:rPr>
          <w:color w:val="auto"/>
          <w:szCs w:val="21"/>
          <w:highlight w:val="none"/>
        </w:rPr>
      </w:pPr>
      <w:bookmarkStart w:id="106" w:name="_Hlk19115689"/>
      <w:r>
        <w:rPr>
          <w:color w:val="auto"/>
          <w:szCs w:val="21"/>
          <w:highlight w:val="none"/>
        </w:rPr>
        <w:t>3．</w:t>
      </w:r>
      <w:r>
        <w:rPr>
          <w:rFonts w:hint="eastAsia"/>
          <w:color w:val="auto"/>
          <w:szCs w:val="21"/>
          <w:highlight w:val="none"/>
        </w:rPr>
        <w:t>响应货物或产品的质量保证说明</w:t>
      </w:r>
    </w:p>
    <w:p w14:paraId="58500B77">
      <w:pPr>
        <w:rPr>
          <w:color w:val="auto"/>
          <w:szCs w:val="21"/>
          <w:highlight w:val="none"/>
        </w:rPr>
      </w:pPr>
    </w:p>
    <w:p w14:paraId="5147C536">
      <w:pPr>
        <w:rPr>
          <w:color w:val="auto"/>
          <w:szCs w:val="21"/>
          <w:highlight w:val="none"/>
        </w:rPr>
      </w:pPr>
    </w:p>
    <w:p w14:paraId="058CE264">
      <w:pPr>
        <w:jc w:val="left"/>
        <w:rPr>
          <w:color w:val="auto"/>
          <w:szCs w:val="21"/>
          <w:highlight w:val="none"/>
        </w:rPr>
      </w:pPr>
      <w:r>
        <w:rPr>
          <w:rFonts w:hint="eastAsia"/>
          <w:color w:val="auto"/>
          <w:szCs w:val="21"/>
          <w:highlight w:val="none"/>
        </w:rPr>
        <w:t>4</w:t>
      </w:r>
      <w:r>
        <w:rPr>
          <w:color w:val="auto"/>
          <w:szCs w:val="21"/>
          <w:highlight w:val="none"/>
        </w:rPr>
        <w:t>．质量保证期过后的优惠条件：供应商承诺给予采购人的各种优惠条件，包括</w:t>
      </w:r>
      <w:r>
        <w:rPr>
          <w:rFonts w:hint="eastAsia"/>
          <w:color w:val="auto"/>
          <w:szCs w:val="21"/>
          <w:highlight w:val="none"/>
        </w:rPr>
        <w:t>货物或产品的</w:t>
      </w:r>
      <w:r>
        <w:rPr>
          <w:color w:val="auto"/>
          <w:szCs w:val="21"/>
          <w:highlight w:val="none"/>
        </w:rPr>
        <w:t>售后服务、备品备件、专用耗材等方面的优惠条件。</w:t>
      </w:r>
    </w:p>
    <w:p w14:paraId="70BEBDB9">
      <w:pPr>
        <w:jc w:val="center"/>
        <w:rPr>
          <w:color w:val="auto"/>
          <w:szCs w:val="21"/>
          <w:highlight w:val="none"/>
        </w:rPr>
      </w:pPr>
      <w:r>
        <w:rPr>
          <w:color w:val="auto"/>
          <w:szCs w:val="21"/>
          <w:highlight w:val="none"/>
        </w:rPr>
        <w:t>常用的、容易损坏的备品备件及易损件的优惠价格清单</w:t>
      </w:r>
    </w:p>
    <w:tbl>
      <w:tblPr>
        <w:tblStyle w:val="51"/>
        <w:tblW w:w="8972"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850"/>
        <w:gridCol w:w="3124"/>
        <w:gridCol w:w="2276"/>
        <w:gridCol w:w="1639"/>
        <w:gridCol w:w="1083"/>
      </w:tblGrid>
      <w:tr w14:paraId="28FFF9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12" w:hRule="atLeast"/>
        </w:trPr>
        <w:tc>
          <w:tcPr>
            <w:tcW w:w="85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48F63845">
            <w:pPr>
              <w:rPr>
                <w:color w:val="auto"/>
                <w:szCs w:val="21"/>
                <w:highlight w:val="none"/>
              </w:rPr>
            </w:pPr>
            <w:r>
              <w:rPr>
                <w:color w:val="auto"/>
                <w:szCs w:val="21"/>
                <w:highlight w:val="none"/>
              </w:rPr>
              <w:t>序号</w:t>
            </w:r>
          </w:p>
        </w:tc>
        <w:tc>
          <w:tcPr>
            <w:tcW w:w="3124" w:type="dxa"/>
            <w:tcBorders>
              <w:top w:val="single" w:color="auto" w:sz="4" w:space="0"/>
              <w:left w:val="single" w:color="auto" w:sz="4" w:space="0"/>
              <w:bottom w:val="single" w:color="auto" w:sz="2" w:space="0"/>
              <w:right w:val="single" w:color="auto" w:sz="4" w:space="0"/>
            </w:tcBorders>
            <w:vAlign w:val="center"/>
          </w:tcPr>
          <w:p w14:paraId="7031E3A7">
            <w:pPr>
              <w:snapToGrid w:val="0"/>
              <w:spacing w:before="50" w:after="50" w:line="440" w:lineRule="exact"/>
              <w:jc w:val="center"/>
              <w:rPr>
                <w:color w:val="auto"/>
                <w:szCs w:val="21"/>
                <w:highlight w:val="none"/>
              </w:rPr>
            </w:pPr>
            <w:r>
              <w:rPr>
                <w:color w:val="auto"/>
                <w:szCs w:val="21"/>
                <w:highlight w:val="none"/>
              </w:rPr>
              <w:t>备品备件、专用耗材名称</w:t>
            </w:r>
          </w:p>
        </w:tc>
        <w:tc>
          <w:tcPr>
            <w:tcW w:w="2276" w:type="dxa"/>
            <w:tcBorders>
              <w:top w:val="single" w:color="auto" w:sz="4" w:space="0"/>
              <w:left w:val="single" w:color="auto" w:sz="4" w:space="0"/>
              <w:bottom w:val="single" w:color="auto" w:sz="2" w:space="0"/>
              <w:right w:val="single" w:color="auto" w:sz="4" w:space="0"/>
            </w:tcBorders>
            <w:vAlign w:val="center"/>
          </w:tcPr>
          <w:p w14:paraId="15A814CD">
            <w:pPr>
              <w:jc w:val="center"/>
              <w:rPr>
                <w:color w:val="auto"/>
                <w:szCs w:val="21"/>
                <w:highlight w:val="none"/>
              </w:rPr>
            </w:pPr>
            <w:r>
              <w:rPr>
                <w:color w:val="auto"/>
                <w:szCs w:val="21"/>
                <w:highlight w:val="none"/>
              </w:rPr>
              <w:t>适用于</w:t>
            </w:r>
            <w:r>
              <w:rPr>
                <w:rFonts w:hint="eastAsia"/>
                <w:color w:val="auto"/>
                <w:szCs w:val="21"/>
                <w:highlight w:val="none"/>
              </w:rPr>
              <w:t>何种响应货物（产品）名称及规格型号</w:t>
            </w:r>
          </w:p>
        </w:tc>
        <w:tc>
          <w:tcPr>
            <w:tcW w:w="1639" w:type="dxa"/>
            <w:tcBorders>
              <w:top w:val="single" w:color="auto" w:sz="4" w:space="0"/>
              <w:left w:val="single" w:color="auto" w:sz="4" w:space="0"/>
              <w:bottom w:val="single" w:color="auto" w:sz="2" w:space="0"/>
              <w:right w:val="single" w:color="auto" w:sz="4" w:space="0"/>
            </w:tcBorders>
            <w:vAlign w:val="center"/>
          </w:tcPr>
          <w:p w14:paraId="6EA00CD6">
            <w:pPr>
              <w:jc w:val="center"/>
              <w:rPr>
                <w:color w:val="auto"/>
                <w:szCs w:val="21"/>
                <w:highlight w:val="none"/>
              </w:rPr>
            </w:pPr>
            <w:r>
              <w:rPr>
                <w:color w:val="auto"/>
                <w:szCs w:val="21"/>
                <w:highlight w:val="none"/>
              </w:rPr>
              <w:t>优惠内容</w:t>
            </w:r>
          </w:p>
        </w:tc>
        <w:tc>
          <w:tcPr>
            <w:tcW w:w="1083" w:type="dxa"/>
            <w:tcBorders>
              <w:top w:val="single" w:color="auto" w:sz="4" w:space="0"/>
              <w:left w:val="single" w:color="auto" w:sz="4" w:space="0"/>
              <w:bottom w:val="single" w:color="auto" w:sz="2" w:space="0"/>
              <w:right w:val="single" w:color="auto" w:sz="4" w:space="0"/>
            </w:tcBorders>
            <w:tcMar>
              <w:top w:w="15" w:type="dxa"/>
              <w:left w:w="15" w:type="dxa"/>
              <w:bottom w:w="0" w:type="dxa"/>
              <w:right w:w="15" w:type="dxa"/>
            </w:tcMar>
            <w:vAlign w:val="center"/>
          </w:tcPr>
          <w:p w14:paraId="75B1BC4F">
            <w:pPr>
              <w:jc w:val="center"/>
              <w:rPr>
                <w:color w:val="auto"/>
                <w:szCs w:val="21"/>
                <w:highlight w:val="none"/>
              </w:rPr>
            </w:pPr>
            <w:r>
              <w:rPr>
                <w:color w:val="auto"/>
                <w:szCs w:val="21"/>
                <w:highlight w:val="none"/>
              </w:rPr>
              <w:t>优惠单价</w:t>
            </w:r>
          </w:p>
        </w:tc>
      </w:tr>
      <w:tr w14:paraId="2A6E2F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90" w:hRule="atLeast"/>
        </w:trPr>
        <w:tc>
          <w:tcPr>
            <w:tcW w:w="850" w:type="dxa"/>
            <w:tcBorders>
              <w:top w:val="single" w:color="auto" w:sz="4" w:space="0"/>
              <w:left w:val="single" w:color="auto" w:sz="4" w:space="0"/>
              <w:bottom w:val="single" w:color="auto" w:sz="4" w:space="0"/>
              <w:right w:val="single" w:color="auto" w:sz="2" w:space="0"/>
            </w:tcBorders>
            <w:tcMar>
              <w:top w:w="15" w:type="dxa"/>
              <w:left w:w="15" w:type="dxa"/>
              <w:bottom w:w="0" w:type="dxa"/>
              <w:right w:w="15" w:type="dxa"/>
            </w:tcMar>
            <w:vAlign w:val="center"/>
          </w:tcPr>
          <w:p w14:paraId="34312ED0">
            <w:pPr>
              <w:jc w:val="center"/>
              <w:rPr>
                <w:color w:val="auto"/>
                <w:szCs w:val="21"/>
                <w:highlight w:val="none"/>
              </w:rPr>
            </w:pPr>
            <w:r>
              <w:rPr>
                <w:color w:val="auto"/>
                <w:szCs w:val="21"/>
                <w:highlight w:val="none"/>
              </w:rPr>
              <w:t>1</w:t>
            </w:r>
          </w:p>
        </w:tc>
        <w:tc>
          <w:tcPr>
            <w:tcW w:w="3124" w:type="dxa"/>
            <w:tcBorders>
              <w:top w:val="single" w:color="auto" w:sz="2" w:space="0"/>
              <w:left w:val="single" w:color="auto" w:sz="2" w:space="0"/>
              <w:bottom w:val="single" w:color="auto" w:sz="6" w:space="0"/>
              <w:right w:val="single" w:color="auto" w:sz="4" w:space="0"/>
            </w:tcBorders>
            <w:vAlign w:val="center"/>
          </w:tcPr>
          <w:p w14:paraId="565B2361">
            <w:pPr>
              <w:rPr>
                <w:color w:val="auto"/>
                <w:szCs w:val="21"/>
                <w:highlight w:val="none"/>
              </w:rPr>
            </w:pPr>
          </w:p>
        </w:tc>
        <w:tc>
          <w:tcPr>
            <w:tcW w:w="2276" w:type="dxa"/>
            <w:tcBorders>
              <w:top w:val="single" w:color="auto" w:sz="2" w:space="0"/>
              <w:left w:val="single" w:color="auto" w:sz="4" w:space="0"/>
              <w:bottom w:val="single" w:color="auto" w:sz="6" w:space="0"/>
              <w:right w:val="single" w:color="auto" w:sz="6" w:space="0"/>
            </w:tcBorders>
            <w:vAlign w:val="center"/>
          </w:tcPr>
          <w:p w14:paraId="4011181E">
            <w:pPr>
              <w:rPr>
                <w:color w:val="auto"/>
                <w:szCs w:val="21"/>
                <w:highlight w:val="none"/>
              </w:rPr>
            </w:pPr>
          </w:p>
        </w:tc>
        <w:tc>
          <w:tcPr>
            <w:tcW w:w="1639" w:type="dxa"/>
            <w:tcBorders>
              <w:top w:val="single" w:color="auto" w:sz="2" w:space="0"/>
              <w:left w:val="single" w:color="auto" w:sz="6" w:space="0"/>
              <w:bottom w:val="single" w:color="auto" w:sz="6" w:space="0"/>
              <w:right w:val="single" w:color="auto" w:sz="6" w:space="0"/>
            </w:tcBorders>
          </w:tcPr>
          <w:p w14:paraId="5CD25029">
            <w:pPr>
              <w:rPr>
                <w:color w:val="auto"/>
                <w:szCs w:val="21"/>
                <w:highlight w:val="none"/>
              </w:rPr>
            </w:pPr>
          </w:p>
        </w:tc>
        <w:tc>
          <w:tcPr>
            <w:tcW w:w="1083" w:type="dxa"/>
            <w:tcBorders>
              <w:top w:val="single" w:color="auto" w:sz="2" w:space="0"/>
              <w:left w:val="single" w:color="auto" w:sz="6" w:space="0"/>
              <w:bottom w:val="single" w:color="auto" w:sz="6" w:space="0"/>
              <w:right w:val="single" w:color="auto" w:sz="6" w:space="0"/>
            </w:tcBorders>
            <w:tcMar>
              <w:top w:w="15" w:type="dxa"/>
              <w:left w:w="15" w:type="dxa"/>
              <w:bottom w:w="0" w:type="dxa"/>
              <w:right w:w="15" w:type="dxa"/>
            </w:tcMar>
            <w:vAlign w:val="center"/>
          </w:tcPr>
          <w:p w14:paraId="6A1ACE1D">
            <w:pPr>
              <w:rPr>
                <w:color w:val="auto"/>
                <w:szCs w:val="21"/>
                <w:highlight w:val="none"/>
              </w:rPr>
            </w:pPr>
          </w:p>
        </w:tc>
      </w:tr>
      <w:tr w14:paraId="6CEB73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90" w:hRule="atLeast"/>
        </w:trPr>
        <w:tc>
          <w:tcPr>
            <w:tcW w:w="850" w:type="dxa"/>
            <w:tcBorders>
              <w:top w:val="single" w:color="auto" w:sz="4" w:space="0"/>
              <w:left w:val="single" w:color="auto" w:sz="4" w:space="0"/>
              <w:bottom w:val="single" w:color="auto" w:sz="4" w:space="0"/>
              <w:right w:val="single" w:color="auto" w:sz="2" w:space="0"/>
            </w:tcBorders>
            <w:tcMar>
              <w:top w:w="15" w:type="dxa"/>
              <w:left w:w="15" w:type="dxa"/>
              <w:bottom w:w="0" w:type="dxa"/>
              <w:right w:w="15" w:type="dxa"/>
            </w:tcMar>
            <w:vAlign w:val="center"/>
          </w:tcPr>
          <w:p w14:paraId="22B0C3B0">
            <w:pPr>
              <w:jc w:val="center"/>
              <w:rPr>
                <w:color w:val="auto"/>
                <w:szCs w:val="21"/>
                <w:highlight w:val="none"/>
              </w:rPr>
            </w:pPr>
            <w:r>
              <w:rPr>
                <w:color w:val="auto"/>
                <w:szCs w:val="21"/>
                <w:highlight w:val="none"/>
              </w:rPr>
              <w:t>2</w:t>
            </w:r>
          </w:p>
        </w:tc>
        <w:tc>
          <w:tcPr>
            <w:tcW w:w="3124" w:type="dxa"/>
            <w:tcBorders>
              <w:top w:val="single" w:color="auto" w:sz="6" w:space="0"/>
              <w:left w:val="single" w:color="auto" w:sz="2" w:space="0"/>
              <w:bottom w:val="single" w:color="auto" w:sz="6" w:space="0"/>
              <w:right w:val="single" w:color="auto" w:sz="4" w:space="0"/>
            </w:tcBorders>
            <w:vAlign w:val="center"/>
          </w:tcPr>
          <w:p w14:paraId="7A75B63B">
            <w:pPr>
              <w:rPr>
                <w:color w:val="auto"/>
                <w:szCs w:val="21"/>
                <w:highlight w:val="none"/>
              </w:rPr>
            </w:pPr>
          </w:p>
        </w:tc>
        <w:tc>
          <w:tcPr>
            <w:tcW w:w="2276" w:type="dxa"/>
            <w:tcBorders>
              <w:top w:val="single" w:color="auto" w:sz="6" w:space="0"/>
              <w:left w:val="single" w:color="auto" w:sz="4" w:space="0"/>
              <w:bottom w:val="single" w:color="auto" w:sz="6" w:space="0"/>
              <w:right w:val="single" w:color="auto" w:sz="6" w:space="0"/>
            </w:tcBorders>
            <w:vAlign w:val="center"/>
          </w:tcPr>
          <w:p w14:paraId="25B6DAF2">
            <w:pPr>
              <w:rPr>
                <w:color w:val="auto"/>
                <w:szCs w:val="21"/>
                <w:highlight w:val="none"/>
              </w:rPr>
            </w:pPr>
          </w:p>
        </w:tc>
        <w:tc>
          <w:tcPr>
            <w:tcW w:w="1639" w:type="dxa"/>
            <w:tcBorders>
              <w:top w:val="single" w:color="auto" w:sz="6" w:space="0"/>
              <w:left w:val="single" w:color="auto" w:sz="6" w:space="0"/>
              <w:bottom w:val="single" w:color="auto" w:sz="6" w:space="0"/>
              <w:right w:val="single" w:color="auto" w:sz="6" w:space="0"/>
            </w:tcBorders>
          </w:tcPr>
          <w:p w14:paraId="1D0F535C">
            <w:pPr>
              <w:rPr>
                <w:color w:val="auto"/>
                <w:szCs w:val="21"/>
                <w:highlight w:val="none"/>
              </w:rPr>
            </w:pPr>
          </w:p>
        </w:tc>
        <w:tc>
          <w:tcPr>
            <w:tcW w:w="1083"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14:paraId="578A8FF0">
            <w:pPr>
              <w:rPr>
                <w:color w:val="auto"/>
                <w:szCs w:val="21"/>
                <w:highlight w:val="none"/>
              </w:rPr>
            </w:pPr>
          </w:p>
        </w:tc>
      </w:tr>
      <w:tr w14:paraId="524949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90" w:hRule="atLeast"/>
        </w:trPr>
        <w:tc>
          <w:tcPr>
            <w:tcW w:w="850" w:type="dxa"/>
            <w:tcBorders>
              <w:top w:val="single" w:color="auto" w:sz="4" w:space="0"/>
              <w:left w:val="single" w:color="auto" w:sz="4" w:space="0"/>
              <w:bottom w:val="single" w:color="auto" w:sz="4" w:space="0"/>
              <w:right w:val="single" w:color="auto" w:sz="2" w:space="0"/>
            </w:tcBorders>
            <w:tcMar>
              <w:top w:w="15" w:type="dxa"/>
              <w:left w:w="15" w:type="dxa"/>
              <w:bottom w:w="0" w:type="dxa"/>
              <w:right w:w="15" w:type="dxa"/>
            </w:tcMar>
            <w:vAlign w:val="center"/>
          </w:tcPr>
          <w:p w14:paraId="556ECDE9">
            <w:pPr>
              <w:jc w:val="center"/>
              <w:rPr>
                <w:color w:val="auto"/>
                <w:szCs w:val="21"/>
                <w:highlight w:val="none"/>
              </w:rPr>
            </w:pPr>
            <w:r>
              <w:rPr>
                <w:color w:val="auto"/>
                <w:szCs w:val="21"/>
                <w:highlight w:val="none"/>
              </w:rPr>
              <w:t>3</w:t>
            </w:r>
          </w:p>
        </w:tc>
        <w:tc>
          <w:tcPr>
            <w:tcW w:w="3124" w:type="dxa"/>
            <w:tcBorders>
              <w:top w:val="single" w:color="auto" w:sz="6" w:space="0"/>
              <w:left w:val="single" w:color="auto" w:sz="2" w:space="0"/>
              <w:bottom w:val="single" w:color="auto" w:sz="6" w:space="0"/>
              <w:right w:val="single" w:color="auto" w:sz="4" w:space="0"/>
            </w:tcBorders>
            <w:vAlign w:val="center"/>
          </w:tcPr>
          <w:p w14:paraId="64F0437A">
            <w:pPr>
              <w:rPr>
                <w:color w:val="auto"/>
                <w:szCs w:val="21"/>
                <w:highlight w:val="none"/>
              </w:rPr>
            </w:pPr>
          </w:p>
        </w:tc>
        <w:tc>
          <w:tcPr>
            <w:tcW w:w="2276" w:type="dxa"/>
            <w:tcBorders>
              <w:top w:val="single" w:color="auto" w:sz="6" w:space="0"/>
              <w:left w:val="single" w:color="auto" w:sz="4" w:space="0"/>
              <w:bottom w:val="single" w:color="auto" w:sz="6" w:space="0"/>
              <w:right w:val="single" w:color="auto" w:sz="6" w:space="0"/>
            </w:tcBorders>
            <w:vAlign w:val="center"/>
          </w:tcPr>
          <w:p w14:paraId="6570F461">
            <w:pPr>
              <w:rPr>
                <w:color w:val="auto"/>
                <w:szCs w:val="21"/>
                <w:highlight w:val="none"/>
              </w:rPr>
            </w:pPr>
          </w:p>
        </w:tc>
        <w:tc>
          <w:tcPr>
            <w:tcW w:w="1639" w:type="dxa"/>
            <w:tcBorders>
              <w:top w:val="single" w:color="auto" w:sz="6" w:space="0"/>
              <w:left w:val="single" w:color="auto" w:sz="6" w:space="0"/>
              <w:bottom w:val="single" w:color="auto" w:sz="6" w:space="0"/>
              <w:right w:val="single" w:color="auto" w:sz="6" w:space="0"/>
            </w:tcBorders>
          </w:tcPr>
          <w:p w14:paraId="4BBAEC8D">
            <w:pPr>
              <w:rPr>
                <w:color w:val="auto"/>
                <w:szCs w:val="21"/>
                <w:highlight w:val="none"/>
              </w:rPr>
            </w:pPr>
          </w:p>
        </w:tc>
        <w:tc>
          <w:tcPr>
            <w:tcW w:w="1083"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14:paraId="51289D65">
            <w:pPr>
              <w:rPr>
                <w:color w:val="auto"/>
                <w:szCs w:val="21"/>
                <w:highlight w:val="none"/>
              </w:rPr>
            </w:pPr>
          </w:p>
        </w:tc>
      </w:tr>
    </w:tbl>
    <w:p w14:paraId="422C036A">
      <w:pPr>
        <w:rPr>
          <w:color w:val="auto"/>
          <w:szCs w:val="21"/>
          <w:highlight w:val="none"/>
        </w:rPr>
      </w:pPr>
    </w:p>
    <w:p w14:paraId="1FC1F42F">
      <w:pPr>
        <w:rPr>
          <w:color w:val="auto"/>
          <w:spacing w:val="20"/>
          <w:szCs w:val="21"/>
          <w:highlight w:val="none"/>
          <w:u w:val="single"/>
        </w:rPr>
      </w:pPr>
    </w:p>
    <w:p w14:paraId="6A1923AB">
      <w:pPr>
        <w:rPr>
          <w:color w:val="auto"/>
          <w:szCs w:val="21"/>
          <w:highlight w:val="none"/>
        </w:rPr>
      </w:pPr>
      <w:bookmarkStart w:id="107" w:name="_Hlk89181539"/>
      <w:r>
        <w:rPr>
          <w:color w:val="auto"/>
          <w:szCs w:val="21"/>
          <w:highlight w:val="none"/>
        </w:rPr>
        <w:t>供应商</w:t>
      </w:r>
      <w:r>
        <w:rPr>
          <w:rFonts w:hint="eastAsia"/>
          <w:color w:val="auto"/>
          <w:szCs w:val="21"/>
          <w:highlight w:val="none"/>
        </w:rPr>
        <w:t>名称(电子签章</w:t>
      </w:r>
      <w:r>
        <w:rPr>
          <w:color w:val="auto"/>
          <w:szCs w:val="21"/>
          <w:highlight w:val="none"/>
        </w:rPr>
        <w:t>)</w:t>
      </w:r>
      <w:r>
        <w:rPr>
          <w:color w:val="auto"/>
          <w:spacing w:val="20"/>
          <w:szCs w:val="21"/>
          <w:highlight w:val="none"/>
        </w:rPr>
        <w:t>：</w:t>
      </w:r>
      <w:r>
        <w:rPr>
          <w:color w:val="auto"/>
          <w:spacing w:val="20"/>
          <w:szCs w:val="21"/>
          <w:highlight w:val="none"/>
          <w:u w:val="single"/>
        </w:rPr>
        <w:t xml:space="preserve">            </w:t>
      </w:r>
      <w:r>
        <w:rPr>
          <w:color w:val="auto"/>
          <w:spacing w:val="20"/>
          <w:szCs w:val="21"/>
          <w:highlight w:val="none"/>
        </w:rPr>
        <w:t xml:space="preserve">            日 期：</w:t>
      </w:r>
      <w:r>
        <w:rPr>
          <w:color w:val="auto"/>
          <w:spacing w:val="20"/>
          <w:szCs w:val="21"/>
          <w:highlight w:val="none"/>
          <w:u w:val="single"/>
        </w:rPr>
        <w:t xml:space="preserve">            </w:t>
      </w:r>
    </w:p>
    <w:bookmarkEnd w:id="106"/>
    <w:bookmarkEnd w:id="107"/>
    <w:p w14:paraId="70DA7E75">
      <w:pPr>
        <w:snapToGrid w:val="0"/>
        <w:spacing w:before="50" w:after="120" w:afterLines="50" w:line="440" w:lineRule="exact"/>
        <w:jc w:val="left"/>
        <w:rPr>
          <w:color w:val="auto"/>
          <w:highlight w:val="none"/>
        </w:rPr>
      </w:pPr>
    </w:p>
    <w:p w14:paraId="313F26A1">
      <w:pPr>
        <w:snapToGrid w:val="0"/>
        <w:spacing w:before="50" w:after="120" w:afterLines="50" w:line="440" w:lineRule="exact"/>
        <w:jc w:val="left"/>
        <w:rPr>
          <w:color w:val="auto"/>
          <w:szCs w:val="21"/>
          <w:highlight w:val="none"/>
        </w:rPr>
      </w:pPr>
      <w:r>
        <w:rPr>
          <w:color w:val="auto"/>
          <w:szCs w:val="21"/>
          <w:highlight w:val="none"/>
        </w:rPr>
        <w:t>5．</w:t>
      </w:r>
      <w:r>
        <w:rPr>
          <w:rFonts w:hint="eastAsia"/>
          <w:color w:val="auto"/>
          <w:szCs w:val="21"/>
          <w:highlight w:val="none"/>
        </w:rPr>
        <w:t>对</w:t>
      </w:r>
      <w:r>
        <w:rPr>
          <w:color w:val="auto"/>
          <w:szCs w:val="21"/>
          <w:highlight w:val="none"/>
        </w:rPr>
        <w:t>本项目第</w:t>
      </w:r>
      <w:r>
        <w:rPr>
          <w:rFonts w:hint="eastAsia"/>
          <w:color w:val="auto"/>
          <w:szCs w:val="21"/>
          <w:highlight w:val="none"/>
        </w:rPr>
        <w:t>二</w:t>
      </w:r>
      <w:r>
        <w:rPr>
          <w:color w:val="auto"/>
          <w:szCs w:val="21"/>
          <w:highlight w:val="none"/>
        </w:rPr>
        <w:t>章</w:t>
      </w:r>
      <w:r>
        <w:rPr>
          <w:rFonts w:hint="eastAsia"/>
          <w:color w:val="auto"/>
          <w:szCs w:val="21"/>
          <w:highlight w:val="none"/>
        </w:rPr>
        <w:t>《</w:t>
      </w:r>
      <w:r>
        <w:rPr>
          <w:color w:val="auto"/>
          <w:szCs w:val="21"/>
          <w:highlight w:val="none"/>
        </w:rPr>
        <w:t>采购需求</w:t>
      </w:r>
      <w:r>
        <w:rPr>
          <w:rFonts w:hint="eastAsia"/>
          <w:color w:val="auto"/>
          <w:szCs w:val="21"/>
          <w:highlight w:val="none"/>
        </w:rPr>
        <w:t>》</w:t>
      </w:r>
      <w:r>
        <w:rPr>
          <w:color w:val="auto"/>
          <w:szCs w:val="21"/>
          <w:highlight w:val="none"/>
        </w:rPr>
        <w:t>商务要求的</w:t>
      </w:r>
      <w:r>
        <w:rPr>
          <w:rFonts w:hint="eastAsia"/>
          <w:color w:val="auto"/>
          <w:szCs w:val="21"/>
          <w:highlight w:val="none"/>
        </w:rPr>
        <w:t>响应表</w:t>
      </w:r>
      <w:r>
        <w:rPr>
          <w:color w:val="auto"/>
          <w:szCs w:val="21"/>
          <w:highlight w:val="none"/>
        </w:rPr>
        <w:t>：</w:t>
      </w:r>
    </w:p>
    <w:tbl>
      <w:tblPr>
        <w:tblStyle w:val="51"/>
        <w:tblW w:w="882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46"/>
        <w:gridCol w:w="3595"/>
        <w:gridCol w:w="3405"/>
        <w:gridCol w:w="1082"/>
      </w:tblGrid>
      <w:tr w14:paraId="717DC2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88" w:hRule="atLeast"/>
          <w:jc w:val="center"/>
        </w:trPr>
        <w:tc>
          <w:tcPr>
            <w:tcW w:w="746" w:type="dxa"/>
            <w:tcBorders>
              <w:top w:val="single" w:color="auto" w:sz="4" w:space="0"/>
              <w:left w:val="single" w:color="auto" w:sz="4" w:space="0"/>
              <w:bottom w:val="single" w:color="auto" w:sz="4" w:space="0"/>
              <w:right w:val="single" w:color="auto" w:sz="4" w:space="0"/>
            </w:tcBorders>
            <w:vAlign w:val="center"/>
          </w:tcPr>
          <w:p w14:paraId="6FC01B97">
            <w:pPr>
              <w:snapToGrid w:val="0"/>
              <w:spacing w:before="120" w:beforeLines="50"/>
              <w:jc w:val="center"/>
              <w:rPr>
                <w:color w:val="auto"/>
                <w:szCs w:val="21"/>
                <w:highlight w:val="none"/>
              </w:rPr>
            </w:pPr>
            <w:r>
              <w:rPr>
                <w:color w:val="auto"/>
                <w:szCs w:val="21"/>
                <w:highlight w:val="none"/>
              </w:rPr>
              <w:t>序号</w:t>
            </w:r>
          </w:p>
        </w:tc>
        <w:tc>
          <w:tcPr>
            <w:tcW w:w="3595" w:type="dxa"/>
            <w:tcBorders>
              <w:top w:val="single" w:color="auto" w:sz="4" w:space="0"/>
              <w:left w:val="single" w:color="auto" w:sz="4" w:space="0"/>
              <w:bottom w:val="single" w:color="auto" w:sz="4" w:space="0"/>
              <w:right w:val="single" w:color="auto" w:sz="4" w:space="0"/>
            </w:tcBorders>
            <w:vAlign w:val="center"/>
          </w:tcPr>
          <w:p w14:paraId="3DCF73A3">
            <w:pPr>
              <w:snapToGrid w:val="0"/>
              <w:spacing w:before="120" w:beforeLines="50"/>
              <w:jc w:val="center"/>
              <w:rPr>
                <w:color w:val="auto"/>
                <w:szCs w:val="21"/>
                <w:highlight w:val="none"/>
              </w:rPr>
            </w:pPr>
            <w:r>
              <w:rPr>
                <w:rFonts w:hint="eastAsia"/>
                <w:color w:val="auto"/>
                <w:szCs w:val="21"/>
                <w:highlight w:val="none"/>
              </w:rPr>
              <w:t>采购文件</w:t>
            </w:r>
            <w:r>
              <w:rPr>
                <w:color w:val="auto"/>
                <w:szCs w:val="21"/>
                <w:highlight w:val="none"/>
              </w:rPr>
              <w:t>要求（注明章节及条款号）</w:t>
            </w:r>
          </w:p>
        </w:tc>
        <w:tc>
          <w:tcPr>
            <w:tcW w:w="3405" w:type="dxa"/>
            <w:tcBorders>
              <w:top w:val="single" w:color="auto" w:sz="4" w:space="0"/>
              <w:left w:val="single" w:color="auto" w:sz="4" w:space="0"/>
              <w:bottom w:val="single" w:color="auto" w:sz="4" w:space="0"/>
              <w:right w:val="single" w:color="auto" w:sz="4" w:space="0"/>
            </w:tcBorders>
            <w:vAlign w:val="center"/>
          </w:tcPr>
          <w:p w14:paraId="25F52AEE">
            <w:pPr>
              <w:snapToGrid w:val="0"/>
              <w:spacing w:before="120" w:beforeLines="50"/>
              <w:jc w:val="center"/>
              <w:rPr>
                <w:color w:val="auto"/>
                <w:szCs w:val="21"/>
                <w:highlight w:val="none"/>
              </w:rPr>
            </w:pPr>
            <w:r>
              <w:rPr>
                <w:color w:val="auto"/>
                <w:szCs w:val="21"/>
                <w:highlight w:val="none"/>
              </w:rPr>
              <w:t>响应文件响应内容</w:t>
            </w:r>
          </w:p>
        </w:tc>
        <w:tc>
          <w:tcPr>
            <w:tcW w:w="1082" w:type="dxa"/>
            <w:tcBorders>
              <w:top w:val="single" w:color="auto" w:sz="4" w:space="0"/>
              <w:left w:val="single" w:color="auto" w:sz="4" w:space="0"/>
              <w:bottom w:val="single" w:color="auto" w:sz="4" w:space="0"/>
              <w:right w:val="single" w:color="auto" w:sz="4" w:space="0"/>
            </w:tcBorders>
            <w:vAlign w:val="center"/>
          </w:tcPr>
          <w:p w14:paraId="6CCFCAB7">
            <w:pPr>
              <w:snapToGrid w:val="0"/>
              <w:spacing w:before="120" w:beforeLines="50"/>
              <w:jc w:val="center"/>
              <w:rPr>
                <w:color w:val="auto"/>
                <w:szCs w:val="21"/>
                <w:highlight w:val="none"/>
              </w:rPr>
            </w:pPr>
            <w:r>
              <w:rPr>
                <w:color w:val="auto"/>
                <w:highlight w:val="none"/>
              </w:rPr>
              <w:t>偏离</w:t>
            </w:r>
            <w:r>
              <w:rPr>
                <w:color w:val="auto"/>
                <w:szCs w:val="21"/>
                <w:highlight w:val="none"/>
              </w:rPr>
              <w:t>说明</w:t>
            </w:r>
          </w:p>
        </w:tc>
      </w:tr>
      <w:tr w14:paraId="7AA741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vAlign w:val="center"/>
          </w:tcPr>
          <w:p w14:paraId="7AB076AE">
            <w:pPr>
              <w:snapToGrid w:val="0"/>
              <w:spacing w:before="120" w:beforeLines="50"/>
              <w:jc w:val="center"/>
              <w:rPr>
                <w:color w:val="auto"/>
                <w:szCs w:val="21"/>
                <w:highlight w:val="none"/>
              </w:rPr>
            </w:pPr>
          </w:p>
        </w:tc>
        <w:tc>
          <w:tcPr>
            <w:tcW w:w="3595" w:type="dxa"/>
            <w:tcBorders>
              <w:top w:val="single" w:color="auto" w:sz="4" w:space="0"/>
              <w:left w:val="single" w:color="auto" w:sz="4" w:space="0"/>
              <w:bottom w:val="single" w:color="auto" w:sz="4" w:space="0"/>
              <w:right w:val="single" w:color="auto" w:sz="4" w:space="0"/>
            </w:tcBorders>
            <w:vAlign w:val="center"/>
          </w:tcPr>
          <w:p w14:paraId="3D9F02E1">
            <w:pPr>
              <w:snapToGrid w:val="0"/>
              <w:spacing w:before="120" w:beforeLines="50"/>
              <w:jc w:val="center"/>
              <w:rPr>
                <w:color w:val="auto"/>
                <w:szCs w:val="21"/>
                <w:highlight w:val="none"/>
              </w:rPr>
            </w:pPr>
          </w:p>
        </w:tc>
        <w:tc>
          <w:tcPr>
            <w:tcW w:w="3405" w:type="dxa"/>
            <w:tcBorders>
              <w:top w:val="single" w:color="auto" w:sz="4" w:space="0"/>
              <w:left w:val="single" w:color="auto" w:sz="4" w:space="0"/>
              <w:bottom w:val="single" w:color="auto" w:sz="4" w:space="0"/>
              <w:right w:val="single" w:color="auto" w:sz="4" w:space="0"/>
            </w:tcBorders>
            <w:vAlign w:val="center"/>
          </w:tcPr>
          <w:p w14:paraId="397E74EC">
            <w:pPr>
              <w:snapToGrid w:val="0"/>
              <w:spacing w:before="120" w:beforeLines="50"/>
              <w:jc w:val="center"/>
              <w:rPr>
                <w:color w:val="auto"/>
                <w:szCs w:val="21"/>
                <w:highlight w:val="none"/>
              </w:rPr>
            </w:pPr>
          </w:p>
        </w:tc>
        <w:tc>
          <w:tcPr>
            <w:tcW w:w="1082" w:type="dxa"/>
            <w:tcBorders>
              <w:top w:val="single" w:color="auto" w:sz="4" w:space="0"/>
              <w:left w:val="single" w:color="auto" w:sz="4" w:space="0"/>
              <w:bottom w:val="single" w:color="auto" w:sz="4" w:space="0"/>
              <w:right w:val="single" w:color="auto" w:sz="4" w:space="0"/>
            </w:tcBorders>
            <w:vAlign w:val="center"/>
          </w:tcPr>
          <w:p w14:paraId="728417F3">
            <w:pPr>
              <w:snapToGrid w:val="0"/>
              <w:spacing w:before="120" w:beforeLines="50"/>
              <w:jc w:val="center"/>
              <w:rPr>
                <w:color w:val="auto"/>
                <w:szCs w:val="21"/>
                <w:highlight w:val="none"/>
              </w:rPr>
            </w:pPr>
          </w:p>
        </w:tc>
      </w:tr>
      <w:tr w14:paraId="1BD5969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vAlign w:val="center"/>
          </w:tcPr>
          <w:p w14:paraId="2A32AA88">
            <w:pPr>
              <w:snapToGrid w:val="0"/>
              <w:spacing w:before="120" w:beforeLines="50"/>
              <w:jc w:val="center"/>
              <w:rPr>
                <w:color w:val="auto"/>
                <w:szCs w:val="21"/>
                <w:highlight w:val="none"/>
              </w:rPr>
            </w:pPr>
            <w:r>
              <w:rPr>
                <w:color w:val="auto"/>
                <w:szCs w:val="21"/>
                <w:highlight w:val="none"/>
              </w:rPr>
              <w:t>……</w:t>
            </w:r>
          </w:p>
        </w:tc>
        <w:tc>
          <w:tcPr>
            <w:tcW w:w="3595" w:type="dxa"/>
            <w:tcBorders>
              <w:top w:val="single" w:color="auto" w:sz="4" w:space="0"/>
              <w:left w:val="single" w:color="auto" w:sz="4" w:space="0"/>
              <w:bottom w:val="single" w:color="auto" w:sz="4" w:space="0"/>
              <w:right w:val="single" w:color="auto" w:sz="4" w:space="0"/>
            </w:tcBorders>
            <w:vAlign w:val="center"/>
          </w:tcPr>
          <w:p w14:paraId="14C4533D">
            <w:pPr>
              <w:snapToGrid w:val="0"/>
              <w:spacing w:before="120" w:beforeLines="50"/>
              <w:jc w:val="center"/>
              <w:rPr>
                <w:color w:val="auto"/>
                <w:szCs w:val="21"/>
                <w:highlight w:val="none"/>
              </w:rPr>
            </w:pPr>
          </w:p>
        </w:tc>
        <w:tc>
          <w:tcPr>
            <w:tcW w:w="3405" w:type="dxa"/>
            <w:tcBorders>
              <w:top w:val="single" w:color="auto" w:sz="4" w:space="0"/>
              <w:left w:val="single" w:color="auto" w:sz="4" w:space="0"/>
              <w:bottom w:val="single" w:color="auto" w:sz="4" w:space="0"/>
              <w:right w:val="single" w:color="auto" w:sz="4" w:space="0"/>
            </w:tcBorders>
            <w:vAlign w:val="center"/>
          </w:tcPr>
          <w:p w14:paraId="54FB115C">
            <w:pPr>
              <w:snapToGrid w:val="0"/>
              <w:spacing w:before="120" w:beforeLines="50"/>
              <w:jc w:val="center"/>
              <w:rPr>
                <w:color w:val="auto"/>
                <w:szCs w:val="21"/>
                <w:highlight w:val="none"/>
              </w:rPr>
            </w:pPr>
          </w:p>
        </w:tc>
        <w:tc>
          <w:tcPr>
            <w:tcW w:w="1082" w:type="dxa"/>
            <w:tcBorders>
              <w:top w:val="single" w:color="auto" w:sz="4" w:space="0"/>
              <w:left w:val="single" w:color="auto" w:sz="4" w:space="0"/>
              <w:bottom w:val="single" w:color="auto" w:sz="4" w:space="0"/>
              <w:right w:val="single" w:color="auto" w:sz="4" w:space="0"/>
            </w:tcBorders>
            <w:vAlign w:val="center"/>
          </w:tcPr>
          <w:p w14:paraId="6625AF50">
            <w:pPr>
              <w:snapToGrid w:val="0"/>
              <w:spacing w:before="120" w:beforeLines="50"/>
              <w:jc w:val="center"/>
              <w:rPr>
                <w:color w:val="auto"/>
                <w:szCs w:val="21"/>
                <w:highlight w:val="none"/>
              </w:rPr>
            </w:pPr>
          </w:p>
        </w:tc>
      </w:tr>
      <w:bookmarkEnd w:id="104"/>
    </w:tbl>
    <w:p w14:paraId="724F5E09">
      <w:pPr>
        <w:pStyle w:val="26"/>
        <w:tabs>
          <w:tab w:val="left" w:pos="2127"/>
        </w:tabs>
        <w:spacing w:line="340" w:lineRule="exact"/>
        <w:ind w:firstLine="420" w:firstLineChars="200"/>
        <w:jc w:val="left"/>
        <w:rPr>
          <w:rFonts w:ascii="Times New Roman" w:hAnsi="Times New Roman" w:cs="Times New Roman"/>
          <w:color w:val="auto"/>
          <w:highlight w:val="none"/>
        </w:rPr>
      </w:pPr>
      <w:bookmarkStart w:id="108" w:name="_Hlk48144603"/>
      <w:bookmarkStart w:id="109" w:name="_Hlk89181571"/>
      <w:r>
        <w:rPr>
          <w:rFonts w:ascii="Times New Roman" w:hAnsi="Times New Roman" w:cs="Times New Roman"/>
          <w:color w:val="auto"/>
          <w:highlight w:val="none"/>
        </w:rPr>
        <w:t>注：</w:t>
      </w:r>
      <w:bookmarkStart w:id="110" w:name="_Hlk19049081"/>
      <w:r>
        <w:rPr>
          <w:rFonts w:ascii="Times New Roman" w:hAnsi="Times New Roman" w:cs="Times New Roman"/>
          <w:color w:val="auto"/>
          <w:highlight w:val="none"/>
        </w:rPr>
        <w:t>（1）本表应对采购文件</w:t>
      </w:r>
      <w:r>
        <w:rPr>
          <w:color w:val="auto"/>
          <w:highlight w:val="none"/>
        </w:rPr>
        <w:t>第</w:t>
      </w:r>
      <w:r>
        <w:rPr>
          <w:rFonts w:hint="eastAsia"/>
          <w:color w:val="auto"/>
          <w:highlight w:val="none"/>
        </w:rPr>
        <w:t>二</w:t>
      </w:r>
      <w:r>
        <w:rPr>
          <w:color w:val="auto"/>
          <w:highlight w:val="none"/>
        </w:rPr>
        <w:t>章</w:t>
      </w:r>
      <w:r>
        <w:rPr>
          <w:rFonts w:hint="eastAsia"/>
          <w:color w:val="auto"/>
          <w:highlight w:val="none"/>
        </w:rPr>
        <w:t>《采购需求》</w:t>
      </w:r>
      <w:r>
        <w:rPr>
          <w:rFonts w:ascii="Times New Roman" w:hAnsi="Times New Roman" w:cs="Times New Roman"/>
          <w:color w:val="auto"/>
          <w:highlight w:val="none"/>
        </w:rPr>
        <w:t>中所列商务要求进行响应，并根据响应情况在“偏离说明”栏填写正偏离或负偏离及原因，完全符合的填写</w:t>
      </w:r>
      <w:r>
        <w:rPr>
          <w:rFonts w:hint="eastAsia" w:ascii="Times New Roman" w:hAnsi="Times New Roman" w:cs="Times New Roman"/>
          <w:color w:val="auto"/>
          <w:highlight w:val="none"/>
        </w:rPr>
        <w:t>“</w:t>
      </w:r>
      <w:r>
        <w:rPr>
          <w:rFonts w:ascii="Times New Roman" w:hAnsi="Times New Roman" w:cs="Times New Roman"/>
          <w:color w:val="auto"/>
          <w:highlight w:val="none"/>
        </w:rPr>
        <w:t>无偏离</w:t>
      </w:r>
      <w:r>
        <w:rPr>
          <w:rFonts w:hint="eastAsia" w:ascii="Times New Roman" w:hAnsi="Times New Roman" w:cs="Times New Roman"/>
          <w:color w:val="auto"/>
          <w:highlight w:val="none"/>
        </w:rPr>
        <w:t>”</w:t>
      </w:r>
      <w:r>
        <w:rPr>
          <w:rFonts w:ascii="Times New Roman" w:hAnsi="Times New Roman" w:cs="Times New Roman"/>
          <w:color w:val="auto"/>
          <w:highlight w:val="none"/>
        </w:rPr>
        <w:t>。</w:t>
      </w:r>
    </w:p>
    <w:p w14:paraId="2AA7209B">
      <w:pPr>
        <w:pStyle w:val="26"/>
        <w:tabs>
          <w:tab w:val="left" w:pos="2127"/>
        </w:tabs>
        <w:spacing w:line="340" w:lineRule="exact"/>
        <w:ind w:firstLine="420" w:firstLineChars="200"/>
        <w:jc w:val="left"/>
        <w:rPr>
          <w:rFonts w:ascii="Times New Roman" w:hAnsi="Times New Roman" w:cs="Times New Roman"/>
          <w:color w:val="auto"/>
          <w:highlight w:val="none"/>
        </w:rPr>
      </w:pPr>
      <w:r>
        <w:rPr>
          <w:rFonts w:hint="eastAsia" w:ascii="Times New Roman" w:hAnsi="Times New Roman" w:cs="Times New Roman"/>
          <w:color w:val="auto"/>
          <w:highlight w:val="none"/>
        </w:rPr>
        <w:t>（2）</w:t>
      </w:r>
      <w:r>
        <w:rPr>
          <w:color w:val="auto"/>
          <w:highlight w:val="none"/>
        </w:rPr>
        <w:t>第</w:t>
      </w:r>
      <w:r>
        <w:rPr>
          <w:rFonts w:hint="eastAsia"/>
          <w:color w:val="auto"/>
          <w:highlight w:val="none"/>
        </w:rPr>
        <w:t>二</w:t>
      </w:r>
      <w:r>
        <w:rPr>
          <w:color w:val="auto"/>
          <w:highlight w:val="none"/>
        </w:rPr>
        <w:t>章</w:t>
      </w:r>
      <w:r>
        <w:rPr>
          <w:rFonts w:hint="eastAsia"/>
          <w:color w:val="auto"/>
          <w:highlight w:val="none"/>
        </w:rPr>
        <w:t>《采购需求》</w:t>
      </w:r>
      <w:r>
        <w:rPr>
          <w:rFonts w:hint="eastAsia" w:ascii="Times New Roman" w:hAnsi="Times New Roman" w:cs="Times New Roman"/>
          <w:color w:val="auto"/>
          <w:highlight w:val="none"/>
        </w:rPr>
        <w:t>中的总体要求无需响应。</w:t>
      </w:r>
    </w:p>
    <w:p w14:paraId="0B908D63">
      <w:pPr>
        <w:ind w:firstLine="420" w:firstLineChars="200"/>
        <w:rPr>
          <w:color w:val="auto"/>
          <w:highlight w:val="none"/>
        </w:rPr>
      </w:pPr>
      <w:r>
        <w:rPr>
          <w:rFonts w:hint="eastAsia"/>
          <w:color w:val="auto"/>
          <w:highlight w:val="none"/>
        </w:rPr>
        <w:t>（</w:t>
      </w:r>
      <w:r>
        <w:rPr>
          <w:color w:val="auto"/>
          <w:highlight w:val="none"/>
        </w:rPr>
        <w:t>3</w:t>
      </w:r>
      <w:r>
        <w:rPr>
          <w:rFonts w:hint="eastAsia"/>
          <w:color w:val="auto"/>
          <w:highlight w:val="none"/>
        </w:rPr>
        <w:t>）偏离认定说明详见评审方法及标准。</w:t>
      </w:r>
    </w:p>
    <w:bookmarkEnd w:id="110"/>
    <w:p w14:paraId="21D2DA98">
      <w:pPr>
        <w:pStyle w:val="26"/>
        <w:tabs>
          <w:tab w:val="left" w:pos="2127"/>
        </w:tabs>
        <w:spacing w:line="340" w:lineRule="exact"/>
        <w:ind w:firstLine="420" w:firstLineChars="200"/>
        <w:jc w:val="left"/>
        <w:rPr>
          <w:rFonts w:ascii="Times New Roman" w:hAnsi="Times New Roman" w:cs="Times New Roman"/>
          <w:color w:val="auto"/>
          <w:highlight w:val="none"/>
        </w:rPr>
      </w:pPr>
      <w:r>
        <w:rPr>
          <w:rFonts w:ascii="Times New Roman" w:hAnsi="Times New Roman" w:cs="Times New Roman"/>
          <w:color w:val="auto"/>
          <w:highlight w:val="none"/>
        </w:rPr>
        <w:t>（4）本表可扩展。</w:t>
      </w:r>
    </w:p>
    <w:bookmarkEnd w:id="108"/>
    <w:p w14:paraId="58D1258B">
      <w:pPr>
        <w:snapToGrid w:val="0"/>
        <w:spacing w:before="50" w:after="120" w:afterLines="50" w:line="440" w:lineRule="exact"/>
        <w:jc w:val="left"/>
        <w:rPr>
          <w:color w:val="auto"/>
          <w:spacing w:val="20"/>
          <w:szCs w:val="21"/>
          <w:highlight w:val="none"/>
          <w:u w:val="single"/>
        </w:rPr>
      </w:pPr>
      <w:r>
        <w:rPr>
          <w:color w:val="auto"/>
          <w:szCs w:val="21"/>
          <w:highlight w:val="none"/>
        </w:rPr>
        <w:t>供应商</w:t>
      </w:r>
      <w:r>
        <w:rPr>
          <w:rFonts w:hint="eastAsia"/>
          <w:color w:val="auto"/>
          <w:szCs w:val="21"/>
          <w:highlight w:val="none"/>
        </w:rPr>
        <w:t>名称(电子签章</w:t>
      </w:r>
      <w:r>
        <w:rPr>
          <w:color w:val="auto"/>
          <w:szCs w:val="21"/>
          <w:highlight w:val="none"/>
        </w:rPr>
        <w:t>)</w:t>
      </w:r>
      <w:r>
        <w:rPr>
          <w:color w:val="auto"/>
          <w:spacing w:val="20"/>
          <w:szCs w:val="21"/>
          <w:highlight w:val="none"/>
        </w:rPr>
        <w:t>：</w:t>
      </w:r>
      <w:r>
        <w:rPr>
          <w:color w:val="auto"/>
          <w:spacing w:val="20"/>
          <w:szCs w:val="21"/>
          <w:highlight w:val="none"/>
          <w:u w:val="single"/>
        </w:rPr>
        <w:t xml:space="preserve">            </w:t>
      </w:r>
      <w:r>
        <w:rPr>
          <w:color w:val="auto"/>
          <w:spacing w:val="20"/>
          <w:szCs w:val="21"/>
          <w:highlight w:val="none"/>
        </w:rPr>
        <w:t xml:space="preserve">             日  期：</w:t>
      </w:r>
      <w:r>
        <w:rPr>
          <w:color w:val="auto"/>
          <w:spacing w:val="20"/>
          <w:szCs w:val="21"/>
          <w:highlight w:val="none"/>
          <w:u w:val="single"/>
        </w:rPr>
        <w:t xml:space="preserve">        </w:t>
      </w:r>
    </w:p>
    <w:bookmarkEnd w:id="109"/>
    <w:p w14:paraId="365EDC33">
      <w:pPr>
        <w:snapToGrid w:val="0"/>
        <w:spacing w:before="50" w:after="120" w:afterLines="50" w:line="440" w:lineRule="exact"/>
        <w:jc w:val="left"/>
        <w:rPr>
          <w:color w:val="auto"/>
          <w:spacing w:val="20"/>
          <w:szCs w:val="21"/>
          <w:highlight w:val="none"/>
          <w:u w:val="single"/>
        </w:rPr>
      </w:pPr>
    </w:p>
    <w:p w14:paraId="3F2810C8">
      <w:pPr>
        <w:snapToGrid w:val="0"/>
        <w:spacing w:before="50" w:after="120" w:afterLines="50" w:line="440" w:lineRule="exact"/>
        <w:jc w:val="left"/>
        <w:rPr>
          <w:color w:val="auto"/>
          <w:spacing w:val="20"/>
          <w:szCs w:val="21"/>
          <w:highlight w:val="none"/>
          <w:u w:val="single"/>
        </w:rPr>
      </w:pPr>
    </w:p>
    <w:p w14:paraId="324C3CDF">
      <w:pPr>
        <w:snapToGrid w:val="0"/>
        <w:spacing w:before="50" w:after="120" w:afterLines="50"/>
        <w:jc w:val="left"/>
        <w:rPr>
          <w:color w:val="auto"/>
          <w:szCs w:val="21"/>
          <w:highlight w:val="none"/>
        </w:rPr>
      </w:pPr>
      <w:r>
        <w:rPr>
          <w:color w:val="auto"/>
          <w:szCs w:val="21"/>
          <w:highlight w:val="none"/>
        </w:rPr>
        <w:t>6．</w:t>
      </w:r>
      <w:r>
        <w:rPr>
          <w:rFonts w:hint="eastAsia"/>
          <w:color w:val="auto"/>
          <w:szCs w:val="21"/>
          <w:highlight w:val="none"/>
        </w:rPr>
        <w:t>实施</w:t>
      </w:r>
      <w:r>
        <w:rPr>
          <w:color w:val="auto"/>
          <w:szCs w:val="21"/>
          <w:highlight w:val="none"/>
        </w:rPr>
        <w:t>方案。（</w:t>
      </w:r>
      <w:r>
        <w:rPr>
          <w:rFonts w:hint="eastAsia"/>
          <w:color w:val="auto"/>
          <w:szCs w:val="21"/>
          <w:highlight w:val="none"/>
        </w:rPr>
        <w:t>如有，</w:t>
      </w:r>
      <w:r>
        <w:rPr>
          <w:color w:val="auto"/>
          <w:szCs w:val="21"/>
          <w:highlight w:val="none"/>
        </w:rPr>
        <w:t>自行编写）</w:t>
      </w:r>
    </w:p>
    <w:p w14:paraId="2B163C0E">
      <w:pPr>
        <w:snapToGrid w:val="0"/>
        <w:spacing w:before="50" w:after="120" w:afterLines="50"/>
        <w:jc w:val="left"/>
        <w:rPr>
          <w:color w:val="auto"/>
          <w:szCs w:val="21"/>
          <w:highlight w:val="none"/>
        </w:rPr>
      </w:pPr>
    </w:p>
    <w:p w14:paraId="275F1686">
      <w:pPr>
        <w:snapToGrid w:val="0"/>
        <w:spacing w:before="50" w:after="120" w:afterLines="50"/>
        <w:jc w:val="left"/>
        <w:rPr>
          <w:color w:val="auto"/>
          <w:szCs w:val="21"/>
          <w:highlight w:val="none"/>
        </w:rPr>
      </w:pPr>
    </w:p>
    <w:p w14:paraId="179AA481">
      <w:pPr>
        <w:snapToGrid w:val="0"/>
        <w:spacing w:before="50" w:after="120" w:afterLines="50"/>
        <w:jc w:val="left"/>
        <w:rPr>
          <w:color w:val="auto"/>
          <w:szCs w:val="21"/>
          <w:highlight w:val="none"/>
        </w:rPr>
      </w:pPr>
    </w:p>
    <w:p w14:paraId="4C6AF8E1">
      <w:pPr>
        <w:snapToGrid w:val="0"/>
        <w:spacing w:before="50" w:after="120" w:afterLines="50"/>
        <w:jc w:val="left"/>
        <w:rPr>
          <w:color w:val="auto"/>
          <w:szCs w:val="21"/>
          <w:highlight w:val="none"/>
        </w:rPr>
      </w:pPr>
      <w:r>
        <w:rPr>
          <w:color w:val="auto"/>
          <w:szCs w:val="21"/>
          <w:highlight w:val="none"/>
        </w:rPr>
        <w:t>7．供应商认为需提供的其他材料（根据采购文件要求编写）</w:t>
      </w:r>
    </w:p>
    <w:p w14:paraId="2B8A5819">
      <w:pPr>
        <w:snapToGrid w:val="0"/>
        <w:spacing w:before="50" w:after="120" w:afterLines="50" w:line="440" w:lineRule="exact"/>
        <w:jc w:val="left"/>
        <w:rPr>
          <w:color w:val="auto"/>
          <w:spacing w:val="20"/>
          <w:szCs w:val="21"/>
          <w:highlight w:val="none"/>
          <w:u w:val="single"/>
        </w:rPr>
      </w:pPr>
    </w:p>
    <w:p w14:paraId="55AE807D">
      <w:pPr>
        <w:snapToGrid w:val="0"/>
        <w:spacing w:before="50" w:after="120" w:afterLines="50"/>
        <w:jc w:val="left"/>
        <w:rPr>
          <w:color w:val="auto"/>
          <w:spacing w:val="20"/>
          <w:szCs w:val="21"/>
          <w:highlight w:val="none"/>
          <w:u w:val="single"/>
        </w:rPr>
      </w:pPr>
    </w:p>
    <w:p w14:paraId="4A6E00EA">
      <w:pPr>
        <w:rPr>
          <w:color w:val="auto"/>
          <w:spacing w:val="20"/>
          <w:szCs w:val="21"/>
          <w:highlight w:val="none"/>
          <w:u w:val="single"/>
        </w:rPr>
      </w:pPr>
    </w:p>
    <w:p w14:paraId="2BDBFE41">
      <w:pPr>
        <w:rPr>
          <w:color w:val="auto"/>
          <w:szCs w:val="21"/>
          <w:highlight w:val="none"/>
        </w:rPr>
        <w:sectPr>
          <w:pgSz w:w="11906" w:h="16838"/>
          <w:pgMar w:top="1418" w:right="1274" w:bottom="1418" w:left="1418" w:header="851" w:footer="992" w:gutter="0"/>
          <w:cols w:space="720" w:num="1"/>
          <w:docGrid w:linePitch="312" w:charSpace="0"/>
        </w:sectPr>
      </w:pPr>
    </w:p>
    <w:p w14:paraId="5C7E2A7A">
      <w:pPr>
        <w:snapToGrid w:val="0"/>
        <w:spacing w:before="50" w:after="120" w:afterLines="50"/>
        <w:jc w:val="left"/>
        <w:rPr>
          <w:b/>
          <w:color w:val="auto"/>
          <w:szCs w:val="21"/>
          <w:highlight w:val="none"/>
        </w:rPr>
      </w:pPr>
      <w:bookmarkStart w:id="111" w:name="_Hlk21623752"/>
      <w:r>
        <w:rPr>
          <w:color w:val="auto"/>
          <w:szCs w:val="21"/>
          <w:highlight w:val="none"/>
        </w:rPr>
        <w:t>8．近年供应商类似成功案例的业绩证明</w:t>
      </w:r>
    </w:p>
    <w:p w14:paraId="0AF8664B">
      <w:pPr>
        <w:snapToGrid w:val="0"/>
        <w:spacing w:before="50" w:after="120" w:afterLines="50"/>
        <w:jc w:val="center"/>
        <w:rPr>
          <w:color w:val="auto"/>
          <w:szCs w:val="21"/>
          <w:highlight w:val="none"/>
        </w:rPr>
      </w:pPr>
      <w:r>
        <w:rPr>
          <w:b/>
          <w:color w:val="auto"/>
          <w:szCs w:val="21"/>
          <w:highlight w:val="none"/>
        </w:rPr>
        <w:t>类似成功案例业绩一览表</w:t>
      </w:r>
    </w:p>
    <w:tbl>
      <w:tblPr>
        <w:tblStyle w:val="51"/>
        <w:tblW w:w="13177"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62"/>
        <w:gridCol w:w="3737"/>
        <w:gridCol w:w="3123"/>
        <w:gridCol w:w="985"/>
        <w:gridCol w:w="985"/>
        <w:gridCol w:w="1314"/>
        <w:gridCol w:w="1971"/>
      </w:tblGrid>
      <w:tr w14:paraId="36184F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467" w:hRule="atLeast"/>
        </w:trPr>
        <w:tc>
          <w:tcPr>
            <w:tcW w:w="1062" w:type="dxa"/>
            <w:tcBorders>
              <w:top w:val="single" w:color="auto" w:sz="4" w:space="0"/>
              <w:left w:val="single" w:color="auto" w:sz="4" w:space="0"/>
              <w:right w:val="single" w:color="auto" w:sz="4" w:space="0"/>
            </w:tcBorders>
          </w:tcPr>
          <w:p w14:paraId="6DF640C6">
            <w:pPr>
              <w:snapToGrid w:val="0"/>
              <w:spacing w:line="240" w:lineRule="exact"/>
              <w:jc w:val="center"/>
              <w:rPr>
                <w:color w:val="auto"/>
                <w:szCs w:val="21"/>
                <w:highlight w:val="none"/>
              </w:rPr>
            </w:pPr>
          </w:p>
          <w:p w14:paraId="5E1949B2">
            <w:pPr>
              <w:snapToGrid w:val="0"/>
              <w:spacing w:line="240" w:lineRule="exact"/>
              <w:jc w:val="center"/>
              <w:rPr>
                <w:color w:val="auto"/>
                <w:szCs w:val="21"/>
                <w:highlight w:val="none"/>
              </w:rPr>
            </w:pPr>
          </w:p>
          <w:p w14:paraId="29343167">
            <w:pPr>
              <w:snapToGrid w:val="0"/>
              <w:spacing w:line="240" w:lineRule="exact"/>
              <w:jc w:val="center"/>
              <w:rPr>
                <w:color w:val="auto"/>
                <w:szCs w:val="21"/>
                <w:highlight w:val="none"/>
              </w:rPr>
            </w:pPr>
            <w:r>
              <w:rPr>
                <w:rFonts w:hint="eastAsia"/>
                <w:color w:val="auto"/>
                <w:szCs w:val="21"/>
                <w:highlight w:val="none"/>
              </w:rPr>
              <w:t>序号</w:t>
            </w:r>
          </w:p>
        </w:tc>
        <w:tc>
          <w:tcPr>
            <w:tcW w:w="3737" w:type="dxa"/>
            <w:tcBorders>
              <w:top w:val="single" w:color="auto" w:sz="4" w:space="0"/>
              <w:left w:val="single" w:color="auto" w:sz="4" w:space="0"/>
              <w:bottom w:val="single" w:color="auto" w:sz="4" w:space="0"/>
              <w:right w:val="single" w:color="auto" w:sz="4" w:space="0"/>
            </w:tcBorders>
            <w:vAlign w:val="center"/>
          </w:tcPr>
          <w:p w14:paraId="4B294D47">
            <w:pPr>
              <w:snapToGrid w:val="0"/>
              <w:spacing w:line="240" w:lineRule="exact"/>
              <w:jc w:val="center"/>
              <w:rPr>
                <w:color w:val="auto"/>
                <w:szCs w:val="21"/>
                <w:highlight w:val="none"/>
              </w:rPr>
            </w:pPr>
            <w:r>
              <w:rPr>
                <w:color w:val="auto"/>
                <w:szCs w:val="21"/>
                <w:highlight w:val="none"/>
              </w:rPr>
              <w:t>采购单位名称</w:t>
            </w:r>
          </w:p>
        </w:tc>
        <w:tc>
          <w:tcPr>
            <w:tcW w:w="3123" w:type="dxa"/>
            <w:tcBorders>
              <w:top w:val="single" w:color="auto" w:sz="4" w:space="0"/>
              <w:left w:val="single" w:color="auto" w:sz="4" w:space="0"/>
              <w:bottom w:val="single" w:color="auto" w:sz="4" w:space="0"/>
              <w:right w:val="single" w:color="auto" w:sz="4" w:space="0"/>
            </w:tcBorders>
            <w:vAlign w:val="center"/>
          </w:tcPr>
          <w:p w14:paraId="0924B83F">
            <w:pPr>
              <w:snapToGrid w:val="0"/>
              <w:spacing w:line="240" w:lineRule="exact"/>
              <w:jc w:val="center"/>
              <w:rPr>
                <w:color w:val="auto"/>
                <w:szCs w:val="21"/>
                <w:highlight w:val="none"/>
              </w:rPr>
            </w:pPr>
            <w:r>
              <w:rPr>
                <w:color w:val="auto"/>
                <w:szCs w:val="21"/>
                <w:highlight w:val="none"/>
              </w:rPr>
              <w:t>项目名称或服务内容</w:t>
            </w:r>
          </w:p>
        </w:tc>
        <w:tc>
          <w:tcPr>
            <w:tcW w:w="985" w:type="dxa"/>
            <w:tcBorders>
              <w:top w:val="single" w:color="auto" w:sz="4" w:space="0"/>
              <w:left w:val="single" w:color="auto" w:sz="4" w:space="0"/>
              <w:bottom w:val="single" w:color="auto" w:sz="4" w:space="0"/>
              <w:right w:val="single" w:color="auto" w:sz="4" w:space="0"/>
            </w:tcBorders>
            <w:vAlign w:val="center"/>
          </w:tcPr>
          <w:p w14:paraId="3DDCC19E">
            <w:pPr>
              <w:snapToGrid w:val="0"/>
              <w:spacing w:line="240" w:lineRule="exact"/>
              <w:jc w:val="center"/>
              <w:rPr>
                <w:color w:val="auto"/>
                <w:szCs w:val="21"/>
                <w:highlight w:val="none"/>
              </w:rPr>
            </w:pPr>
            <w:r>
              <w:rPr>
                <w:color w:val="auto"/>
                <w:szCs w:val="21"/>
                <w:highlight w:val="none"/>
              </w:rPr>
              <w:t>服务</w:t>
            </w:r>
          </w:p>
          <w:p w14:paraId="07AF574B">
            <w:pPr>
              <w:snapToGrid w:val="0"/>
              <w:spacing w:line="240" w:lineRule="exact"/>
              <w:jc w:val="center"/>
              <w:rPr>
                <w:color w:val="auto"/>
                <w:szCs w:val="21"/>
                <w:highlight w:val="none"/>
              </w:rPr>
            </w:pPr>
            <w:r>
              <w:rPr>
                <w:color w:val="auto"/>
                <w:szCs w:val="21"/>
                <w:highlight w:val="none"/>
              </w:rPr>
              <w:t>数量或年限</w:t>
            </w:r>
          </w:p>
        </w:tc>
        <w:tc>
          <w:tcPr>
            <w:tcW w:w="985" w:type="dxa"/>
            <w:tcBorders>
              <w:top w:val="single" w:color="auto" w:sz="4" w:space="0"/>
              <w:left w:val="single" w:color="auto" w:sz="4" w:space="0"/>
              <w:bottom w:val="single" w:color="auto" w:sz="4" w:space="0"/>
              <w:right w:val="single" w:color="auto" w:sz="4" w:space="0"/>
            </w:tcBorders>
            <w:vAlign w:val="center"/>
          </w:tcPr>
          <w:p w14:paraId="7F292222">
            <w:pPr>
              <w:snapToGrid w:val="0"/>
              <w:spacing w:line="240" w:lineRule="exact"/>
              <w:jc w:val="center"/>
              <w:rPr>
                <w:color w:val="auto"/>
                <w:szCs w:val="21"/>
                <w:highlight w:val="none"/>
              </w:rPr>
            </w:pPr>
            <w:r>
              <w:rPr>
                <w:color w:val="auto"/>
                <w:szCs w:val="21"/>
                <w:highlight w:val="none"/>
              </w:rPr>
              <w:t>单价</w:t>
            </w:r>
            <w:r>
              <w:rPr>
                <w:rFonts w:hint="eastAsia"/>
                <w:color w:val="auto"/>
                <w:szCs w:val="21"/>
                <w:highlight w:val="none"/>
              </w:rPr>
              <w:t>（元）</w:t>
            </w:r>
          </w:p>
        </w:tc>
        <w:tc>
          <w:tcPr>
            <w:tcW w:w="1314" w:type="dxa"/>
            <w:tcBorders>
              <w:top w:val="single" w:color="auto" w:sz="4" w:space="0"/>
              <w:left w:val="single" w:color="auto" w:sz="4" w:space="0"/>
              <w:bottom w:val="single" w:color="auto" w:sz="4" w:space="0"/>
              <w:right w:val="single" w:color="auto" w:sz="4" w:space="0"/>
            </w:tcBorders>
            <w:vAlign w:val="center"/>
          </w:tcPr>
          <w:p w14:paraId="718040DA">
            <w:pPr>
              <w:snapToGrid w:val="0"/>
              <w:spacing w:line="240" w:lineRule="exact"/>
              <w:jc w:val="center"/>
              <w:rPr>
                <w:color w:val="auto"/>
                <w:szCs w:val="21"/>
                <w:highlight w:val="none"/>
              </w:rPr>
            </w:pPr>
            <w:r>
              <w:rPr>
                <w:color w:val="auto"/>
                <w:szCs w:val="21"/>
                <w:highlight w:val="none"/>
              </w:rPr>
              <w:t>合同</w:t>
            </w:r>
            <w:r>
              <w:rPr>
                <w:rFonts w:hint="eastAsia"/>
                <w:color w:val="auto"/>
                <w:szCs w:val="21"/>
                <w:highlight w:val="none"/>
              </w:rPr>
              <w:t>总价</w:t>
            </w:r>
          </w:p>
          <w:p w14:paraId="422FAA5B">
            <w:pPr>
              <w:snapToGrid w:val="0"/>
              <w:spacing w:line="240" w:lineRule="exact"/>
              <w:jc w:val="center"/>
              <w:rPr>
                <w:color w:val="auto"/>
                <w:szCs w:val="21"/>
                <w:highlight w:val="none"/>
              </w:rPr>
            </w:pPr>
            <w:r>
              <w:rPr>
                <w:color w:val="auto"/>
                <w:szCs w:val="21"/>
                <w:highlight w:val="none"/>
              </w:rPr>
              <w:t>（元）</w:t>
            </w:r>
          </w:p>
        </w:tc>
        <w:tc>
          <w:tcPr>
            <w:tcW w:w="1971" w:type="dxa"/>
            <w:tcBorders>
              <w:top w:val="single" w:color="auto" w:sz="4" w:space="0"/>
              <w:left w:val="single" w:color="auto" w:sz="4" w:space="0"/>
              <w:bottom w:val="single" w:color="auto" w:sz="4" w:space="0"/>
              <w:right w:val="single" w:color="auto" w:sz="4" w:space="0"/>
            </w:tcBorders>
            <w:vAlign w:val="center"/>
          </w:tcPr>
          <w:p w14:paraId="439A0F1F">
            <w:pPr>
              <w:jc w:val="center"/>
              <w:rPr>
                <w:color w:val="auto"/>
                <w:szCs w:val="21"/>
                <w:highlight w:val="none"/>
              </w:rPr>
            </w:pPr>
            <w:r>
              <w:rPr>
                <w:color w:val="auto"/>
                <w:szCs w:val="21"/>
                <w:highlight w:val="none"/>
              </w:rPr>
              <w:t>采购单位联系人及联系电话</w:t>
            </w:r>
          </w:p>
        </w:tc>
      </w:tr>
      <w:tr w14:paraId="36CF24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3" w:hRule="atLeast"/>
        </w:trPr>
        <w:tc>
          <w:tcPr>
            <w:tcW w:w="1062" w:type="dxa"/>
            <w:tcBorders>
              <w:top w:val="single" w:color="auto" w:sz="4" w:space="0"/>
              <w:left w:val="single" w:color="auto" w:sz="4" w:space="0"/>
              <w:bottom w:val="single" w:color="auto" w:sz="4" w:space="0"/>
              <w:right w:val="single" w:color="auto" w:sz="4" w:space="0"/>
            </w:tcBorders>
          </w:tcPr>
          <w:p w14:paraId="2192E65B">
            <w:pPr>
              <w:snapToGrid w:val="0"/>
              <w:spacing w:line="240" w:lineRule="exact"/>
              <w:jc w:val="left"/>
              <w:rPr>
                <w:color w:val="auto"/>
                <w:szCs w:val="21"/>
                <w:highlight w:val="none"/>
              </w:rPr>
            </w:pPr>
          </w:p>
        </w:tc>
        <w:tc>
          <w:tcPr>
            <w:tcW w:w="3737" w:type="dxa"/>
            <w:tcBorders>
              <w:top w:val="single" w:color="auto" w:sz="4" w:space="0"/>
              <w:left w:val="single" w:color="auto" w:sz="4" w:space="0"/>
              <w:bottom w:val="single" w:color="auto" w:sz="4" w:space="0"/>
              <w:right w:val="single" w:color="auto" w:sz="4" w:space="0"/>
            </w:tcBorders>
          </w:tcPr>
          <w:p w14:paraId="2B55F4E5">
            <w:pPr>
              <w:snapToGrid w:val="0"/>
              <w:spacing w:line="240" w:lineRule="exact"/>
              <w:jc w:val="left"/>
              <w:rPr>
                <w:color w:val="auto"/>
                <w:szCs w:val="21"/>
                <w:highlight w:val="none"/>
              </w:rPr>
            </w:pPr>
          </w:p>
        </w:tc>
        <w:tc>
          <w:tcPr>
            <w:tcW w:w="3123" w:type="dxa"/>
            <w:tcBorders>
              <w:top w:val="single" w:color="auto" w:sz="4" w:space="0"/>
              <w:left w:val="single" w:color="auto" w:sz="4" w:space="0"/>
              <w:bottom w:val="single" w:color="auto" w:sz="4" w:space="0"/>
              <w:right w:val="single" w:color="auto" w:sz="4" w:space="0"/>
            </w:tcBorders>
          </w:tcPr>
          <w:p w14:paraId="261C894B">
            <w:pPr>
              <w:snapToGrid w:val="0"/>
              <w:spacing w:line="240" w:lineRule="exact"/>
              <w:jc w:val="left"/>
              <w:rPr>
                <w:color w:val="auto"/>
                <w:szCs w:val="21"/>
                <w:highlight w:val="none"/>
              </w:rPr>
            </w:pPr>
          </w:p>
        </w:tc>
        <w:tc>
          <w:tcPr>
            <w:tcW w:w="985" w:type="dxa"/>
            <w:tcBorders>
              <w:top w:val="single" w:color="auto" w:sz="4" w:space="0"/>
              <w:left w:val="single" w:color="auto" w:sz="4" w:space="0"/>
              <w:bottom w:val="single" w:color="auto" w:sz="4" w:space="0"/>
              <w:right w:val="single" w:color="auto" w:sz="4" w:space="0"/>
            </w:tcBorders>
          </w:tcPr>
          <w:p w14:paraId="79F04566">
            <w:pPr>
              <w:snapToGrid w:val="0"/>
              <w:spacing w:line="240" w:lineRule="exact"/>
              <w:jc w:val="left"/>
              <w:rPr>
                <w:color w:val="auto"/>
                <w:szCs w:val="21"/>
                <w:highlight w:val="none"/>
              </w:rPr>
            </w:pPr>
          </w:p>
        </w:tc>
        <w:tc>
          <w:tcPr>
            <w:tcW w:w="985" w:type="dxa"/>
            <w:tcBorders>
              <w:top w:val="single" w:color="auto" w:sz="4" w:space="0"/>
              <w:left w:val="single" w:color="auto" w:sz="4" w:space="0"/>
              <w:bottom w:val="single" w:color="auto" w:sz="4" w:space="0"/>
              <w:right w:val="single" w:color="auto" w:sz="4" w:space="0"/>
            </w:tcBorders>
          </w:tcPr>
          <w:p w14:paraId="3DAD1EBF">
            <w:pPr>
              <w:snapToGrid w:val="0"/>
              <w:spacing w:line="240" w:lineRule="exact"/>
              <w:jc w:val="left"/>
              <w:rPr>
                <w:color w:val="auto"/>
                <w:szCs w:val="21"/>
                <w:highlight w:val="none"/>
              </w:rPr>
            </w:pPr>
          </w:p>
        </w:tc>
        <w:tc>
          <w:tcPr>
            <w:tcW w:w="1314" w:type="dxa"/>
            <w:tcBorders>
              <w:top w:val="single" w:color="auto" w:sz="4" w:space="0"/>
              <w:left w:val="single" w:color="auto" w:sz="4" w:space="0"/>
              <w:bottom w:val="single" w:color="auto" w:sz="4" w:space="0"/>
              <w:right w:val="single" w:color="auto" w:sz="4" w:space="0"/>
            </w:tcBorders>
          </w:tcPr>
          <w:p w14:paraId="0576844F">
            <w:pPr>
              <w:snapToGrid w:val="0"/>
              <w:spacing w:line="240" w:lineRule="exact"/>
              <w:jc w:val="left"/>
              <w:rPr>
                <w:color w:val="auto"/>
                <w:szCs w:val="21"/>
                <w:highlight w:val="none"/>
              </w:rPr>
            </w:pPr>
          </w:p>
        </w:tc>
        <w:tc>
          <w:tcPr>
            <w:tcW w:w="1971" w:type="dxa"/>
            <w:tcBorders>
              <w:top w:val="single" w:color="auto" w:sz="4" w:space="0"/>
              <w:left w:val="single" w:color="auto" w:sz="4" w:space="0"/>
              <w:bottom w:val="single" w:color="auto" w:sz="4" w:space="0"/>
              <w:right w:val="single" w:color="auto" w:sz="4" w:space="0"/>
            </w:tcBorders>
          </w:tcPr>
          <w:p w14:paraId="00C9AE8E">
            <w:pPr>
              <w:snapToGrid w:val="0"/>
              <w:spacing w:line="240" w:lineRule="exact"/>
              <w:jc w:val="left"/>
              <w:rPr>
                <w:color w:val="auto"/>
                <w:szCs w:val="21"/>
                <w:highlight w:val="none"/>
              </w:rPr>
            </w:pPr>
          </w:p>
        </w:tc>
      </w:tr>
      <w:tr w14:paraId="214366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7" w:hRule="atLeast"/>
        </w:trPr>
        <w:tc>
          <w:tcPr>
            <w:tcW w:w="1062" w:type="dxa"/>
            <w:tcBorders>
              <w:top w:val="single" w:color="auto" w:sz="4" w:space="0"/>
              <w:left w:val="single" w:color="auto" w:sz="4" w:space="0"/>
              <w:bottom w:val="single" w:color="auto" w:sz="4" w:space="0"/>
              <w:right w:val="single" w:color="auto" w:sz="4" w:space="0"/>
            </w:tcBorders>
          </w:tcPr>
          <w:p w14:paraId="5ECF9BA8">
            <w:pPr>
              <w:snapToGrid w:val="0"/>
              <w:spacing w:before="50" w:after="120" w:afterLines="50" w:line="400" w:lineRule="exact"/>
              <w:jc w:val="left"/>
              <w:rPr>
                <w:color w:val="auto"/>
                <w:szCs w:val="21"/>
                <w:highlight w:val="none"/>
              </w:rPr>
            </w:pPr>
          </w:p>
        </w:tc>
        <w:tc>
          <w:tcPr>
            <w:tcW w:w="3737" w:type="dxa"/>
            <w:tcBorders>
              <w:top w:val="single" w:color="auto" w:sz="4" w:space="0"/>
              <w:left w:val="single" w:color="auto" w:sz="4" w:space="0"/>
              <w:bottom w:val="single" w:color="auto" w:sz="4" w:space="0"/>
              <w:right w:val="single" w:color="auto" w:sz="4" w:space="0"/>
            </w:tcBorders>
          </w:tcPr>
          <w:p w14:paraId="29F785B0">
            <w:pPr>
              <w:snapToGrid w:val="0"/>
              <w:spacing w:before="50" w:after="120" w:afterLines="50" w:line="400" w:lineRule="exact"/>
              <w:jc w:val="left"/>
              <w:rPr>
                <w:color w:val="auto"/>
                <w:szCs w:val="21"/>
                <w:highlight w:val="none"/>
              </w:rPr>
            </w:pPr>
          </w:p>
        </w:tc>
        <w:tc>
          <w:tcPr>
            <w:tcW w:w="3123" w:type="dxa"/>
            <w:tcBorders>
              <w:top w:val="single" w:color="auto" w:sz="4" w:space="0"/>
              <w:left w:val="single" w:color="auto" w:sz="4" w:space="0"/>
              <w:bottom w:val="single" w:color="auto" w:sz="4" w:space="0"/>
              <w:right w:val="single" w:color="auto" w:sz="4" w:space="0"/>
            </w:tcBorders>
          </w:tcPr>
          <w:p w14:paraId="5A969B9B">
            <w:pPr>
              <w:snapToGrid w:val="0"/>
              <w:spacing w:before="50" w:after="120" w:afterLines="50" w:line="400" w:lineRule="exact"/>
              <w:jc w:val="left"/>
              <w:rPr>
                <w:color w:val="auto"/>
                <w:szCs w:val="21"/>
                <w:highlight w:val="none"/>
              </w:rPr>
            </w:pPr>
          </w:p>
        </w:tc>
        <w:tc>
          <w:tcPr>
            <w:tcW w:w="985" w:type="dxa"/>
            <w:tcBorders>
              <w:top w:val="single" w:color="auto" w:sz="4" w:space="0"/>
              <w:left w:val="single" w:color="auto" w:sz="4" w:space="0"/>
              <w:bottom w:val="single" w:color="auto" w:sz="4" w:space="0"/>
              <w:right w:val="single" w:color="auto" w:sz="4" w:space="0"/>
            </w:tcBorders>
          </w:tcPr>
          <w:p w14:paraId="7DBD7F29">
            <w:pPr>
              <w:snapToGrid w:val="0"/>
              <w:spacing w:before="50" w:after="120" w:afterLines="50" w:line="400" w:lineRule="exact"/>
              <w:jc w:val="left"/>
              <w:rPr>
                <w:color w:val="auto"/>
                <w:szCs w:val="21"/>
                <w:highlight w:val="none"/>
              </w:rPr>
            </w:pPr>
          </w:p>
        </w:tc>
        <w:tc>
          <w:tcPr>
            <w:tcW w:w="985" w:type="dxa"/>
            <w:tcBorders>
              <w:top w:val="single" w:color="auto" w:sz="4" w:space="0"/>
              <w:left w:val="single" w:color="auto" w:sz="4" w:space="0"/>
              <w:bottom w:val="single" w:color="auto" w:sz="4" w:space="0"/>
              <w:right w:val="single" w:color="auto" w:sz="4" w:space="0"/>
            </w:tcBorders>
          </w:tcPr>
          <w:p w14:paraId="438219F1">
            <w:pPr>
              <w:snapToGrid w:val="0"/>
              <w:spacing w:before="50" w:after="120" w:afterLines="50" w:line="400" w:lineRule="exact"/>
              <w:jc w:val="left"/>
              <w:rPr>
                <w:color w:val="auto"/>
                <w:szCs w:val="21"/>
                <w:highlight w:val="none"/>
              </w:rPr>
            </w:pPr>
          </w:p>
        </w:tc>
        <w:tc>
          <w:tcPr>
            <w:tcW w:w="1314" w:type="dxa"/>
            <w:tcBorders>
              <w:top w:val="single" w:color="auto" w:sz="4" w:space="0"/>
              <w:left w:val="single" w:color="auto" w:sz="4" w:space="0"/>
              <w:bottom w:val="single" w:color="auto" w:sz="4" w:space="0"/>
              <w:right w:val="single" w:color="auto" w:sz="4" w:space="0"/>
            </w:tcBorders>
          </w:tcPr>
          <w:p w14:paraId="41DC5C0D">
            <w:pPr>
              <w:snapToGrid w:val="0"/>
              <w:spacing w:before="50" w:after="120" w:afterLines="50" w:line="400" w:lineRule="exact"/>
              <w:jc w:val="left"/>
              <w:rPr>
                <w:color w:val="auto"/>
                <w:szCs w:val="21"/>
                <w:highlight w:val="none"/>
              </w:rPr>
            </w:pPr>
          </w:p>
        </w:tc>
        <w:tc>
          <w:tcPr>
            <w:tcW w:w="1971" w:type="dxa"/>
            <w:tcBorders>
              <w:top w:val="single" w:color="auto" w:sz="4" w:space="0"/>
              <w:left w:val="single" w:color="auto" w:sz="4" w:space="0"/>
              <w:bottom w:val="single" w:color="auto" w:sz="4" w:space="0"/>
              <w:right w:val="single" w:color="auto" w:sz="4" w:space="0"/>
            </w:tcBorders>
          </w:tcPr>
          <w:p w14:paraId="470D1FAA">
            <w:pPr>
              <w:snapToGrid w:val="0"/>
              <w:spacing w:before="50" w:after="120" w:afterLines="50" w:line="400" w:lineRule="exact"/>
              <w:jc w:val="left"/>
              <w:rPr>
                <w:color w:val="auto"/>
                <w:szCs w:val="21"/>
                <w:highlight w:val="none"/>
              </w:rPr>
            </w:pPr>
          </w:p>
        </w:tc>
      </w:tr>
      <w:tr w14:paraId="105565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81" w:hRule="atLeast"/>
        </w:trPr>
        <w:tc>
          <w:tcPr>
            <w:tcW w:w="1062" w:type="dxa"/>
            <w:tcBorders>
              <w:top w:val="single" w:color="auto" w:sz="4" w:space="0"/>
              <w:left w:val="single" w:color="auto" w:sz="4" w:space="0"/>
              <w:bottom w:val="single" w:color="auto" w:sz="4" w:space="0"/>
              <w:right w:val="single" w:color="auto" w:sz="4" w:space="0"/>
            </w:tcBorders>
          </w:tcPr>
          <w:p w14:paraId="3629A505">
            <w:pPr>
              <w:snapToGrid w:val="0"/>
              <w:spacing w:before="50" w:after="120" w:afterLines="50" w:line="400" w:lineRule="exact"/>
              <w:jc w:val="left"/>
              <w:rPr>
                <w:color w:val="auto"/>
                <w:szCs w:val="21"/>
                <w:highlight w:val="none"/>
              </w:rPr>
            </w:pPr>
          </w:p>
        </w:tc>
        <w:tc>
          <w:tcPr>
            <w:tcW w:w="3737" w:type="dxa"/>
            <w:tcBorders>
              <w:top w:val="single" w:color="auto" w:sz="4" w:space="0"/>
              <w:left w:val="single" w:color="auto" w:sz="4" w:space="0"/>
              <w:bottom w:val="single" w:color="auto" w:sz="4" w:space="0"/>
              <w:right w:val="single" w:color="auto" w:sz="4" w:space="0"/>
            </w:tcBorders>
          </w:tcPr>
          <w:p w14:paraId="5580C2F6">
            <w:pPr>
              <w:snapToGrid w:val="0"/>
              <w:spacing w:before="50" w:after="120" w:afterLines="50" w:line="400" w:lineRule="exact"/>
              <w:jc w:val="left"/>
              <w:rPr>
                <w:color w:val="auto"/>
                <w:szCs w:val="21"/>
                <w:highlight w:val="none"/>
              </w:rPr>
            </w:pPr>
          </w:p>
        </w:tc>
        <w:tc>
          <w:tcPr>
            <w:tcW w:w="3123" w:type="dxa"/>
            <w:tcBorders>
              <w:top w:val="single" w:color="auto" w:sz="4" w:space="0"/>
              <w:left w:val="single" w:color="auto" w:sz="4" w:space="0"/>
              <w:bottom w:val="single" w:color="auto" w:sz="4" w:space="0"/>
              <w:right w:val="single" w:color="auto" w:sz="4" w:space="0"/>
            </w:tcBorders>
          </w:tcPr>
          <w:p w14:paraId="67F4371D">
            <w:pPr>
              <w:snapToGrid w:val="0"/>
              <w:spacing w:before="50" w:after="120" w:afterLines="50" w:line="400" w:lineRule="exact"/>
              <w:jc w:val="left"/>
              <w:rPr>
                <w:color w:val="auto"/>
                <w:szCs w:val="21"/>
                <w:highlight w:val="none"/>
              </w:rPr>
            </w:pPr>
          </w:p>
        </w:tc>
        <w:tc>
          <w:tcPr>
            <w:tcW w:w="985" w:type="dxa"/>
            <w:tcBorders>
              <w:top w:val="single" w:color="auto" w:sz="4" w:space="0"/>
              <w:left w:val="single" w:color="auto" w:sz="4" w:space="0"/>
              <w:bottom w:val="single" w:color="auto" w:sz="4" w:space="0"/>
              <w:right w:val="single" w:color="auto" w:sz="4" w:space="0"/>
            </w:tcBorders>
          </w:tcPr>
          <w:p w14:paraId="54E96FE3">
            <w:pPr>
              <w:snapToGrid w:val="0"/>
              <w:spacing w:before="50" w:after="120" w:afterLines="50" w:line="400" w:lineRule="exact"/>
              <w:jc w:val="left"/>
              <w:rPr>
                <w:color w:val="auto"/>
                <w:szCs w:val="21"/>
                <w:highlight w:val="none"/>
              </w:rPr>
            </w:pPr>
          </w:p>
        </w:tc>
        <w:tc>
          <w:tcPr>
            <w:tcW w:w="985" w:type="dxa"/>
            <w:tcBorders>
              <w:top w:val="single" w:color="auto" w:sz="4" w:space="0"/>
              <w:left w:val="single" w:color="auto" w:sz="4" w:space="0"/>
              <w:bottom w:val="single" w:color="auto" w:sz="4" w:space="0"/>
              <w:right w:val="single" w:color="auto" w:sz="4" w:space="0"/>
            </w:tcBorders>
          </w:tcPr>
          <w:p w14:paraId="5E207C0F">
            <w:pPr>
              <w:snapToGrid w:val="0"/>
              <w:spacing w:before="50" w:after="120" w:afterLines="50" w:line="400" w:lineRule="exact"/>
              <w:jc w:val="left"/>
              <w:rPr>
                <w:color w:val="auto"/>
                <w:szCs w:val="21"/>
                <w:highlight w:val="none"/>
              </w:rPr>
            </w:pPr>
          </w:p>
        </w:tc>
        <w:tc>
          <w:tcPr>
            <w:tcW w:w="1314" w:type="dxa"/>
            <w:tcBorders>
              <w:top w:val="single" w:color="auto" w:sz="4" w:space="0"/>
              <w:left w:val="single" w:color="auto" w:sz="4" w:space="0"/>
              <w:bottom w:val="single" w:color="auto" w:sz="4" w:space="0"/>
              <w:right w:val="single" w:color="auto" w:sz="4" w:space="0"/>
            </w:tcBorders>
          </w:tcPr>
          <w:p w14:paraId="7A5E1BD1">
            <w:pPr>
              <w:snapToGrid w:val="0"/>
              <w:spacing w:before="50" w:after="120" w:afterLines="50" w:line="400" w:lineRule="exact"/>
              <w:jc w:val="left"/>
              <w:rPr>
                <w:color w:val="auto"/>
                <w:szCs w:val="21"/>
                <w:highlight w:val="none"/>
              </w:rPr>
            </w:pPr>
          </w:p>
        </w:tc>
        <w:tc>
          <w:tcPr>
            <w:tcW w:w="1971" w:type="dxa"/>
            <w:tcBorders>
              <w:top w:val="single" w:color="auto" w:sz="4" w:space="0"/>
              <w:left w:val="single" w:color="auto" w:sz="4" w:space="0"/>
              <w:bottom w:val="single" w:color="auto" w:sz="4" w:space="0"/>
              <w:right w:val="single" w:color="auto" w:sz="4" w:space="0"/>
            </w:tcBorders>
          </w:tcPr>
          <w:p w14:paraId="2718FB6C">
            <w:pPr>
              <w:snapToGrid w:val="0"/>
              <w:spacing w:before="50" w:after="120" w:afterLines="50" w:line="400" w:lineRule="exact"/>
              <w:jc w:val="left"/>
              <w:rPr>
                <w:color w:val="auto"/>
                <w:szCs w:val="21"/>
                <w:highlight w:val="none"/>
              </w:rPr>
            </w:pPr>
          </w:p>
        </w:tc>
      </w:tr>
      <w:tr w14:paraId="5634F4E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7" w:hRule="atLeast"/>
        </w:trPr>
        <w:tc>
          <w:tcPr>
            <w:tcW w:w="1062" w:type="dxa"/>
            <w:tcBorders>
              <w:top w:val="single" w:color="auto" w:sz="4" w:space="0"/>
              <w:left w:val="single" w:color="auto" w:sz="4" w:space="0"/>
              <w:bottom w:val="single" w:color="auto" w:sz="4" w:space="0"/>
              <w:right w:val="single" w:color="auto" w:sz="4" w:space="0"/>
            </w:tcBorders>
          </w:tcPr>
          <w:p w14:paraId="183ABB0C">
            <w:pPr>
              <w:snapToGrid w:val="0"/>
              <w:spacing w:before="50" w:after="120" w:afterLines="50" w:line="400" w:lineRule="exact"/>
              <w:jc w:val="left"/>
              <w:rPr>
                <w:color w:val="auto"/>
                <w:szCs w:val="21"/>
                <w:highlight w:val="none"/>
              </w:rPr>
            </w:pPr>
          </w:p>
        </w:tc>
        <w:tc>
          <w:tcPr>
            <w:tcW w:w="3737" w:type="dxa"/>
            <w:tcBorders>
              <w:top w:val="single" w:color="auto" w:sz="4" w:space="0"/>
              <w:left w:val="single" w:color="auto" w:sz="4" w:space="0"/>
              <w:bottom w:val="single" w:color="auto" w:sz="4" w:space="0"/>
              <w:right w:val="single" w:color="auto" w:sz="4" w:space="0"/>
            </w:tcBorders>
          </w:tcPr>
          <w:p w14:paraId="2C875252">
            <w:pPr>
              <w:snapToGrid w:val="0"/>
              <w:spacing w:before="50" w:after="120" w:afterLines="50" w:line="400" w:lineRule="exact"/>
              <w:jc w:val="left"/>
              <w:rPr>
                <w:color w:val="auto"/>
                <w:szCs w:val="21"/>
                <w:highlight w:val="none"/>
              </w:rPr>
            </w:pPr>
          </w:p>
        </w:tc>
        <w:tc>
          <w:tcPr>
            <w:tcW w:w="3123" w:type="dxa"/>
            <w:tcBorders>
              <w:top w:val="single" w:color="auto" w:sz="4" w:space="0"/>
              <w:left w:val="single" w:color="auto" w:sz="4" w:space="0"/>
              <w:bottom w:val="single" w:color="auto" w:sz="4" w:space="0"/>
              <w:right w:val="single" w:color="auto" w:sz="4" w:space="0"/>
            </w:tcBorders>
          </w:tcPr>
          <w:p w14:paraId="3797F900">
            <w:pPr>
              <w:snapToGrid w:val="0"/>
              <w:spacing w:before="50" w:after="120" w:afterLines="50" w:line="400" w:lineRule="exact"/>
              <w:jc w:val="left"/>
              <w:rPr>
                <w:color w:val="auto"/>
                <w:szCs w:val="21"/>
                <w:highlight w:val="none"/>
              </w:rPr>
            </w:pPr>
          </w:p>
        </w:tc>
        <w:tc>
          <w:tcPr>
            <w:tcW w:w="985" w:type="dxa"/>
            <w:tcBorders>
              <w:top w:val="single" w:color="auto" w:sz="4" w:space="0"/>
              <w:left w:val="single" w:color="auto" w:sz="4" w:space="0"/>
              <w:bottom w:val="single" w:color="auto" w:sz="4" w:space="0"/>
              <w:right w:val="single" w:color="auto" w:sz="4" w:space="0"/>
            </w:tcBorders>
          </w:tcPr>
          <w:p w14:paraId="0219544A">
            <w:pPr>
              <w:snapToGrid w:val="0"/>
              <w:spacing w:before="50" w:after="120" w:afterLines="50" w:line="400" w:lineRule="exact"/>
              <w:jc w:val="left"/>
              <w:rPr>
                <w:color w:val="auto"/>
                <w:szCs w:val="21"/>
                <w:highlight w:val="none"/>
              </w:rPr>
            </w:pPr>
          </w:p>
        </w:tc>
        <w:tc>
          <w:tcPr>
            <w:tcW w:w="985" w:type="dxa"/>
            <w:tcBorders>
              <w:top w:val="single" w:color="auto" w:sz="4" w:space="0"/>
              <w:left w:val="single" w:color="auto" w:sz="4" w:space="0"/>
              <w:bottom w:val="single" w:color="auto" w:sz="4" w:space="0"/>
              <w:right w:val="single" w:color="auto" w:sz="4" w:space="0"/>
            </w:tcBorders>
          </w:tcPr>
          <w:p w14:paraId="660F6B43">
            <w:pPr>
              <w:snapToGrid w:val="0"/>
              <w:spacing w:before="50" w:after="120" w:afterLines="50" w:line="400" w:lineRule="exact"/>
              <w:jc w:val="left"/>
              <w:rPr>
                <w:color w:val="auto"/>
                <w:szCs w:val="21"/>
                <w:highlight w:val="none"/>
              </w:rPr>
            </w:pPr>
          </w:p>
        </w:tc>
        <w:tc>
          <w:tcPr>
            <w:tcW w:w="1314" w:type="dxa"/>
            <w:tcBorders>
              <w:top w:val="single" w:color="auto" w:sz="4" w:space="0"/>
              <w:left w:val="single" w:color="auto" w:sz="4" w:space="0"/>
              <w:bottom w:val="single" w:color="auto" w:sz="4" w:space="0"/>
              <w:right w:val="single" w:color="auto" w:sz="4" w:space="0"/>
            </w:tcBorders>
          </w:tcPr>
          <w:p w14:paraId="1EBC83F1">
            <w:pPr>
              <w:snapToGrid w:val="0"/>
              <w:spacing w:before="50" w:after="120" w:afterLines="50" w:line="400" w:lineRule="exact"/>
              <w:jc w:val="left"/>
              <w:rPr>
                <w:color w:val="auto"/>
                <w:szCs w:val="21"/>
                <w:highlight w:val="none"/>
              </w:rPr>
            </w:pPr>
          </w:p>
        </w:tc>
        <w:tc>
          <w:tcPr>
            <w:tcW w:w="1971" w:type="dxa"/>
            <w:tcBorders>
              <w:top w:val="single" w:color="auto" w:sz="4" w:space="0"/>
              <w:left w:val="single" w:color="auto" w:sz="4" w:space="0"/>
              <w:bottom w:val="single" w:color="auto" w:sz="4" w:space="0"/>
              <w:right w:val="single" w:color="auto" w:sz="4" w:space="0"/>
            </w:tcBorders>
          </w:tcPr>
          <w:p w14:paraId="42B914C5">
            <w:pPr>
              <w:snapToGrid w:val="0"/>
              <w:spacing w:before="50" w:after="120" w:afterLines="50" w:line="400" w:lineRule="exact"/>
              <w:jc w:val="left"/>
              <w:rPr>
                <w:color w:val="auto"/>
                <w:szCs w:val="21"/>
                <w:highlight w:val="none"/>
              </w:rPr>
            </w:pPr>
          </w:p>
        </w:tc>
      </w:tr>
      <w:tr w14:paraId="6036C1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1062" w:type="dxa"/>
            <w:tcBorders>
              <w:top w:val="single" w:color="auto" w:sz="4" w:space="0"/>
              <w:left w:val="single" w:color="auto" w:sz="4" w:space="0"/>
              <w:bottom w:val="single" w:color="auto" w:sz="4" w:space="0"/>
              <w:right w:val="single" w:color="auto" w:sz="4" w:space="0"/>
            </w:tcBorders>
          </w:tcPr>
          <w:p w14:paraId="6DB1CAF0">
            <w:pPr>
              <w:snapToGrid w:val="0"/>
              <w:spacing w:before="50" w:after="120" w:afterLines="50" w:line="400" w:lineRule="exact"/>
              <w:jc w:val="left"/>
              <w:rPr>
                <w:color w:val="auto"/>
                <w:szCs w:val="21"/>
                <w:highlight w:val="none"/>
              </w:rPr>
            </w:pPr>
          </w:p>
        </w:tc>
        <w:tc>
          <w:tcPr>
            <w:tcW w:w="3737" w:type="dxa"/>
            <w:tcBorders>
              <w:top w:val="single" w:color="auto" w:sz="4" w:space="0"/>
              <w:left w:val="single" w:color="auto" w:sz="4" w:space="0"/>
              <w:bottom w:val="single" w:color="auto" w:sz="4" w:space="0"/>
              <w:right w:val="single" w:color="auto" w:sz="4" w:space="0"/>
            </w:tcBorders>
          </w:tcPr>
          <w:p w14:paraId="325916EE">
            <w:pPr>
              <w:snapToGrid w:val="0"/>
              <w:spacing w:before="50" w:after="120" w:afterLines="50" w:line="400" w:lineRule="exact"/>
              <w:jc w:val="left"/>
              <w:rPr>
                <w:color w:val="auto"/>
                <w:szCs w:val="21"/>
                <w:highlight w:val="none"/>
              </w:rPr>
            </w:pPr>
          </w:p>
        </w:tc>
        <w:tc>
          <w:tcPr>
            <w:tcW w:w="3123" w:type="dxa"/>
            <w:tcBorders>
              <w:top w:val="single" w:color="auto" w:sz="4" w:space="0"/>
              <w:left w:val="single" w:color="auto" w:sz="4" w:space="0"/>
              <w:bottom w:val="single" w:color="auto" w:sz="4" w:space="0"/>
              <w:right w:val="single" w:color="auto" w:sz="4" w:space="0"/>
            </w:tcBorders>
          </w:tcPr>
          <w:p w14:paraId="4E8DDD88">
            <w:pPr>
              <w:snapToGrid w:val="0"/>
              <w:spacing w:before="50" w:after="120" w:afterLines="50" w:line="400" w:lineRule="exact"/>
              <w:jc w:val="left"/>
              <w:rPr>
                <w:color w:val="auto"/>
                <w:szCs w:val="21"/>
                <w:highlight w:val="none"/>
              </w:rPr>
            </w:pPr>
          </w:p>
        </w:tc>
        <w:tc>
          <w:tcPr>
            <w:tcW w:w="985" w:type="dxa"/>
            <w:tcBorders>
              <w:top w:val="single" w:color="auto" w:sz="4" w:space="0"/>
              <w:left w:val="single" w:color="auto" w:sz="4" w:space="0"/>
              <w:bottom w:val="single" w:color="auto" w:sz="4" w:space="0"/>
              <w:right w:val="single" w:color="auto" w:sz="4" w:space="0"/>
            </w:tcBorders>
          </w:tcPr>
          <w:p w14:paraId="7BA6A310">
            <w:pPr>
              <w:snapToGrid w:val="0"/>
              <w:spacing w:before="50" w:after="120" w:afterLines="50" w:line="400" w:lineRule="exact"/>
              <w:jc w:val="left"/>
              <w:rPr>
                <w:color w:val="auto"/>
                <w:szCs w:val="21"/>
                <w:highlight w:val="none"/>
              </w:rPr>
            </w:pPr>
          </w:p>
        </w:tc>
        <w:tc>
          <w:tcPr>
            <w:tcW w:w="985" w:type="dxa"/>
            <w:tcBorders>
              <w:top w:val="single" w:color="auto" w:sz="4" w:space="0"/>
              <w:left w:val="single" w:color="auto" w:sz="4" w:space="0"/>
              <w:bottom w:val="single" w:color="auto" w:sz="4" w:space="0"/>
              <w:right w:val="single" w:color="auto" w:sz="4" w:space="0"/>
            </w:tcBorders>
          </w:tcPr>
          <w:p w14:paraId="2E1C8B0C">
            <w:pPr>
              <w:snapToGrid w:val="0"/>
              <w:spacing w:before="50" w:after="120" w:afterLines="50" w:line="400" w:lineRule="exact"/>
              <w:jc w:val="left"/>
              <w:rPr>
                <w:color w:val="auto"/>
                <w:szCs w:val="21"/>
                <w:highlight w:val="none"/>
              </w:rPr>
            </w:pPr>
          </w:p>
        </w:tc>
        <w:tc>
          <w:tcPr>
            <w:tcW w:w="1314" w:type="dxa"/>
            <w:tcBorders>
              <w:top w:val="single" w:color="auto" w:sz="4" w:space="0"/>
              <w:left w:val="single" w:color="auto" w:sz="4" w:space="0"/>
              <w:bottom w:val="single" w:color="auto" w:sz="4" w:space="0"/>
              <w:right w:val="single" w:color="auto" w:sz="4" w:space="0"/>
            </w:tcBorders>
          </w:tcPr>
          <w:p w14:paraId="1E015E19">
            <w:pPr>
              <w:snapToGrid w:val="0"/>
              <w:spacing w:before="50" w:after="120" w:afterLines="50" w:line="400" w:lineRule="exact"/>
              <w:jc w:val="left"/>
              <w:rPr>
                <w:color w:val="auto"/>
                <w:szCs w:val="21"/>
                <w:highlight w:val="none"/>
              </w:rPr>
            </w:pPr>
          </w:p>
        </w:tc>
        <w:tc>
          <w:tcPr>
            <w:tcW w:w="1971" w:type="dxa"/>
            <w:tcBorders>
              <w:top w:val="single" w:color="auto" w:sz="4" w:space="0"/>
              <w:left w:val="single" w:color="auto" w:sz="4" w:space="0"/>
              <w:bottom w:val="single" w:color="auto" w:sz="4" w:space="0"/>
              <w:right w:val="single" w:color="auto" w:sz="4" w:space="0"/>
            </w:tcBorders>
          </w:tcPr>
          <w:p w14:paraId="262FED8D">
            <w:pPr>
              <w:snapToGrid w:val="0"/>
              <w:spacing w:before="50" w:after="120" w:afterLines="50" w:line="400" w:lineRule="exact"/>
              <w:jc w:val="left"/>
              <w:rPr>
                <w:color w:val="auto"/>
                <w:szCs w:val="21"/>
                <w:highlight w:val="none"/>
              </w:rPr>
            </w:pPr>
          </w:p>
        </w:tc>
      </w:tr>
    </w:tbl>
    <w:p w14:paraId="1B574643">
      <w:pPr>
        <w:pStyle w:val="15"/>
        <w:snapToGrid w:val="0"/>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注：</w:t>
      </w:r>
    </w:p>
    <w:p w14:paraId="34F31AB7">
      <w:pPr>
        <w:pStyle w:val="15"/>
        <w:snapToGrid w:val="0"/>
        <w:rPr>
          <w:rFonts w:ascii="Times New Roman" w:hAnsi="Times New Roman" w:eastAsia="宋体" w:cs="Times New Roman"/>
          <w:color w:val="auto"/>
          <w:sz w:val="21"/>
          <w:szCs w:val="21"/>
          <w:highlight w:val="none"/>
        </w:rPr>
      </w:pPr>
      <w:r>
        <w:rPr>
          <w:rFonts w:ascii="Times New Roman" w:hAnsi="Times New Roman" w:eastAsia="宋体" w:cs="Times New Roman"/>
          <w:color w:val="auto"/>
          <w:szCs w:val="21"/>
          <w:highlight w:val="none"/>
        </w:rPr>
        <w:t>（1）</w:t>
      </w:r>
      <w:r>
        <w:rPr>
          <w:rFonts w:ascii="Times New Roman" w:hAnsi="Times New Roman" w:eastAsia="宋体" w:cs="Times New Roman"/>
          <w:color w:val="auto"/>
          <w:sz w:val="21"/>
          <w:szCs w:val="21"/>
          <w:highlight w:val="none"/>
        </w:rPr>
        <w:t>未附</w:t>
      </w:r>
      <w:r>
        <w:rPr>
          <w:rFonts w:hint="eastAsia" w:ascii="Times New Roman" w:hAnsi="Times New Roman" w:eastAsia="宋体" w:cs="Times New Roman"/>
          <w:color w:val="auto"/>
          <w:sz w:val="21"/>
          <w:szCs w:val="21"/>
          <w:highlight w:val="none"/>
        </w:rPr>
        <w:t>证明材料</w:t>
      </w:r>
      <w:r>
        <w:rPr>
          <w:rFonts w:ascii="Times New Roman" w:hAnsi="Times New Roman" w:eastAsia="宋体" w:cs="Times New Roman"/>
          <w:color w:val="auto"/>
          <w:sz w:val="21"/>
          <w:szCs w:val="21"/>
          <w:highlight w:val="none"/>
        </w:rPr>
        <w:t>的业绩无效</w:t>
      </w:r>
      <w:r>
        <w:rPr>
          <w:rFonts w:hint="eastAsia" w:ascii="Times New Roman" w:hAnsi="Times New Roman" w:eastAsia="宋体" w:cs="Times New Roman"/>
          <w:color w:val="auto"/>
          <w:sz w:val="21"/>
          <w:szCs w:val="21"/>
          <w:highlight w:val="none"/>
        </w:rPr>
        <w:t>，证明材料</w:t>
      </w:r>
      <w:r>
        <w:rPr>
          <w:rFonts w:ascii="Times New Roman" w:hAnsi="Times New Roman" w:eastAsia="宋体" w:cs="Times New Roman"/>
          <w:color w:val="auto"/>
          <w:sz w:val="21"/>
          <w:szCs w:val="21"/>
          <w:highlight w:val="none"/>
        </w:rPr>
        <w:t>以</w:t>
      </w:r>
      <w:r>
        <w:rPr>
          <w:rFonts w:hint="eastAsia" w:ascii="Times New Roman" w:hAnsi="Times New Roman" w:eastAsia="宋体" w:cs="Times New Roman"/>
          <w:color w:val="auto"/>
          <w:sz w:val="21"/>
          <w:szCs w:val="21"/>
          <w:highlight w:val="none"/>
        </w:rPr>
        <w:t>成交</w:t>
      </w:r>
      <w:r>
        <w:rPr>
          <w:rFonts w:ascii="Times New Roman" w:hAnsi="Times New Roman" w:eastAsia="宋体" w:cs="Times New Roman"/>
          <w:color w:val="auto"/>
          <w:sz w:val="21"/>
          <w:szCs w:val="21"/>
          <w:highlight w:val="none"/>
        </w:rPr>
        <w:t>通知书或合同复印件为准</w:t>
      </w:r>
      <w:r>
        <w:rPr>
          <w:rFonts w:hint="eastAsia" w:ascii="Times New Roman" w:hAnsi="Times New Roman" w:eastAsia="宋体" w:cs="Times New Roman"/>
          <w:color w:val="auto"/>
          <w:sz w:val="21"/>
          <w:szCs w:val="21"/>
          <w:highlight w:val="none"/>
        </w:rPr>
        <w:t>。</w:t>
      </w:r>
    </w:p>
    <w:p w14:paraId="1CF8E9D8">
      <w:pPr>
        <w:pStyle w:val="15"/>
        <w:snapToGrid w:val="0"/>
        <w:rPr>
          <w:rFonts w:ascii="Times New Roman" w:hAnsi="Times New Roman" w:eastAsia="宋体" w:cs="Times New Roman"/>
          <w:color w:val="auto"/>
          <w:sz w:val="21"/>
          <w:szCs w:val="21"/>
          <w:highlight w:val="none"/>
        </w:rPr>
      </w:pPr>
      <w:r>
        <w:rPr>
          <w:rFonts w:ascii="Times New Roman" w:hAnsi="Times New Roman" w:eastAsia="宋体" w:cs="Times New Roman"/>
          <w:color w:val="auto"/>
          <w:szCs w:val="21"/>
          <w:highlight w:val="none"/>
        </w:rPr>
        <w:t>（2）</w:t>
      </w:r>
      <w:r>
        <w:rPr>
          <w:rFonts w:ascii="Times New Roman" w:hAnsi="Times New Roman" w:eastAsia="宋体" w:cs="Times New Roman"/>
          <w:color w:val="auto"/>
          <w:sz w:val="21"/>
          <w:szCs w:val="21"/>
          <w:highlight w:val="none"/>
        </w:rPr>
        <w:t>类似项目的定义</w:t>
      </w:r>
      <w:r>
        <w:rPr>
          <w:rFonts w:hint="eastAsia" w:ascii="Times New Roman" w:hAnsi="Times New Roman" w:eastAsia="宋体" w:cs="Times New Roman"/>
          <w:color w:val="auto"/>
          <w:sz w:val="21"/>
          <w:szCs w:val="21"/>
          <w:highlight w:val="none"/>
        </w:rPr>
        <w:t>：</w:t>
      </w:r>
      <w:r>
        <w:rPr>
          <w:rFonts w:hint="eastAsia" w:ascii="Times New Roman" w:hAnsi="Times New Roman" w:eastAsia="宋体" w:cs="Times New Roman"/>
          <w:color w:val="auto"/>
          <w:sz w:val="21"/>
          <w:szCs w:val="21"/>
          <w:highlight w:val="none"/>
          <w:u w:val="single"/>
        </w:rPr>
        <w:t xml:space="preserve"> </w:t>
      </w:r>
      <w:r>
        <w:rPr>
          <w:rFonts w:ascii="Times New Roman" w:hAnsi="Times New Roman" w:eastAsia="宋体" w:cs="Times New Roman"/>
          <w:color w:val="auto"/>
          <w:sz w:val="21"/>
          <w:szCs w:val="21"/>
          <w:highlight w:val="none"/>
          <w:u w:val="single"/>
        </w:rPr>
        <w:t xml:space="preserve">               </w:t>
      </w:r>
      <w:r>
        <w:rPr>
          <w:rFonts w:ascii="Times New Roman" w:hAnsi="Times New Roman" w:eastAsia="宋体" w:cs="Times New Roman"/>
          <w:color w:val="auto"/>
          <w:sz w:val="21"/>
          <w:szCs w:val="21"/>
          <w:highlight w:val="none"/>
        </w:rPr>
        <w:t>。</w:t>
      </w:r>
    </w:p>
    <w:p w14:paraId="2B04754F">
      <w:pPr>
        <w:rPr>
          <w:color w:val="auto"/>
          <w:highlight w:val="none"/>
        </w:rPr>
      </w:pPr>
      <w:r>
        <w:rPr>
          <w:color w:val="auto"/>
          <w:szCs w:val="21"/>
          <w:highlight w:val="none"/>
        </w:rPr>
        <w:t>（3）</w:t>
      </w:r>
      <w:r>
        <w:rPr>
          <w:color w:val="auto"/>
          <w:highlight w:val="none"/>
        </w:rPr>
        <w:t>本表可拓展</w:t>
      </w:r>
      <w:r>
        <w:rPr>
          <w:rFonts w:hint="eastAsia"/>
          <w:color w:val="auto"/>
          <w:highlight w:val="none"/>
        </w:rPr>
        <w:t>。</w:t>
      </w:r>
    </w:p>
    <w:p w14:paraId="1104E575">
      <w:pPr>
        <w:snapToGrid w:val="0"/>
        <w:spacing w:before="50"/>
        <w:jc w:val="left"/>
        <w:rPr>
          <w:color w:val="auto"/>
          <w:szCs w:val="21"/>
          <w:highlight w:val="none"/>
        </w:rPr>
      </w:pPr>
    </w:p>
    <w:p w14:paraId="6356096B">
      <w:pPr>
        <w:snapToGrid w:val="0"/>
        <w:spacing w:before="50"/>
        <w:jc w:val="left"/>
        <w:rPr>
          <w:color w:val="auto"/>
          <w:szCs w:val="21"/>
          <w:highlight w:val="none"/>
        </w:rPr>
        <w:sectPr>
          <w:pgSz w:w="16838" w:h="11906" w:orient="landscape"/>
          <w:pgMar w:top="1274" w:right="1418" w:bottom="1418" w:left="1418" w:header="851" w:footer="992" w:gutter="0"/>
          <w:cols w:space="720" w:num="1"/>
          <w:docGrid w:linePitch="312" w:charSpace="0"/>
        </w:sectPr>
      </w:pPr>
      <w:bookmarkStart w:id="112" w:name="_Hlk89181592"/>
      <w:r>
        <w:rPr>
          <w:color w:val="auto"/>
          <w:szCs w:val="21"/>
          <w:highlight w:val="none"/>
        </w:rPr>
        <w:t>供应商</w:t>
      </w:r>
      <w:r>
        <w:rPr>
          <w:rFonts w:hint="eastAsia"/>
          <w:color w:val="auto"/>
          <w:szCs w:val="21"/>
          <w:highlight w:val="none"/>
        </w:rPr>
        <w:t>名称(电子签章</w:t>
      </w:r>
      <w:r>
        <w:rPr>
          <w:color w:val="auto"/>
          <w:szCs w:val="21"/>
          <w:highlight w:val="none"/>
        </w:rPr>
        <w:t>)：</w:t>
      </w:r>
      <w:r>
        <w:rPr>
          <w:color w:val="auto"/>
          <w:szCs w:val="21"/>
          <w:highlight w:val="none"/>
          <w:u w:val="single"/>
        </w:rPr>
        <w:t xml:space="preserve">                 </w:t>
      </w:r>
      <w:r>
        <w:rPr>
          <w:color w:val="auto"/>
          <w:szCs w:val="21"/>
          <w:highlight w:val="none"/>
        </w:rPr>
        <w:t xml:space="preserve">        </w:t>
      </w:r>
      <w:bookmarkEnd w:id="112"/>
      <w:r>
        <w:rPr>
          <w:color w:val="auto"/>
          <w:szCs w:val="21"/>
          <w:highlight w:val="none"/>
        </w:rPr>
        <w:t xml:space="preserve">                                   年    月   日</w:t>
      </w:r>
    </w:p>
    <w:bookmarkEnd w:id="111"/>
    <w:p w14:paraId="2CA866E0">
      <w:pPr>
        <w:snapToGrid w:val="0"/>
        <w:spacing w:before="50" w:after="120" w:afterLines="50"/>
        <w:jc w:val="left"/>
        <w:rPr>
          <w:color w:val="auto"/>
          <w:szCs w:val="21"/>
          <w:highlight w:val="none"/>
        </w:rPr>
      </w:pPr>
      <w:bookmarkStart w:id="113" w:name="_Hlk21623918"/>
      <w:r>
        <w:rPr>
          <w:color w:val="auto"/>
          <w:szCs w:val="21"/>
          <w:highlight w:val="none"/>
        </w:rPr>
        <w:t>9．</w:t>
      </w:r>
      <w:r>
        <w:rPr>
          <w:rFonts w:hint="eastAsia"/>
          <w:color w:val="auto"/>
          <w:szCs w:val="21"/>
          <w:highlight w:val="none"/>
        </w:rPr>
        <w:t>提供响应产品由中共中央网络安全和信息化委员会办公室网站最新发布的《网络关键设备和网络安全专用产品安全认证和安全检测结果》截图证明材料或提供有效期内的《计算机信息系统安全专用产品销售许可证》（采购标的包含时提供）</w:t>
      </w:r>
    </w:p>
    <w:p w14:paraId="11A3F4FC">
      <w:pPr>
        <w:snapToGrid w:val="0"/>
        <w:spacing w:before="50" w:after="120" w:afterLines="50"/>
        <w:jc w:val="left"/>
        <w:rPr>
          <w:color w:val="auto"/>
          <w:szCs w:val="21"/>
          <w:highlight w:val="none"/>
        </w:rPr>
      </w:pPr>
    </w:p>
    <w:p w14:paraId="37EDCF21">
      <w:pPr>
        <w:snapToGrid w:val="0"/>
        <w:spacing w:before="50" w:after="120" w:afterLines="50"/>
        <w:jc w:val="left"/>
        <w:rPr>
          <w:color w:val="auto"/>
          <w:szCs w:val="21"/>
          <w:highlight w:val="none"/>
        </w:rPr>
      </w:pPr>
      <w:r>
        <w:rPr>
          <w:color w:val="auto"/>
          <w:szCs w:val="21"/>
          <w:highlight w:val="none"/>
        </w:rPr>
        <w:t>10．符合政府采购政策</w:t>
      </w:r>
      <w:r>
        <w:rPr>
          <w:rFonts w:hint="eastAsia"/>
          <w:color w:val="auto"/>
          <w:szCs w:val="21"/>
          <w:highlight w:val="none"/>
        </w:rPr>
        <w:t>的</w:t>
      </w:r>
      <w:r>
        <w:rPr>
          <w:color w:val="auto"/>
          <w:szCs w:val="21"/>
          <w:highlight w:val="none"/>
        </w:rPr>
        <w:t>证明材料。</w:t>
      </w:r>
    </w:p>
    <w:p w14:paraId="299A705D">
      <w:pPr>
        <w:snapToGrid w:val="0"/>
        <w:spacing w:before="50" w:after="120" w:afterLines="50"/>
        <w:jc w:val="left"/>
        <w:rPr>
          <w:color w:val="auto"/>
          <w:szCs w:val="21"/>
          <w:highlight w:val="none"/>
        </w:rPr>
      </w:pPr>
      <w:r>
        <w:rPr>
          <w:color w:val="auto"/>
          <w:szCs w:val="21"/>
          <w:highlight w:val="none"/>
        </w:rPr>
        <w:t>10</w:t>
      </w:r>
      <w:r>
        <w:rPr>
          <w:rFonts w:hint="eastAsia"/>
          <w:color w:val="auto"/>
          <w:szCs w:val="21"/>
          <w:highlight w:val="none"/>
        </w:rPr>
        <w:t>.1列入节能产品政府采购品目清单及环境标志产品政府采购品目清单的货物清单。</w:t>
      </w:r>
      <w:r>
        <w:rPr>
          <w:rFonts w:hint="eastAsia"/>
          <w:b/>
          <w:color w:val="auto"/>
          <w:szCs w:val="21"/>
          <w:highlight w:val="none"/>
        </w:rPr>
        <w:t>（如有，须提供）</w:t>
      </w:r>
    </w:p>
    <w:p w14:paraId="05051D10">
      <w:pPr>
        <w:snapToGrid w:val="0"/>
        <w:spacing w:before="50" w:after="120" w:afterLines="50"/>
        <w:jc w:val="left"/>
        <w:rPr>
          <w:color w:val="auto"/>
          <w:szCs w:val="21"/>
          <w:highlight w:val="none"/>
        </w:rPr>
      </w:pPr>
      <w:r>
        <w:rPr>
          <w:rFonts w:hint="eastAsia"/>
          <w:color w:val="auto"/>
          <w:szCs w:val="21"/>
          <w:highlight w:val="none"/>
        </w:rPr>
        <w:t>投标产品中如有列入节能产品政府采购品目清单及环境标志产品政府采购品目清单的货物，应按下表提供清单。投标文件中同时提供所投标产品的节能产品及环境标志认证证书扫描件</w:t>
      </w:r>
    </w:p>
    <w:p w14:paraId="2F06E528">
      <w:pPr>
        <w:spacing w:line="360" w:lineRule="auto"/>
        <w:jc w:val="center"/>
        <w:rPr>
          <w:color w:val="auto"/>
          <w:szCs w:val="21"/>
          <w:highlight w:val="none"/>
        </w:rPr>
      </w:pPr>
      <w:r>
        <w:rPr>
          <w:rFonts w:hint="eastAsia"/>
          <w:b/>
          <w:color w:val="auto"/>
          <w:szCs w:val="21"/>
          <w:highlight w:val="none"/>
        </w:rPr>
        <w:t>节能产品及环境标志产品清单</w:t>
      </w:r>
    </w:p>
    <w:tbl>
      <w:tblPr>
        <w:tblStyle w:val="51"/>
        <w:tblW w:w="9328"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767"/>
        <w:gridCol w:w="1134"/>
        <w:gridCol w:w="897"/>
        <w:gridCol w:w="1088"/>
        <w:gridCol w:w="1409"/>
        <w:gridCol w:w="1851"/>
        <w:gridCol w:w="1412"/>
        <w:gridCol w:w="770"/>
      </w:tblGrid>
      <w:tr w14:paraId="72E4CDD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54" w:hRule="atLeast"/>
          <w:jc w:val="center"/>
        </w:trPr>
        <w:tc>
          <w:tcPr>
            <w:tcW w:w="767" w:type="dxa"/>
            <w:tcBorders>
              <w:top w:val="single" w:color="auto" w:sz="12" w:space="0"/>
              <w:left w:val="single" w:color="auto" w:sz="12" w:space="0"/>
              <w:bottom w:val="single" w:color="auto" w:sz="8" w:space="0"/>
              <w:right w:val="single" w:color="auto" w:sz="8" w:space="0"/>
            </w:tcBorders>
            <w:tcMar>
              <w:top w:w="0" w:type="dxa"/>
              <w:left w:w="57" w:type="dxa"/>
              <w:bottom w:w="0" w:type="dxa"/>
              <w:right w:w="57" w:type="dxa"/>
            </w:tcMar>
            <w:vAlign w:val="center"/>
          </w:tcPr>
          <w:p w14:paraId="27FD505D">
            <w:pPr>
              <w:widowControl/>
              <w:spacing w:before="100" w:beforeAutospacing="1" w:after="100" w:afterAutospacing="1" w:line="376" w:lineRule="atLeast"/>
              <w:jc w:val="center"/>
              <w:rPr>
                <w:color w:val="auto"/>
                <w:kern w:val="0"/>
                <w:szCs w:val="21"/>
                <w:highlight w:val="none"/>
              </w:rPr>
            </w:pPr>
            <w:r>
              <w:rPr>
                <w:color w:val="auto"/>
                <w:kern w:val="0"/>
                <w:szCs w:val="21"/>
                <w:highlight w:val="none"/>
              </w:rPr>
              <w:t>序号</w:t>
            </w:r>
          </w:p>
        </w:tc>
        <w:tc>
          <w:tcPr>
            <w:tcW w:w="1134" w:type="dxa"/>
            <w:tcBorders>
              <w:top w:val="single" w:color="auto" w:sz="12" w:space="0"/>
              <w:left w:val="nil"/>
              <w:bottom w:val="single" w:color="auto" w:sz="8" w:space="0"/>
              <w:right w:val="single" w:color="auto" w:sz="4" w:space="0"/>
            </w:tcBorders>
            <w:tcMar>
              <w:top w:w="0" w:type="dxa"/>
              <w:left w:w="57" w:type="dxa"/>
              <w:bottom w:w="0" w:type="dxa"/>
              <w:right w:w="57" w:type="dxa"/>
            </w:tcMar>
            <w:vAlign w:val="center"/>
          </w:tcPr>
          <w:p w14:paraId="1D212658">
            <w:pPr>
              <w:widowControl/>
              <w:spacing w:before="100" w:beforeAutospacing="1" w:after="100" w:afterAutospacing="1" w:line="376" w:lineRule="atLeast"/>
              <w:jc w:val="center"/>
              <w:rPr>
                <w:color w:val="auto"/>
                <w:kern w:val="0"/>
                <w:szCs w:val="21"/>
                <w:highlight w:val="none"/>
              </w:rPr>
            </w:pPr>
            <w:r>
              <w:rPr>
                <w:rFonts w:hint="eastAsia"/>
                <w:color w:val="auto"/>
                <w:kern w:val="0"/>
                <w:szCs w:val="21"/>
                <w:highlight w:val="none"/>
              </w:rPr>
              <w:t>类别</w:t>
            </w:r>
          </w:p>
        </w:tc>
        <w:tc>
          <w:tcPr>
            <w:tcW w:w="897" w:type="dxa"/>
            <w:tcBorders>
              <w:top w:val="single" w:color="auto" w:sz="12" w:space="0"/>
              <w:left w:val="single" w:color="auto" w:sz="4" w:space="0"/>
              <w:bottom w:val="single" w:color="auto" w:sz="8" w:space="0"/>
              <w:right w:val="single" w:color="auto" w:sz="8" w:space="0"/>
            </w:tcBorders>
            <w:vAlign w:val="center"/>
          </w:tcPr>
          <w:p w14:paraId="1B5662F0">
            <w:pPr>
              <w:widowControl/>
              <w:spacing w:before="100" w:beforeAutospacing="1" w:after="100" w:afterAutospacing="1" w:line="376" w:lineRule="atLeast"/>
              <w:jc w:val="center"/>
              <w:rPr>
                <w:color w:val="auto"/>
                <w:kern w:val="0"/>
                <w:szCs w:val="21"/>
                <w:highlight w:val="none"/>
              </w:rPr>
            </w:pPr>
            <w:r>
              <w:rPr>
                <w:rFonts w:hint="eastAsia"/>
                <w:color w:val="auto"/>
                <w:kern w:val="0"/>
                <w:szCs w:val="21"/>
                <w:highlight w:val="none"/>
              </w:rPr>
              <w:t>品目</w:t>
            </w:r>
          </w:p>
        </w:tc>
        <w:tc>
          <w:tcPr>
            <w:tcW w:w="1088" w:type="dxa"/>
            <w:tcBorders>
              <w:top w:val="single" w:color="auto" w:sz="12" w:space="0"/>
              <w:left w:val="nil"/>
              <w:bottom w:val="single" w:color="auto" w:sz="8" w:space="0"/>
              <w:right w:val="single" w:color="auto" w:sz="4" w:space="0"/>
            </w:tcBorders>
            <w:tcMar>
              <w:top w:w="0" w:type="dxa"/>
              <w:left w:w="57" w:type="dxa"/>
              <w:bottom w:w="0" w:type="dxa"/>
              <w:right w:w="57" w:type="dxa"/>
            </w:tcMar>
            <w:vAlign w:val="center"/>
          </w:tcPr>
          <w:p w14:paraId="52BBC4D0">
            <w:pPr>
              <w:widowControl/>
              <w:spacing w:before="100" w:beforeAutospacing="1" w:after="100" w:afterAutospacing="1" w:line="376" w:lineRule="atLeast"/>
              <w:jc w:val="center"/>
              <w:rPr>
                <w:color w:val="auto"/>
                <w:kern w:val="0"/>
                <w:szCs w:val="21"/>
                <w:highlight w:val="none"/>
              </w:rPr>
            </w:pPr>
            <w:r>
              <w:rPr>
                <w:rFonts w:hint="eastAsia"/>
                <w:color w:val="auto"/>
                <w:kern w:val="0"/>
                <w:szCs w:val="21"/>
                <w:highlight w:val="none"/>
              </w:rPr>
              <w:t>品牌</w:t>
            </w:r>
          </w:p>
        </w:tc>
        <w:tc>
          <w:tcPr>
            <w:tcW w:w="1409" w:type="dxa"/>
            <w:tcBorders>
              <w:top w:val="single" w:color="auto" w:sz="12" w:space="0"/>
              <w:left w:val="single" w:color="auto" w:sz="4" w:space="0"/>
              <w:bottom w:val="single" w:color="auto" w:sz="8" w:space="0"/>
              <w:right w:val="single" w:color="auto" w:sz="8" w:space="0"/>
            </w:tcBorders>
            <w:vAlign w:val="center"/>
          </w:tcPr>
          <w:p w14:paraId="384A6DC2">
            <w:pPr>
              <w:widowControl/>
              <w:spacing w:before="100" w:beforeAutospacing="1" w:after="100" w:afterAutospacing="1" w:line="376" w:lineRule="atLeast"/>
              <w:jc w:val="center"/>
              <w:rPr>
                <w:color w:val="auto"/>
                <w:kern w:val="0"/>
                <w:szCs w:val="21"/>
                <w:highlight w:val="none"/>
              </w:rPr>
            </w:pPr>
            <w:r>
              <w:rPr>
                <w:color w:val="auto"/>
                <w:kern w:val="0"/>
                <w:szCs w:val="21"/>
                <w:highlight w:val="none"/>
              </w:rPr>
              <w:t>规格型号</w:t>
            </w:r>
          </w:p>
        </w:tc>
        <w:tc>
          <w:tcPr>
            <w:tcW w:w="1851" w:type="dxa"/>
            <w:tcBorders>
              <w:top w:val="single" w:color="auto" w:sz="12" w:space="0"/>
              <w:left w:val="nil"/>
              <w:bottom w:val="single" w:color="auto" w:sz="8" w:space="0"/>
              <w:right w:val="single" w:color="auto" w:sz="8" w:space="0"/>
            </w:tcBorders>
            <w:tcMar>
              <w:top w:w="0" w:type="dxa"/>
              <w:left w:w="57" w:type="dxa"/>
              <w:bottom w:w="0" w:type="dxa"/>
              <w:right w:w="57" w:type="dxa"/>
            </w:tcMar>
            <w:vAlign w:val="center"/>
          </w:tcPr>
          <w:p w14:paraId="26CF8128">
            <w:pPr>
              <w:widowControl/>
              <w:spacing w:before="100" w:beforeAutospacing="1" w:after="100" w:afterAutospacing="1" w:line="376" w:lineRule="atLeast"/>
              <w:jc w:val="center"/>
              <w:rPr>
                <w:color w:val="auto"/>
                <w:kern w:val="0"/>
                <w:szCs w:val="21"/>
                <w:highlight w:val="none"/>
              </w:rPr>
            </w:pPr>
            <w:r>
              <w:rPr>
                <w:rFonts w:ascii="Helvetica" w:hAnsi="Helvetica" w:cs="Helvetica"/>
                <w:color w:val="auto"/>
                <w:szCs w:val="21"/>
                <w:highlight w:val="none"/>
                <w:shd w:val="clear" w:color="auto" w:fill="FFFFFF"/>
              </w:rPr>
              <w:t>生产者（制造商）</w:t>
            </w:r>
          </w:p>
        </w:tc>
        <w:tc>
          <w:tcPr>
            <w:tcW w:w="1412" w:type="dxa"/>
            <w:tcBorders>
              <w:top w:val="single" w:color="auto" w:sz="12" w:space="0"/>
              <w:left w:val="nil"/>
              <w:bottom w:val="single" w:color="auto" w:sz="8" w:space="0"/>
              <w:right w:val="single" w:color="auto" w:sz="8" w:space="0"/>
            </w:tcBorders>
            <w:tcMar>
              <w:top w:w="0" w:type="dxa"/>
              <w:left w:w="57" w:type="dxa"/>
              <w:bottom w:w="0" w:type="dxa"/>
              <w:right w:w="57" w:type="dxa"/>
            </w:tcMar>
            <w:vAlign w:val="center"/>
          </w:tcPr>
          <w:p w14:paraId="1420BEC3">
            <w:pPr>
              <w:widowControl/>
              <w:spacing w:before="100" w:beforeAutospacing="1" w:after="100" w:afterAutospacing="1" w:line="376" w:lineRule="atLeast"/>
              <w:jc w:val="center"/>
              <w:rPr>
                <w:color w:val="auto"/>
                <w:kern w:val="0"/>
                <w:szCs w:val="21"/>
                <w:highlight w:val="none"/>
              </w:rPr>
            </w:pPr>
            <w:r>
              <w:rPr>
                <w:rFonts w:hint="eastAsia"/>
                <w:color w:val="auto"/>
                <w:kern w:val="0"/>
                <w:szCs w:val="21"/>
                <w:highlight w:val="none"/>
              </w:rPr>
              <w:t>证书编号及证书到期日期</w:t>
            </w:r>
          </w:p>
        </w:tc>
        <w:tc>
          <w:tcPr>
            <w:tcW w:w="770" w:type="dxa"/>
            <w:tcBorders>
              <w:top w:val="single" w:color="auto" w:sz="12" w:space="0"/>
              <w:left w:val="nil"/>
              <w:bottom w:val="single" w:color="auto" w:sz="8" w:space="0"/>
              <w:right w:val="single" w:color="auto" w:sz="12" w:space="0"/>
            </w:tcBorders>
            <w:tcMar>
              <w:top w:w="0" w:type="dxa"/>
              <w:left w:w="57" w:type="dxa"/>
              <w:bottom w:w="0" w:type="dxa"/>
              <w:right w:w="57" w:type="dxa"/>
            </w:tcMar>
            <w:vAlign w:val="center"/>
          </w:tcPr>
          <w:p w14:paraId="01F38212">
            <w:pPr>
              <w:widowControl/>
              <w:spacing w:before="100" w:beforeAutospacing="1" w:after="100" w:afterAutospacing="1" w:line="376" w:lineRule="atLeast"/>
              <w:jc w:val="center"/>
              <w:rPr>
                <w:color w:val="auto"/>
                <w:kern w:val="0"/>
                <w:szCs w:val="21"/>
                <w:highlight w:val="none"/>
              </w:rPr>
            </w:pPr>
            <w:r>
              <w:rPr>
                <w:color w:val="auto"/>
                <w:kern w:val="0"/>
                <w:szCs w:val="21"/>
                <w:highlight w:val="none"/>
              </w:rPr>
              <w:t>备注</w:t>
            </w:r>
          </w:p>
        </w:tc>
      </w:tr>
      <w:tr w14:paraId="3D07C59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33" w:hRule="atLeast"/>
          <w:jc w:val="center"/>
        </w:trPr>
        <w:tc>
          <w:tcPr>
            <w:tcW w:w="767" w:type="dxa"/>
            <w:tcBorders>
              <w:top w:val="nil"/>
              <w:left w:val="single" w:color="auto" w:sz="12" w:space="0"/>
              <w:bottom w:val="single" w:color="auto" w:sz="8" w:space="0"/>
              <w:right w:val="single" w:color="auto" w:sz="8" w:space="0"/>
            </w:tcBorders>
            <w:tcMar>
              <w:top w:w="0" w:type="dxa"/>
              <w:left w:w="57" w:type="dxa"/>
              <w:bottom w:w="0" w:type="dxa"/>
              <w:right w:w="57" w:type="dxa"/>
            </w:tcMar>
            <w:vAlign w:val="center"/>
          </w:tcPr>
          <w:p w14:paraId="08593E4B">
            <w:pPr>
              <w:widowControl/>
              <w:spacing w:before="100" w:beforeAutospacing="1" w:after="100" w:afterAutospacing="1" w:line="376" w:lineRule="atLeast"/>
              <w:jc w:val="center"/>
              <w:rPr>
                <w:color w:val="auto"/>
                <w:kern w:val="0"/>
                <w:szCs w:val="21"/>
                <w:highlight w:val="none"/>
              </w:rPr>
            </w:pPr>
            <w:r>
              <w:rPr>
                <w:color w:val="auto"/>
                <w:kern w:val="0"/>
                <w:szCs w:val="21"/>
                <w:highlight w:val="none"/>
              </w:rPr>
              <w:t>1</w:t>
            </w:r>
          </w:p>
        </w:tc>
        <w:tc>
          <w:tcPr>
            <w:tcW w:w="1134" w:type="dxa"/>
            <w:tcBorders>
              <w:top w:val="nil"/>
              <w:left w:val="nil"/>
              <w:bottom w:val="single" w:color="auto" w:sz="8" w:space="0"/>
              <w:right w:val="single" w:color="auto" w:sz="4" w:space="0"/>
            </w:tcBorders>
            <w:tcMar>
              <w:top w:w="0" w:type="dxa"/>
              <w:left w:w="57" w:type="dxa"/>
              <w:bottom w:w="0" w:type="dxa"/>
              <w:right w:w="57" w:type="dxa"/>
            </w:tcMar>
            <w:vAlign w:val="center"/>
          </w:tcPr>
          <w:p w14:paraId="5A880E5D">
            <w:pPr>
              <w:widowControl/>
              <w:spacing w:before="100" w:beforeAutospacing="1" w:after="100" w:afterAutospacing="1" w:line="376" w:lineRule="atLeast"/>
              <w:jc w:val="center"/>
              <w:rPr>
                <w:color w:val="auto"/>
                <w:kern w:val="0"/>
                <w:szCs w:val="21"/>
                <w:highlight w:val="none"/>
              </w:rPr>
            </w:pPr>
          </w:p>
        </w:tc>
        <w:tc>
          <w:tcPr>
            <w:tcW w:w="897" w:type="dxa"/>
            <w:tcBorders>
              <w:top w:val="nil"/>
              <w:left w:val="single" w:color="auto" w:sz="4" w:space="0"/>
              <w:bottom w:val="single" w:color="auto" w:sz="8" w:space="0"/>
              <w:right w:val="single" w:color="auto" w:sz="8" w:space="0"/>
            </w:tcBorders>
            <w:vAlign w:val="center"/>
          </w:tcPr>
          <w:p w14:paraId="6D2A265D">
            <w:pPr>
              <w:widowControl/>
              <w:spacing w:before="100" w:beforeAutospacing="1" w:after="100" w:afterAutospacing="1" w:line="376" w:lineRule="atLeast"/>
              <w:jc w:val="center"/>
              <w:rPr>
                <w:color w:val="auto"/>
                <w:kern w:val="0"/>
                <w:szCs w:val="21"/>
                <w:highlight w:val="none"/>
              </w:rPr>
            </w:pPr>
          </w:p>
        </w:tc>
        <w:tc>
          <w:tcPr>
            <w:tcW w:w="1088" w:type="dxa"/>
            <w:tcBorders>
              <w:top w:val="nil"/>
              <w:left w:val="nil"/>
              <w:bottom w:val="single" w:color="auto" w:sz="8" w:space="0"/>
              <w:right w:val="single" w:color="auto" w:sz="4" w:space="0"/>
            </w:tcBorders>
            <w:tcMar>
              <w:top w:w="0" w:type="dxa"/>
              <w:left w:w="57" w:type="dxa"/>
              <w:bottom w:w="0" w:type="dxa"/>
              <w:right w:w="57" w:type="dxa"/>
            </w:tcMar>
            <w:vAlign w:val="center"/>
          </w:tcPr>
          <w:p w14:paraId="6F79EFB4">
            <w:pPr>
              <w:widowControl/>
              <w:spacing w:before="100" w:beforeAutospacing="1" w:after="100" w:afterAutospacing="1" w:line="376" w:lineRule="atLeast"/>
              <w:jc w:val="center"/>
              <w:rPr>
                <w:color w:val="auto"/>
                <w:kern w:val="0"/>
                <w:szCs w:val="21"/>
                <w:highlight w:val="none"/>
              </w:rPr>
            </w:pPr>
          </w:p>
        </w:tc>
        <w:tc>
          <w:tcPr>
            <w:tcW w:w="1409" w:type="dxa"/>
            <w:tcBorders>
              <w:top w:val="nil"/>
              <w:left w:val="single" w:color="auto" w:sz="4" w:space="0"/>
              <w:bottom w:val="single" w:color="auto" w:sz="8" w:space="0"/>
              <w:right w:val="single" w:color="auto" w:sz="8" w:space="0"/>
            </w:tcBorders>
            <w:vAlign w:val="center"/>
          </w:tcPr>
          <w:p w14:paraId="44B89BB3">
            <w:pPr>
              <w:widowControl/>
              <w:spacing w:before="100" w:beforeAutospacing="1" w:after="100" w:afterAutospacing="1" w:line="376" w:lineRule="atLeast"/>
              <w:jc w:val="center"/>
              <w:rPr>
                <w:color w:val="auto"/>
                <w:kern w:val="0"/>
                <w:szCs w:val="21"/>
                <w:highlight w:val="none"/>
              </w:rPr>
            </w:pPr>
          </w:p>
        </w:tc>
        <w:tc>
          <w:tcPr>
            <w:tcW w:w="1851" w:type="dxa"/>
            <w:tcBorders>
              <w:top w:val="nil"/>
              <w:left w:val="nil"/>
              <w:bottom w:val="single" w:color="auto" w:sz="8" w:space="0"/>
              <w:right w:val="single" w:color="auto" w:sz="8" w:space="0"/>
            </w:tcBorders>
            <w:tcMar>
              <w:top w:w="0" w:type="dxa"/>
              <w:left w:w="57" w:type="dxa"/>
              <w:bottom w:w="0" w:type="dxa"/>
              <w:right w:w="57" w:type="dxa"/>
            </w:tcMar>
            <w:vAlign w:val="center"/>
          </w:tcPr>
          <w:p w14:paraId="62005AE2">
            <w:pPr>
              <w:widowControl/>
              <w:spacing w:before="100" w:beforeAutospacing="1" w:after="100" w:afterAutospacing="1" w:line="376" w:lineRule="atLeast"/>
              <w:jc w:val="center"/>
              <w:rPr>
                <w:color w:val="auto"/>
                <w:kern w:val="0"/>
                <w:szCs w:val="21"/>
                <w:highlight w:val="none"/>
              </w:rPr>
            </w:pPr>
          </w:p>
        </w:tc>
        <w:tc>
          <w:tcPr>
            <w:tcW w:w="1412" w:type="dxa"/>
            <w:tcBorders>
              <w:top w:val="nil"/>
              <w:left w:val="nil"/>
              <w:bottom w:val="single" w:color="auto" w:sz="8" w:space="0"/>
              <w:right w:val="single" w:color="auto" w:sz="8" w:space="0"/>
            </w:tcBorders>
            <w:tcMar>
              <w:top w:w="0" w:type="dxa"/>
              <w:left w:w="57" w:type="dxa"/>
              <w:bottom w:w="0" w:type="dxa"/>
              <w:right w:w="57" w:type="dxa"/>
            </w:tcMar>
            <w:vAlign w:val="center"/>
          </w:tcPr>
          <w:p w14:paraId="45E0B966">
            <w:pPr>
              <w:widowControl/>
              <w:spacing w:before="100" w:beforeAutospacing="1" w:after="100" w:afterAutospacing="1" w:line="376" w:lineRule="atLeast"/>
              <w:jc w:val="center"/>
              <w:rPr>
                <w:color w:val="auto"/>
                <w:kern w:val="0"/>
                <w:szCs w:val="21"/>
                <w:highlight w:val="none"/>
              </w:rPr>
            </w:pPr>
          </w:p>
        </w:tc>
        <w:tc>
          <w:tcPr>
            <w:tcW w:w="770" w:type="dxa"/>
            <w:tcBorders>
              <w:top w:val="nil"/>
              <w:left w:val="nil"/>
              <w:bottom w:val="single" w:color="auto" w:sz="8" w:space="0"/>
              <w:right w:val="single" w:color="auto" w:sz="12" w:space="0"/>
            </w:tcBorders>
            <w:tcMar>
              <w:top w:w="0" w:type="dxa"/>
              <w:left w:w="57" w:type="dxa"/>
              <w:bottom w:w="0" w:type="dxa"/>
              <w:right w:w="57" w:type="dxa"/>
            </w:tcMar>
            <w:vAlign w:val="center"/>
          </w:tcPr>
          <w:p w14:paraId="75E6AD3B">
            <w:pPr>
              <w:widowControl/>
              <w:spacing w:before="100" w:beforeAutospacing="1" w:after="100" w:afterAutospacing="1" w:line="376" w:lineRule="atLeast"/>
              <w:jc w:val="center"/>
              <w:rPr>
                <w:color w:val="auto"/>
                <w:kern w:val="0"/>
                <w:szCs w:val="21"/>
                <w:highlight w:val="none"/>
              </w:rPr>
            </w:pPr>
          </w:p>
        </w:tc>
      </w:tr>
      <w:tr w14:paraId="3E22669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81" w:hRule="atLeast"/>
          <w:jc w:val="center"/>
        </w:trPr>
        <w:tc>
          <w:tcPr>
            <w:tcW w:w="767" w:type="dxa"/>
            <w:tcBorders>
              <w:top w:val="nil"/>
              <w:left w:val="single" w:color="auto" w:sz="12" w:space="0"/>
              <w:bottom w:val="single" w:color="auto" w:sz="8" w:space="0"/>
              <w:right w:val="single" w:color="auto" w:sz="8" w:space="0"/>
            </w:tcBorders>
            <w:tcMar>
              <w:top w:w="0" w:type="dxa"/>
              <w:left w:w="57" w:type="dxa"/>
              <w:bottom w:w="0" w:type="dxa"/>
              <w:right w:w="57" w:type="dxa"/>
            </w:tcMar>
            <w:vAlign w:val="center"/>
          </w:tcPr>
          <w:p w14:paraId="463D9973">
            <w:pPr>
              <w:widowControl/>
              <w:spacing w:before="100" w:beforeAutospacing="1" w:after="100" w:afterAutospacing="1" w:line="376" w:lineRule="atLeast"/>
              <w:jc w:val="center"/>
              <w:rPr>
                <w:color w:val="auto"/>
                <w:kern w:val="0"/>
                <w:szCs w:val="21"/>
                <w:highlight w:val="none"/>
              </w:rPr>
            </w:pPr>
            <w:r>
              <w:rPr>
                <w:color w:val="auto"/>
                <w:kern w:val="0"/>
                <w:szCs w:val="21"/>
                <w:highlight w:val="none"/>
              </w:rPr>
              <w:t>2</w:t>
            </w:r>
          </w:p>
        </w:tc>
        <w:tc>
          <w:tcPr>
            <w:tcW w:w="1134" w:type="dxa"/>
            <w:tcBorders>
              <w:top w:val="nil"/>
              <w:left w:val="nil"/>
              <w:bottom w:val="single" w:color="auto" w:sz="8" w:space="0"/>
              <w:right w:val="single" w:color="auto" w:sz="4" w:space="0"/>
            </w:tcBorders>
            <w:tcMar>
              <w:top w:w="0" w:type="dxa"/>
              <w:left w:w="57" w:type="dxa"/>
              <w:bottom w:w="0" w:type="dxa"/>
              <w:right w:w="57" w:type="dxa"/>
            </w:tcMar>
            <w:vAlign w:val="center"/>
          </w:tcPr>
          <w:p w14:paraId="232FBA15">
            <w:pPr>
              <w:widowControl/>
              <w:spacing w:before="100" w:beforeAutospacing="1" w:after="100" w:afterAutospacing="1" w:line="376" w:lineRule="atLeast"/>
              <w:jc w:val="center"/>
              <w:rPr>
                <w:color w:val="auto"/>
                <w:kern w:val="0"/>
                <w:szCs w:val="21"/>
                <w:highlight w:val="none"/>
              </w:rPr>
            </w:pPr>
          </w:p>
        </w:tc>
        <w:tc>
          <w:tcPr>
            <w:tcW w:w="897" w:type="dxa"/>
            <w:tcBorders>
              <w:top w:val="nil"/>
              <w:left w:val="single" w:color="auto" w:sz="4" w:space="0"/>
              <w:bottom w:val="single" w:color="auto" w:sz="8" w:space="0"/>
              <w:right w:val="single" w:color="auto" w:sz="8" w:space="0"/>
            </w:tcBorders>
            <w:vAlign w:val="center"/>
          </w:tcPr>
          <w:p w14:paraId="0BB32B4A">
            <w:pPr>
              <w:widowControl/>
              <w:spacing w:before="100" w:beforeAutospacing="1" w:after="100" w:afterAutospacing="1" w:line="376" w:lineRule="atLeast"/>
              <w:jc w:val="center"/>
              <w:rPr>
                <w:color w:val="auto"/>
                <w:kern w:val="0"/>
                <w:szCs w:val="21"/>
                <w:highlight w:val="none"/>
              </w:rPr>
            </w:pPr>
          </w:p>
        </w:tc>
        <w:tc>
          <w:tcPr>
            <w:tcW w:w="1088" w:type="dxa"/>
            <w:tcBorders>
              <w:top w:val="nil"/>
              <w:left w:val="nil"/>
              <w:bottom w:val="single" w:color="auto" w:sz="8" w:space="0"/>
              <w:right w:val="single" w:color="auto" w:sz="4" w:space="0"/>
            </w:tcBorders>
            <w:tcMar>
              <w:top w:w="0" w:type="dxa"/>
              <w:left w:w="57" w:type="dxa"/>
              <w:bottom w:w="0" w:type="dxa"/>
              <w:right w:w="57" w:type="dxa"/>
            </w:tcMar>
            <w:vAlign w:val="center"/>
          </w:tcPr>
          <w:p w14:paraId="305ED940">
            <w:pPr>
              <w:widowControl/>
              <w:spacing w:before="100" w:beforeAutospacing="1" w:after="100" w:afterAutospacing="1" w:line="376" w:lineRule="atLeast"/>
              <w:jc w:val="center"/>
              <w:rPr>
                <w:color w:val="auto"/>
                <w:kern w:val="0"/>
                <w:szCs w:val="21"/>
                <w:highlight w:val="none"/>
              </w:rPr>
            </w:pPr>
          </w:p>
        </w:tc>
        <w:tc>
          <w:tcPr>
            <w:tcW w:w="1409" w:type="dxa"/>
            <w:tcBorders>
              <w:top w:val="nil"/>
              <w:left w:val="single" w:color="auto" w:sz="4" w:space="0"/>
              <w:bottom w:val="single" w:color="auto" w:sz="8" w:space="0"/>
              <w:right w:val="single" w:color="auto" w:sz="8" w:space="0"/>
            </w:tcBorders>
            <w:vAlign w:val="center"/>
          </w:tcPr>
          <w:p w14:paraId="34EC98D5">
            <w:pPr>
              <w:widowControl/>
              <w:spacing w:before="100" w:beforeAutospacing="1" w:after="100" w:afterAutospacing="1" w:line="376" w:lineRule="atLeast"/>
              <w:jc w:val="center"/>
              <w:rPr>
                <w:color w:val="auto"/>
                <w:kern w:val="0"/>
                <w:szCs w:val="21"/>
                <w:highlight w:val="none"/>
              </w:rPr>
            </w:pPr>
          </w:p>
        </w:tc>
        <w:tc>
          <w:tcPr>
            <w:tcW w:w="1851" w:type="dxa"/>
            <w:tcBorders>
              <w:top w:val="nil"/>
              <w:left w:val="nil"/>
              <w:bottom w:val="single" w:color="auto" w:sz="8" w:space="0"/>
              <w:right w:val="single" w:color="auto" w:sz="8" w:space="0"/>
            </w:tcBorders>
            <w:tcMar>
              <w:top w:w="0" w:type="dxa"/>
              <w:left w:w="57" w:type="dxa"/>
              <w:bottom w:w="0" w:type="dxa"/>
              <w:right w:w="57" w:type="dxa"/>
            </w:tcMar>
            <w:vAlign w:val="center"/>
          </w:tcPr>
          <w:p w14:paraId="56C8909D">
            <w:pPr>
              <w:widowControl/>
              <w:spacing w:before="100" w:beforeAutospacing="1" w:after="100" w:afterAutospacing="1" w:line="376" w:lineRule="atLeast"/>
              <w:jc w:val="center"/>
              <w:rPr>
                <w:color w:val="auto"/>
                <w:kern w:val="0"/>
                <w:szCs w:val="21"/>
                <w:highlight w:val="none"/>
              </w:rPr>
            </w:pPr>
          </w:p>
        </w:tc>
        <w:tc>
          <w:tcPr>
            <w:tcW w:w="1412" w:type="dxa"/>
            <w:tcBorders>
              <w:top w:val="nil"/>
              <w:left w:val="nil"/>
              <w:bottom w:val="single" w:color="auto" w:sz="8" w:space="0"/>
              <w:right w:val="single" w:color="auto" w:sz="8" w:space="0"/>
            </w:tcBorders>
            <w:tcMar>
              <w:top w:w="0" w:type="dxa"/>
              <w:left w:w="57" w:type="dxa"/>
              <w:bottom w:w="0" w:type="dxa"/>
              <w:right w:w="57" w:type="dxa"/>
            </w:tcMar>
            <w:vAlign w:val="center"/>
          </w:tcPr>
          <w:p w14:paraId="6066E5E6">
            <w:pPr>
              <w:widowControl/>
              <w:spacing w:before="100" w:beforeAutospacing="1" w:after="100" w:afterAutospacing="1" w:line="376" w:lineRule="atLeast"/>
              <w:jc w:val="center"/>
              <w:rPr>
                <w:color w:val="auto"/>
                <w:kern w:val="0"/>
                <w:szCs w:val="21"/>
                <w:highlight w:val="none"/>
              </w:rPr>
            </w:pPr>
          </w:p>
        </w:tc>
        <w:tc>
          <w:tcPr>
            <w:tcW w:w="770" w:type="dxa"/>
            <w:tcBorders>
              <w:top w:val="nil"/>
              <w:left w:val="nil"/>
              <w:bottom w:val="single" w:color="auto" w:sz="8" w:space="0"/>
              <w:right w:val="single" w:color="auto" w:sz="12" w:space="0"/>
            </w:tcBorders>
            <w:tcMar>
              <w:top w:w="0" w:type="dxa"/>
              <w:left w:w="57" w:type="dxa"/>
              <w:bottom w:w="0" w:type="dxa"/>
              <w:right w:w="57" w:type="dxa"/>
            </w:tcMar>
            <w:vAlign w:val="center"/>
          </w:tcPr>
          <w:p w14:paraId="1E8385CB">
            <w:pPr>
              <w:widowControl/>
              <w:spacing w:before="100" w:beforeAutospacing="1" w:after="100" w:afterAutospacing="1" w:line="376" w:lineRule="atLeast"/>
              <w:jc w:val="center"/>
              <w:rPr>
                <w:color w:val="auto"/>
                <w:kern w:val="0"/>
                <w:szCs w:val="21"/>
                <w:highlight w:val="none"/>
              </w:rPr>
            </w:pPr>
          </w:p>
        </w:tc>
      </w:tr>
      <w:tr w14:paraId="5132E29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767" w:type="dxa"/>
            <w:tcBorders>
              <w:top w:val="nil"/>
              <w:left w:val="single" w:color="auto" w:sz="12" w:space="0"/>
              <w:bottom w:val="single" w:color="auto" w:sz="8" w:space="0"/>
              <w:right w:val="single" w:color="auto" w:sz="8" w:space="0"/>
            </w:tcBorders>
            <w:tcMar>
              <w:top w:w="0" w:type="dxa"/>
              <w:left w:w="57" w:type="dxa"/>
              <w:bottom w:w="0" w:type="dxa"/>
              <w:right w:w="57" w:type="dxa"/>
            </w:tcMar>
            <w:vAlign w:val="center"/>
          </w:tcPr>
          <w:p w14:paraId="24EF9BCF">
            <w:pPr>
              <w:widowControl/>
              <w:spacing w:before="100" w:beforeAutospacing="1" w:after="100" w:afterAutospacing="1" w:line="376" w:lineRule="atLeast"/>
              <w:jc w:val="center"/>
              <w:rPr>
                <w:color w:val="auto"/>
                <w:kern w:val="0"/>
                <w:szCs w:val="21"/>
                <w:highlight w:val="none"/>
              </w:rPr>
            </w:pPr>
            <w:r>
              <w:rPr>
                <w:color w:val="auto"/>
                <w:kern w:val="0"/>
                <w:szCs w:val="21"/>
                <w:highlight w:val="none"/>
              </w:rPr>
              <w:t>……</w:t>
            </w:r>
          </w:p>
        </w:tc>
        <w:tc>
          <w:tcPr>
            <w:tcW w:w="1134" w:type="dxa"/>
            <w:tcBorders>
              <w:top w:val="nil"/>
              <w:left w:val="nil"/>
              <w:bottom w:val="single" w:color="auto" w:sz="8" w:space="0"/>
              <w:right w:val="single" w:color="auto" w:sz="4" w:space="0"/>
            </w:tcBorders>
            <w:tcMar>
              <w:top w:w="0" w:type="dxa"/>
              <w:left w:w="57" w:type="dxa"/>
              <w:bottom w:w="0" w:type="dxa"/>
              <w:right w:w="57" w:type="dxa"/>
            </w:tcMar>
            <w:vAlign w:val="center"/>
          </w:tcPr>
          <w:p w14:paraId="7E5C3D05">
            <w:pPr>
              <w:widowControl/>
              <w:spacing w:before="100" w:beforeAutospacing="1" w:after="100" w:afterAutospacing="1" w:line="376" w:lineRule="atLeast"/>
              <w:jc w:val="center"/>
              <w:rPr>
                <w:color w:val="auto"/>
                <w:kern w:val="0"/>
                <w:szCs w:val="21"/>
                <w:highlight w:val="none"/>
              </w:rPr>
            </w:pPr>
          </w:p>
        </w:tc>
        <w:tc>
          <w:tcPr>
            <w:tcW w:w="897" w:type="dxa"/>
            <w:tcBorders>
              <w:top w:val="nil"/>
              <w:left w:val="single" w:color="auto" w:sz="4" w:space="0"/>
              <w:bottom w:val="single" w:color="auto" w:sz="8" w:space="0"/>
              <w:right w:val="single" w:color="auto" w:sz="8" w:space="0"/>
            </w:tcBorders>
            <w:vAlign w:val="center"/>
          </w:tcPr>
          <w:p w14:paraId="4B0F8925">
            <w:pPr>
              <w:widowControl/>
              <w:spacing w:before="100" w:beforeAutospacing="1" w:after="100" w:afterAutospacing="1" w:line="376" w:lineRule="atLeast"/>
              <w:jc w:val="center"/>
              <w:rPr>
                <w:color w:val="auto"/>
                <w:kern w:val="0"/>
                <w:szCs w:val="21"/>
                <w:highlight w:val="none"/>
              </w:rPr>
            </w:pPr>
          </w:p>
        </w:tc>
        <w:tc>
          <w:tcPr>
            <w:tcW w:w="1088" w:type="dxa"/>
            <w:tcBorders>
              <w:top w:val="nil"/>
              <w:left w:val="nil"/>
              <w:bottom w:val="single" w:color="auto" w:sz="8" w:space="0"/>
              <w:right w:val="single" w:color="auto" w:sz="4" w:space="0"/>
            </w:tcBorders>
            <w:tcMar>
              <w:top w:w="0" w:type="dxa"/>
              <w:left w:w="57" w:type="dxa"/>
              <w:bottom w:w="0" w:type="dxa"/>
              <w:right w:w="57" w:type="dxa"/>
            </w:tcMar>
            <w:vAlign w:val="center"/>
          </w:tcPr>
          <w:p w14:paraId="4756FBA5">
            <w:pPr>
              <w:widowControl/>
              <w:spacing w:before="100" w:beforeAutospacing="1" w:after="100" w:afterAutospacing="1" w:line="376" w:lineRule="atLeast"/>
              <w:jc w:val="center"/>
              <w:rPr>
                <w:color w:val="auto"/>
                <w:kern w:val="0"/>
                <w:szCs w:val="21"/>
                <w:highlight w:val="none"/>
              </w:rPr>
            </w:pPr>
          </w:p>
        </w:tc>
        <w:tc>
          <w:tcPr>
            <w:tcW w:w="1409" w:type="dxa"/>
            <w:tcBorders>
              <w:top w:val="nil"/>
              <w:left w:val="single" w:color="auto" w:sz="4" w:space="0"/>
              <w:bottom w:val="single" w:color="auto" w:sz="8" w:space="0"/>
              <w:right w:val="single" w:color="auto" w:sz="8" w:space="0"/>
            </w:tcBorders>
            <w:vAlign w:val="center"/>
          </w:tcPr>
          <w:p w14:paraId="7C690637">
            <w:pPr>
              <w:widowControl/>
              <w:spacing w:before="100" w:beforeAutospacing="1" w:after="100" w:afterAutospacing="1" w:line="376" w:lineRule="atLeast"/>
              <w:jc w:val="center"/>
              <w:rPr>
                <w:color w:val="auto"/>
                <w:kern w:val="0"/>
                <w:szCs w:val="21"/>
                <w:highlight w:val="none"/>
              </w:rPr>
            </w:pPr>
          </w:p>
        </w:tc>
        <w:tc>
          <w:tcPr>
            <w:tcW w:w="1851" w:type="dxa"/>
            <w:tcBorders>
              <w:top w:val="nil"/>
              <w:left w:val="nil"/>
              <w:bottom w:val="single" w:color="auto" w:sz="8" w:space="0"/>
              <w:right w:val="single" w:color="auto" w:sz="8" w:space="0"/>
            </w:tcBorders>
            <w:tcMar>
              <w:top w:w="0" w:type="dxa"/>
              <w:left w:w="57" w:type="dxa"/>
              <w:bottom w:w="0" w:type="dxa"/>
              <w:right w:w="57" w:type="dxa"/>
            </w:tcMar>
            <w:vAlign w:val="center"/>
          </w:tcPr>
          <w:p w14:paraId="2628EEB9">
            <w:pPr>
              <w:widowControl/>
              <w:spacing w:before="100" w:beforeAutospacing="1" w:after="100" w:afterAutospacing="1" w:line="376" w:lineRule="atLeast"/>
              <w:jc w:val="center"/>
              <w:rPr>
                <w:color w:val="auto"/>
                <w:kern w:val="0"/>
                <w:szCs w:val="21"/>
                <w:highlight w:val="none"/>
              </w:rPr>
            </w:pPr>
          </w:p>
        </w:tc>
        <w:tc>
          <w:tcPr>
            <w:tcW w:w="1412" w:type="dxa"/>
            <w:tcBorders>
              <w:top w:val="nil"/>
              <w:left w:val="nil"/>
              <w:bottom w:val="single" w:color="auto" w:sz="8" w:space="0"/>
              <w:right w:val="single" w:color="auto" w:sz="8" w:space="0"/>
            </w:tcBorders>
            <w:tcMar>
              <w:top w:w="0" w:type="dxa"/>
              <w:left w:w="57" w:type="dxa"/>
              <w:bottom w:w="0" w:type="dxa"/>
              <w:right w:w="57" w:type="dxa"/>
            </w:tcMar>
            <w:vAlign w:val="center"/>
          </w:tcPr>
          <w:p w14:paraId="281E2D56">
            <w:pPr>
              <w:widowControl/>
              <w:spacing w:before="100" w:beforeAutospacing="1" w:after="100" w:afterAutospacing="1" w:line="376" w:lineRule="atLeast"/>
              <w:jc w:val="center"/>
              <w:rPr>
                <w:color w:val="auto"/>
                <w:kern w:val="0"/>
                <w:szCs w:val="21"/>
                <w:highlight w:val="none"/>
              </w:rPr>
            </w:pPr>
          </w:p>
        </w:tc>
        <w:tc>
          <w:tcPr>
            <w:tcW w:w="770" w:type="dxa"/>
            <w:tcBorders>
              <w:top w:val="nil"/>
              <w:left w:val="nil"/>
              <w:bottom w:val="single" w:color="auto" w:sz="8" w:space="0"/>
              <w:right w:val="single" w:color="auto" w:sz="12" w:space="0"/>
            </w:tcBorders>
            <w:tcMar>
              <w:top w:w="0" w:type="dxa"/>
              <w:left w:w="57" w:type="dxa"/>
              <w:bottom w:w="0" w:type="dxa"/>
              <w:right w:w="57" w:type="dxa"/>
            </w:tcMar>
            <w:vAlign w:val="center"/>
          </w:tcPr>
          <w:p w14:paraId="4717118B">
            <w:pPr>
              <w:widowControl/>
              <w:spacing w:before="100" w:beforeAutospacing="1" w:after="100" w:afterAutospacing="1" w:line="376" w:lineRule="atLeast"/>
              <w:jc w:val="center"/>
              <w:rPr>
                <w:color w:val="auto"/>
                <w:kern w:val="0"/>
                <w:szCs w:val="21"/>
                <w:highlight w:val="none"/>
              </w:rPr>
            </w:pPr>
          </w:p>
        </w:tc>
      </w:tr>
    </w:tbl>
    <w:p w14:paraId="0F3C55BE">
      <w:pPr>
        <w:snapToGrid w:val="0"/>
        <w:spacing w:before="50" w:after="120" w:afterLines="50"/>
        <w:jc w:val="left"/>
        <w:rPr>
          <w:color w:val="auto"/>
          <w:szCs w:val="21"/>
          <w:highlight w:val="none"/>
        </w:rPr>
      </w:pPr>
      <w:r>
        <w:rPr>
          <w:rFonts w:hint="eastAsia"/>
          <w:color w:val="auto"/>
          <w:szCs w:val="21"/>
          <w:highlight w:val="none"/>
        </w:rPr>
        <w:t>注：类别填写节能或环境标志，品目填写编号及产品名称如A</w:t>
      </w:r>
      <w:r>
        <w:rPr>
          <w:color w:val="auto"/>
          <w:szCs w:val="21"/>
          <w:highlight w:val="none"/>
        </w:rPr>
        <w:t>02010104</w:t>
      </w:r>
      <w:r>
        <w:rPr>
          <w:rFonts w:hint="eastAsia"/>
          <w:color w:val="auto"/>
          <w:szCs w:val="21"/>
          <w:highlight w:val="none"/>
        </w:rPr>
        <w:t>台式计算机。</w:t>
      </w:r>
    </w:p>
    <w:p w14:paraId="0BFD06D2">
      <w:pPr>
        <w:snapToGrid w:val="0"/>
        <w:spacing w:before="50" w:after="120" w:afterLines="50"/>
        <w:jc w:val="left"/>
        <w:rPr>
          <w:color w:val="auto"/>
          <w:szCs w:val="21"/>
          <w:highlight w:val="none"/>
        </w:rPr>
      </w:pPr>
    </w:p>
    <w:bookmarkEnd w:id="113"/>
    <w:p w14:paraId="591C99A3">
      <w:pPr>
        <w:snapToGrid w:val="0"/>
        <w:spacing w:before="50" w:after="120" w:afterLines="50"/>
        <w:jc w:val="left"/>
        <w:rPr>
          <w:color w:val="auto"/>
          <w:szCs w:val="21"/>
          <w:highlight w:val="none"/>
        </w:rPr>
      </w:pPr>
    </w:p>
    <w:p w14:paraId="13A9F4C3">
      <w:pPr>
        <w:snapToGrid w:val="0"/>
        <w:spacing w:before="120" w:beforeLines="50" w:after="50" w:line="440" w:lineRule="exact"/>
        <w:jc w:val="left"/>
        <w:rPr>
          <w:color w:val="auto"/>
          <w:szCs w:val="21"/>
          <w:highlight w:val="none"/>
        </w:rPr>
      </w:pPr>
      <w:r>
        <w:rPr>
          <w:color w:val="auto"/>
          <w:szCs w:val="21"/>
          <w:highlight w:val="none"/>
        </w:rPr>
        <w:br w:type="page"/>
      </w:r>
      <w:bookmarkStart w:id="114" w:name="_Hlk19115874"/>
      <w:bookmarkStart w:id="115" w:name="_Hlk132793601"/>
      <w:bookmarkStart w:id="116" w:name="_Hlk93046716"/>
      <w:r>
        <w:rPr>
          <w:color w:val="auto"/>
          <w:szCs w:val="21"/>
          <w:highlight w:val="none"/>
        </w:rPr>
        <w:t>10.2</w:t>
      </w:r>
      <w:r>
        <w:rPr>
          <w:rFonts w:hint="eastAsia"/>
          <w:bCs/>
          <w:color w:val="auto"/>
          <w:szCs w:val="21"/>
          <w:highlight w:val="none"/>
        </w:rPr>
        <w:t>中小企业声明函</w:t>
      </w:r>
      <w:r>
        <w:rPr>
          <w:color w:val="auto"/>
          <w:szCs w:val="21"/>
          <w:highlight w:val="none"/>
        </w:rPr>
        <w:t>。</w:t>
      </w:r>
    </w:p>
    <w:bookmarkEnd w:id="114"/>
    <w:p w14:paraId="246CE972">
      <w:pPr>
        <w:spacing w:line="360" w:lineRule="auto"/>
        <w:ind w:firstLine="3584" w:firstLineChars="1700"/>
        <w:rPr>
          <w:b/>
          <w:color w:val="auto"/>
          <w:szCs w:val="21"/>
          <w:highlight w:val="none"/>
        </w:rPr>
      </w:pPr>
      <w:bookmarkStart w:id="117" w:name="_Hlk60651253"/>
    </w:p>
    <w:p w14:paraId="0C69B3BC">
      <w:pPr>
        <w:spacing w:line="360" w:lineRule="auto"/>
        <w:ind w:firstLine="3584" w:firstLineChars="1700"/>
        <w:rPr>
          <w:b/>
          <w:color w:val="auto"/>
          <w:szCs w:val="21"/>
          <w:highlight w:val="none"/>
        </w:rPr>
      </w:pPr>
      <w:bookmarkStart w:id="118" w:name="_Hlk60649458"/>
      <w:bookmarkStart w:id="119" w:name="_Hlk60653683"/>
      <w:r>
        <w:rPr>
          <w:rFonts w:hint="eastAsia"/>
          <w:b/>
          <w:color w:val="auto"/>
          <w:szCs w:val="21"/>
          <w:highlight w:val="none"/>
        </w:rPr>
        <w:t>中小企业声明函（货物）</w:t>
      </w:r>
    </w:p>
    <w:p w14:paraId="673A8C8B">
      <w:pPr>
        <w:spacing w:line="360" w:lineRule="auto"/>
        <w:ind w:firstLine="420"/>
        <w:rPr>
          <w:bCs/>
          <w:color w:val="auto"/>
          <w:szCs w:val="21"/>
          <w:highlight w:val="none"/>
        </w:rPr>
      </w:pPr>
      <w:r>
        <w:rPr>
          <w:rFonts w:hint="eastAsia"/>
          <w:bCs/>
          <w:color w:val="auto"/>
          <w:szCs w:val="21"/>
          <w:highlight w:val="none"/>
        </w:rPr>
        <w:t>本公司（联合体）郑重声明，根据《政府采购促进中小企业发展管理办法》（财库﹝2020﹞46 号）的规定，本公司（联合体）参加</w:t>
      </w:r>
      <w:r>
        <w:rPr>
          <w:rFonts w:hint="eastAsia"/>
          <w:bCs/>
          <w:color w:val="auto"/>
          <w:szCs w:val="21"/>
          <w:highlight w:val="none"/>
          <w:u w:val="single"/>
        </w:rPr>
        <w:t>（单位名称）</w:t>
      </w:r>
      <w:r>
        <w:rPr>
          <w:rFonts w:hint="eastAsia"/>
          <w:bCs/>
          <w:color w:val="auto"/>
          <w:szCs w:val="21"/>
          <w:highlight w:val="none"/>
        </w:rPr>
        <w:t>的</w:t>
      </w:r>
      <w:r>
        <w:rPr>
          <w:rFonts w:hint="eastAsia"/>
          <w:bCs/>
          <w:color w:val="auto"/>
          <w:szCs w:val="21"/>
          <w:highlight w:val="none"/>
          <w:u w:val="single"/>
        </w:rPr>
        <w:t>（项目名称）</w:t>
      </w:r>
      <w:r>
        <w:rPr>
          <w:rFonts w:hint="eastAsia"/>
          <w:bCs/>
          <w:color w:val="auto"/>
          <w:szCs w:val="21"/>
          <w:highlight w:val="none"/>
        </w:rPr>
        <w:t>采购活动，提供的货物全部由符合政策要求的中小企业制造。相关企业（含联合体中的中小企业、签订分包意向协议的中小企业） 的具体情况如下：</w:t>
      </w:r>
    </w:p>
    <w:p w14:paraId="08694562">
      <w:pPr>
        <w:spacing w:line="360" w:lineRule="auto"/>
        <w:ind w:firstLine="420"/>
        <w:rPr>
          <w:bCs/>
          <w:color w:val="auto"/>
          <w:szCs w:val="21"/>
          <w:highlight w:val="none"/>
        </w:rPr>
      </w:pPr>
      <w:r>
        <w:rPr>
          <w:bCs/>
          <w:color w:val="auto"/>
          <w:szCs w:val="21"/>
          <w:highlight w:val="none"/>
        </w:rPr>
        <w:t>1.</w:t>
      </w:r>
      <w:r>
        <w:rPr>
          <w:rFonts w:hint="eastAsia"/>
          <w:bCs/>
          <w:color w:val="auto"/>
          <w:szCs w:val="21"/>
          <w:highlight w:val="none"/>
          <w:u w:val="single"/>
        </w:rPr>
        <w:t>（标的名称）</w:t>
      </w:r>
      <w:r>
        <w:rPr>
          <w:rFonts w:hint="eastAsia"/>
          <w:bCs/>
          <w:color w:val="auto"/>
          <w:szCs w:val="21"/>
          <w:highlight w:val="none"/>
        </w:rPr>
        <w:t>，属于</w:t>
      </w:r>
      <w:r>
        <w:rPr>
          <w:rFonts w:hint="eastAsia"/>
          <w:bCs/>
          <w:color w:val="auto"/>
          <w:szCs w:val="21"/>
          <w:highlight w:val="none"/>
          <w:u w:val="single"/>
        </w:rPr>
        <w:t>（采购文件中明确的所属行业）</w:t>
      </w:r>
      <w:r>
        <w:rPr>
          <w:rFonts w:hint="eastAsia"/>
          <w:bCs/>
          <w:color w:val="auto"/>
          <w:szCs w:val="21"/>
          <w:highlight w:val="none"/>
        </w:rPr>
        <w:t>行业；制造商为</w:t>
      </w:r>
      <w:r>
        <w:rPr>
          <w:rFonts w:hint="eastAsia"/>
          <w:bCs/>
          <w:color w:val="auto"/>
          <w:szCs w:val="21"/>
          <w:highlight w:val="none"/>
          <w:u w:val="single"/>
        </w:rPr>
        <w:t>（企业名称）</w:t>
      </w:r>
      <w:r>
        <w:rPr>
          <w:rFonts w:hint="eastAsia"/>
          <w:bCs/>
          <w:color w:val="auto"/>
          <w:szCs w:val="21"/>
          <w:highlight w:val="none"/>
        </w:rPr>
        <w:t>，从业人员</w:t>
      </w:r>
      <w:r>
        <w:rPr>
          <w:bCs/>
          <w:color w:val="auto"/>
          <w:szCs w:val="21"/>
          <w:highlight w:val="none"/>
          <w:u w:val="single"/>
        </w:rPr>
        <w:t xml:space="preserve">    </w:t>
      </w:r>
      <w:r>
        <w:rPr>
          <w:rFonts w:hint="eastAsia"/>
          <w:bCs/>
          <w:color w:val="auto"/>
          <w:szCs w:val="21"/>
          <w:highlight w:val="none"/>
        </w:rPr>
        <w:t>人，营业收入为</w:t>
      </w:r>
      <w:r>
        <w:rPr>
          <w:rFonts w:hint="eastAsia"/>
          <w:bCs/>
          <w:color w:val="auto"/>
          <w:szCs w:val="21"/>
          <w:highlight w:val="none"/>
          <w:u w:val="single"/>
        </w:rPr>
        <w:t xml:space="preserve"> </w:t>
      </w:r>
      <w:r>
        <w:rPr>
          <w:bCs/>
          <w:color w:val="auto"/>
          <w:szCs w:val="21"/>
          <w:highlight w:val="none"/>
          <w:u w:val="single"/>
        </w:rPr>
        <w:t xml:space="preserve">  </w:t>
      </w:r>
      <w:r>
        <w:rPr>
          <w:rFonts w:hint="eastAsia"/>
          <w:bCs/>
          <w:color w:val="auto"/>
          <w:szCs w:val="21"/>
          <w:highlight w:val="none"/>
          <w:u w:val="single"/>
        </w:rPr>
        <w:t xml:space="preserve"> </w:t>
      </w:r>
      <w:r>
        <w:rPr>
          <w:rFonts w:hint="eastAsia"/>
          <w:bCs/>
          <w:color w:val="auto"/>
          <w:szCs w:val="21"/>
          <w:highlight w:val="none"/>
        </w:rPr>
        <w:t>万元，资产总额为</w:t>
      </w:r>
      <w:r>
        <w:rPr>
          <w:rFonts w:hint="eastAsia"/>
          <w:bCs/>
          <w:color w:val="auto"/>
          <w:szCs w:val="21"/>
          <w:highlight w:val="none"/>
          <w:u w:val="single"/>
        </w:rPr>
        <w:t xml:space="preserve">    </w:t>
      </w:r>
      <w:r>
        <w:rPr>
          <w:rFonts w:hint="eastAsia"/>
          <w:bCs/>
          <w:color w:val="auto"/>
          <w:szCs w:val="21"/>
          <w:highlight w:val="none"/>
        </w:rPr>
        <w:t>万元，属于</w:t>
      </w:r>
      <w:r>
        <w:rPr>
          <w:rFonts w:hint="eastAsia"/>
          <w:bCs/>
          <w:color w:val="auto"/>
          <w:szCs w:val="21"/>
          <w:highlight w:val="none"/>
          <w:u w:val="single"/>
        </w:rPr>
        <w:t>（中型企业、小型企业、微型企业）</w:t>
      </w:r>
      <w:r>
        <w:rPr>
          <w:rFonts w:hint="eastAsia"/>
          <w:bCs/>
          <w:color w:val="auto"/>
          <w:szCs w:val="21"/>
          <w:highlight w:val="none"/>
        </w:rPr>
        <w:t>；</w:t>
      </w:r>
    </w:p>
    <w:p w14:paraId="75B64F9D">
      <w:pPr>
        <w:spacing w:line="360" w:lineRule="auto"/>
        <w:ind w:firstLine="420"/>
        <w:rPr>
          <w:bCs/>
          <w:color w:val="auto"/>
          <w:szCs w:val="21"/>
          <w:highlight w:val="none"/>
        </w:rPr>
      </w:pPr>
      <w:r>
        <w:rPr>
          <w:bCs/>
          <w:color w:val="auto"/>
          <w:szCs w:val="21"/>
          <w:highlight w:val="none"/>
        </w:rPr>
        <w:t>2.</w:t>
      </w:r>
      <w:r>
        <w:rPr>
          <w:rFonts w:hint="eastAsia"/>
          <w:bCs/>
          <w:color w:val="auto"/>
          <w:szCs w:val="21"/>
          <w:highlight w:val="none"/>
          <w:u w:val="single"/>
        </w:rPr>
        <w:t>（标的名称）</w:t>
      </w:r>
      <w:r>
        <w:rPr>
          <w:rFonts w:hint="eastAsia"/>
          <w:bCs/>
          <w:color w:val="auto"/>
          <w:szCs w:val="21"/>
          <w:highlight w:val="none"/>
        </w:rPr>
        <w:t>，属于</w:t>
      </w:r>
      <w:r>
        <w:rPr>
          <w:rFonts w:hint="eastAsia"/>
          <w:bCs/>
          <w:color w:val="auto"/>
          <w:szCs w:val="21"/>
          <w:highlight w:val="none"/>
          <w:u w:val="single"/>
        </w:rPr>
        <w:t>（采购文件中明确的所属行业）</w:t>
      </w:r>
      <w:r>
        <w:rPr>
          <w:rFonts w:hint="eastAsia"/>
          <w:bCs/>
          <w:color w:val="auto"/>
          <w:szCs w:val="21"/>
          <w:highlight w:val="none"/>
        </w:rPr>
        <w:t>行业；制造商为</w:t>
      </w:r>
      <w:r>
        <w:rPr>
          <w:rFonts w:hint="eastAsia"/>
          <w:bCs/>
          <w:color w:val="auto"/>
          <w:szCs w:val="21"/>
          <w:highlight w:val="none"/>
          <w:u w:val="single"/>
        </w:rPr>
        <w:t>（企业名称）</w:t>
      </w:r>
      <w:r>
        <w:rPr>
          <w:rFonts w:hint="eastAsia"/>
          <w:bCs/>
          <w:color w:val="auto"/>
          <w:szCs w:val="21"/>
          <w:highlight w:val="none"/>
        </w:rPr>
        <w:t>，从业人员</w:t>
      </w:r>
      <w:r>
        <w:rPr>
          <w:rFonts w:hint="eastAsia"/>
          <w:bCs/>
          <w:color w:val="auto"/>
          <w:szCs w:val="21"/>
          <w:highlight w:val="none"/>
          <w:u w:val="single"/>
        </w:rPr>
        <w:t xml:space="preserve">       </w:t>
      </w:r>
      <w:r>
        <w:rPr>
          <w:rFonts w:hint="eastAsia"/>
          <w:bCs/>
          <w:color w:val="auto"/>
          <w:szCs w:val="21"/>
          <w:highlight w:val="none"/>
        </w:rPr>
        <w:t>人，营业收入为</w:t>
      </w:r>
      <w:r>
        <w:rPr>
          <w:rFonts w:hint="eastAsia"/>
          <w:bCs/>
          <w:color w:val="auto"/>
          <w:szCs w:val="21"/>
          <w:highlight w:val="none"/>
          <w:u w:val="single"/>
        </w:rPr>
        <w:t xml:space="preserve">     </w:t>
      </w:r>
      <w:r>
        <w:rPr>
          <w:rFonts w:hint="eastAsia"/>
          <w:bCs/>
          <w:color w:val="auto"/>
          <w:szCs w:val="21"/>
          <w:highlight w:val="none"/>
        </w:rPr>
        <w:t>万元，资产总额为</w:t>
      </w:r>
      <w:r>
        <w:rPr>
          <w:rFonts w:hint="eastAsia"/>
          <w:bCs/>
          <w:color w:val="auto"/>
          <w:szCs w:val="21"/>
          <w:highlight w:val="none"/>
          <w:u w:val="single"/>
        </w:rPr>
        <w:t xml:space="preserve"> </w:t>
      </w:r>
      <w:r>
        <w:rPr>
          <w:bCs/>
          <w:color w:val="auto"/>
          <w:szCs w:val="21"/>
          <w:highlight w:val="none"/>
          <w:u w:val="single"/>
        </w:rPr>
        <w:t xml:space="preserve">     </w:t>
      </w:r>
      <w:r>
        <w:rPr>
          <w:rFonts w:hint="eastAsia"/>
          <w:bCs/>
          <w:color w:val="auto"/>
          <w:szCs w:val="21"/>
          <w:highlight w:val="none"/>
          <w:u w:val="single"/>
        </w:rPr>
        <w:t xml:space="preserve"> </w:t>
      </w:r>
      <w:r>
        <w:rPr>
          <w:rFonts w:hint="eastAsia"/>
          <w:bCs/>
          <w:color w:val="auto"/>
          <w:szCs w:val="21"/>
          <w:highlight w:val="none"/>
        </w:rPr>
        <w:t>万元，属于</w:t>
      </w:r>
      <w:r>
        <w:rPr>
          <w:rFonts w:hint="eastAsia"/>
          <w:bCs/>
          <w:color w:val="auto"/>
          <w:szCs w:val="21"/>
          <w:highlight w:val="none"/>
          <w:u w:val="single"/>
        </w:rPr>
        <w:t>（中型企业、小型企业、微型企业）</w:t>
      </w:r>
      <w:r>
        <w:rPr>
          <w:rFonts w:hint="eastAsia"/>
          <w:bCs/>
          <w:color w:val="auto"/>
          <w:szCs w:val="21"/>
          <w:highlight w:val="none"/>
        </w:rPr>
        <w:t>；</w:t>
      </w:r>
    </w:p>
    <w:p w14:paraId="0CF1F73A">
      <w:pPr>
        <w:spacing w:line="360" w:lineRule="auto"/>
        <w:ind w:firstLine="420"/>
        <w:rPr>
          <w:bCs/>
          <w:color w:val="auto"/>
          <w:szCs w:val="21"/>
          <w:highlight w:val="none"/>
        </w:rPr>
      </w:pPr>
      <w:r>
        <w:rPr>
          <w:rFonts w:hint="eastAsia"/>
          <w:bCs/>
          <w:color w:val="auto"/>
          <w:szCs w:val="21"/>
          <w:highlight w:val="none"/>
        </w:rPr>
        <w:t>……</w:t>
      </w:r>
    </w:p>
    <w:p w14:paraId="1BBA65E6">
      <w:pPr>
        <w:spacing w:line="360" w:lineRule="auto"/>
        <w:ind w:firstLine="420"/>
        <w:rPr>
          <w:bCs/>
          <w:color w:val="auto"/>
          <w:szCs w:val="21"/>
          <w:highlight w:val="none"/>
        </w:rPr>
      </w:pPr>
      <w:r>
        <w:rPr>
          <w:rFonts w:hint="eastAsia"/>
          <w:bCs/>
          <w:color w:val="auto"/>
          <w:szCs w:val="21"/>
          <w:highlight w:val="none"/>
        </w:rPr>
        <w:t>以上企业，不属于大企业的分支机构，不存在控股股东为大企业的情形，也不存在与大企业的负责人为同一人的情形。</w:t>
      </w:r>
    </w:p>
    <w:p w14:paraId="54F2556F">
      <w:pPr>
        <w:spacing w:line="360" w:lineRule="auto"/>
        <w:ind w:firstLine="420"/>
        <w:rPr>
          <w:bCs/>
          <w:color w:val="auto"/>
          <w:szCs w:val="21"/>
          <w:highlight w:val="none"/>
        </w:rPr>
      </w:pPr>
      <w:r>
        <w:rPr>
          <w:rFonts w:hint="eastAsia"/>
          <w:bCs/>
          <w:color w:val="auto"/>
          <w:szCs w:val="21"/>
          <w:highlight w:val="none"/>
        </w:rPr>
        <w:t>本企业对上述声明内容的真实性负责。如有虚假，将依法承担相应责任。</w:t>
      </w:r>
    </w:p>
    <w:p w14:paraId="55E8F436">
      <w:pPr>
        <w:spacing w:line="360" w:lineRule="auto"/>
        <w:ind w:firstLine="3150" w:firstLineChars="1500"/>
        <w:rPr>
          <w:bCs/>
          <w:color w:val="auto"/>
          <w:szCs w:val="21"/>
          <w:highlight w:val="none"/>
        </w:rPr>
      </w:pPr>
      <w:r>
        <w:rPr>
          <w:rFonts w:hint="eastAsia"/>
          <w:bCs/>
          <w:color w:val="auto"/>
          <w:szCs w:val="21"/>
          <w:highlight w:val="none"/>
        </w:rPr>
        <w:t>企业名称</w:t>
      </w:r>
      <w:r>
        <w:rPr>
          <w:rFonts w:hint="eastAsia"/>
          <w:color w:val="auto"/>
          <w:szCs w:val="21"/>
          <w:highlight w:val="none"/>
        </w:rPr>
        <w:t xml:space="preserve"> (电子签章</w:t>
      </w:r>
      <w:r>
        <w:rPr>
          <w:color w:val="auto"/>
          <w:szCs w:val="21"/>
          <w:highlight w:val="none"/>
        </w:rPr>
        <w:t>)</w:t>
      </w:r>
      <w:r>
        <w:rPr>
          <w:rFonts w:hint="eastAsia"/>
          <w:bCs/>
          <w:color w:val="auto"/>
          <w:szCs w:val="21"/>
          <w:highlight w:val="none"/>
        </w:rPr>
        <w:t xml:space="preserve">： </w:t>
      </w:r>
      <w:r>
        <w:rPr>
          <w:bCs/>
          <w:color w:val="auto"/>
          <w:szCs w:val="21"/>
          <w:highlight w:val="none"/>
        </w:rPr>
        <w:t xml:space="preserve">   </w:t>
      </w:r>
      <w:r>
        <w:rPr>
          <w:rFonts w:hint="eastAsia"/>
          <w:bCs/>
          <w:color w:val="auto"/>
          <w:szCs w:val="21"/>
          <w:highlight w:val="none"/>
        </w:rPr>
        <w:t>日期：</w:t>
      </w:r>
    </w:p>
    <w:p w14:paraId="42E2AD4A">
      <w:pPr>
        <w:spacing w:line="360" w:lineRule="auto"/>
        <w:jc w:val="left"/>
        <w:rPr>
          <w:bCs/>
          <w:color w:val="auto"/>
          <w:szCs w:val="21"/>
          <w:highlight w:val="none"/>
        </w:rPr>
      </w:pPr>
      <w:bookmarkStart w:id="120" w:name="_Hlk65852026"/>
      <w:r>
        <w:rPr>
          <w:rFonts w:hint="eastAsia"/>
          <w:bCs/>
          <w:color w:val="auto"/>
          <w:szCs w:val="21"/>
          <w:highlight w:val="none"/>
        </w:rPr>
        <w:t>注：</w:t>
      </w:r>
    </w:p>
    <w:bookmarkEnd w:id="117"/>
    <w:bookmarkEnd w:id="118"/>
    <w:bookmarkEnd w:id="119"/>
    <w:bookmarkEnd w:id="120"/>
    <w:p w14:paraId="5604CB95">
      <w:pPr>
        <w:spacing w:line="360" w:lineRule="auto"/>
        <w:jc w:val="left"/>
        <w:rPr>
          <w:bCs/>
          <w:color w:val="auto"/>
          <w:szCs w:val="21"/>
          <w:highlight w:val="none"/>
        </w:rPr>
      </w:pPr>
      <w:bookmarkStart w:id="121" w:name="_Hlk19115884"/>
      <w:r>
        <w:rPr>
          <w:rFonts w:hint="eastAsia"/>
          <w:bCs/>
          <w:color w:val="auto"/>
          <w:szCs w:val="21"/>
          <w:highlight w:val="none"/>
        </w:rPr>
        <w:t>（1）标的名称按照第二章采购需求一览表中的货物名称填写，</w:t>
      </w:r>
      <w:r>
        <w:rPr>
          <w:color w:val="auto"/>
          <w:szCs w:val="21"/>
          <w:highlight w:val="none"/>
        </w:rPr>
        <w:t>所属行业标明“/”的</w:t>
      </w:r>
      <w:r>
        <w:rPr>
          <w:rFonts w:hint="eastAsia"/>
          <w:bCs/>
          <w:color w:val="auto"/>
          <w:szCs w:val="21"/>
          <w:highlight w:val="none"/>
        </w:rPr>
        <w:t>，无需在上表填写。</w:t>
      </w:r>
    </w:p>
    <w:p w14:paraId="2C6F315C">
      <w:pPr>
        <w:spacing w:line="360" w:lineRule="auto"/>
        <w:jc w:val="left"/>
        <w:rPr>
          <w:bCs/>
          <w:color w:val="auto"/>
          <w:szCs w:val="21"/>
          <w:highlight w:val="none"/>
        </w:rPr>
      </w:pPr>
      <w:r>
        <w:rPr>
          <w:rFonts w:hint="eastAsia"/>
          <w:bCs/>
          <w:color w:val="auto"/>
          <w:szCs w:val="21"/>
          <w:highlight w:val="none"/>
        </w:rPr>
        <w:t>（</w:t>
      </w:r>
      <w:r>
        <w:rPr>
          <w:bCs/>
          <w:color w:val="auto"/>
          <w:szCs w:val="21"/>
          <w:highlight w:val="none"/>
        </w:rPr>
        <w:t>2</w:t>
      </w:r>
      <w:r>
        <w:rPr>
          <w:rFonts w:hint="eastAsia"/>
          <w:bCs/>
          <w:color w:val="auto"/>
          <w:szCs w:val="21"/>
          <w:highlight w:val="none"/>
        </w:rPr>
        <w:t>）如供应商为联合体或分包的，声明函中“项目名称”应填写联合体中小微企业承担的具体内容或者小微企业具体分包内容。</w:t>
      </w:r>
    </w:p>
    <w:p w14:paraId="56E74D72">
      <w:pPr>
        <w:spacing w:line="360" w:lineRule="auto"/>
        <w:jc w:val="left"/>
        <w:rPr>
          <w:bCs/>
          <w:color w:val="auto"/>
          <w:szCs w:val="21"/>
          <w:highlight w:val="none"/>
        </w:rPr>
      </w:pPr>
      <w:r>
        <w:rPr>
          <w:rFonts w:hint="eastAsia"/>
          <w:bCs/>
          <w:color w:val="auto"/>
          <w:szCs w:val="21"/>
          <w:highlight w:val="none"/>
        </w:rPr>
        <w:t>（</w:t>
      </w:r>
      <w:r>
        <w:rPr>
          <w:bCs/>
          <w:color w:val="auto"/>
          <w:szCs w:val="21"/>
          <w:highlight w:val="none"/>
        </w:rPr>
        <w:t>3</w:t>
      </w:r>
      <w:r>
        <w:rPr>
          <w:rFonts w:hint="eastAsia"/>
          <w:bCs/>
          <w:color w:val="auto"/>
          <w:szCs w:val="21"/>
          <w:highlight w:val="none"/>
        </w:rPr>
        <w:t>）从业人员、营业收入、资产总额填报上一年度数据，无上一年度数据的新成立企业参照国务院批准的中小企业划分标准，根据企业自身情况如实判断。</w:t>
      </w:r>
    </w:p>
    <w:p w14:paraId="1573CA97">
      <w:pPr>
        <w:spacing w:line="360" w:lineRule="auto"/>
        <w:jc w:val="left"/>
        <w:rPr>
          <w:bCs/>
          <w:color w:val="auto"/>
          <w:szCs w:val="21"/>
          <w:highlight w:val="none"/>
        </w:rPr>
      </w:pPr>
      <w:r>
        <w:rPr>
          <w:rFonts w:hint="eastAsia"/>
          <w:bCs/>
          <w:color w:val="auto"/>
          <w:szCs w:val="21"/>
          <w:highlight w:val="none"/>
        </w:rPr>
        <w:t>（</w:t>
      </w:r>
      <w:r>
        <w:rPr>
          <w:bCs/>
          <w:color w:val="auto"/>
          <w:szCs w:val="21"/>
          <w:highlight w:val="none"/>
        </w:rPr>
        <w:t>4</w:t>
      </w:r>
      <w:r>
        <w:rPr>
          <w:rFonts w:hint="eastAsia"/>
          <w:bCs/>
          <w:color w:val="auto"/>
          <w:szCs w:val="21"/>
          <w:highlight w:val="none"/>
        </w:rPr>
        <w:t>）根据工业和信息化部对“从业人员”定义的答复，《民法典》、《公司法》等法律规定，分公司不具有法人资格，其民事责任由总公司承担。企业划型时，应将分公司的从业人员、营业收入、资产总额等指标数据纳入合并计算。</w:t>
      </w:r>
    </w:p>
    <w:p w14:paraId="3D34D6C4">
      <w:pPr>
        <w:spacing w:line="360" w:lineRule="auto"/>
        <w:jc w:val="left"/>
        <w:rPr>
          <w:bCs/>
          <w:color w:val="auto"/>
          <w:szCs w:val="21"/>
          <w:highlight w:val="none"/>
        </w:rPr>
      </w:pPr>
      <w:r>
        <w:rPr>
          <w:rFonts w:hint="eastAsia"/>
          <w:bCs/>
          <w:color w:val="auto"/>
          <w:szCs w:val="21"/>
          <w:highlight w:val="none"/>
        </w:rPr>
        <w:t>（5）根据国家统计局《劳动工资统计报表制度》，从业人员数是指本单位工作，并取得工资或其他形式劳动报酬的人员数，是在岗职工、劳务派遣人员及其他从业人员之和。</w:t>
      </w:r>
    </w:p>
    <w:p w14:paraId="3284B473">
      <w:pPr>
        <w:spacing w:line="360" w:lineRule="auto"/>
        <w:jc w:val="left"/>
        <w:rPr>
          <w:bCs/>
          <w:color w:val="auto"/>
          <w:szCs w:val="21"/>
          <w:highlight w:val="none"/>
        </w:rPr>
      </w:pPr>
      <w:r>
        <w:rPr>
          <w:rFonts w:hint="eastAsia"/>
          <w:bCs/>
          <w:color w:val="auto"/>
          <w:szCs w:val="21"/>
          <w:highlight w:val="none"/>
        </w:rPr>
        <w:t>（</w:t>
      </w:r>
      <w:r>
        <w:rPr>
          <w:bCs/>
          <w:color w:val="auto"/>
          <w:szCs w:val="21"/>
          <w:highlight w:val="none"/>
        </w:rPr>
        <w:t>6</w:t>
      </w:r>
      <w:r>
        <w:rPr>
          <w:rFonts w:hint="eastAsia"/>
          <w:bCs/>
          <w:color w:val="auto"/>
          <w:szCs w:val="21"/>
          <w:highlight w:val="none"/>
        </w:rPr>
        <w:t>）本声明函由供应商填写，供应商应按中小企业划分标准《关于印发中小企业划型标准规定的通知》（工信部联企业〔2011〕300号</w:t>
      </w:r>
      <w:r>
        <w:rPr>
          <w:rFonts w:hint="eastAsia"/>
          <w:color w:val="auto"/>
          <w:szCs w:val="21"/>
          <w:highlight w:val="none"/>
        </w:rPr>
        <w:t>以及《金融业企业划型标准规定》（银发〔2015〕309号）</w:t>
      </w:r>
      <w:r>
        <w:rPr>
          <w:rFonts w:hint="eastAsia"/>
          <w:bCs/>
          <w:color w:val="auto"/>
          <w:szCs w:val="21"/>
          <w:highlight w:val="none"/>
        </w:rPr>
        <w:t>）判断是否为中小企业。</w:t>
      </w:r>
    </w:p>
    <w:p w14:paraId="30BAEED6">
      <w:pPr>
        <w:spacing w:line="360" w:lineRule="auto"/>
        <w:jc w:val="left"/>
        <w:rPr>
          <w:bCs/>
          <w:color w:val="auto"/>
          <w:szCs w:val="21"/>
          <w:highlight w:val="none"/>
        </w:rPr>
      </w:pPr>
      <w:r>
        <w:rPr>
          <w:rFonts w:hint="eastAsia"/>
          <w:bCs/>
          <w:color w:val="auto"/>
          <w:szCs w:val="21"/>
          <w:highlight w:val="none"/>
        </w:rPr>
        <w:t>（</w:t>
      </w:r>
      <w:r>
        <w:rPr>
          <w:bCs/>
          <w:color w:val="auto"/>
          <w:szCs w:val="21"/>
          <w:highlight w:val="none"/>
        </w:rPr>
        <w:t>7</w:t>
      </w:r>
      <w:r>
        <w:rPr>
          <w:rFonts w:hint="eastAsia"/>
          <w:bCs/>
          <w:color w:val="auto"/>
          <w:szCs w:val="21"/>
          <w:highlight w:val="none"/>
        </w:rPr>
        <w:t>）供应商对《中小企业声明函》的真实性负责，如有虚假则需承担不利后果。依法享受中小企业优惠政策的，采购人或采购代理机构在公告成交结果时，同时公告其《中小企业声明函》，接受社会监督。</w:t>
      </w:r>
    </w:p>
    <w:p w14:paraId="70661F7B">
      <w:pPr>
        <w:spacing w:line="360" w:lineRule="auto"/>
        <w:jc w:val="left"/>
        <w:rPr>
          <w:bCs/>
          <w:color w:val="auto"/>
          <w:szCs w:val="21"/>
          <w:highlight w:val="none"/>
        </w:rPr>
      </w:pPr>
      <w:r>
        <w:rPr>
          <w:rFonts w:hint="eastAsia"/>
          <w:bCs/>
          <w:color w:val="auto"/>
          <w:szCs w:val="21"/>
          <w:highlight w:val="none"/>
        </w:rPr>
        <w:t>（</w:t>
      </w:r>
      <w:r>
        <w:rPr>
          <w:bCs/>
          <w:color w:val="auto"/>
          <w:szCs w:val="21"/>
          <w:highlight w:val="none"/>
        </w:rPr>
        <w:t>8</w:t>
      </w:r>
      <w:r>
        <w:rPr>
          <w:rFonts w:hint="eastAsia"/>
          <w:bCs/>
          <w:color w:val="auto"/>
          <w:szCs w:val="21"/>
          <w:highlight w:val="none"/>
        </w:rPr>
        <w:t>）上述企业属于大企业的分支机构或控股股东为大企业或与大企业的负责人为同一人的，不得享受价格扣除优惠政策。接受分包的小微企业与分包企业之间存在直接控股、管理关系的，不得享受价格扣除优惠政策。</w:t>
      </w:r>
    </w:p>
    <w:p w14:paraId="1A20B0DE">
      <w:pPr>
        <w:snapToGrid w:val="0"/>
        <w:spacing w:before="50" w:after="120" w:afterLines="50"/>
        <w:jc w:val="left"/>
        <w:rPr>
          <w:color w:val="auto"/>
          <w:szCs w:val="21"/>
          <w:highlight w:val="none"/>
        </w:rPr>
      </w:pPr>
    </w:p>
    <w:p w14:paraId="7DFDEC40">
      <w:pPr>
        <w:snapToGrid w:val="0"/>
        <w:spacing w:before="50" w:after="120" w:afterLines="50"/>
        <w:jc w:val="left"/>
        <w:rPr>
          <w:color w:val="auto"/>
          <w:szCs w:val="21"/>
          <w:highlight w:val="none"/>
        </w:rPr>
      </w:pPr>
      <w:r>
        <w:rPr>
          <w:color w:val="auto"/>
          <w:szCs w:val="21"/>
          <w:highlight w:val="none"/>
        </w:rPr>
        <w:t>10.3监狱企业须提供最新一期《XX省监狱企业产品目录》或其他监狱企业证明材料。（非监狱企业无需提供）</w:t>
      </w:r>
    </w:p>
    <w:p w14:paraId="2A2ACA1F">
      <w:pPr>
        <w:snapToGrid w:val="0"/>
        <w:spacing w:before="50" w:after="120" w:afterLines="50"/>
        <w:jc w:val="left"/>
        <w:rPr>
          <w:color w:val="auto"/>
          <w:szCs w:val="21"/>
          <w:highlight w:val="none"/>
        </w:rPr>
      </w:pPr>
    </w:p>
    <w:p w14:paraId="2371880E">
      <w:pPr>
        <w:widowControl/>
        <w:jc w:val="left"/>
        <w:rPr>
          <w:color w:val="auto"/>
          <w:szCs w:val="21"/>
          <w:highlight w:val="none"/>
        </w:rPr>
      </w:pPr>
      <w:bookmarkStart w:id="122" w:name="_Hlk19051624"/>
      <w:r>
        <w:rPr>
          <w:color w:val="auto"/>
          <w:szCs w:val="21"/>
          <w:highlight w:val="none"/>
        </w:rPr>
        <w:t>10.4</w:t>
      </w:r>
      <w:r>
        <w:rPr>
          <w:color w:val="auto"/>
          <w:highlight w:val="none"/>
        </w:rPr>
        <w:t>残疾人福利性单位须提供《残疾人福利性单位声明函》，格式如下。</w:t>
      </w:r>
      <w:r>
        <w:rPr>
          <w:color w:val="auto"/>
          <w:szCs w:val="21"/>
          <w:highlight w:val="none"/>
        </w:rPr>
        <w:t>（非残疾人福利性单位无需提供）</w:t>
      </w:r>
    </w:p>
    <w:bookmarkEnd w:id="122"/>
    <w:p w14:paraId="05EBD3D8">
      <w:pPr>
        <w:spacing w:line="360" w:lineRule="auto"/>
        <w:jc w:val="center"/>
        <w:rPr>
          <w:b/>
          <w:color w:val="auto"/>
          <w:szCs w:val="21"/>
          <w:highlight w:val="none"/>
        </w:rPr>
      </w:pPr>
      <w:bookmarkStart w:id="123" w:name="OLE_LINK13"/>
      <w:bookmarkStart w:id="124" w:name="OLE_LINK14"/>
      <w:r>
        <w:rPr>
          <w:b/>
          <w:color w:val="auto"/>
          <w:szCs w:val="21"/>
          <w:highlight w:val="none"/>
        </w:rPr>
        <w:t>残疾人福利性单位声明函</w:t>
      </w:r>
      <w:bookmarkEnd w:id="123"/>
      <w:bookmarkEnd w:id="124"/>
    </w:p>
    <w:p w14:paraId="60975E92">
      <w:pPr>
        <w:spacing w:line="360" w:lineRule="auto"/>
        <w:ind w:firstLine="420"/>
        <w:jc w:val="left"/>
        <w:rPr>
          <w:color w:val="auto"/>
          <w:szCs w:val="21"/>
          <w:highlight w:val="none"/>
        </w:rPr>
      </w:pPr>
      <w:r>
        <w:rPr>
          <w:color w:val="auto"/>
          <w:szCs w:val="21"/>
          <w:highlight w:val="none"/>
        </w:rPr>
        <w:t>本单位郑重声明，根据《财政部 民政部 中国残疾人联合会关于促进残疾人就业政府采购政策的通知》（财库〔2017〕141号）的规定，本单位为符合条件的残疾人福利性单位，且本单位参加</w:t>
      </w:r>
      <w:r>
        <w:rPr>
          <w:color w:val="auto"/>
          <w:szCs w:val="21"/>
          <w:highlight w:val="none"/>
          <w:u w:val="single"/>
        </w:rPr>
        <w:t xml:space="preserve">        </w:t>
      </w:r>
      <w:r>
        <w:rPr>
          <w:color w:val="auto"/>
          <w:szCs w:val="21"/>
          <w:highlight w:val="none"/>
        </w:rPr>
        <w:t>单位的</w:t>
      </w:r>
      <w:r>
        <w:rPr>
          <w:color w:val="auto"/>
          <w:szCs w:val="21"/>
          <w:highlight w:val="none"/>
          <w:u w:val="single"/>
        </w:rPr>
        <w:t xml:space="preserve">           </w:t>
      </w:r>
      <w:r>
        <w:rPr>
          <w:color w:val="auto"/>
          <w:szCs w:val="21"/>
          <w:highlight w:val="none"/>
        </w:rPr>
        <w:t>项目采购活动提供本单位制造的货物（由本单位承担工程/提供服务），或者提供其他残疾人福利性单位制造的货物（不包括使用非残疾人福利性单位注册商标的货物）。</w:t>
      </w:r>
    </w:p>
    <w:p w14:paraId="2E3EDF2A">
      <w:pPr>
        <w:spacing w:line="360" w:lineRule="auto"/>
        <w:ind w:firstLine="420"/>
        <w:rPr>
          <w:color w:val="auto"/>
          <w:szCs w:val="21"/>
          <w:highlight w:val="none"/>
        </w:rPr>
      </w:pPr>
      <w:r>
        <w:rPr>
          <w:color w:val="auto"/>
          <w:szCs w:val="21"/>
          <w:highlight w:val="none"/>
        </w:rPr>
        <w:t>本单位对上述声明的真实性负责。如有虚假，将依法承担相应责任。</w:t>
      </w:r>
    </w:p>
    <w:p w14:paraId="0E3DDBDE">
      <w:pPr>
        <w:spacing w:line="360" w:lineRule="auto"/>
        <w:ind w:firstLine="420"/>
        <w:jc w:val="right"/>
        <w:rPr>
          <w:color w:val="auto"/>
          <w:spacing w:val="6"/>
          <w:szCs w:val="21"/>
          <w:highlight w:val="none"/>
        </w:rPr>
      </w:pPr>
      <w:r>
        <w:rPr>
          <w:color w:val="auto"/>
          <w:spacing w:val="6"/>
          <w:sz w:val="30"/>
          <w:szCs w:val="30"/>
          <w:highlight w:val="none"/>
        </w:rPr>
        <w:t xml:space="preserve"> </w:t>
      </w:r>
      <w:r>
        <w:rPr>
          <w:color w:val="auto"/>
          <w:spacing w:val="6"/>
          <w:szCs w:val="21"/>
          <w:highlight w:val="none"/>
        </w:rPr>
        <w:t xml:space="preserve"> </w:t>
      </w:r>
      <w:r>
        <w:rPr>
          <w:rFonts w:hint="eastAsia"/>
          <w:color w:val="auto"/>
          <w:spacing w:val="6"/>
          <w:szCs w:val="21"/>
          <w:highlight w:val="none"/>
        </w:rPr>
        <w:t xml:space="preserve">                                           </w:t>
      </w:r>
    </w:p>
    <w:p w14:paraId="489ABCF3">
      <w:pPr>
        <w:spacing w:line="360" w:lineRule="auto"/>
        <w:ind w:firstLine="420"/>
        <w:jc w:val="right"/>
        <w:rPr>
          <w:color w:val="auto"/>
          <w:spacing w:val="6"/>
          <w:szCs w:val="21"/>
          <w:highlight w:val="none"/>
        </w:rPr>
      </w:pPr>
      <w:r>
        <w:rPr>
          <w:rFonts w:hint="eastAsia"/>
          <w:color w:val="auto"/>
          <w:spacing w:val="6"/>
          <w:szCs w:val="21"/>
          <w:highlight w:val="none"/>
        </w:rPr>
        <w:t xml:space="preserve"> </w:t>
      </w:r>
      <w:r>
        <w:rPr>
          <w:color w:val="auto"/>
          <w:spacing w:val="6"/>
          <w:szCs w:val="21"/>
          <w:highlight w:val="none"/>
        </w:rPr>
        <w:t>单位名称</w:t>
      </w:r>
      <w:r>
        <w:rPr>
          <w:rFonts w:hint="eastAsia"/>
          <w:color w:val="auto"/>
          <w:szCs w:val="21"/>
          <w:highlight w:val="none"/>
        </w:rPr>
        <w:t>(电子签章</w:t>
      </w:r>
      <w:r>
        <w:rPr>
          <w:color w:val="auto"/>
          <w:szCs w:val="21"/>
          <w:highlight w:val="none"/>
        </w:rPr>
        <w:t>)</w:t>
      </w:r>
      <w:r>
        <w:rPr>
          <w:color w:val="auto"/>
          <w:spacing w:val="6"/>
          <w:szCs w:val="21"/>
          <w:highlight w:val="none"/>
        </w:rPr>
        <w:t xml:space="preserve">：          </w:t>
      </w:r>
    </w:p>
    <w:p w14:paraId="42485960">
      <w:pPr>
        <w:spacing w:line="360" w:lineRule="auto"/>
        <w:ind w:firstLine="420"/>
        <w:jc w:val="right"/>
        <w:rPr>
          <w:color w:val="auto"/>
          <w:spacing w:val="6"/>
          <w:szCs w:val="21"/>
          <w:highlight w:val="none"/>
        </w:rPr>
      </w:pPr>
      <w:r>
        <w:rPr>
          <w:color w:val="auto"/>
          <w:spacing w:val="6"/>
          <w:szCs w:val="21"/>
          <w:highlight w:val="none"/>
        </w:rPr>
        <w:t xml:space="preserve"> </w:t>
      </w:r>
      <w:r>
        <w:rPr>
          <w:rFonts w:hint="eastAsia"/>
          <w:color w:val="auto"/>
          <w:spacing w:val="6"/>
          <w:szCs w:val="21"/>
          <w:highlight w:val="none"/>
        </w:rPr>
        <w:t xml:space="preserve">                                                      </w:t>
      </w:r>
      <w:r>
        <w:rPr>
          <w:color w:val="auto"/>
          <w:spacing w:val="6"/>
          <w:szCs w:val="21"/>
          <w:highlight w:val="none"/>
        </w:rPr>
        <w:t>日  期：</w:t>
      </w:r>
    </w:p>
    <w:p w14:paraId="5AD63A07">
      <w:pPr>
        <w:spacing w:line="360" w:lineRule="auto"/>
        <w:rPr>
          <w:color w:val="auto"/>
          <w:szCs w:val="21"/>
          <w:highlight w:val="none"/>
        </w:rPr>
      </w:pPr>
      <w:bookmarkStart w:id="125" w:name="_Hlk65852042"/>
    </w:p>
    <w:bookmarkEnd w:id="121"/>
    <w:p w14:paraId="342624D7">
      <w:pPr>
        <w:pStyle w:val="7"/>
        <w:overflowPunct w:val="0"/>
        <w:ind w:firstLine="367" w:firstLineChars="175"/>
        <w:rPr>
          <w:color w:val="auto"/>
          <w:szCs w:val="21"/>
          <w:highlight w:val="none"/>
        </w:rPr>
      </w:pPr>
      <w:r>
        <w:rPr>
          <w:color w:val="auto"/>
          <w:szCs w:val="21"/>
          <w:highlight w:val="none"/>
        </w:rPr>
        <w:br w:type="page"/>
      </w:r>
      <w:bookmarkEnd w:id="125"/>
    </w:p>
    <w:bookmarkEnd w:id="115"/>
    <w:p w14:paraId="7554264E">
      <w:pPr>
        <w:snapToGrid w:val="0"/>
        <w:spacing w:before="50" w:after="120" w:afterLines="50"/>
        <w:jc w:val="left"/>
        <w:rPr>
          <w:b/>
          <w:color w:val="auto"/>
          <w:szCs w:val="21"/>
          <w:highlight w:val="none"/>
        </w:rPr>
        <w:sectPr>
          <w:headerReference r:id="rId17" w:type="default"/>
          <w:pgSz w:w="11906" w:h="16838"/>
          <w:pgMar w:top="1418" w:right="1274" w:bottom="1418" w:left="1418" w:header="851" w:footer="992" w:gutter="0"/>
          <w:cols w:space="720" w:num="1"/>
          <w:docGrid w:linePitch="312" w:charSpace="0"/>
        </w:sectPr>
      </w:pPr>
    </w:p>
    <w:p w14:paraId="6ED2538F">
      <w:pPr>
        <w:widowControl/>
        <w:spacing w:before="30" w:after="30" w:line="560" w:lineRule="atLeast"/>
        <w:jc w:val="left"/>
        <w:textAlignment w:val="baseline"/>
        <w:rPr>
          <w:rFonts w:ascii="Calibri" w:hAnsi="Calibri"/>
          <w:color w:val="auto"/>
          <w:kern w:val="0"/>
          <w:sz w:val="28"/>
          <w:szCs w:val="28"/>
          <w:highlight w:val="none"/>
          <w:lang w:bidi="ar"/>
        </w:rPr>
      </w:pPr>
      <w:r>
        <w:rPr>
          <w:rFonts w:hint="eastAsia"/>
          <w:color w:val="auto"/>
          <w:szCs w:val="21"/>
          <w:highlight w:val="none"/>
        </w:rPr>
        <w:t>10.5 如供应商提供的产品属于本国产品，按以下格式提供关于符合本国产品标准的声明函。</w:t>
      </w:r>
      <w:r>
        <w:rPr>
          <w:rFonts w:hint="eastAsia" w:ascii="仿宋" w:hAnsi="仿宋" w:eastAsia="仿宋" w:cs="仿宋"/>
          <w:color w:val="auto"/>
          <w:kern w:val="0"/>
          <w:sz w:val="28"/>
          <w:szCs w:val="28"/>
          <w:highlight w:val="none"/>
          <w:shd w:val="clear" w:color="auto" w:fill="FFFFFF"/>
          <w:lang w:bidi="ar"/>
        </w:rPr>
        <w:t> </w:t>
      </w:r>
    </w:p>
    <w:p w14:paraId="72C230A2">
      <w:pPr>
        <w:spacing w:line="360" w:lineRule="auto"/>
        <w:ind w:firstLine="3584" w:firstLineChars="1700"/>
        <w:rPr>
          <w:b/>
          <w:color w:val="auto"/>
          <w:szCs w:val="21"/>
          <w:highlight w:val="none"/>
        </w:rPr>
      </w:pPr>
    </w:p>
    <w:p w14:paraId="73D09440">
      <w:pPr>
        <w:spacing w:line="360" w:lineRule="auto"/>
        <w:ind w:firstLine="3584" w:firstLineChars="1700"/>
        <w:rPr>
          <w:b/>
          <w:color w:val="auto"/>
          <w:szCs w:val="21"/>
          <w:highlight w:val="none"/>
        </w:rPr>
      </w:pPr>
      <w:r>
        <w:rPr>
          <w:rFonts w:hint="eastAsia"/>
          <w:b/>
          <w:color w:val="auto"/>
          <w:szCs w:val="21"/>
          <w:highlight w:val="none"/>
        </w:rPr>
        <w:t>关于符合本国产品标准的声明函</w:t>
      </w:r>
    </w:p>
    <w:p w14:paraId="01F37C6C">
      <w:pPr>
        <w:spacing w:line="360" w:lineRule="auto"/>
        <w:ind w:firstLine="3584" w:firstLineChars="1700"/>
        <w:rPr>
          <w:b/>
          <w:color w:val="auto"/>
          <w:szCs w:val="21"/>
          <w:highlight w:val="none"/>
        </w:rPr>
      </w:pPr>
    </w:p>
    <w:p w14:paraId="1AFE6C43">
      <w:pPr>
        <w:spacing w:line="360" w:lineRule="auto"/>
        <w:ind w:firstLine="420" w:firstLineChars="200"/>
        <w:rPr>
          <w:color w:val="auto"/>
          <w:szCs w:val="21"/>
          <w:highlight w:val="none"/>
        </w:rPr>
      </w:pPr>
      <w:r>
        <w:rPr>
          <w:rFonts w:hint="eastAsia"/>
          <w:color w:val="auto"/>
          <w:szCs w:val="21"/>
          <w:highlight w:val="none"/>
        </w:rPr>
        <w:t>本公司（单位）郑重声明，根据《国务院办公厅关于在政府采购中实施本国产品标准及相关政策的通知》（国办发〔2025〕34号）的规定，本公司（单位）提供的以下产品属于本国产品。具体情况如下：</w:t>
      </w:r>
    </w:p>
    <w:p w14:paraId="27BCCA17">
      <w:pPr>
        <w:spacing w:line="360" w:lineRule="auto"/>
        <w:ind w:firstLine="420" w:firstLineChars="200"/>
        <w:rPr>
          <w:color w:val="auto"/>
          <w:szCs w:val="21"/>
          <w:highlight w:val="none"/>
        </w:rPr>
      </w:pPr>
      <w:r>
        <w:rPr>
          <w:rFonts w:hint="eastAsia"/>
          <w:color w:val="auto"/>
          <w:szCs w:val="21"/>
          <w:highlight w:val="none"/>
        </w:rPr>
        <w:t>1.（产品名称1）1，生产厂为（厂名）2，厂址为（生产厂址）。（产品名称1）的中国境内生产的组件成本占比≥（规定比例）3。（产品名称1）的（关键组件）4在中国境内生产。（产品名称1）的（关键工序）5在中国境内完成。</w:t>
      </w:r>
    </w:p>
    <w:p w14:paraId="7FFD2C17">
      <w:pPr>
        <w:spacing w:line="360" w:lineRule="auto"/>
        <w:ind w:firstLine="420" w:firstLineChars="200"/>
        <w:rPr>
          <w:color w:val="auto"/>
          <w:szCs w:val="21"/>
          <w:highlight w:val="none"/>
        </w:rPr>
      </w:pPr>
      <w:r>
        <w:rPr>
          <w:rFonts w:hint="eastAsia"/>
          <w:color w:val="auto"/>
          <w:szCs w:val="21"/>
          <w:highlight w:val="none"/>
        </w:rPr>
        <w:t>2.（产品名称2），生产厂为（厂名），厂址为（生产厂址）。（产品名称2）的中国境内生产的组件成本占比≥（规定比例）。（产品名称2）的（关键组件）在中国境内生产。（产品名称2）的（关键工序）在中国境内完成。</w:t>
      </w:r>
    </w:p>
    <w:p w14:paraId="0C5EB565">
      <w:pPr>
        <w:spacing w:line="360" w:lineRule="auto"/>
        <w:ind w:firstLine="420" w:firstLineChars="200"/>
        <w:rPr>
          <w:color w:val="auto"/>
          <w:szCs w:val="21"/>
          <w:highlight w:val="none"/>
        </w:rPr>
      </w:pPr>
      <w:r>
        <w:rPr>
          <w:rFonts w:hint="eastAsia"/>
          <w:color w:val="auto"/>
          <w:szCs w:val="21"/>
          <w:highlight w:val="none"/>
        </w:rPr>
        <w:t>……</w:t>
      </w:r>
    </w:p>
    <w:p w14:paraId="33738E38">
      <w:pPr>
        <w:spacing w:line="360" w:lineRule="auto"/>
        <w:ind w:firstLine="420" w:firstLineChars="200"/>
        <w:rPr>
          <w:color w:val="auto"/>
          <w:szCs w:val="21"/>
          <w:highlight w:val="none"/>
        </w:rPr>
      </w:pPr>
      <w:r>
        <w:rPr>
          <w:rFonts w:hint="eastAsia"/>
          <w:color w:val="auto"/>
          <w:szCs w:val="21"/>
          <w:highlight w:val="none"/>
        </w:rPr>
        <w:t>本公司（单位）对上述声明内容的真实性负责。如有虚假，愿承担相应法律责任。</w:t>
      </w:r>
    </w:p>
    <w:p w14:paraId="39887846">
      <w:pPr>
        <w:widowControl/>
        <w:spacing w:before="30" w:after="30" w:line="560" w:lineRule="atLeast"/>
        <w:jc w:val="left"/>
        <w:textAlignment w:val="baseline"/>
        <w:rPr>
          <w:color w:val="auto"/>
          <w:szCs w:val="21"/>
          <w:highlight w:val="none"/>
        </w:rPr>
      </w:pPr>
      <w:r>
        <w:rPr>
          <w:rFonts w:hint="eastAsia"/>
          <w:color w:val="auto"/>
          <w:szCs w:val="21"/>
          <w:highlight w:val="none"/>
        </w:rPr>
        <w:t> </w:t>
      </w:r>
    </w:p>
    <w:p w14:paraId="36A90EA2">
      <w:pPr>
        <w:widowControl/>
        <w:spacing w:before="30" w:after="30" w:line="560" w:lineRule="atLeast"/>
        <w:jc w:val="right"/>
        <w:textAlignment w:val="baseline"/>
        <w:rPr>
          <w:color w:val="auto"/>
          <w:szCs w:val="21"/>
          <w:highlight w:val="none"/>
        </w:rPr>
      </w:pPr>
      <w:r>
        <w:rPr>
          <w:rFonts w:hint="eastAsia"/>
          <w:color w:val="auto"/>
          <w:szCs w:val="21"/>
          <w:highlight w:val="none"/>
        </w:rPr>
        <w:t>公司（单位）名称（盖章）：　        </w:t>
      </w:r>
    </w:p>
    <w:p w14:paraId="23CCE90D">
      <w:pPr>
        <w:widowControl/>
        <w:spacing w:before="30" w:after="30" w:line="560" w:lineRule="atLeast"/>
        <w:jc w:val="right"/>
        <w:textAlignment w:val="baseline"/>
        <w:rPr>
          <w:rFonts w:ascii="Calibri" w:hAnsi="Calibri"/>
          <w:color w:val="auto"/>
          <w:kern w:val="0"/>
          <w:sz w:val="28"/>
          <w:szCs w:val="28"/>
          <w:highlight w:val="none"/>
          <w:lang w:bidi="ar"/>
        </w:rPr>
      </w:pPr>
      <w:r>
        <w:rPr>
          <w:rFonts w:hint="eastAsia"/>
          <w:color w:val="auto"/>
          <w:szCs w:val="21"/>
          <w:highlight w:val="none"/>
        </w:rPr>
        <w:t>日期：　     年　  月　  日  </w:t>
      </w:r>
      <w:r>
        <w:rPr>
          <w:rFonts w:hint="eastAsia" w:ascii="仿宋" w:hAnsi="仿宋" w:eastAsia="仿宋" w:cs="仿宋"/>
          <w:color w:val="auto"/>
          <w:kern w:val="0"/>
          <w:sz w:val="28"/>
          <w:szCs w:val="28"/>
          <w:highlight w:val="none"/>
          <w:shd w:val="clear" w:color="auto" w:fill="FFFFFF"/>
          <w:lang w:bidi="ar"/>
        </w:rPr>
        <w:t>       </w:t>
      </w:r>
    </w:p>
    <w:p w14:paraId="1A7AE42C">
      <w:pPr>
        <w:widowControl/>
        <w:spacing w:before="30" w:after="30" w:line="560" w:lineRule="atLeast"/>
        <w:jc w:val="left"/>
        <w:textAlignment w:val="baseline"/>
        <w:rPr>
          <w:rFonts w:ascii="Calibri" w:hAnsi="Calibri"/>
          <w:color w:val="auto"/>
          <w:kern w:val="0"/>
          <w:sz w:val="28"/>
          <w:szCs w:val="28"/>
          <w:highlight w:val="none"/>
          <w:lang w:bidi="ar"/>
        </w:rPr>
      </w:pPr>
      <w:r>
        <w:rPr>
          <w:rFonts w:hint="eastAsia" w:ascii="仿宋" w:hAnsi="仿宋" w:eastAsia="仿宋" w:cs="仿宋"/>
          <w:color w:val="auto"/>
          <w:kern w:val="0"/>
          <w:sz w:val="28"/>
          <w:szCs w:val="28"/>
          <w:highlight w:val="none"/>
          <w:shd w:val="clear" w:color="auto" w:fill="FFFFFF"/>
          <w:lang w:bidi="ar"/>
        </w:rPr>
        <w:t>__________________</w:t>
      </w:r>
    </w:p>
    <w:p w14:paraId="720C40EC">
      <w:pPr>
        <w:widowControl/>
        <w:spacing w:before="30" w:after="30" w:line="560" w:lineRule="atLeast"/>
        <w:ind w:firstLine="420"/>
        <w:jc w:val="left"/>
        <w:textAlignment w:val="baseline"/>
        <w:rPr>
          <w:color w:val="auto"/>
          <w:szCs w:val="21"/>
          <w:highlight w:val="none"/>
        </w:rPr>
      </w:pPr>
      <w:r>
        <w:rPr>
          <w:rFonts w:hint="eastAsia"/>
          <w:color w:val="auto"/>
          <w:szCs w:val="21"/>
          <w:highlight w:val="none"/>
        </w:rPr>
        <w:t>1.产品如有型号，请在“产品名称”栏一并填写。</w:t>
      </w:r>
    </w:p>
    <w:p w14:paraId="2AB4D6A4">
      <w:pPr>
        <w:widowControl/>
        <w:spacing w:before="30" w:after="30" w:line="560" w:lineRule="atLeast"/>
        <w:ind w:firstLine="420"/>
        <w:jc w:val="left"/>
        <w:textAlignment w:val="baseline"/>
        <w:rPr>
          <w:color w:val="auto"/>
          <w:szCs w:val="21"/>
          <w:highlight w:val="none"/>
        </w:rPr>
      </w:pPr>
      <w:r>
        <w:rPr>
          <w:rFonts w:hint="eastAsia"/>
          <w:color w:val="auto"/>
          <w:szCs w:val="21"/>
          <w:highlight w:val="none"/>
        </w:rPr>
        <w:t>2.生产厂名与厂址应与生产厂营业执照载明的相关信息保持一致。</w:t>
      </w:r>
    </w:p>
    <w:p w14:paraId="54CA89A4">
      <w:pPr>
        <w:widowControl/>
        <w:spacing w:before="30" w:after="30" w:line="560" w:lineRule="atLeast"/>
        <w:ind w:firstLine="420"/>
        <w:jc w:val="left"/>
        <w:textAlignment w:val="baseline"/>
        <w:rPr>
          <w:color w:val="auto"/>
          <w:szCs w:val="21"/>
          <w:highlight w:val="none"/>
        </w:rPr>
      </w:pPr>
      <w:r>
        <w:rPr>
          <w:rFonts w:hint="eastAsia"/>
          <w:color w:val="auto"/>
          <w:szCs w:val="21"/>
          <w:highlight w:val="none"/>
        </w:rPr>
        <w:t>3.该产品的中国境内生产的组件成本占比相关要求实施前，“规定比例”栏可不填，下同。</w:t>
      </w:r>
    </w:p>
    <w:p w14:paraId="7AB3AF50">
      <w:pPr>
        <w:widowControl/>
        <w:spacing w:before="30" w:after="30" w:line="560" w:lineRule="atLeast"/>
        <w:ind w:firstLine="420"/>
        <w:jc w:val="left"/>
        <w:textAlignment w:val="baseline"/>
        <w:rPr>
          <w:color w:val="auto"/>
          <w:szCs w:val="21"/>
          <w:highlight w:val="none"/>
        </w:rPr>
      </w:pPr>
      <w:r>
        <w:rPr>
          <w:rFonts w:hint="eastAsia"/>
          <w:color w:val="auto"/>
          <w:szCs w:val="21"/>
          <w:highlight w:val="none"/>
        </w:rPr>
        <w:t>4.该产品的关键组件要求实施前，“关键组件”栏可不填，下同。</w:t>
      </w:r>
    </w:p>
    <w:p w14:paraId="1E8017D5">
      <w:pPr>
        <w:widowControl/>
        <w:spacing w:before="30" w:after="30" w:line="560" w:lineRule="atLeast"/>
        <w:ind w:firstLine="420"/>
        <w:jc w:val="left"/>
        <w:textAlignment w:val="baseline"/>
        <w:rPr>
          <w:rFonts w:ascii="仿宋" w:hAnsi="仿宋" w:eastAsia="仿宋" w:cs="仿宋"/>
          <w:color w:val="auto"/>
          <w:kern w:val="0"/>
          <w:szCs w:val="21"/>
          <w:highlight w:val="none"/>
          <w:shd w:val="clear" w:color="auto" w:fill="FFFFFF"/>
          <w:lang w:bidi="ar"/>
        </w:rPr>
        <w:sectPr>
          <w:pgSz w:w="11906" w:h="16838"/>
          <w:pgMar w:top="1418" w:right="1274" w:bottom="1418" w:left="1418" w:header="851" w:footer="992" w:gutter="0"/>
          <w:cols w:space="720" w:num="1"/>
          <w:docGrid w:linePitch="312" w:charSpace="0"/>
        </w:sectPr>
      </w:pPr>
      <w:r>
        <w:rPr>
          <w:rFonts w:hint="eastAsia"/>
          <w:color w:val="auto"/>
          <w:szCs w:val="21"/>
          <w:highlight w:val="none"/>
        </w:rPr>
        <w:t>5.该产品的关键工序要求实施前，“关键工序”栏可不填，下同</w:t>
      </w:r>
      <w:r>
        <w:rPr>
          <w:rFonts w:hint="eastAsia" w:ascii="仿宋" w:hAnsi="仿宋" w:eastAsia="仿宋" w:cs="仿宋"/>
          <w:color w:val="auto"/>
          <w:kern w:val="0"/>
          <w:szCs w:val="21"/>
          <w:highlight w:val="none"/>
          <w:shd w:val="clear" w:color="auto" w:fill="FFFFFF"/>
          <w:lang w:bidi="ar"/>
        </w:rPr>
        <w:t>。</w:t>
      </w:r>
    </w:p>
    <w:p w14:paraId="48BA85D1">
      <w:pPr>
        <w:pStyle w:val="19"/>
        <w:rPr>
          <w:color w:val="auto"/>
          <w:sz w:val="21"/>
          <w:szCs w:val="21"/>
          <w:highlight w:val="none"/>
        </w:rPr>
      </w:pPr>
      <w:r>
        <w:rPr>
          <w:rFonts w:hint="eastAsia"/>
          <w:color w:val="auto"/>
          <w:sz w:val="21"/>
          <w:szCs w:val="21"/>
          <w:highlight w:val="none"/>
        </w:rPr>
        <w:t>10.6关于符合本国产品标准的成本占比承诺函（单一产品采购不填写此函，多产品采购项目或采购包如供应商所有产品均为本国产品且填写《关于符合本国产品标准的声明函》可不填写此函。格式内容仅供参考）</w:t>
      </w:r>
    </w:p>
    <w:p w14:paraId="36815E3D">
      <w:pPr>
        <w:pStyle w:val="19"/>
        <w:rPr>
          <w:color w:val="auto"/>
          <w:highlight w:val="none"/>
        </w:rPr>
      </w:pPr>
    </w:p>
    <w:p w14:paraId="2D328374">
      <w:pPr>
        <w:pStyle w:val="19"/>
        <w:jc w:val="center"/>
        <w:rPr>
          <w:b/>
          <w:color w:val="auto"/>
          <w:sz w:val="21"/>
          <w:szCs w:val="21"/>
          <w:highlight w:val="none"/>
        </w:rPr>
      </w:pPr>
      <w:r>
        <w:rPr>
          <w:b/>
          <w:color w:val="auto"/>
          <w:sz w:val="21"/>
          <w:szCs w:val="21"/>
          <w:highlight w:val="none"/>
        </w:rPr>
        <w:t>关于符合本国产品标准</w:t>
      </w:r>
      <w:r>
        <w:rPr>
          <w:rFonts w:hint="eastAsia"/>
          <w:b/>
          <w:color w:val="auto"/>
          <w:sz w:val="21"/>
          <w:szCs w:val="21"/>
          <w:highlight w:val="none"/>
        </w:rPr>
        <w:t>的</w:t>
      </w:r>
      <w:r>
        <w:rPr>
          <w:b/>
          <w:color w:val="auto"/>
          <w:sz w:val="21"/>
          <w:szCs w:val="21"/>
          <w:highlight w:val="none"/>
        </w:rPr>
        <w:t>成本占比承诺函</w:t>
      </w:r>
    </w:p>
    <w:p w14:paraId="7968A62F">
      <w:pPr>
        <w:pStyle w:val="19"/>
        <w:rPr>
          <w:color w:val="auto"/>
          <w:highlight w:val="none"/>
        </w:rPr>
      </w:pPr>
    </w:p>
    <w:p w14:paraId="0D3435E9">
      <w:pPr>
        <w:pStyle w:val="19"/>
        <w:rPr>
          <w:color w:val="auto"/>
          <w:sz w:val="21"/>
          <w:szCs w:val="21"/>
          <w:highlight w:val="none"/>
        </w:rPr>
      </w:pPr>
      <w:r>
        <w:rPr>
          <w:color w:val="auto"/>
          <w:sz w:val="21"/>
          <w:szCs w:val="21"/>
          <w:highlight w:val="none"/>
        </w:rPr>
        <w:t>致：[采购人/采购代理机构名称]</w:t>
      </w:r>
    </w:p>
    <w:p w14:paraId="7FAF644C">
      <w:pPr>
        <w:pStyle w:val="19"/>
        <w:rPr>
          <w:color w:val="auto"/>
          <w:sz w:val="21"/>
          <w:szCs w:val="21"/>
          <w:highlight w:val="none"/>
        </w:rPr>
      </w:pPr>
    </w:p>
    <w:p w14:paraId="79DDA042">
      <w:pPr>
        <w:pStyle w:val="19"/>
        <w:rPr>
          <w:color w:val="auto"/>
          <w:sz w:val="21"/>
          <w:szCs w:val="21"/>
          <w:highlight w:val="none"/>
        </w:rPr>
      </w:pPr>
      <w:r>
        <w:rPr>
          <w:color w:val="auto"/>
          <w:sz w:val="21"/>
          <w:szCs w:val="21"/>
          <w:highlight w:val="none"/>
        </w:rPr>
        <w:t>本单位就参与[项目名称、编号]项目，郑重承诺如下：</w:t>
      </w:r>
    </w:p>
    <w:p w14:paraId="4A829922">
      <w:pPr>
        <w:pStyle w:val="19"/>
        <w:rPr>
          <w:color w:val="auto"/>
          <w:sz w:val="21"/>
          <w:szCs w:val="21"/>
          <w:highlight w:val="none"/>
        </w:rPr>
      </w:pPr>
    </w:p>
    <w:p w14:paraId="68B88A24">
      <w:pPr>
        <w:pStyle w:val="19"/>
        <w:ind w:firstLine="420" w:firstLineChars="200"/>
        <w:rPr>
          <w:color w:val="auto"/>
          <w:sz w:val="21"/>
          <w:szCs w:val="21"/>
          <w:highlight w:val="none"/>
        </w:rPr>
      </w:pPr>
      <w:r>
        <w:rPr>
          <w:color w:val="auto"/>
          <w:sz w:val="21"/>
          <w:szCs w:val="21"/>
          <w:highlight w:val="none"/>
        </w:rPr>
        <w:t>本单位为该项目（或采购包）提供的符合本国产品标准的产品成本之和，占所提供全部产品成本之和的比例达到80%以上。本公司（单位）对上述承诺内容的真实性负责。如有虚假，愿承担相应法律责任。</w:t>
      </w:r>
    </w:p>
    <w:p w14:paraId="2F6FA4C5">
      <w:pPr>
        <w:pStyle w:val="19"/>
        <w:rPr>
          <w:color w:val="auto"/>
          <w:sz w:val="21"/>
          <w:szCs w:val="21"/>
          <w:highlight w:val="none"/>
        </w:rPr>
      </w:pPr>
    </w:p>
    <w:p w14:paraId="179F38D6">
      <w:pPr>
        <w:pStyle w:val="19"/>
        <w:rPr>
          <w:color w:val="auto"/>
          <w:sz w:val="21"/>
          <w:szCs w:val="21"/>
          <w:highlight w:val="none"/>
        </w:rPr>
      </w:pPr>
      <w:r>
        <w:rPr>
          <w:color w:val="auto"/>
          <w:sz w:val="21"/>
          <w:szCs w:val="21"/>
          <w:highlight w:val="none"/>
        </w:rPr>
        <w:t xml:space="preserve"> </w:t>
      </w:r>
    </w:p>
    <w:p w14:paraId="1F8E4A65">
      <w:pPr>
        <w:pStyle w:val="19"/>
        <w:rPr>
          <w:color w:val="auto"/>
          <w:sz w:val="21"/>
          <w:szCs w:val="21"/>
          <w:highlight w:val="none"/>
        </w:rPr>
      </w:pPr>
    </w:p>
    <w:p w14:paraId="75BFA442">
      <w:pPr>
        <w:pStyle w:val="19"/>
        <w:rPr>
          <w:color w:val="auto"/>
          <w:sz w:val="21"/>
          <w:szCs w:val="21"/>
          <w:highlight w:val="none"/>
        </w:rPr>
      </w:pPr>
      <w:r>
        <w:rPr>
          <w:color w:val="auto"/>
          <w:sz w:val="21"/>
          <w:szCs w:val="21"/>
          <w:highlight w:val="none"/>
        </w:rPr>
        <w:t xml:space="preserve"> </w:t>
      </w:r>
    </w:p>
    <w:p w14:paraId="5DB4526D">
      <w:pPr>
        <w:pStyle w:val="19"/>
        <w:rPr>
          <w:color w:val="auto"/>
          <w:sz w:val="21"/>
          <w:szCs w:val="21"/>
          <w:highlight w:val="none"/>
        </w:rPr>
      </w:pPr>
    </w:p>
    <w:p w14:paraId="7BF496EB">
      <w:pPr>
        <w:pStyle w:val="19"/>
        <w:jc w:val="right"/>
        <w:rPr>
          <w:color w:val="auto"/>
          <w:sz w:val="21"/>
          <w:szCs w:val="21"/>
          <w:highlight w:val="none"/>
        </w:rPr>
      </w:pPr>
      <w:r>
        <w:rPr>
          <w:color w:val="auto"/>
          <w:sz w:val="21"/>
          <w:szCs w:val="21"/>
          <w:highlight w:val="none"/>
        </w:rPr>
        <w:t>供应商名称（盖章）：　        </w:t>
      </w:r>
    </w:p>
    <w:p w14:paraId="43AAB566">
      <w:pPr>
        <w:pStyle w:val="19"/>
        <w:jc w:val="right"/>
        <w:rPr>
          <w:color w:val="auto"/>
          <w:highlight w:val="none"/>
        </w:rPr>
        <w:sectPr>
          <w:pgSz w:w="11906" w:h="16838"/>
          <w:pgMar w:top="1418" w:right="1274" w:bottom="1418" w:left="1418" w:header="851" w:footer="992" w:gutter="0"/>
          <w:cols w:space="720" w:num="1"/>
          <w:docGrid w:linePitch="312" w:charSpace="0"/>
        </w:sectPr>
      </w:pPr>
      <w:r>
        <w:rPr>
          <w:color w:val="auto"/>
          <w:sz w:val="21"/>
          <w:szCs w:val="21"/>
          <w:highlight w:val="none"/>
        </w:rPr>
        <w:t>日期：　     年　  月　  日 </w:t>
      </w:r>
    </w:p>
    <w:p w14:paraId="785CF431">
      <w:pPr>
        <w:snapToGrid w:val="0"/>
        <w:spacing w:before="50" w:after="120" w:afterLines="50"/>
        <w:jc w:val="left"/>
        <w:rPr>
          <w:color w:val="auto"/>
          <w:szCs w:val="21"/>
          <w:highlight w:val="none"/>
        </w:rPr>
      </w:pPr>
      <w:r>
        <w:rPr>
          <w:color w:val="auto"/>
          <w:szCs w:val="21"/>
          <w:highlight w:val="none"/>
        </w:rPr>
        <w:t>11.</w:t>
      </w:r>
      <w:r>
        <w:rPr>
          <w:rFonts w:hint="eastAsia"/>
          <w:color w:val="auto"/>
          <w:highlight w:val="none"/>
        </w:rPr>
        <w:t xml:space="preserve"> </w:t>
      </w:r>
      <w:r>
        <w:rPr>
          <w:rFonts w:hint="eastAsia"/>
          <w:color w:val="auto"/>
          <w:szCs w:val="21"/>
          <w:highlight w:val="none"/>
        </w:rPr>
        <w:t>无串标行为承诺函</w:t>
      </w:r>
    </w:p>
    <w:p w14:paraId="1763A366">
      <w:pPr>
        <w:snapToGrid w:val="0"/>
        <w:spacing w:before="50" w:after="120" w:afterLines="50"/>
        <w:jc w:val="center"/>
        <w:rPr>
          <w:color w:val="auto"/>
          <w:szCs w:val="21"/>
          <w:highlight w:val="none"/>
        </w:rPr>
      </w:pPr>
    </w:p>
    <w:p w14:paraId="20369F75">
      <w:pPr>
        <w:snapToGrid w:val="0"/>
        <w:spacing w:before="50" w:after="120" w:afterLines="50"/>
        <w:jc w:val="center"/>
        <w:rPr>
          <w:color w:val="auto"/>
          <w:szCs w:val="21"/>
          <w:highlight w:val="none"/>
        </w:rPr>
      </w:pPr>
      <w:r>
        <w:rPr>
          <w:rFonts w:hint="eastAsia"/>
          <w:color w:val="auto"/>
          <w:szCs w:val="21"/>
          <w:highlight w:val="none"/>
        </w:rPr>
        <w:t>供应商参加本项目无围标串标行为的承诺函</w:t>
      </w:r>
    </w:p>
    <w:p w14:paraId="0D7394A7">
      <w:pPr>
        <w:snapToGrid w:val="0"/>
        <w:spacing w:before="50" w:after="120" w:afterLines="50"/>
        <w:jc w:val="left"/>
        <w:rPr>
          <w:color w:val="auto"/>
          <w:szCs w:val="21"/>
          <w:highlight w:val="none"/>
        </w:rPr>
      </w:pPr>
    </w:p>
    <w:p w14:paraId="59403F57">
      <w:pPr>
        <w:snapToGrid w:val="0"/>
        <w:spacing w:before="50" w:after="120" w:afterLines="50"/>
        <w:jc w:val="left"/>
        <w:rPr>
          <w:color w:val="auto"/>
          <w:szCs w:val="21"/>
          <w:highlight w:val="none"/>
        </w:rPr>
      </w:pPr>
      <w:r>
        <w:rPr>
          <w:rFonts w:hint="eastAsia"/>
          <w:color w:val="auto"/>
          <w:szCs w:val="21"/>
          <w:highlight w:val="none"/>
        </w:rPr>
        <w:t>一、我方承诺无下列相互串通投标的情形：</w:t>
      </w:r>
    </w:p>
    <w:p w14:paraId="74E02EE6">
      <w:pPr>
        <w:snapToGrid w:val="0"/>
        <w:spacing w:before="50" w:after="120" w:afterLines="50"/>
        <w:jc w:val="left"/>
        <w:rPr>
          <w:color w:val="auto"/>
          <w:szCs w:val="21"/>
          <w:highlight w:val="none"/>
        </w:rPr>
      </w:pPr>
      <w:r>
        <w:rPr>
          <w:rFonts w:hint="eastAsia"/>
          <w:color w:val="auto"/>
          <w:szCs w:val="21"/>
          <w:highlight w:val="none"/>
        </w:rPr>
        <w:t>1.不同供应商的响应文件由同一单位或者个人编制；或者不同供应商报名的IP地址一致的；</w:t>
      </w:r>
    </w:p>
    <w:p w14:paraId="5D676382">
      <w:pPr>
        <w:snapToGrid w:val="0"/>
        <w:spacing w:before="50" w:after="120" w:afterLines="50"/>
        <w:jc w:val="left"/>
        <w:rPr>
          <w:color w:val="auto"/>
          <w:szCs w:val="21"/>
          <w:highlight w:val="none"/>
        </w:rPr>
      </w:pPr>
      <w:r>
        <w:rPr>
          <w:rFonts w:hint="eastAsia"/>
          <w:color w:val="auto"/>
          <w:szCs w:val="21"/>
          <w:highlight w:val="none"/>
        </w:rPr>
        <w:t>2.不同供应商委托同一单位或者个人办理投标事宜；</w:t>
      </w:r>
    </w:p>
    <w:p w14:paraId="7010A227">
      <w:pPr>
        <w:snapToGrid w:val="0"/>
        <w:spacing w:before="50" w:after="120" w:afterLines="50"/>
        <w:jc w:val="left"/>
        <w:rPr>
          <w:color w:val="auto"/>
          <w:szCs w:val="21"/>
          <w:highlight w:val="none"/>
        </w:rPr>
      </w:pPr>
      <w:r>
        <w:rPr>
          <w:rFonts w:hint="eastAsia"/>
          <w:color w:val="auto"/>
          <w:szCs w:val="21"/>
          <w:highlight w:val="none"/>
        </w:rPr>
        <w:t>3.不同的供应商的响应文件载明的项目管理员为同一个人；</w:t>
      </w:r>
    </w:p>
    <w:p w14:paraId="427A3B0F">
      <w:pPr>
        <w:snapToGrid w:val="0"/>
        <w:spacing w:before="50" w:after="120" w:afterLines="50"/>
        <w:jc w:val="left"/>
        <w:rPr>
          <w:color w:val="auto"/>
          <w:szCs w:val="21"/>
          <w:highlight w:val="none"/>
        </w:rPr>
      </w:pPr>
      <w:r>
        <w:rPr>
          <w:rFonts w:hint="eastAsia"/>
          <w:color w:val="auto"/>
          <w:szCs w:val="21"/>
          <w:highlight w:val="none"/>
        </w:rPr>
        <w:t>4.不同供应商的响应文件异常一致或者投标报价呈规律性差异；</w:t>
      </w:r>
    </w:p>
    <w:p w14:paraId="2E95EF86">
      <w:pPr>
        <w:snapToGrid w:val="0"/>
        <w:spacing w:before="50" w:after="120" w:afterLines="50"/>
        <w:jc w:val="left"/>
        <w:rPr>
          <w:color w:val="auto"/>
          <w:szCs w:val="21"/>
          <w:highlight w:val="none"/>
        </w:rPr>
      </w:pPr>
      <w:r>
        <w:rPr>
          <w:rFonts w:hint="eastAsia"/>
          <w:color w:val="auto"/>
          <w:szCs w:val="21"/>
          <w:highlight w:val="none"/>
        </w:rPr>
        <w:t>5.不同供应商的响应文件相互混装；</w:t>
      </w:r>
    </w:p>
    <w:p w14:paraId="657AFE34">
      <w:pPr>
        <w:snapToGrid w:val="0"/>
        <w:spacing w:before="50" w:after="120" w:afterLines="50"/>
        <w:jc w:val="left"/>
        <w:rPr>
          <w:color w:val="auto"/>
          <w:szCs w:val="21"/>
          <w:highlight w:val="none"/>
        </w:rPr>
      </w:pPr>
      <w:r>
        <w:rPr>
          <w:rFonts w:hint="eastAsia"/>
          <w:color w:val="auto"/>
          <w:szCs w:val="21"/>
          <w:highlight w:val="none"/>
        </w:rPr>
        <w:t>6.不同供应商的谈判保证金从同一单位或者个人账户转出。</w:t>
      </w:r>
    </w:p>
    <w:p w14:paraId="690012FB">
      <w:pPr>
        <w:snapToGrid w:val="0"/>
        <w:spacing w:before="50" w:after="120" w:afterLines="50"/>
        <w:jc w:val="left"/>
        <w:rPr>
          <w:color w:val="auto"/>
          <w:szCs w:val="21"/>
          <w:highlight w:val="none"/>
        </w:rPr>
      </w:pPr>
      <w:r>
        <w:rPr>
          <w:rFonts w:hint="eastAsia"/>
          <w:color w:val="auto"/>
          <w:szCs w:val="21"/>
          <w:highlight w:val="none"/>
        </w:rPr>
        <w:t>二、我方承诺无下列恶意串通的情形：</w:t>
      </w:r>
    </w:p>
    <w:p w14:paraId="7744CD41">
      <w:pPr>
        <w:snapToGrid w:val="0"/>
        <w:spacing w:before="50" w:after="120" w:afterLines="50"/>
        <w:jc w:val="left"/>
        <w:rPr>
          <w:color w:val="auto"/>
          <w:szCs w:val="21"/>
          <w:highlight w:val="none"/>
        </w:rPr>
      </w:pPr>
      <w:r>
        <w:rPr>
          <w:rFonts w:hint="eastAsia"/>
          <w:color w:val="auto"/>
          <w:szCs w:val="21"/>
          <w:highlight w:val="none"/>
        </w:rPr>
        <w:t>1.供应商直接或者间接从采购人或者采购代理机构处获得其他供应商的相关信息并修改其响应文件或者响应文件；</w:t>
      </w:r>
    </w:p>
    <w:p w14:paraId="74C67606">
      <w:pPr>
        <w:snapToGrid w:val="0"/>
        <w:spacing w:before="50" w:after="120" w:afterLines="50"/>
        <w:jc w:val="left"/>
        <w:rPr>
          <w:color w:val="auto"/>
          <w:szCs w:val="21"/>
          <w:highlight w:val="none"/>
        </w:rPr>
      </w:pPr>
      <w:r>
        <w:rPr>
          <w:rFonts w:hint="eastAsia"/>
          <w:color w:val="auto"/>
          <w:szCs w:val="21"/>
          <w:highlight w:val="none"/>
        </w:rPr>
        <w:t>2.供应商按照采购人或者采购代理机构的授意撤换、修改响应文件或者响应文件；</w:t>
      </w:r>
    </w:p>
    <w:p w14:paraId="599E72C3">
      <w:pPr>
        <w:snapToGrid w:val="0"/>
        <w:spacing w:before="50" w:after="120" w:afterLines="50"/>
        <w:jc w:val="left"/>
        <w:rPr>
          <w:color w:val="auto"/>
          <w:szCs w:val="21"/>
          <w:highlight w:val="none"/>
        </w:rPr>
      </w:pPr>
      <w:r>
        <w:rPr>
          <w:rFonts w:hint="eastAsia"/>
          <w:color w:val="auto"/>
          <w:szCs w:val="21"/>
          <w:highlight w:val="none"/>
        </w:rPr>
        <w:t>3.供应商之间协商报价、技术方案等响应文件或者响应文件的实质性内容；</w:t>
      </w:r>
    </w:p>
    <w:p w14:paraId="30F36EEE">
      <w:pPr>
        <w:snapToGrid w:val="0"/>
        <w:spacing w:before="50" w:after="120" w:afterLines="50"/>
        <w:jc w:val="left"/>
        <w:rPr>
          <w:color w:val="auto"/>
          <w:szCs w:val="21"/>
          <w:highlight w:val="none"/>
        </w:rPr>
      </w:pPr>
      <w:r>
        <w:rPr>
          <w:rFonts w:hint="eastAsia"/>
          <w:color w:val="auto"/>
          <w:szCs w:val="21"/>
          <w:highlight w:val="none"/>
        </w:rPr>
        <w:t>4.属于同一集团、协会、商会等组织成员的供应商按照该组织要求协同参加政府采购活动；</w:t>
      </w:r>
    </w:p>
    <w:p w14:paraId="2CE9DD5F">
      <w:pPr>
        <w:snapToGrid w:val="0"/>
        <w:spacing w:before="50" w:after="120" w:afterLines="50"/>
        <w:jc w:val="left"/>
        <w:rPr>
          <w:color w:val="auto"/>
          <w:szCs w:val="21"/>
          <w:highlight w:val="none"/>
        </w:rPr>
      </w:pPr>
      <w:r>
        <w:rPr>
          <w:rFonts w:hint="eastAsia"/>
          <w:color w:val="auto"/>
          <w:szCs w:val="21"/>
          <w:highlight w:val="none"/>
        </w:rPr>
        <w:t>5.供应商之间事先约定一致抬高或者压低投标报价，或者在招标项目中事先约定轮流以高价位或者低价位中标，或者事先约定由某一特定供应商中标，然后再参加投标；</w:t>
      </w:r>
    </w:p>
    <w:p w14:paraId="6FCD3063">
      <w:pPr>
        <w:snapToGrid w:val="0"/>
        <w:spacing w:before="50" w:after="120" w:afterLines="50"/>
        <w:jc w:val="left"/>
        <w:rPr>
          <w:color w:val="auto"/>
          <w:szCs w:val="21"/>
          <w:highlight w:val="none"/>
        </w:rPr>
      </w:pPr>
      <w:r>
        <w:rPr>
          <w:rFonts w:hint="eastAsia"/>
          <w:color w:val="auto"/>
          <w:szCs w:val="21"/>
          <w:highlight w:val="none"/>
        </w:rPr>
        <w:t>6.供应商之间商定部分供应商放弃参加政府采购活动或者放弃中标；</w:t>
      </w:r>
    </w:p>
    <w:p w14:paraId="32596972">
      <w:pPr>
        <w:snapToGrid w:val="0"/>
        <w:spacing w:before="50" w:after="120" w:afterLines="50"/>
        <w:jc w:val="left"/>
        <w:rPr>
          <w:color w:val="auto"/>
          <w:szCs w:val="21"/>
          <w:highlight w:val="none"/>
        </w:rPr>
      </w:pPr>
      <w:r>
        <w:rPr>
          <w:rFonts w:hint="eastAsia"/>
          <w:color w:val="auto"/>
          <w:szCs w:val="21"/>
          <w:highlight w:val="none"/>
        </w:rPr>
        <w:t>7.供应商与采购人或者采购代理机构之间、供应商相互之间，为谋求特定供应商中标或者排斥其他供应商的其他串通行为。</w:t>
      </w:r>
    </w:p>
    <w:p w14:paraId="3D5AB05D">
      <w:pPr>
        <w:snapToGrid w:val="0"/>
        <w:spacing w:before="50" w:after="120" w:afterLines="50"/>
        <w:jc w:val="left"/>
        <w:rPr>
          <w:color w:val="auto"/>
          <w:szCs w:val="21"/>
          <w:highlight w:val="none"/>
        </w:rPr>
      </w:pPr>
      <w:r>
        <w:rPr>
          <w:rFonts w:hint="eastAsia"/>
          <w:color w:val="auto"/>
          <w:szCs w:val="21"/>
          <w:highlight w:val="none"/>
        </w:rPr>
        <w:t>以上情形一经核查属实，我方愿意承担一切后果，并不再寻求任何旨在减轻或者免除法律责任的辩解。</w:t>
      </w:r>
    </w:p>
    <w:p w14:paraId="140C8854">
      <w:pPr>
        <w:snapToGrid w:val="0"/>
        <w:spacing w:before="50" w:after="120" w:afterLines="50"/>
        <w:jc w:val="center"/>
        <w:rPr>
          <w:color w:val="auto"/>
          <w:szCs w:val="21"/>
          <w:highlight w:val="none"/>
        </w:rPr>
      </w:pPr>
      <w:r>
        <w:rPr>
          <w:rFonts w:hint="eastAsia"/>
          <w:color w:val="auto"/>
          <w:szCs w:val="21"/>
          <w:highlight w:val="none"/>
        </w:rPr>
        <w:t xml:space="preserve"> </w:t>
      </w:r>
      <w:r>
        <w:rPr>
          <w:color w:val="auto"/>
          <w:szCs w:val="21"/>
          <w:highlight w:val="none"/>
        </w:rPr>
        <w:t xml:space="preserve"> </w:t>
      </w:r>
    </w:p>
    <w:p w14:paraId="46985531">
      <w:pPr>
        <w:snapToGrid w:val="0"/>
        <w:spacing w:before="50" w:after="120" w:afterLines="50"/>
        <w:jc w:val="center"/>
        <w:rPr>
          <w:color w:val="auto"/>
          <w:szCs w:val="21"/>
          <w:highlight w:val="none"/>
        </w:rPr>
      </w:pPr>
    </w:p>
    <w:p w14:paraId="6FA2962A">
      <w:pPr>
        <w:snapToGrid w:val="0"/>
        <w:spacing w:before="50" w:after="120" w:afterLines="50"/>
        <w:jc w:val="center"/>
        <w:rPr>
          <w:color w:val="auto"/>
          <w:szCs w:val="21"/>
          <w:highlight w:val="none"/>
        </w:rPr>
      </w:pPr>
    </w:p>
    <w:p w14:paraId="5CD7A0D2">
      <w:pPr>
        <w:snapToGrid w:val="0"/>
        <w:spacing w:before="50" w:after="120" w:afterLines="50"/>
        <w:jc w:val="center"/>
        <w:rPr>
          <w:color w:val="auto"/>
          <w:szCs w:val="21"/>
          <w:highlight w:val="none"/>
        </w:rPr>
      </w:pPr>
      <w:r>
        <w:rPr>
          <w:color w:val="auto"/>
          <w:szCs w:val="21"/>
          <w:highlight w:val="none"/>
        </w:rPr>
        <w:t>供应商</w:t>
      </w:r>
      <w:r>
        <w:rPr>
          <w:rFonts w:hint="eastAsia"/>
          <w:color w:val="auto"/>
          <w:szCs w:val="21"/>
          <w:highlight w:val="none"/>
        </w:rPr>
        <w:t>名称(电子签章</w:t>
      </w:r>
      <w:r>
        <w:rPr>
          <w:color w:val="auto"/>
          <w:szCs w:val="21"/>
          <w:highlight w:val="none"/>
        </w:rPr>
        <w:t>)</w:t>
      </w:r>
      <w:r>
        <w:rPr>
          <w:rFonts w:hint="eastAsia"/>
          <w:color w:val="auto"/>
          <w:szCs w:val="21"/>
          <w:highlight w:val="none"/>
        </w:rPr>
        <w:t>：</w:t>
      </w:r>
    </w:p>
    <w:p w14:paraId="1E478DF9">
      <w:pPr>
        <w:snapToGrid w:val="0"/>
        <w:spacing w:before="50" w:after="120" w:afterLines="50"/>
        <w:jc w:val="center"/>
        <w:rPr>
          <w:color w:val="auto"/>
          <w:szCs w:val="21"/>
          <w:highlight w:val="none"/>
        </w:rPr>
      </w:pPr>
      <w:r>
        <w:rPr>
          <w:rFonts w:hint="eastAsia"/>
          <w:color w:val="auto"/>
          <w:szCs w:val="21"/>
          <w:highlight w:val="none"/>
        </w:rPr>
        <w:t>日期：  年  月   日</w:t>
      </w:r>
    </w:p>
    <w:bookmarkEnd w:id="116"/>
    <w:p w14:paraId="12F208BE">
      <w:pPr>
        <w:snapToGrid w:val="0"/>
        <w:spacing w:before="50" w:after="120" w:afterLines="50"/>
        <w:jc w:val="left"/>
        <w:rPr>
          <w:color w:val="auto"/>
          <w:szCs w:val="21"/>
          <w:highlight w:val="none"/>
        </w:rPr>
      </w:pPr>
    </w:p>
    <w:p w14:paraId="65B111D1">
      <w:pPr>
        <w:spacing w:line="360" w:lineRule="exact"/>
        <w:rPr>
          <w:color w:val="auto"/>
          <w:szCs w:val="21"/>
          <w:highlight w:val="none"/>
        </w:rPr>
      </w:pPr>
      <w:r>
        <w:rPr>
          <w:color w:val="auto"/>
          <w:szCs w:val="21"/>
          <w:highlight w:val="none"/>
        </w:rPr>
        <w:br w:type="page"/>
      </w:r>
      <w:r>
        <w:rPr>
          <w:color w:val="auto"/>
          <w:szCs w:val="21"/>
          <w:highlight w:val="none"/>
        </w:rPr>
        <w:t>12．代理服务费承诺书</w:t>
      </w:r>
    </w:p>
    <w:p w14:paraId="75C15502">
      <w:pPr>
        <w:spacing w:line="360" w:lineRule="exact"/>
        <w:rPr>
          <w:color w:val="auto"/>
          <w:szCs w:val="21"/>
          <w:highlight w:val="none"/>
        </w:rPr>
      </w:pPr>
      <w:r>
        <w:rPr>
          <w:color w:val="auto"/>
          <w:szCs w:val="21"/>
          <w:highlight w:val="none"/>
        </w:rPr>
        <w:t>致：广西机电设备招标有限公司</w:t>
      </w:r>
    </w:p>
    <w:p w14:paraId="5E475A0F">
      <w:pPr>
        <w:spacing w:line="360" w:lineRule="exact"/>
        <w:ind w:firstLine="420" w:firstLineChars="200"/>
        <w:rPr>
          <w:color w:val="auto"/>
          <w:szCs w:val="21"/>
          <w:highlight w:val="none"/>
        </w:rPr>
      </w:pPr>
      <w:r>
        <w:rPr>
          <w:color w:val="auto"/>
          <w:szCs w:val="21"/>
          <w:highlight w:val="none"/>
        </w:rPr>
        <w:t>我单位参加了贵方组织的</w:t>
      </w:r>
      <w:r>
        <w:rPr>
          <w:rFonts w:hint="eastAsia"/>
          <w:color w:val="auto"/>
          <w:szCs w:val="21"/>
          <w:highlight w:val="none"/>
        </w:rPr>
        <w:t>谈判</w:t>
      </w:r>
      <w:r>
        <w:rPr>
          <w:color w:val="auto"/>
          <w:szCs w:val="21"/>
          <w:highlight w:val="none"/>
        </w:rPr>
        <w:t>项目编号为</w:t>
      </w:r>
      <w:r>
        <w:rPr>
          <w:b/>
          <w:color w:val="auto"/>
          <w:szCs w:val="21"/>
          <w:highlight w:val="none"/>
        </w:rPr>
        <w:t>（</w:t>
      </w:r>
      <w:r>
        <w:rPr>
          <w:color w:val="auto"/>
          <w:szCs w:val="21"/>
          <w:highlight w:val="none"/>
          <w:u w:val="single"/>
        </w:rPr>
        <w:t xml:space="preserve">                    )</w:t>
      </w:r>
      <w:r>
        <w:rPr>
          <w:color w:val="auto"/>
          <w:szCs w:val="21"/>
          <w:highlight w:val="none"/>
        </w:rPr>
        <w:t>的响应，并递交了</w:t>
      </w:r>
      <w:r>
        <w:rPr>
          <w:rFonts w:hint="eastAsia"/>
          <w:color w:val="auto"/>
          <w:szCs w:val="21"/>
          <w:highlight w:val="none"/>
        </w:rPr>
        <w:t>谈判</w:t>
      </w:r>
      <w:r>
        <w:rPr>
          <w:color w:val="auto"/>
          <w:szCs w:val="21"/>
          <w:highlight w:val="none"/>
        </w:rPr>
        <w:t>保证金</w:t>
      </w:r>
      <w:r>
        <w:rPr>
          <w:color w:val="auto"/>
          <w:szCs w:val="21"/>
          <w:highlight w:val="none"/>
          <w:u w:val="single"/>
        </w:rPr>
        <w:t xml:space="preserve">                  </w:t>
      </w:r>
      <w:r>
        <w:rPr>
          <w:color w:val="auto"/>
          <w:szCs w:val="21"/>
          <w:highlight w:val="none"/>
        </w:rPr>
        <w:t>（</w:t>
      </w:r>
      <w:r>
        <w:rPr>
          <w:color w:val="auto"/>
          <w:kern w:val="0"/>
          <w:szCs w:val="21"/>
          <w:highlight w:val="none"/>
        </w:rPr>
        <w:t>¥</w:t>
      </w:r>
      <w:r>
        <w:rPr>
          <w:color w:val="auto"/>
          <w:szCs w:val="21"/>
          <w:highlight w:val="none"/>
          <w:u w:val="single"/>
        </w:rPr>
        <w:t xml:space="preserve">       </w:t>
      </w:r>
      <w:r>
        <w:rPr>
          <w:color w:val="auto"/>
          <w:szCs w:val="21"/>
          <w:highlight w:val="none"/>
        </w:rPr>
        <w:t>），在此我方说明如下：</w:t>
      </w:r>
    </w:p>
    <w:p w14:paraId="7E463810">
      <w:pPr>
        <w:spacing w:line="360" w:lineRule="exact"/>
        <w:ind w:firstLine="420" w:firstLineChars="200"/>
        <w:rPr>
          <w:color w:val="auto"/>
          <w:szCs w:val="21"/>
          <w:highlight w:val="none"/>
        </w:rPr>
      </w:pPr>
      <w:r>
        <w:rPr>
          <w:color w:val="auto"/>
          <w:szCs w:val="21"/>
          <w:highlight w:val="none"/>
        </w:rPr>
        <w:t>1．我方承诺，若我单位</w:t>
      </w:r>
      <w:r>
        <w:rPr>
          <w:rFonts w:hint="eastAsia"/>
          <w:color w:val="auto"/>
          <w:szCs w:val="21"/>
          <w:highlight w:val="none"/>
        </w:rPr>
        <w:t>成交</w:t>
      </w:r>
      <w:r>
        <w:rPr>
          <w:color w:val="auto"/>
          <w:szCs w:val="21"/>
          <w:highlight w:val="none"/>
        </w:rPr>
        <w:t>，保证在领取</w:t>
      </w:r>
      <w:r>
        <w:rPr>
          <w:rFonts w:hint="eastAsia"/>
          <w:color w:val="auto"/>
          <w:szCs w:val="21"/>
          <w:highlight w:val="none"/>
        </w:rPr>
        <w:t>成交</w:t>
      </w:r>
      <w:r>
        <w:rPr>
          <w:color w:val="auto"/>
          <w:szCs w:val="21"/>
          <w:highlight w:val="none"/>
        </w:rPr>
        <w:t>通知书之前，按本项目</w:t>
      </w:r>
      <w:r>
        <w:rPr>
          <w:rFonts w:hint="eastAsia"/>
          <w:color w:val="auto"/>
          <w:szCs w:val="21"/>
          <w:highlight w:val="none"/>
        </w:rPr>
        <w:t>采购文件</w:t>
      </w:r>
      <w:r>
        <w:rPr>
          <w:color w:val="auto"/>
          <w:szCs w:val="21"/>
          <w:highlight w:val="none"/>
        </w:rPr>
        <w:t>的规定标准向贵单位支付代理服务费。如我单位未按规定缴纳代理服务费，贵方可</w:t>
      </w:r>
      <w:r>
        <w:rPr>
          <w:rFonts w:hint="eastAsia"/>
          <w:color w:val="auto"/>
          <w:szCs w:val="21"/>
          <w:highlight w:val="none"/>
        </w:rPr>
        <w:t>不退还</w:t>
      </w:r>
      <w:r>
        <w:rPr>
          <w:color w:val="auto"/>
          <w:szCs w:val="21"/>
          <w:highlight w:val="none"/>
        </w:rPr>
        <w:t>我单位提交的</w:t>
      </w:r>
      <w:r>
        <w:rPr>
          <w:rFonts w:hint="eastAsia"/>
          <w:color w:val="auto"/>
          <w:szCs w:val="21"/>
          <w:highlight w:val="none"/>
        </w:rPr>
        <w:t>谈判</w:t>
      </w:r>
      <w:r>
        <w:rPr>
          <w:color w:val="auto"/>
          <w:szCs w:val="21"/>
          <w:highlight w:val="none"/>
        </w:rPr>
        <w:t>保证金</w:t>
      </w:r>
      <w:r>
        <w:rPr>
          <w:rFonts w:hint="eastAsia"/>
          <w:color w:val="auto"/>
          <w:szCs w:val="21"/>
          <w:highlight w:val="none"/>
        </w:rPr>
        <w:t>，并从中</w:t>
      </w:r>
      <w:r>
        <w:rPr>
          <w:color w:val="auto"/>
          <w:szCs w:val="21"/>
          <w:highlight w:val="none"/>
        </w:rPr>
        <w:t>扣除</w:t>
      </w:r>
      <w:r>
        <w:rPr>
          <w:rFonts w:hint="eastAsia"/>
          <w:color w:val="auto"/>
          <w:szCs w:val="21"/>
          <w:highlight w:val="none"/>
        </w:rPr>
        <w:t>代理服务费</w:t>
      </w:r>
      <w:r>
        <w:rPr>
          <w:color w:val="auto"/>
          <w:szCs w:val="21"/>
          <w:highlight w:val="none"/>
        </w:rPr>
        <w:t>，余款按下列账户退回。</w:t>
      </w:r>
    </w:p>
    <w:p w14:paraId="4D0A82F4">
      <w:pPr>
        <w:snapToGrid w:val="0"/>
        <w:spacing w:before="50" w:after="120" w:afterLines="50"/>
        <w:ind w:firstLine="420" w:firstLineChars="200"/>
        <w:jc w:val="left"/>
        <w:rPr>
          <w:color w:val="auto"/>
          <w:szCs w:val="21"/>
          <w:highlight w:val="none"/>
        </w:rPr>
      </w:pPr>
      <w:r>
        <w:rPr>
          <w:color w:val="auto"/>
          <w:szCs w:val="21"/>
          <w:highlight w:val="none"/>
        </w:rPr>
        <w:t>我公司选择第</w:t>
      </w:r>
      <w:r>
        <w:rPr>
          <w:color w:val="auto"/>
          <w:szCs w:val="21"/>
          <w:highlight w:val="none"/>
          <w:u w:val="single"/>
        </w:rPr>
        <w:t xml:space="preserve">     </w:t>
      </w:r>
      <w:r>
        <w:rPr>
          <w:color w:val="auto"/>
          <w:szCs w:val="21"/>
          <w:highlight w:val="none"/>
        </w:rPr>
        <w:t>种方式缴纳代理服务费。</w:t>
      </w:r>
    </w:p>
    <w:p w14:paraId="255F17E9">
      <w:pPr>
        <w:spacing w:line="360" w:lineRule="exact"/>
        <w:ind w:firstLine="420" w:firstLineChars="200"/>
        <w:rPr>
          <w:color w:val="auto"/>
          <w:szCs w:val="21"/>
          <w:highlight w:val="none"/>
        </w:rPr>
      </w:pPr>
      <w:r>
        <w:rPr>
          <w:color w:val="auto"/>
          <w:szCs w:val="21"/>
          <w:highlight w:val="none"/>
        </w:rPr>
        <w:t>第一种方式：一次性足额缴纳代理服务费。</w:t>
      </w:r>
    </w:p>
    <w:p w14:paraId="767186A1">
      <w:pPr>
        <w:spacing w:line="360" w:lineRule="exact"/>
        <w:ind w:firstLine="420" w:firstLineChars="200"/>
        <w:rPr>
          <w:color w:val="auto"/>
          <w:szCs w:val="21"/>
          <w:highlight w:val="none"/>
        </w:rPr>
      </w:pPr>
      <w:r>
        <w:rPr>
          <w:color w:val="auto"/>
          <w:szCs w:val="21"/>
          <w:highlight w:val="none"/>
        </w:rPr>
        <w:t>第二种方式：从谈判保证金中抵扣代理服务费，不足部分补交。</w:t>
      </w:r>
    </w:p>
    <w:p w14:paraId="00FF9760">
      <w:pPr>
        <w:spacing w:line="360" w:lineRule="exact"/>
        <w:ind w:firstLine="420" w:firstLineChars="200"/>
        <w:rPr>
          <w:color w:val="auto"/>
          <w:szCs w:val="21"/>
          <w:highlight w:val="none"/>
        </w:rPr>
      </w:pPr>
      <w:r>
        <w:rPr>
          <w:color w:val="auto"/>
          <w:szCs w:val="21"/>
          <w:highlight w:val="none"/>
        </w:rPr>
        <w:t>2．如我单位谈判保证金无法原路返回，请按下表账户信息无息退还。</w:t>
      </w:r>
    </w:p>
    <w:tbl>
      <w:tblPr>
        <w:tblStyle w:val="51"/>
        <w:tblW w:w="89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33"/>
        <w:gridCol w:w="5431"/>
      </w:tblGrid>
      <w:tr w14:paraId="75382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2" w:hRule="atLeast"/>
          <w:jc w:val="center"/>
        </w:trPr>
        <w:tc>
          <w:tcPr>
            <w:tcW w:w="3533" w:type="dxa"/>
            <w:vAlign w:val="center"/>
          </w:tcPr>
          <w:p w14:paraId="788B5A9D">
            <w:pPr>
              <w:spacing w:line="360" w:lineRule="exact"/>
              <w:jc w:val="center"/>
              <w:rPr>
                <w:color w:val="auto"/>
                <w:szCs w:val="21"/>
                <w:highlight w:val="none"/>
              </w:rPr>
            </w:pPr>
            <w:r>
              <w:rPr>
                <w:color w:val="auto"/>
                <w:szCs w:val="21"/>
                <w:highlight w:val="none"/>
              </w:rPr>
              <w:t>收款户名</w:t>
            </w:r>
          </w:p>
        </w:tc>
        <w:tc>
          <w:tcPr>
            <w:tcW w:w="5431" w:type="dxa"/>
            <w:vAlign w:val="center"/>
          </w:tcPr>
          <w:p w14:paraId="28C2102F">
            <w:pPr>
              <w:spacing w:line="360" w:lineRule="exact"/>
              <w:jc w:val="center"/>
              <w:rPr>
                <w:color w:val="auto"/>
                <w:szCs w:val="21"/>
                <w:highlight w:val="none"/>
              </w:rPr>
            </w:pPr>
          </w:p>
        </w:tc>
      </w:tr>
      <w:tr w14:paraId="70D4C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2" w:hRule="atLeast"/>
          <w:jc w:val="center"/>
        </w:trPr>
        <w:tc>
          <w:tcPr>
            <w:tcW w:w="3533" w:type="dxa"/>
            <w:vAlign w:val="center"/>
          </w:tcPr>
          <w:p w14:paraId="0C68FE51">
            <w:pPr>
              <w:spacing w:line="360" w:lineRule="exact"/>
              <w:jc w:val="center"/>
              <w:rPr>
                <w:color w:val="auto"/>
                <w:szCs w:val="21"/>
                <w:highlight w:val="none"/>
              </w:rPr>
            </w:pPr>
            <w:r>
              <w:rPr>
                <w:color w:val="auto"/>
                <w:szCs w:val="21"/>
                <w:highlight w:val="none"/>
              </w:rPr>
              <w:t>账    号</w:t>
            </w:r>
          </w:p>
        </w:tc>
        <w:tc>
          <w:tcPr>
            <w:tcW w:w="5431" w:type="dxa"/>
            <w:vAlign w:val="center"/>
          </w:tcPr>
          <w:p w14:paraId="0182AA76">
            <w:pPr>
              <w:spacing w:line="360" w:lineRule="exact"/>
              <w:jc w:val="center"/>
              <w:rPr>
                <w:color w:val="auto"/>
                <w:szCs w:val="21"/>
                <w:highlight w:val="none"/>
              </w:rPr>
            </w:pPr>
          </w:p>
        </w:tc>
      </w:tr>
      <w:tr w14:paraId="3DAB8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2" w:hRule="atLeast"/>
          <w:jc w:val="center"/>
        </w:trPr>
        <w:tc>
          <w:tcPr>
            <w:tcW w:w="3533" w:type="dxa"/>
            <w:vAlign w:val="center"/>
          </w:tcPr>
          <w:p w14:paraId="6E27FDAD">
            <w:pPr>
              <w:spacing w:line="360" w:lineRule="exact"/>
              <w:jc w:val="center"/>
              <w:rPr>
                <w:color w:val="auto"/>
                <w:szCs w:val="21"/>
                <w:highlight w:val="none"/>
              </w:rPr>
            </w:pPr>
            <w:r>
              <w:rPr>
                <w:color w:val="auto"/>
                <w:szCs w:val="21"/>
                <w:highlight w:val="none"/>
              </w:rPr>
              <w:t>开户银行</w:t>
            </w:r>
          </w:p>
        </w:tc>
        <w:tc>
          <w:tcPr>
            <w:tcW w:w="5431" w:type="dxa"/>
            <w:vAlign w:val="center"/>
          </w:tcPr>
          <w:p w14:paraId="1991DFCA">
            <w:pPr>
              <w:spacing w:line="360" w:lineRule="exact"/>
              <w:jc w:val="center"/>
              <w:rPr>
                <w:color w:val="auto"/>
                <w:szCs w:val="21"/>
                <w:highlight w:val="none"/>
              </w:rPr>
            </w:pPr>
          </w:p>
        </w:tc>
      </w:tr>
      <w:tr w14:paraId="4C642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2" w:hRule="atLeast"/>
          <w:jc w:val="center"/>
        </w:trPr>
        <w:tc>
          <w:tcPr>
            <w:tcW w:w="3533" w:type="dxa"/>
            <w:vAlign w:val="center"/>
          </w:tcPr>
          <w:p w14:paraId="6B313899">
            <w:pPr>
              <w:spacing w:line="360" w:lineRule="exact"/>
              <w:jc w:val="center"/>
              <w:rPr>
                <w:color w:val="auto"/>
                <w:szCs w:val="21"/>
                <w:highlight w:val="none"/>
              </w:rPr>
            </w:pPr>
            <w:r>
              <w:rPr>
                <w:color w:val="auto"/>
                <w:szCs w:val="21"/>
                <w:highlight w:val="none"/>
              </w:rPr>
              <w:t>银行行号</w:t>
            </w:r>
          </w:p>
        </w:tc>
        <w:tc>
          <w:tcPr>
            <w:tcW w:w="5431" w:type="dxa"/>
            <w:vAlign w:val="center"/>
          </w:tcPr>
          <w:p w14:paraId="18CA4601">
            <w:pPr>
              <w:spacing w:line="360" w:lineRule="exact"/>
              <w:jc w:val="center"/>
              <w:rPr>
                <w:color w:val="auto"/>
                <w:szCs w:val="21"/>
                <w:highlight w:val="none"/>
              </w:rPr>
            </w:pPr>
          </w:p>
        </w:tc>
      </w:tr>
    </w:tbl>
    <w:p w14:paraId="425615C4">
      <w:pPr>
        <w:spacing w:line="360" w:lineRule="exact"/>
        <w:ind w:firstLine="420" w:firstLineChars="200"/>
        <w:rPr>
          <w:color w:val="auto"/>
          <w:szCs w:val="21"/>
          <w:highlight w:val="none"/>
        </w:rPr>
      </w:pPr>
      <w:r>
        <w:rPr>
          <w:color w:val="auto"/>
          <w:szCs w:val="21"/>
          <w:highlight w:val="none"/>
        </w:rPr>
        <w:t>3．如果我单位未遵守有关采购文件关于谈判保证金的规定，贵方可以没收我单位谈判保证金。</w:t>
      </w:r>
    </w:p>
    <w:p w14:paraId="61FB3128">
      <w:pPr>
        <w:spacing w:line="360" w:lineRule="exact"/>
        <w:ind w:firstLine="420" w:firstLineChars="200"/>
        <w:rPr>
          <w:color w:val="auto"/>
          <w:szCs w:val="21"/>
          <w:highlight w:val="none"/>
        </w:rPr>
      </w:pPr>
      <w:r>
        <w:rPr>
          <w:color w:val="auto"/>
          <w:szCs w:val="21"/>
          <w:highlight w:val="none"/>
        </w:rPr>
        <w:t>4. 我单位选择第</w:t>
      </w:r>
      <w:r>
        <w:rPr>
          <w:color w:val="auto"/>
          <w:szCs w:val="21"/>
          <w:highlight w:val="none"/>
          <w:u w:val="single"/>
        </w:rPr>
        <w:t xml:space="preserve">     </w:t>
      </w:r>
      <w:r>
        <w:rPr>
          <w:color w:val="auto"/>
          <w:szCs w:val="21"/>
          <w:highlight w:val="none"/>
        </w:rPr>
        <w:t>种方式作为代理服务费开票类型：</w:t>
      </w:r>
    </w:p>
    <w:p w14:paraId="2856C2FA">
      <w:pPr>
        <w:spacing w:line="360" w:lineRule="exact"/>
        <w:ind w:firstLine="420" w:firstLineChars="200"/>
        <w:rPr>
          <w:color w:val="auto"/>
          <w:szCs w:val="21"/>
          <w:highlight w:val="none"/>
        </w:rPr>
      </w:pPr>
      <w:r>
        <w:rPr>
          <w:color w:val="auto"/>
          <w:szCs w:val="21"/>
          <w:highlight w:val="none"/>
        </w:rPr>
        <w:t>第一种方式：开具收据。</w:t>
      </w:r>
    </w:p>
    <w:p w14:paraId="79579D71">
      <w:pPr>
        <w:spacing w:line="360" w:lineRule="exact"/>
        <w:ind w:firstLine="420" w:firstLineChars="200"/>
        <w:rPr>
          <w:color w:val="auto"/>
          <w:szCs w:val="21"/>
          <w:highlight w:val="none"/>
        </w:rPr>
      </w:pPr>
      <w:r>
        <w:rPr>
          <w:color w:val="auto"/>
          <w:szCs w:val="21"/>
          <w:highlight w:val="none"/>
        </w:rPr>
        <w:t>第二种方式：开具增值税普通发票。 1.公司名称</w:t>
      </w:r>
      <w:r>
        <w:rPr>
          <w:color w:val="auto"/>
          <w:szCs w:val="21"/>
          <w:highlight w:val="none"/>
          <w:u w:val="single"/>
        </w:rPr>
        <w:t xml:space="preserve">                      </w:t>
      </w:r>
      <w:r>
        <w:rPr>
          <w:color w:val="auto"/>
          <w:szCs w:val="21"/>
          <w:highlight w:val="none"/>
        </w:rPr>
        <w:t>；2.纳税人识别号</w:t>
      </w:r>
      <w:r>
        <w:rPr>
          <w:color w:val="auto"/>
          <w:szCs w:val="21"/>
          <w:highlight w:val="none"/>
          <w:u w:val="single"/>
        </w:rPr>
        <w:t xml:space="preserve">                     </w:t>
      </w:r>
      <w:r>
        <w:rPr>
          <w:color w:val="auto"/>
          <w:szCs w:val="21"/>
          <w:highlight w:val="none"/>
        </w:rPr>
        <w:t>；</w:t>
      </w:r>
    </w:p>
    <w:p w14:paraId="04EE9059">
      <w:pPr>
        <w:spacing w:line="360" w:lineRule="exact"/>
        <w:ind w:firstLine="420" w:firstLineChars="200"/>
        <w:rPr>
          <w:color w:val="auto"/>
          <w:szCs w:val="21"/>
          <w:highlight w:val="none"/>
        </w:rPr>
      </w:pPr>
      <w:r>
        <w:rPr>
          <w:color w:val="auto"/>
          <w:szCs w:val="21"/>
          <w:highlight w:val="none"/>
        </w:rPr>
        <w:t>第三种方式：开具增值税专用发票，开票信息如下：1.公司名称</w:t>
      </w:r>
      <w:r>
        <w:rPr>
          <w:color w:val="auto"/>
          <w:szCs w:val="21"/>
          <w:highlight w:val="none"/>
          <w:u w:val="single"/>
        </w:rPr>
        <w:t xml:space="preserve">                      </w:t>
      </w:r>
      <w:r>
        <w:rPr>
          <w:color w:val="auto"/>
          <w:szCs w:val="21"/>
          <w:highlight w:val="none"/>
        </w:rPr>
        <w:t>；2.纳税人识别号</w:t>
      </w:r>
      <w:r>
        <w:rPr>
          <w:color w:val="auto"/>
          <w:szCs w:val="21"/>
          <w:highlight w:val="none"/>
          <w:u w:val="single"/>
        </w:rPr>
        <w:t xml:space="preserve">                     </w:t>
      </w:r>
      <w:r>
        <w:rPr>
          <w:color w:val="auto"/>
          <w:szCs w:val="21"/>
          <w:highlight w:val="none"/>
        </w:rPr>
        <w:t>；3.税局登记地址</w:t>
      </w:r>
      <w:r>
        <w:rPr>
          <w:color w:val="auto"/>
          <w:szCs w:val="21"/>
          <w:highlight w:val="none"/>
          <w:u w:val="single"/>
        </w:rPr>
        <w:t xml:space="preserve">                     </w:t>
      </w:r>
      <w:r>
        <w:rPr>
          <w:color w:val="auto"/>
          <w:szCs w:val="21"/>
          <w:highlight w:val="none"/>
        </w:rPr>
        <w:t>；4.税局登记电话</w:t>
      </w:r>
      <w:r>
        <w:rPr>
          <w:color w:val="auto"/>
          <w:szCs w:val="21"/>
          <w:highlight w:val="none"/>
          <w:u w:val="single"/>
        </w:rPr>
        <w:t xml:space="preserve">             </w:t>
      </w:r>
      <w:r>
        <w:rPr>
          <w:color w:val="auto"/>
          <w:szCs w:val="21"/>
          <w:highlight w:val="none"/>
        </w:rPr>
        <w:t>；5.开户银行</w:t>
      </w:r>
      <w:r>
        <w:rPr>
          <w:color w:val="auto"/>
          <w:szCs w:val="21"/>
          <w:highlight w:val="none"/>
          <w:u w:val="single"/>
        </w:rPr>
        <w:t xml:space="preserve">                 </w:t>
      </w:r>
      <w:r>
        <w:rPr>
          <w:color w:val="auto"/>
          <w:szCs w:val="21"/>
          <w:highlight w:val="none"/>
        </w:rPr>
        <w:t>；6.银行账户</w:t>
      </w:r>
      <w:r>
        <w:rPr>
          <w:color w:val="auto"/>
          <w:szCs w:val="21"/>
          <w:highlight w:val="none"/>
          <w:u w:val="single"/>
        </w:rPr>
        <w:t xml:space="preserve">                         </w:t>
      </w:r>
      <w:r>
        <w:rPr>
          <w:color w:val="auto"/>
          <w:szCs w:val="21"/>
          <w:highlight w:val="none"/>
        </w:rPr>
        <w:t>。</w:t>
      </w:r>
    </w:p>
    <w:p w14:paraId="6490C708">
      <w:pPr>
        <w:spacing w:before="120" w:beforeLines="50" w:line="360" w:lineRule="auto"/>
        <w:jc w:val="left"/>
        <w:rPr>
          <w:color w:val="auto"/>
          <w:szCs w:val="21"/>
          <w:highlight w:val="none"/>
        </w:rPr>
      </w:pPr>
    </w:p>
    <w:p w14:paraId="3B44E3A5">
      <w:pPr>
        <w:spacing w:before="120" w:beforeLines="50" w:line="360" w:lineRule="auto"/>
        <w:jc w:val="left"/>
        <w:rPr>
          <w:color w:val="auto"/>
          <w:szCs w:val="21"/>
          <w:highlight w:val="none"/>
          <w:u w:val="single"/>
        </w:rPr>
      </w:pPr>
      <w:bookmarkStart w:id="126" w:name="_Hlk89181633"/>
      <w:r>
        <w:rPr>
          <w:color w:val="auto"/>
          <w:szCs w:val="21"/>
          <w:highlight w:val="none"/>
        </w:rPr>
        <w:t>供应商</w:t>
      </w:r>
      <w:r>
        <w:rPr>
          <w:rFonts w:hint="eastAsia"/>
          <w:color w:val="auto"/>
          <w:szCs w:val="21"/>
          <w:highlight w:val="none"/>
        </w:rPr>
        <w:t>名称(电子签章</w:t>
      </w:r>
      <w:r>
        <w:rPr>
          <w:color w:val="auto"/>
          <w:szCs w:val="21"/>
          <w:highlight w:val="none"/>
        </w:rPr>
        <w:t>)</w:t>
      </w:r>
      <w:bookmarkEnd w:id="126"/>
      <w:r>
        <w:rPr>
          <w:color w:val="auto"/>
          <w:szCs w:val="21"/>
          <w:highlight w:val="none"/>
        </w:rPr>
        <w:t>：</w:t>
      </w:r>
      <w:r>
        <w:rPr>
          <w:color w:val="auto"/>
          <w:szCs w:val="21"/>
          <w:highlight w:val="none"/>
          <w:u w:val="single"/>
        </w:rPr>
        <w:t xml:space="preserve">                              </w:t>
      </w:r>
    </w:p>
    <w:p w14:paraId="57C3E7C0">
      <w:pPr>
        <w:spacing w:before="120" w:beforeLines="50" w:line="360" w:lineRule="auto"/>
        <w:jc w:val="left"/>
        <w:rPr>
          <w:color w:val="auto"/>
          <w:szCs w:val="21"/>
          <w:highlight w:val="none"/>
        </w:rPr>
      </w:pPr>
      <w:r>
        <w:rPr>
          <w:color w:val="auto"/>
          <w:szCs w:val="21"/>
          <w:highlight w:val="none"/>
        </w:rPr>
        <w:t>供应商地址：</w:t>
      </w:r>
      <w:r>
        <w:rPr>
          <w:color w:val="auto"/>
          <w:szCs w:val="21"/>
          <w:highlight w:val="none"/>
          <w:u w:val="single"/>
        </w:rPr>
        <w:t xml:space="preserve">                                     </w:t>
      </w:r>
    </w:p>
    <w:p w14:paraId="63FABC18">
      <w:pPr>
        <w:wordWrap w:val="0"/>
        <w:spacing w:before="120" w:beforeLines="50" w:line="360" w:lineRule="auto"/>
        <w:jc w:val="right"/>
        <w:rPr>
          <w:color w:val="auto"/>
          <w:szCs w:val="21"/>
          <w:highlight w:val="none"/>
        </w:rPr>
      </w:pPr>
      <w:r>
        <w:rPr>
          <w:color w:val="auto"/>
          <w:szCs w:val="21"/>
          <w:highlight w:val="none"/>
        </w:rPr>
        <w:t>日期：</w:t>
      </w:r>
      <w:r>
        <w:rPr>
          <w:color w:val="auto"/>
          <w:szCs w:val="21"/>
          <w:highlight w:val="none"/>
          <w:u w:val="single"/>
        </w:rPr>
        <w:t xml:space="preserve">      </w:t>
      </w:r>
      <w:r>
        <w:rPr>
          <w:color w:val="auto"/>
          <w:szCs w:val="21"/>
          <w:highlight w:val="none"/>
        </w:rPr>
        <w:t>年</w:t>
      </w:r>
      <w:r>
        <w:rPr>
          <w:color w:val="auto"/>
          <w:szCs w:val="21"/>
          <w:highlight w:val="none"/>
          <w:u w:val="single"/>
        </w:rPr>
        <w:t xml:space="preserve">    </w:t>
      </w:r>
      <w:r>
        <w:rPr>
          <w:color w:val="auto"/>
          <w:szCs w:val="21"/>
          <w:highlight w:val="none"/>
        </w:rPr>
        <w:t>月</w:t>
      </w:r>
      <w:r>
        <w:rPr>
          <w:color w:val="auto"/>
          <w:szCs w:val="21"/>
          <w:highlight w:val="none"/>
          <w:u w:val="single"/>
        </w:rPr>
        <w:t xml:space="preserve">    </w:t>
      </w:r>
      <w:r>
        <w:rPr>
          <w:color w:val="auto"/>
          <w:szCs w:val="21"/>
          <w:highlight w:val="none"/>
        </w:rPr>
        <w:t>日</w:t>
      </w:r>
    </w:p>
    <w:p w14:paraId="3079E71E">
      <w:pPr>
        <w:spacing w:before="120" w:beforeLines="50"/>
        <w:rPr>
          <w:color w:val="auto"/>
          <w:szCs w:val="21"/>
          <w:highlight w:val="none"/>
        </w:rPr>
      </w:pPr>
      <w:r>
        <w:rPr>
          <w:color w:val="auto"/>
          <w:szCs w:val="21"/>
          <w:highlight w:val="none"/>
        </w:rPr>
        <w:t>说明：</w:t>
      </w:r>
    </w:p>
    <w:p w14:paraId="1583E6C2">
      <w:pPr>
        <w:spacing w:line="340" w:lineRule="exact"/>
        <w:ind w:firstLine="420" w:firstLineChars="200"/>
        <w:rPr>
          <w:color w:val="auto"/>
          <w:szCs w:val="21"/>
          <w:highlight w:val="none"/>
        </w:rPr>
      </w:pPr>
      <w:r>
        <w:rPr>
          <w:color w:val="auto"/>
          <w:szCs w:val="21"/>
          <w:highlight w:val="none"/>
        </w:rPr>
        <w:t>（1）为保障资金安全，上述账户不能为私人账户。</w:t>
      </w:r>
    </w:p>
    <w:p w14:paraId="15E3996C">
      <w:pPr>
        <w:spacing w:line="340" w:lineRule="exact"/>
        <w:ind w:firstLine="420" w:firstLineChars="200"/>
        <w:rPr>
          <w:color w:val="auto"/>
          <w:szCs w:val="21"/>
          <w:highlight w:val="none"/>
        </w:rPr>
      </w:pPr>
      <w:r>
        <w:rPr>
          <w:color w:val="auto"/>
          <w:szCs w:val="21"/>
          <w:highlight w:val="none"/>
        </w:rPr>
        <w:t>（2）如因未按要求缴纳谈判保证金，导致谈判保证金无法退还或丢失等可能产生的一切后果由供应商自行负责。如需要，采购代理机构将按上述所填信息办理代理服务费发票事宜。如所填信息有误导致开票信息错误等可能产生的一切后果由供应商自行负责。</w:t>
      </w:r>
    </w:p>
    <w:p w14:paraId="3C8F00B5">
      <w:pPr>
        <w:spacing w:line="340" w:lineRule="exact"/>
        <w:ind w:firstLine="420" w:firstLineChars="200"/>
        <w:rPr>
          <w:color w:val="auto"/>
          <w:szCs w:val="21"/>
          <w:highlight w:val="none"/>
        </w:rPr>
      </w:pPr>
      <w:r>
        <w:rPr>
          <w:color w:val="auto"/>
          <w:szCs w:val="21"/>
          <w:highlight w:val="none"/>
        </w:rPr>
        <w:t>（3）如供应商未及时收到退回款项，请与广西机电设备招标有限公司财务部联系。广西机电设备招标有限公司财务部联系方式：联系人：吴茜；电话：0771-2821398；传真：0771-2843545。</w:t>
      </w:r>
    </w:p>
    <w:p w14:paraId="4779ACE4">
      <w:pPr>
        <w:spacing w:line="340" w:lineRule="exact"/>
        <w:ind w:firstLine="420" w:firstLineChars="200"/>
        <w:rPr>
          <w:color w:val="auto"/>
          <w:szCs w:val="21"/>
          <w:highlight w:val="none"/>
        </w:rPr>
      </w:pPr>
      <w:r>
        <w:rPr>
          <w:color w:val="auto"/>
          <w:szCs w:val="21"/>
          <w:highlight w:val="none"/>
        </w:rPr>
        <w:br w:type="page"/>
      </w:r>
    </w:p>
    <w:p w14:paraId="34491323">
      <w:pPr>
        <w:rPr>
          <w:bCs/>
          <w:color w:val="auto"/>
          <w:sz w:val="24"/>
          <w:highlight w:val="none"/>
        </w:rPr>
        <w:sectPr>
          <w:pgSz w:w="11906" w:h="16838"/>
          <w:pgMar w:top="1418" w:right="1274" w:bottom="1418" w:left="1418" w:header="851" w:footer="992" w:gutter="0"/>
          <w:cols w:space="720" w:num="1"/>
          <w:docGrid w:linePitch="312" w:charSpace="0"/>
        </w:sectPr>
      </w:pPr>
    </w:p>
    <w:p w14:paraId="46725072">
      <w:pPr>
        <w:snapToGrid w:val="0"/>
        <w:spacing w:before="120" w:beforeLines="50" w:after="50" w:line="440" w:lineRule="exact"/>
        <w:jc w:val="left"/>
        <w:outlineLvl w:val="1"/>
        <w:rPr>
          <w:color w:val="auto"/>
          <w:sz w:val="24"/>
          <w:highlight w:val="none"/>
        </w:rPr>
      </w:pPr>
      <w:r>
        <w:rPr>
          <w:color w:val="auto"/>
          <w:sz w:val="24"/>
          <w:highlight w:val="none"/>
        </w:rPr>
        <w:t>3</w:t>
      </w:r>
      <w:r>
        <w:rPr>
          <w:rFonts w:hint="eastAsia"/>
          <w:color w:val="auto"/>
          <w:sz w:val="24"/>
          <w:highlight w:val="none"/>
        </w:rPr>
        <w:t xml:space="preserve">.响应文件封面参考格式（报价文件）： </w:t>
      </w:r>
    </w:p>
    <w:p w14:paraId="3819BE0C">
      <w:pPr>
        <w:snapToGrid w:val="0"/>
        <w:spacing w:before="50" w:after="120" w:afterLines="50" w:line="400" w:lineRule="exact"/>
        <w:jc w:val="left"/>
        <w:rPr>
          <w:color w:val="auto"/>
          <w:sz w:val="24"/>
          <w:highlight w:val="none"/>
        </w:rPr>
      </w:pPr>
    </w:p>
    <w:p w14:paraId="122B12B6">
      <w:pPr>
        <w:snapToGrid w:val="0"/>
        <w:spacing w:before="120" w:beforeLines="50" w:after="50" w:line="360" w:lineRule="exact"/>
        <w:rPr>
          <w:color w:val="auto"/>
          <w:sz w:val="24"/>
          <w:highlight w:val="none"/>
        </w:rPr>
      </w:pPr>
    </w:p>
    <w:p w14:paraId="60A34690">
      <w:pPr>
        <w:snapToGrid w:val="0"/>
        <w:spacing w:before="120" w:beforeLines="50" w:after="50" w:line="360" w:lineRule="exact"/>
        <w:jc w:val="center"/>
        <w:rPr>
          <w:color w:val="auto"/>
          <w:sz w:val="24"/>
          <w:highlight w:val="none"/>
        </w:rPr>
      </w:pPr>
    </w:p>
    <w:p w14:paraId="0E5E5D99">
      <w:pPr>
        <w:snapToGrid w:val="0"/>
        <w:spacing w:before="120" w:beforeLines="50" w:after="50" w:line="360" w:lineRule="exact"/>
        <w:jc w:val="center"/>
        <w:rPr>
          <w:b/>
          <w:color w:val="auto"/>
          <w:sz w:val="44"/>
          <w:szCs w:val="44"/>
          <w:highlight w:val="none"/>
        </w:rPr>
      </w:pPr>
      <w:r>
        <w:rPr>
          <w:rFonts w:hint="eastAsia"/>
          <w:b/>
          <w:color w:val="auto"/>
          <w:sz w:val="44"/>
          <w:szCs w:val="44"/>
          <w:highlight w:val="none"/>
        </w:rPr>
        <w:t>电子响应文件</w:t>
      </w:r>
    </w:p>
    <w:p w14:paraId="7DC22BE0">
      <w:pPr>
        <w:snapToGrid w:val="0"/>
        <w:spacing w:before="120" w:beforeLines="50" w:after="50" w:line="360" w:lineRule="exact"/>
        <w:jc w:val="center"/>
        <w:rPr>
          <w:b/>
          <w:color w:val="auto"/>
          <w:sz w:val="44"/>
          <w:szCs w:val="44"/>
          <w:highlight w:val="none"/>
        </w:rPr>
      </w:pPr>
    </w:p>
    <w:p w14:paraId="7E5AA70E">
      <w:pPr>
        <w:snapToGrid w:val="0"/>
        <w:spacing w:before="120" w:beforeLines="50" w:after="50" w:line="360" w:lineRule="exact"/>
        <w:jc w:val="center"/>
        <w:rPr>
          <w:b/>
          <w:color w:val="auto"/>
          <w:sz w:val="44"/>
          <w:szCs w:val="44"/>
          <w:highlight w:val="none"/>
        </w:rPr>
      </w:pPr>
    </w:p>
    <w:p w14:paraId="5A2AC44A">
      <w:pPr>
        <w:snapToGrid w:val="0"/>
        <w:spacing w:before="120" w:beforeLines="50" w:after="50" w:line="360" w:lineRule="exact"/>
        <w:jc w:val="center"/>
        <w:rPr>
          <w:b/>
          <w:color w:val="auto"/>
          <w:sz w:val="44"/>
          <w:szCs w:val="44"/>
          <w:highlight w:val="none"/>
        </w:rPr>
      </w:pPr>
      <w:r>
        <w:rPr>
          <w:rFonts w:hint="eastAsia"/>
          <w:b/>
          <w:color w:val="auto"/>
          <w:sz w:val="44"/>
          <w:szCs w:val="44"/>
          <w:highlight w:val="none"/>
        </w:rPr>
        <w:t>报价文件</w:t>
      </w:r>
    </w:p>
    <w:p w14:paraId="2B14226B">
      <w:pPr>
        <w:snapToGrid w:val="0"/>
        <w:spacing w:before="120" w:beforeLines="50" w:after="50" w:line="360" w:lineRule="exact"/>
        <w:rPr>
          <w:color w:val="auto"/>
          <w:sz w:val="24"/>
          <w:highlight w:val="none"/>
        </w:rPr>
      </w:pPr>
    </w:p>
    <w:p w14:paraId="0532A119">
      <w:pPr>
        <w:snapToGrid w:val="0"/>
        <w:spacing w:before="120" w:beforeLines="50" w:after="50" w:line="360" w:lineRule="exact"/>
        <w:rPr>
          <w:color w:val="auto"/>
          <w:sz w:val="24"/>
          <w:highlight w:val="none"/>
        </w:rPr>
      </w:pPr>
    </w:p>
    <w:p w14:paraId="05B731CE">
      <w:pPr>
        <w:snapToGrid w:val="0"/>
        <w:spacing w:before="120" w:beforeLines="50" w:after="50" w:line="360" w:lineRule="exact"/>
        <w:rPr>
          <w:color w:val="auto"/>
          <w:sz w:val="24"/>
          <w:highlight w:val="none"/>
        </w:rPr>
      </w:pPr>
    </w:p>
    <w:p w14:paraId="591B65F8">
      <w:pPr>
        <w:snapToGrid w:val="0"/>
        <w:spacing w:before="120" w:beforeLines="50" w:after="50" w:line="360" w:lineRule="exact"/>
        <w:ind w:firstLine="720" w:firstLineChars="300"/>
        <w:rPr>
          <w:color w:val="auto"/>
          <w:sz w:val="24"/>
          <w:highlight w:val="none"/>
        </w:rPr>
      </w:pPr>
      <w:r>
        <w:rPr>
          <w:rFonts w:hint="eastAsia"/>
          <w:color w:val="auto"/>
          <w:sz w:val="24"/>
          <w:highlight w:val="none"/>
        </w:rPr>
        <w:t xml:space="preserve">项目名称： </w:t>
      </w:r>
    </w:p>
    <w:p w14:paraId="28D2B55C">
      <w:pPr>
        <w:snapToGrid w:val="0"/>
        <w:spacing w:before="120" w:beforeLines="50" w:after="50" w:line="360" w:lineRule="exact"/>
        <w:ind w:firstLine="720" w:firstLineChars="300"/>
        <w:rPr>
          <w:color w:val="auto"/>
          <w:sz w:val="24"/>
          <w:highlight w:val="none"/>
        </w:rPr>
      </w:pPr>
      <w:r>
        <w:rPr>
          <w:rFonts w:hint="eastAsia"/>
          <w:color w:val="auto"/>
          <w:sz w:val="24"/>
          <w:highlight w:val="none"/>
        </w:rPr>
        <w:t>项目编号：</w:t>
      </w:r>
    </w:p>
    <w:p w14:paraId="4C7FF439">
      <w:pPr>
        <w:snapToGrid w:val="0"/>
        <w:spacing w:before="120" w:beforeLines="50" w:after="50" w:line="360" w:lineRule="exact"/>
        <w:ind w:firstLine="720" w:firstLineChars="300"/>
        <w:rPr>
          <w:color w:val="auto"/>
          <w:sz w:val="24"/>
          <w:highlight w:val="none"/>
        </w:rPr>
      </w:pPr>
      <w:r>
        <w:rPr>
          <w:rFonts w:hint="eastAsia"/>
          <w:color w:val="auto"/>
          <w:sz w:val="24"/>
          <w:highlight w:val="none"/>
        </w:rPr>
        <w:t>分标号：（若无留空或写</w:t>
      </w:r>
      <w:r>
        <w:rPr>
          <w:color w:val="auto"/>
          <w:sz w:val="24"/>
          <w:highlight w:val="none"/>
        </w:rPr>
        <w:t>“/”</w:t>
      </w:r>
      <w:r>
        <w:rPr>
          <w:rFonts w:hint="eastAsia"/>
          <w:color w:val="auto"/>
          <w:sz w:val="24"/>
          <w:highlight w:val="none"/>
        </w:rPr>
        <w:t>）</w:t>
      </w:r>
    </w:p>
    <w:p w14:paraId="7409F90D">
      <w:pPr>
        <w:snapToGrid w:val="0"/>
        <w:spacing w:before="120" w:beforeLines="50" w:after="50" w:line="360" w:lineRule="exact"/>
        <w:ind w:firstLine="720" w:firstLineChars="300"/>
        <w:rPr>
          <w:color w:val="auto"/>
          <w:sz w:val="24"/>
          <w:highlight w:val="none"/>
        </w:rPr>
      </w:pPr>
      <w:r>
        <w:rPr>
          <w:rFonts w:hint="eastAsia"/>
          <w:color w:val="auto"/>
          <w:sz w:val="24"/>
          <w:highlight w:val="none"/>
        </w:rPr>
        <w:t>供应商名称：</w:t>
      </w:r>
    </w:p>
    <w:p w14:paraId="44E7074D">
      <w:pPr>
        <w:snapToGrid w:val="0"/>
        <w:spacing w:before="120" w:beforeLines="50" w:after="50" w:line="360" w:lineRule="exact"/>
        <w:ind w:firstLine="720" w:firstLineChars="300"/>
        <w:rPr>
          <w:color w:val="auto"/>
          <w:sz w:val="24"/>
          <w:highlight w:val="none"/>
        </w:rPr>
      </w:pPr>
      <w:r>
        <w:rPr>
          <w:rFonts w:hint="eastAsia"/>
          <w:color w:val="auto"/>
          <w:sz w:val="24"/>
          <w:highlight w:val="none"/>
        </w:rPr>
        <w:t>供应商地址：</w:t>
      </w:r>
    </w:p>
    <w:p w14:paraId="27617C1F">
      <w:pPr>
        <w:snapToGrid w:val="0"/>
        <w:spacing w:before="120" w:beforeLines="50" w:after="50" w:line="360" w:lineRule="exact"/>
        <w:ind w:firstLine="2160" w:firstLineChars="900"/>
        <w:rPr>
          <w:color w:val="auto"/>
          <w:sz w:val="24"/>
          <w:highlight w:val="none"/>
        </w:rPr>
      </w:pPr>
      <w:r>
        <w:rPr>
          <w:rFonts w:hint="eastAsia"/>
          <w:color w:val="auto"/>
          <w:sz w:val="24"/>
          <w:highlight w:val="none"/>
        </w:rPr>
        <w:t xml:space="preserve">                        年  月  日</w:t>
      </w:r>
    </w:p>
    <w:p w14:paraId="59F75682">
      <w:pPr>
        <w:snapToGrid w:val="0"/>
        <w:spacing w:before="120" w:beforeLines="50" w:after="50" w:line="360" w:lineRule="exact"/>
        <w:ind w:firstLine="720" w:firstLineChars="300"/>
        <w:rPr>
          <w:color w:val="auto"/>
          <w:sz w:val="24"/>
          <w:highlight w:val="none"/>
        </w:rPr>
      </w:pPr>
    </w:p>
    <w:p w14:paraId="4E500B06">
      <w:pPr>
        <w:snapToGrid w:val="0"/>
        <w:spacing w:before="120" w:beforeLines="50" w:after="50" w:line="440" w:lineRule="exact"/>
        <w:jc w:val="center"/>
        <w:outlineLvl w:val="1"/>
        <w:rPr>
          <w:bCs/>
          <w:color w:val="auto"/>
          <w:sz w:val="24"/>
          <w:highlight w:val="none"/>
        </w:rPr>
        <w:sectPr>
          <w:pgSz w:w="11906" w:h="16838"/>
          <w:pgMar w:top="1418" w:right="1274" w:bottom="1418" w:left="1418" w:header="851" w:footer="992" w:gutter="0"/>
          <w:cols w:space="720" w:num="1"/>
          <w:docGrid w:linePitch="312" w:charSpace="0"/>
        </w:sectPr>
      </w:pPr>
    </w:p>
    <w:p w14:paraId="4DD20BD7">
      <w:pPr>
        <w:snapToGrid w:val="0"/>
        <w:spacing w:before="120" w:beforeLines="50" w:after="50" w:line="440" w:lineRule="exact"/>
        <w:jc w:val="center"/>
        <w:rPr>
          <w:bCs/>
          <w:color w:val="auto"/>
          <w:sz w:val="24"/>
          <w:highlight w:val="none"/>
        </w:rPr>
      </w:pPr>
      <w:r>
        <w:rPr>
          <w:bCs/>
          <w:color w:val="auto"/>
          <w:sz w:val="24"/>
          <w:highlight w:val="none"/>
        </w:rPr>
        <w:t>第三部分 报价文件</w:t>
      </w:r>
    </w:p>
    <w:p w14:paraId="6F14E974">
      <w:pPr>
        <w:jc w:val="center"/>
        <w:rPr>
          <w:b/>
          <w:bCs/>
          <w:color w:val="auto"/>
          <w:szCs w:val="21"/>
          <w:highlight w:val="none"/>
        </w:rPr>
      </w:pPr>
    </w:p>
    <w:p w14:paraId="1070D385">
      <w:pPr>
        <w:rPr>
          <w:b/>
          <w:color w:val="auto"/>
          <w:szCs w:val="21"/>
          <w:highlight w:val="none"/>
        </w:rPr>
      </w:pPr>
      <w:bookmarkStart w:id="127" w:name="_Hlk21624060"/>
      <w:r>
        <w:rPr>
          <w:b/>
          <w:color w:val="auto"/>
          <w:szCs w:val="21"/>
          <w:highlight w:val="none"/>
        </w:rPr>
        <w:t>1．响应函格式：</w:t>
      </w:r>
    </w:p>
    <w:p w14:paraId="18504AC5">
      <w:pPr>
        <w:rPr>
          <w:b/>
          <w:color w:val="auto"/>
          <w:szCs w:val="21"/>
          <w:highlight w:val="none"/>
        </w:rPr>
      </w:pPr>
    </w:p>
    <w:p w14:paraId="6BCA15ED">
      <w:pPr>
        <w:jc w:val="center"/>
        <w:rPr>
          <w:b/>
          <w:color w:val="auto"/>
          <w:szCs w:val="21"/>
          <w:highlight w:val="none"/>
        </w:rPr>
      </w:pPr>
      <w:r>
        <w:rPr>
          <w:b/>
          <w:color w:val="auto"/>
          <w:szCs w:val="21"/>
          <w:highlight w:val="none"/>
        </w:rPr>
        <w:t>响 应 函</w:t>
      </w:r>
    </w:p>
    <w:p w14:paraId="6D5A84AC">
      <w:pPr>
        <w:rPr>
          <w:b/>
          <w:color w:val="auto"/>
          <w:szCs w:val="21"/>
          <w:highlight w:val="none"/>
        </w:rPr>
      </w:pPr>
    </w:p>
    <w:p w14:paraId="669C154A">
      <w:pPr>
        <w:spacing w:line="360" w:lineRule="auto"/>
        <w:rPr>
          <w:color w:val="auto"/>
          <w:szCs w:val="21"/>
          <w:highlight w:val="none"/>
        </w:rPr>
      </w:pPr>
      <w:r>
        <w:rPr>
          <w:color w:val="auto"/>
          <w:szCs w:val="21"/>
          <w:highlight w:val="none"/>
        </w:rPr>
        <w:t>致：_</w:t>
      </w:r>
      <w:r>
        <w:rPr>
          <w:i/>
          <w:iCs/>
          <w:color w:val="auto"/>
          <w:szCs w:val="21"/>
          <w:highlight w:val="none"/>
          <w:u w:val="single"/>
        </w:rPr>
        <w:t>（采购</w:t>
      </w:r>
      <w:r>
        <w:rPr>
          <w:rFonts w:hint="eastAsia"/>
          <w:i/>
          <w:iCs/>
          <w:color w:val="auto"/>
          <w:szCs w:val="21"/>
          <w:highlight w:val="none"/>
          <w:u w:val="single"/>
        </w:rPr>
        <w:t>人</w:t>
      </w:r>
      <w:r>
        <w:rPr>
          <w:i/>
          <w:iCs/>
          <w:color w:val="auto"/>
          <w:szCs w:val="21"/>
          <w:highlight w:val="none"/>
          <w:u w:val="single"/>
        </w:rPr>
        <w:t>名称）</w:t>
      </w:r>
      <w:r>
        <w:rPr>
          <w:i/>
          <w:iCs/>
          <w:color w:val="auto"/>
          <w:szCs w:val="21"/>
          <w:highlight w:val="none"/>
        </w:rPr>
        <w:t>_</w:t>
      </w:r>
    </w:p>
    <w:p w14:paraId="7B4F441B">
      <w:pPr>
        <w:spacing w:line="360" w:lineRule="auto"/>
        <w:ind w:firstLine="420" w:firstLineChars="200"/>
        <w:rPr>
          <w:color w:val="auto"/>
          <w:szCs w:val="21"/>
          <w:highlight w:val="none"/>
        </w:rPr>
      </w:pPr>
      <w:r>
        <w:rPr>
          <w:color w:val="auto"/>
          <w:szCs w:val="21"/>
          <w:highlight w:val="none"/>
        </w:rPr>
        <w:t>我方已仔细研究了</w:t>
      </w:r>
      <w:r>
        <w:rPr>
          <w:rFonts w:hint="eastAsia"/>
          <w:i/>
          <w:iCs/>
          <w:color w:val="auto"/>
          <w:szCs w:val="21"/>
          <w:highlight w:val="none"/>
          <w:u w:val="single"/>
        </w:rPr>
        <w:t>（项目名称）</w:t>
      </w:r>
      <w:r>
        <w:rPr>
          <w:color w:val="auto"/>
          <w:szCs w:val="21"/>
          <w:highlight w:val="none"/>
        </w:rPr>
        <w:t>的</w:t>
      </w:r>
      <w:r>
        <w:rPr>
          <w:rFonts w:hint="eastAsia"/>
          <w:color w:val="auto"/>
          <w:szCs w:val="21"/>
          <w:highlight w:val="none"/>
        </w:rPr>
        <w:t>采购文件</w:t>
      </w:r>
      <w:r>
        <w:rPr>
          <w:color w:val="auto"/>
          <w:szCs w:val="21"/>
          <w:highlight w:val="none"/>
        </w:rPr>
        <w:t>的全部内容</w:t>
      </w:r>
      <w:r>
        <w:rPr>
          <w:rFonts w:hint="eastAsia"/>
          <w:color w:val="auto"/>
          <w:szCs w:val="21"/>
          <w:highlight w:val="none"/>
        </w:rPr>
        <w:t>，</w:t>
      </w:r>
      <w:r>
        <w:rPr>
          <w:color w:val="auto"/>
          <w:szCs w:val="21"/>
          <w:highlight w:val="none"/>
        </w:rPr>
        <w:t>签字代表</w:t>
      </w:r>
      <w:r>
        <w:rPr>
          <w:rFonts w:hint="eastAsia"/>
          <w:i/>
          <w:iCs/>
          <w:color w:val="auto"/>
          <w:szCs w:val="21"/>
          <w:highlight w:val="none"/>
          <w:u w:val="single"/>
        </w:rPr>
        <w:t>（授权代表姓名）</w:t>
      </w:r>
      <w:r>
        <w:rPr>
          <w:color w:val="auto"/>
          <w:szCs w:val="21"/>
          <w:highlight w:val="none"/>
        </w:rPr>
        <w:t>经正式授权并代表供应商</w:t>
      </w:r>
      <w:r>
        <w:rPr>
          <w:color w:val="auto"/>
          <w:szCs w:val="21"/>
          <w:highlight w:val="none"/>
          <w:u w:val="single"/>
        </w:rPr>
        <w:t xml:space="preserve"> </w:t>
      </w:r>
      <w:r>
        <w:rPr>
          <w:i/>
          <w:iCs/>
          <w:color w:val="auto"/>
          <w:szCs w:val="21"/>
          <w:highlight w:val="none"/>
          <w:u w:val="single"/>
        </w:rPr>
        <w:t>（供应商名称）</w:t>
      </w:r>
      <w:r>
        <w:rPr>
          <w:rFonts w:hint="eastAsia"/>
          <w:i/>
          <w:iCs/>
          <w:color w:val="auto"/>
          <w:szCs w:val="21"/>
          <w:highlight w:val="none"/>
          <w:u w:val="single"/>
        </w:rPr>
        <w:t xml:space="preserve"> </w:t>
      </w:r>
      <w:r>
        <w:rPr>
          <w:color w:val="auto"/>
          <w:szCs w:val="21"/>
          <w:highlight w:val="none"/>
        </w:rPr>
        <w:t>提交响应文件。</w:t>
      </w:r>
    </w:p>
    <w:p w14:paraId="00FC7F6C">
      <w:pPr>
        <w:spacing w:line="360" w:lineRule="auto"/>
        <w:ind w:firstLine="420" w:firstLineChars="200"/>
        <w:rPr>
          <w:color w:val="auto"/>
          <w:szCs w:val="21"/>
          <w:highlight w:val="none"/>
        </w:rPr>
      </w:pPr>
      <w:r>
        <w:rPr>
          <w:color w:val="auto"/>
          <w:szCs w:val="21"/>
          <w:highlight w:val="none"/>
        </w:rPr>
        <w:t>据此函，签字代表宣布同意如下：</w:t>
      </w:r>
    </w:p>
    <w:p w14:paraId="48F39F77">
      <w:pPr>
        <w:spacing w:line="360" w:lineRule="auto"/>
        <w:rPr>
          <w:color w:val="auto"/>
          <w:szCs w:val="21"/>
          <w:highlight w:val="none"/>
        </w:rPr>
      </w:pPr>
      <w:r>
        <w:rPr>
          <w:color w:val="auto"/>
          <w:szCs w:val="21"/>
          <w:highlight w:val="none"/>
        </w:rPr>
        <w:t>（1）供应商已详细审查全部“采购文件”，包括修改文件（如有的话）以及全部参考资料和有关附件，已经了解我方对于采购文件、采购过程、采购结果有依法进行询问、质疑、投诉的权利及相关渠道和要求。</w:t>
      </w:r>
    </w:p>
    <w:p w14:paraId="536951B8">
      <w:pPr>
        <w:spacing w:line="360" w:lineRule="auto"/>
        <w:rPr>
          <w:color w:val="auto"/>
          <w:szCs w:val="21"/>
          <w:highlight w:val="none"/>
        </w:rPr>
      </w:pPr>
      <w:r>
        <w:rPr>
          <w:color w:val="auto"/>
          <w:szCs w:val="21"/>
          <w:highlight w:val="none"/>
        </w:rPr>
        <w:t>（2）供应商在响应之前已经与贵方进行了充分的沟通，完全理解并接受采购文件的各项规定和要求，对采购文件的合理性、合法性不再有异议。</w:t>
      </w:r>
    </w:p>
    <w:p w14:paraId="6F39CD49">
      <w:pPr>
        <w:spacing w:line="360" w:lineRule="auto"/>
        <w:rPr>
          <w:color w:val="auto"/>
          <w:szCs w:val="21"/>
          <w:highlight w:val="none"/>
        </w:rPr>
      </w:pPr>
      <w:r>
        <w:rPr>
          <w:rFonts w:hint="eastAsia"/>
          <w:color w:val="auto"/>
          <w:szCs w:val="21"/>
          <w:highlight w:val="none"/>
        </w:rPr>
        <w:t>（3）我方承诺本响应有效期为第三章供应商须知规定的期限。</w:t>
      </w:r>
    </w:p>
    <w:p w14:paraId="120CFC4A">
      <w:pPr>
        <w:spacing w:line="360" w:lineRule="auto"/>
        <w:rPr>
          <w:color w:val="auto"/>
          <w:szCs w:val="21"/>
          <w:highlight w:val="none"/>
        </w:rPr>
      </w:pPr>
      <w:r>
        <w:rPr>
          <w:color w:val="auto"/>
          <w:szCs w:val="21"/>
          <w:highlight w:val="none"/>
        </w:rPr>
        <w:t>（4）如成交，本响应文件至本项目合同履行完毕止均保持有效，本供应商将按“采购文件”及政府采购法律、法规的规定履行合同责任和义务</w:t>
      </w:r>
      <w:r>
        <w:rPr>
          <w:rFonts w:hint="eastAsia"/>
          <w:color w:val="auto"/>
          <w:szCs w:val="21"/>
          <w:highlight w:val="none"/>
        </w:rPr>
        <w:t>，并承诺</w:t>
      </w:r>
      <w:r>
        <w:rPr>
          <w:color w:val="auto"/>
          <w:szCs w:val="21"/>
          <w:highlight w:val="none"/>
        </w:rPr>
        <w:t>不分包及转包他人。</w:t>
      </w:r>
    </w:p>
    <w:p w14:paraId="15A514BA">
      <w:pPr>
        <w:spacing w:line="360" w:lineRule="auto"/>
        <w:rPr>
          <w:color w:val="auto"/>
          <w:szCs w:val="21"/>
          <w:highlight w:val="none"/>
        </w:rPr>
      </w:pPr>
      <w:r>
        <w:rPr>
          <w:color w:val="auto"/>
          <w:szCs w:val="21"/>
          <w:highlight w:val="none"/>
        </w:rPr>
        <w:t>（5）供应商同意按照贵方要求提供与谈判有关的一切数据或资料。</w:t>
      </w:r>
    </w:p>
    <w:p w14:paraId="7F897E5B">
      <w:pPr>
        <w:spacing w:line="360" w:lineRule="auto"/>
        <w:rPr>
          <w:color w:val="auto"/>
          <w:szCs w:val="21"/>
          <w:highlight w:val="none"/>
        </w:rPr>
      </w:pPr>
      <w:r>
        <w:rPr>
          <w:color w:val="auto"/>
          <w:szCs w:val="21"/>
          <w:highlight w:val="none"/>
        </w:rPr>
        <w:t>（6）与本项目有关的一切正式往来信函请寄：</w:t>
      </w:r>
    </w:p>
    <w:p w14:paraId="194D1AFC">
      <w:pPr>
        <w:spacing w:line="360" w:lineRule="auto"/>
        <w:rPr>
          <w:color w:val="auto"/>
          <w:szCs w:val="21"/>
          <w:highlight w:val="none"/>
        </w:rPr>
      </w:pPr>
      <w:r>
        <w:rPr>
          <w:color w:val="auto"/>
          <w:szCs w:val="21"/>
          <w:highlight w:val="none"/>
        </w:rPr>
        <w:t>地址：</w:t>
      </w:r>
      <w:r>
        <w:rPr>
          <w:color w:val="auto"/>
          <w:szCs w:val="21"/>
          <w:highlight w:val="none"/>
          <w:u w:val="single"/>
        </w:rPr>
        <w:t xml:space="preserve">                      </w:t>
      </w:r>
      <w:r>
        <w:rPr>
          <w:color w:val="auto"/>
          <w:szCs w:val="21"/>
          <w:highlight w:val="none"/>
        </w:rPr>
        <w:t>邮编：</w:t>
      </w:r>
      <w:r>
        <w:rPr>
          <w:color w:val="auto"/>
          <w:szCs w:val="21"/>
          <w:highlight w:val="none"/>
          <w:u w:val="single"/>
        </w:rPr>
        <w:t xml:space="preserve">         </w:t>
      </w:r>
      <w:r>
        <w:rPr>
          <w:color w:val="auto"/>
          <w:szCs w:val="21"/>
          <w:highlight w:val="none"/>
        </w:rPr>
        <w:t xml:space="preserve">  电话：</w:t>
      </w:r>
      <w:r>
        <w:rPr>
          <w:color w:val="auto"/>
          <w:szCs w:val="21"/>
          <w:highlight w:val="none"/>
          <w:u w:val="single"/>
        </w:rPr>
        <w:t xml:space="preserve">            </w:t>
      </w:r>
    </w:p>
    <w:p w14:paraId="4B76A27C">
      <w:pPr>
        <w:spacing w:line="360" w:lineRule="auto"/>
        <w:rPr>
          <w:color w:val="auto"/>
          <w:szCs w:val="21"/>
          <w:highlight w:val="none"/>
        </w:rPr>
      </w:pPr>
      <w:r>
        <w:rPr>
          <w:color w:val="auto"/>
          <w:szCs w:val="21"/>
          <w:highlight w:val="none"/>
        </w:rPr>
        <w:t>传真：</w:t>
      </w:r>
      <w:r>
        <w:rPr>
          <w:color w:val="auto"/>
          <w:szCs w:val="21"/>
          <w:highlight w:val="none"/>
          <w:u w:val="single"/>
        </w:rPr>
        <w:t xml:space="preserve">           </w:t>
      </w:r>
      <w:r>
        <w:rPr>
          <w:color w:val="auto"/>
          <w:szCs w:val="21"/>
          <w:highlight w:val="none"/>
        </w:rPr>
        <w:t xml:space="preserve">  </w:t>
      </w:r>
    </w:p>
    <w:p w14:paraId="301BAF6A">
      <w:pPr>
        <w:spacing w:line="360" w:lineRule="auto"/>
        <w:rPr>
          <w:color w:val="auto"/>
          <w:szCs w:val="21"/>
          <w:highlight w:val="none"/>
          <w:u w:val="single"/>
        </w:rPr>
      </w:pPr>
      <w:r>
        <w:rPr>
          <w:color w:val="auto"/>
          <w:szCs w:val="21"/>
          <w:highlight w:val="none"/>
        </w:rPr>
        <w:t>供应商代表姓名</w:t>
      </w:r>
      <w:r>
        <w:rPr>
          <w:color w:val="auto"/>
          <w:szCs w:val="21"/>
          <w:highlight w:val="none"/>
          <w:u w:val="single"/>
        </w:rPr>
        <w:t xml:space="preserve">         </w:t>
      </w:r>
      <w:r>
        <w:rPr>
          <w:color w:val="auto"/>
          <w:szCs w:val="21"/>
          <w:highlight w:val="none"/>
        </w:rPr>
        <w:t xml:space="preserve">  职务：</w:t>
      </w:r>
      <w:r>
        <w:rPr>
          <w:color w:val="auto"/>
          <w:szCs w:val="21"/>
          <w:highlight w:val="none"/>
          <w:u w:val="single"/>
        </w:rPr>
        <w:t xml:space="preserve">             </w:t>
      </w:r>
      <w:r>
        <w:rPr>
          <w:rFonts w:hint="eastAsia"/>
          <w:color w:val="auto"/>
          <w:szCs w:val="21"/>
          <w:highlight w:val="none"/>
        </w:rPr>
        <w:t>邮箱：</w:t>
      </w:r>
      <w:r>
        <w:rPr>
          <w:rFonts w:hint="eastAsia"/>
          <w:color w:val="auto"/>
          <w:szCs w:val="21"/>
          <w:highlight w:val="none"/>
          <w:u w:val="single"/>
        </w:rPr>
        <w:t xml:space="preserve"> </w:t>
      </w:r>
      <w:r>
        <w:rPr>
          <w:color w:val="auto"/>
          <w:szCs w:val="21"/>
          <w:highlight w:val="none"/>
          <w:u w:val="single"/>
        </w:rPr>
        <w:t xml:space="preserve">             </w:t>
      </w:r>
    </w:p>
    <w:p w14:paraId="4FC9A398">
      <w:pPr>
        <w:spacing w:line="360" w:lineRule="auto"/>
        <w:rPr>
          <w:color w:val="auto"/>
          <w:szCs w:val="21"/>
          <w:highlight w:val="none"/>
          <w:u w:val="single"/>
        </w:rPr>
      </w:pPr>
    </w:p>
    <w:p w14:paraId="4BE70AB2">
      <w:pPr>
        <w:spacing w:line="360" w:lineRule="auto"/>
        <w:rPr>
          <w:color w:val="auto"/>
          <w:szCs w:val="21"/>
          <w:highlight w:val="none"/>
          <w:u w:val="single"/>
        </w:rPr>
      </w:pPr>
    </w:p>
    <w:p w14:paraId="7594A2DB">
      <w:pPr>
        <w:spacing w:line="360" w:lineRule="auto"/>
        <w:rPr>
          <w:color w:val="auto"/>
          <w:szCs w:val="21"/>
          <w:highlight w:val="none"/>
        </w:rPr>
      </w:pPr>
    </w:p>
    <w:p w14:paraId="497590CB">
      <w:pPr>
        <w:spacing w:line="360" w:lineRule="auto"/>
        <w:rPr>
          <w:color w:val="auto"/>
          <w:szCs w:val="21"/>
          <w:highlight w:val="none"/>
          <w:u w:val="single"/>
        </w:rPr>
      </w:pPr>
      <w:bookmarkStart w:id="128" w:name="_Hlk89181776"/>
      <w:r>
        <w:rPr>
          <w:color w:val="auto"/>
          <w:szCs w:val="21"/>
          <w:highlight w:val="none"/>
        </w:rPr>
        <w:t>供应商</w:t>
      </w:r>
      <w:r>
        <w:rPr>
          <w:rFonts w:hint="eastAsia"/>
          <w:color w:val="auto"/>
          <w:szCs w:val="21"/>
          <w:highlight w:val="none"/>
        </w:rPr>
        <w:t>名称(电子签章</w:t>
      </w:r>
      <w:r>
        <w:rPr>
          <w:color w:val="auto"/>
          <w:szCs w:val="21"/>
          <w:highlight w:val="none"/>
        </w:rPr>
        <w:t>)：</w:t>
      </w:r>
      <w:r>
        <w:rPr>
          <w:color w:val="auto"/>
          <w:szCs w:val="21"/>
          <w:highlight w:val="none"/>
          <w:u w:val="single"/>
        </w:rPr>
        <w:t xml:space="preserve">                  </w:t>
      </w:r>
    </w:p>
    <w:bookmarkEnd w:id="128"/>
    <w:p w14:paraId="070C6E41">
      <w:pPr>
        <w:spacing w:line="360" w:lineRule="auto"/>
        <w:rPr>
          <w:color w:val="auto"/>
          <w:szCs w:val="21"/>
          <w:highlight w:val="none"/>
        </w:rPr>
      </w:pPr>
      <w:r>
        <w:rPr>
          <w:color w:val="auto"/>
          <w:szCs w:val="21"/>
          <w:highlight w:val="none"/>
        </w:rPr>
        <w:t xml:space="preserve">       </w:t>
      </w:r>
    </w:p>
    <w:p w14:paraId="13946624">
      <w:pPr>
        <w:spacing w:line="360" w:lineRule="auto"/>
        <w:rPr>
          <w:color w:val="auto"/>
          <w:szCs w:val="21"/>
          <w:highlight w:val="none"/>
        </w:rPr>
      </w:pPr>
    </w:p>
    <w:p w14:paraId="2DD9FB7A">
      <w:pPr>
        <w:spacing w:line="360" w:lineRule="auto"/>
        <w:rPr>
          <w:color w:val="auto"/>
          <w:szCs w:val="21"/>
          <w:highlight w:val="none"/>
        </w:rPr>
      </w:pPr>
      <w:r>
        <w:rPr>
          <w:color w:val="auto"/>
          <w:szCs w:val="21"/>
          <w:highlight w:val="none"/>
        </w:rPr>
        <w:t>日期：</w:t>
      </w:r>
      <w:r>
        <w:rPr>
          <w:color w:val="auto"/>
          <w:szCs w:val="21"/>
          <w:highlight w:val="none"/>
          <w:u w:val="single"/>
        </w:rPr>
        <w:t xml:space="preserve">      </w:t>
      </w:r>
      <w:r>
        <w:rPr>
          <w:color w:val="auto"/>
          <w:szCs w:val="21"/>
          <w:highlight w:val="none"/>
        </w:rPr>
        <w:t>年</w:t>
      </w:r>
      <w:r>
        <w:rPr>
          <w:color w:val="auto"/>
          <w:szCs w:val="21"/>
          <w:highlight w:val="none"/>
          <w:u w:val="single"/>
        </w:rPr>
        <w:t xml:space="preserve">    </w:t>
      </w:r>
      <w:r>
        <w:rPr>
          <w:color w:val="auto"/>
          <w:szCs w:val="21"/>
          <w:highlight w:val="none"/>
        </w:rPr>
        <w:t>月</w:t>
      </w:r>
      <w:r>
        <w:rPr>
          <w:color w:val="auto"/>
          <w:szCs w:val="21"/>
          <w:highlight w:val="none"/>
          <w:u w:val="single"/>
        </w:rPr>
        <w:t xml:space="preserve">   </w:t>
      </w:r>
      <w:r>
        <w:rPr>
          <w:color w:val="auto"/>
          <w:szCs w:val="21"/>
          <w:highlight w:val="none"/>
        </w:rPr>
        <w:t>日</w:t>
      </w:r>
    </w:p>
    <w:p w14:paraId="7AA52DCB">
      <w:pPr>
        <w:rPr>
          <w:b/>
          <w:color w:val="auto"/>
          <w:szCs w:val="21"/>
          <w:highlight w:val="none"/>
        </w:rPr>
      </w:pPr>
      <w:r>
        <w:rPr>
          <w:b/>
          <w:color w:val="auto"/>
          <w:szCs w:val="21"/>
          <w:highlight w:val="none"/>
        </w:rPr>
        <w:br w:type="page"/>
      </w:r>
      <w:bookmarkEnd w:id="127"/>
      <w:r>
        <w:rPr>
          <w:rFonts w:hint="eastAsia"/>
          <w:b/>
          <w:color w:val="auto"/>
          <w:szCs w:val="21"/>
          <w:highlight w:val="none"/>
        </w:rPr>
        <w:t>2.</w:t>
      </w:r>
      <w:r>
        <w:rPr>
          <w:b/>
          <w:color w:val="auto"/>
          <w:szCs w:val="21"/>
          <w:highlight w:val="none"/>
        </w:rPr>
        <w:t>谈判报价明细表格式：</w:t>
      </w:r>
    </w:p>
    <w:p w14:paraId="3A406551">
      <w:pPr>
        <w:jc w:val="center"/>
        <w:rPr>
          <w:b/>
          <w:color w:val="auto"/>
          <w:szCs w:val="21"/>
          <w:highlight w:val="none"/>
        </w:rPr>
      </w:pPr>
      <w:r>
        <w:rPr>
          <w:b/>
          <w:color w:val="auto"/>
          <w:szCs w:val="21"/>
          <w:highlight w:val="none"/>
        </w:rPr>
        <w:t>谈判报价明细表</w:t>
      </w:r>
    </w:p>
    <w:p w14:paraId="76DD7B04">
      <w:pPr>
        <w:ind w:firstLine="2415" w:firstLineChars="1150"/>
        <w:rPr>
          <w:color w:val="auto"/>
          <w:szCs w:val="21"/>
          <w:highlight w:val="none"/>
        </w:rPr>
      </w:pPr>
      <w:r>
        <w:rPr>
          <w:color w:val="auto"/>
          <w:szCs w:val="21"/>
          <w:highlight w:val="none"/>
        </w:rPr>
        <w:t xml:space="preserve">                            金额单位：人民币（元）</w:t>
      </w:r>
    </w:p>
    <w:tbl>
      <w:tblPr>
        <w:tblStyle w:val="51"/>
        <w:tblW w:w="900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40"/>
        <w:gridCol w:w="1620"/>
        <w:gridCol w:w="1080"/>
        <w:gridCol w:w="1440"/>
        <w:gridCol w:w="1620"/>
        <w:gridCol w:w="1260"/>
        <w:gridCol w:w="1440"/>
      </w:tblGrid>
      <w:tr w14:paraId="35B382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1" w:hRule="exact"/>
          <w:jc w:val="center"/>
        </w:trPr>
        <w:tc>
          <w:tcPr>
            <w:tcW w:w="540" w:type="dxa"/>
            <w:tcBorders>
              <w:top w:val="single" w:color="auto" w:sz="4" w:space="0"/>
              <w:left w:val="single" w:color="auto" w:sz="4" w:space="0"/>
              <w:bottom w:val="single" w:color="auto" w:sz="4" w:space="0"/>
              <w:right w:val="single" w:color="auto" w:sz="4" w:space="0"/>
            </w:tcBorders>
            <w:vAlign w:val="center"/>
          </w:tcPr>
          <w:p w14:paraId="5630D96F">
            <w:pPr>
              <w:jc w:val="center"/>
              <w:rPr>
                <w:color w:val="auto"/>
                <w:spacing w:val="20"/>
                <w:szCs w:val="21"/>
                <w:highlight w:val="none"/>
              </w:rPr>
            </w:pPr>
            <w:r>
              <w:rPr>
                <w:color w:val="auto"/>
                <w:szCs w:val="21"/>
                <w:highlight w:val="none"/>
              </w:rPr>
              <w:t>序号</w:t>
            </w:r>
          </w:p>
        </w:tc>
        <w:tc>
          <w:tcPr>
            <w:tcW w:w="1620" w:type="dxa"/>
            <w:tcBorders>
              <w:top w:val="single" w:color="auto" w:sz="4" w:space="0"/>
              <w:left w:val="single" w:color="auto" w:sz="4" w:space="0"/>
              <w:bottom w:val="single" w:color="auto" w:sz="4" w:space="0"/>
              <w:right w:val="single" w:color="auto" w:sz="4" w:space="0"/>
            </w:tcBorders>
            <w:vAlign w:val="center"/>
          </w:tcPr>
          <w:p w14:paraId="3B6837D3">
            <w:pPr>
              <w:jc w:val="center"/>
              <w:rPr>
                <w:color w:val="auto"/>
                <w:szCs w:val="21"/>
                <w:highlight w:val="none"/>
              </w:rPr>
            </w:pPr>
            <w:r>
              <w:rPr>
                <w:color w:val="auto"/>
                <w:szCs w:val="21"/>
                <w:highlight w:val="none"/>
              </w:rPr>
              <w:t>产品或服务名称</w:t>
            </w:r>
          </w:p>
        </w:tc>
        <w:tc>
          <w:tcPr>
            <w:tcW w:w="1080" w:type="dxa"/>
            <w:tcBorders>
              <w:top w:val="single" w:color="auto" w:sz="4" w:space="0"/>
              <w:left w:val="single" w:color="auto" w:sz="4" w:space="0"/>
              <w:bottom w:val="single" w:color="auto" w:sz="4" w:space="0"/>
              <w:right w:val="single" w:color="auto" w:sz="4" w:space="0"/>
            </w:tcBorders>
            <w:vAlign w:val="center"/>
          </w:tcPr>
          <w:p w14:paraId="03E74796">
            <w:pPr>
              <w:jc w:val="center"/>
              <w:rPr>
                <w:color w:val="auto"/>
                <w:szCs w:val="21"/>
                <w:highlight w:val="none"/>
              </w:rPr>
            </w:pPr>
            <w:r>
              <w:rPr>
                <w:color w:val="auto"/>
                <w:szCs w:val="21"/>
                <w:highlight w:val="none"/>
              </w:rPr>
              <w:t>制造商或服务商</w:t>
            </w:r>
          </w:p>
        </w:tc>
        <w:tc>
          <w:tcPr>
            <w:tcW w:w="1440" w:type="dxa"/>
            <w:tcBorders>
              <w:top w:val="single" w:color="auto" w:sz="4" w:space="0"/>
              <w:left w:val="single" w:color="auto" w:sz="4" w:space="0"/>
              <w:bottom w:val="single" w:color="auto" w:sz="4" w:space="0"/>
              <w:right w:val="single" w:color="auto" w:sz="4" w:space="0"/>
            </w:tcBorders>
            <w:vAlign w:val="center"/>
          </w:tcPr>
          <w:p w14:paraId="4AA46339">
            <w:pPr>
              <w:jc w:val="center"/>
              <w:rPr>
                <w:color w:val="auto"/>
                <w:szCs w:val="21"/>
                <w:highlight w:val="none"/>
              </w:rPr>
            </w:pPr>
            <w:r>
              <w:rPr>
                <w:color w:val="auto"/>
                <w:szCs w:val="21"/>
                <w:highlight w:val="none"/>
              </w:rPr>
              <w:t>规格型号</w:t>
            </w:r>
          </w:p>
        </w:tc>
        <w:tc>
          <w:tcPr>
            <w:tcW w:w="1620" w:type="dxa"/>
            <w:tcBorders>
              <w:top w:val="single" w:color="auto" w:sz="4" w:space="0"/>
              <w:left w:val="single" w:color="auto" w:sz="4" w:space="0"/>
              <w:bottom w:val="single" w:color="auto" w:sz="4" w:space="0"/>
              <w:right w:val="single" w:color="auto" w:sz="4" w:space="0"/>
            </w:tcBorders>
            <w:vAlign w:val="center"/>
          </w:tcPr>
          <w:p w14:paraId="321F7100">
            <w:pPr>
              <w:jc w:val="center"/>
              <w:rPr>
                <w:color w:val="auto"/>
                <w:szCs w:val="21"/>
                <w:highlight w:val="none"/>
              </w:rPr>
            </w:pPr>
            <w:r>
              <w:rPr>
                <w:color w:val="auto"/>
                <w:szCs w:val="21"/>
                <w:highlight w:val="none"/>
              </w:rPr>
              <w:t>单位及数量</w:t>
            </w:r>
          </w:p>
        </w:tc>
        <w:tc>
          <w:tcPr>
            <w:tcW w:w="1260" w:type="dxa"/>
            <w:tcBorders>
              <w:top w:val="single" w:color="auto" w:sz="4" w:space="0"/>
              <w:left w:val="single" w:color="auto" w:sz="4" w:space="0"/>
              <w:bottom w:val="single" w:color="auto" w:sz="4" w:space="0"/>
              <w:right w:val="single" w:color="auto" w:sz="4" w:space="0"/>
            </w:tcBorders>
            <w:vAlign w:val="center"/>
          </w:tcPr>
          <w:p w14:paraId="68DF5E1B">
            <w:pPr>
              <w:jc w:val="center"/>
              <w:rPr>
                <w:color w:val="auto"/>
                <w:szCs w:val="21"/>
                <w:highlight w:val="none"/>
              </w:rPr>
            </w:pPr>
            <w:r>
              <w:rPr>
                <w:color w:val="auto"/>
                <w:szCs w:val="21"/>
                <w:highlight w:val="none"/>
              </w:rPr>
              <w:t>单价</w:t>
            </w:r>
          </w:p>
        </w:tc>
        <w:tc>
          <w:tcPr>
            <w:tcW w:w="1440" w:type="dxa"/>
            <w:tcBorders>
              <w:top w:val="single" w:color="auto" w:sz="4" w:space="0"/>
              <w:left w:val="single" w:color="auto" w:sz="4" w:space="0"/>
              <w:bottom w:val="single" w:color="auto" w:sz="4" w:space="0"/>
              <w:right w:val="single" w:color="auto" w:sz="4" w:space="0"/>
            </w:tcBorders>
            <w:vAlign w:val="center"/>
          </w:tcPr>
          <w:p w14:paraId="25BA03E8">
            <w:pPr>
              <w:jc w:val="center"/>
              <w:rPr>
                <w:color w:val="auto"/>
                <w:szCs w:val="21"/>
                <w:highlight w:val="none"/>
              </w:rPr>
            </w:pPr>
            <w:r>
              <w:rPr>
                <w:rFonts w:hint="eastAsia"/>
                <w:color w:val="auto"/>
                <w:szCs w:val="21"/>
                <w:highlight w:val="none"/>
              </w:rPr>
              <w:t>合计</w:t>
            </w:r>
          </w:p>
        </w:tc>
      </w:tr>
      <w:tr w14:paraId="247BDF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1" w:hRule="exact"/>
          <w:jc w:val="center"/>
        </w:trPr>
        <w:tc>
          <w:tcPr>
            <w:tcW w:w="540" w:type="dxa"/>
            <w:tcBorders>
              <w:top w:val="single" w:color="auto" w:sz="4" w:space="0"/>
              <w:left w:val="single" w:color="auto" w:sz="4" w:space="0"/>
              <w:bottom w:val="single" w:color="auto" w:sz="4" w:space="0"/>
              <w:right w:val="single" w:color="auto" w:sz="4" w:space="0"/>
            </w:tcBorders>
            <w:vAlign w:val="center"/>
          </w:tcPr>
          <w:p w14:paraId="3A04E366">
            <w:pPr>
              <w:jc w:val="center"/>
              <w:rPr>
                <w:color w:val="auto"/>
                <w:spacing w:val="20"/>
                <w:szCs w:val="21"/>
                <w:highlight w:val="none"/>
              </w:rPr>
            </w:pPr>
          </w:p>
        </w:tc>
        <w:tc>
          <w:tcPr>
            <w:tcW w:w="1620" w:type="dxa"/>
            <w:tcBorders>
              <w:top w:val="single" w:color="auto" w:sz="4" w:space="0"/>
              <w:left w:val="single" w:color="auto" w:sz="4" w:space="0"/>
              <w:bottom w:val="single" w:color="auto" w:sz="4" w:space="0"/>
              <w:right w:val="single" w:color="auto" w:sz="4" w:space="0"/>
            </w:tcBorders>
            <w:vAlign w:val="center"/>
          </w:tcPr>
          <w:p w14:paraId="05F635D3">
            <w:pPr>
              <w:jc w:val="center"/>
              <w:rPr>
                <w:color w:val="auto"/>
                <w:spacing w:val="20"/>
                <w:szCs w:val="21"/>
                <w:highlight w:val="none"/>
              </w:rPr>
            </w:pPr>
          </w:p>
        </w:tc>
        <w:tc>
          <w:tcPr>
            <w:tcW w:w="1080" w:type="dxa"/>
            <w:tcBorders>
              <w:top w:val="single" w:color="auto" w:sz="4" w:space="0"/>
              <w:left w:val="single" w:color="auto" w:sz="4" w:space="0"/>
              <w:bottom w:val="single" w:color="auto" w:sz="4" w:space="0"/>
              <w:right w:val="single" w:color="auto" w:sz="4" w:space="0"/>
            </w:tcBorders>
            <w:vAlign w:val="center"/>
          </w:tcPr>
          <w:p w14:paraId="53D082D2">
            <w:pPr>
              <w:jc w:val="center"/>
              <w:rPr>
                <w:color w:val="auto"/>
                <w:spacing w:val="20"/>
                <w:szCs w:val="21"/>
                <w:highlight w:val="none"/>
              </w:rPr>
            </w:pPr>
          </w:p>
        </w:tc>
        <w:tc>
          <w:tcPr>
            <w:tcW w:w="1440" w:type="dxa"/>
            <w:tcBorders>
              <w:top w:val="single" w:color="auto" w:sz="4" w:space="0"/>
              <w:left w:val="single" w:color="auto" w:sz="4" w:space="0"/>
              <w:bottom w:val="single" w:color="auto" w:sz="4" w:space="0"/>
              <w:right w:val="single" w:color="auto" w:sz="4" w:space="0"/>
            </w:tcBorders>
            <w:vAlign w:val="center"/>
          </w:tcPr>
          <w:p w14:paraId="250E8EFC">
            <w:pPr>
              <w:jc w:val="center"/>
              <w:rPr>
                <w:color w:val="auto"/>
                <w:spacing w:val="20"/>
                <w:szCs w:val="21"/>
                <w:highlight w:val="none"/>
              </w:rPr>
            </w:pPr>
          </w:p>
        </w:tc>
        <w:tc>
          <w:tcPr>
            <w:tcW w:w="1620" w:type="dxa"/>
            <w:tcBorders>
              <w:top w:val="single" w:color="auto" w:sz="4" w:space="0"/>
              <w:left w:val="single" w:color="auto" w:sz="4" w:space="0"/>
              <w:bottom w:val="single" w:color="auto" w:sz="4" w:space="0"/>
              <w:right w:val="single" w:color="auto" w:sz="4" w:space="0"/>
            </w:tcBorders>
            <w:vAlign w:val="center"/>
          </w:tcPr>
          <w:p w14:paraId="7725C01B">
            <w:pPr>
              <w:jc w:val="center"/>
              <w:rPr>
                <w:color w:val="auto"/>
                <w:spacing w:val="20"/>
                <w:szCs w:val="21"/>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19C2E3D4">
            <w:pPr>
              <w:jc w:val="center"/>
              <w:rPr>
                <w:color w:val="auto"/>
                <w:spacing w:val="20"/>
                <w:szCs w:val="21"/>
                <w:highlight w:val="none"/>
              </w:rPr>
            </w:pPr>
          </w:p>
        </w:tc>
        <w:tc>
          <w:tcPr>
            <w:tcW w:w="1440" w:type="dxa"/>
            <w:tcBorders>
              <w:top w:val="single" w:color="auto" w:sz="4" w:space="0"/>
              <w:left w:val="single" w:color="auto" w:sz="4" w:space="0"/>
              <w:bottom w:val="single" w:color="auto" w:sz="4" w:space="0"/>
              <w:right w:val="single" w:color="auto" w:sz="4" w:space="0"/>
            </w:tcBorders>
            <w:vAlign w:val="center"/>
          </w:tcPr>
          <w:p w14:paraId="1E9CC5AB">
            <w:pPr>
              <w:jc w:val="center"/>
              <w:rPr>
                <w:color w:val="auto"/>
                <w:spacing w:val="20"/>
                <w:szCs w:val="21"/>
                <w:highlight w:val="none"/>
              </w:rPr>
            </w:pPr>
          </w:p>
        </w:tc>
      </w:tr>
      <w:tr w14:paraId="28C615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1" w:hRule="exact"/>
          <w:jc w:val="center"/>
        </w:trPr>
        <w:tc>
          <w:tcPr>
            <w:tcW w:w="540" w:type="dxa"/>
            <w:tcBorders>
              <w:top w:val="single" w:color="auto" w:sz="4" w:space="0"/>
              <w:left w:val="single" w:color="auto" w:sz="4" w:space="0"/>
              <w:bottom w:val="single" w:color="auto" w:sz="4" w:space="0"/>
              <w:right w:val="single" w:color="auto" w:sz="4" w:space="0"/>
            </w:tcBorders>
            <w:vAlign w:val="center"/>
          </w:tcPr>
          <w:p w14:paraId="340453BB">
            <w:pPr>
              <w:jc w:val="center"/>
              <w:rPr>
                <w:color w:val="auto"/>
                <w:spacing w:val="20"/>
                <w:szCs w:val="21"/>
                <w:highlight w:val="none"/>
              </w:rPr>
            </w:pPr>
          </w:p>
        </w:tc>
        <w:tc>
          <w:tcPr>
            <w:tcW w:w="1620" w:type="dxa"/>
            <w:tcBorders>
              <w:top w:val="single" w:color="auto" w:sz="4" w:space="0"/>
              <w:left w:val="single" w:color="auto" w:sz="4" w:space="0"/>
              <w:bottom w:val="single" w:color="auto" w:sz="4" w:space="0"/>
              <w:right w:val="single" w:color="auto" w:sz="4" w:space="0"/>
            </w:tcBorders>
            <w:vAlign w:val="center"/>
          </w:tcPr>
          <w:p w14:paraId="5AD0986A">
            <w:pPr>
              <w:jc w:val="center"/>
              <w:rPr>
                <w:color w:val="auto"/>
                <w:spacing w:val="20"/>
                <w:szCs w:val="21"/>
                <w:highlight w:val="none"/>
              </w:rPr>
            </w:pPr>
          </w:p>
        </w:tc>
        <w:tc>
          <w:tcPr>
            <w:tcW w:w="1080" w:type="dxa"/>
            <w:tcBorders>
              <w:top w:val="single" w:color="auto" w:sz="4" w:space="0"/>
              <w:left w:val="single" w:color="auto" w:sz="4" w:space="0"/>
              <w:bottom w:val="single" w:color="auto" w:sz="4" w:space="0"/>
              <w:right w:val="single" w:color="auto" w:sz="4" w:space="0"/>
            </w:tcBorders>
            <w:vAlign w:val="center"/>
          </w:tcPr>
          <w:p w14:paraId="74E6D2A5">
            <w:pPr>
              <w:jc w:val="center"/>
              <w:rPr>
                <w:color w:val="auto"/>
                <w:spacing w:val="20"/>
                <w:szCs w:val="21"/>
                <w:highlight w:val="none"/>
              </w:rPr>
            </w:pPr>
          </w:p>
        </w:tc>
        <w:tc>
          <w:tcPr>
            <w:tcW w:w="1440" w:type="dxa"/>
            <w:tcBorders>
              <w:top w:val="single" w:color="auto" w:sz="4" w:space="0"/>
              <w:left w:val="single" w:color="auto" w:sz="4" w:space="0"/>
              <w:bottom w:val="single" w:color="auto" w:sz="4" w:space="0"/>
              <w:right w:val="single" w:color="auto" w:sz="4" w:space="0"/>
            </w:tcBorders>
            <w:vAlign w:val="center"/>
          </w:tcPr>
          <w:p w14:paraId="15C713C0">
            <w:pPr>
              <w:jc w:val="center"/>
              <w:rPr>
                <w:color w:val="auto"/>
                <w:spacing w:val="20"/>
                <w:szCs w:val="21"/>
                <w:highlight w:val="none"/>
              </w:rPr>
            </w:pPr>
          </w:p>
        </w:tc>
        <w:tc>
          <w:tcPr>
            <w:tcW w:w="1620" w:type="dxa"/>
            <w:tcBorders>
              <w:top w:val="single" w:color="auto" w:sz="4" w:space="0"/>
              <w:left w:val="single" w:color="auto" w:sz="4" w:space="0"/>
              <w:bottom w:val="single" w:color="auto" w:sz="4" w:space="0"/>
              <w:right w:val="single" w:color="auto" w:sz="4" w:space="0"/>
            </w:tcBorders>
            <w:vAlign w:val="center"/>
          </w:tcPr>
          <w:p w14:paraId="379BAF99">
            <w:pPr>
              <w:jc w:val="center"/>
              <w:rPr>
                <w:color w:val="auto"/>
                <w:spacing w:val="20"/>
                <w:szCs w:val="21"/>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6751B3DF">
            <w:pPr>
              <w:jc w:val="center"/>
              <w:rPr>
                <w:color w:val="auto"/>
                <w:spacing w:val="20"/>
                <w:szCs w:val="21"/>
                <w:highlight w:val="none"/>
              </w:rPr>
            </w:pPr>
          </w:p>
        </w:tc>
        <w:tc>
          <w:tcPr>
            <w:tcW w:w="1440" w:type="dxa"/>
            <w:tcBorders>
              <w:top w:val="single" w:color="auto" w:sz="4" w:space="0"/>
              <w:left w:val="single" w:color="auto" w:sz="4" w:space="0"/>
              <w:bottom w:val="single" w:color="auto" w:sz="4" w:space="0"/>
              <w:right w:val="single" w:color="auto" w:sz="4" w:space="0"/>
            </w:tcBorders>
            <w:vAlign w:val="center"/>
          </w:tcPr>
          <w:p w14:paraId="28B4CD2D">
            <w:pPr>
              <w:jc w:val="center"/>
              <w:rPr>
                <w:color w:val="auto"/>
                <w:spacing w:val="20"/>
                <w:szCs w:val="21"/>
                <w:highlight w:val="none"/>
              </w:rPr>
            </w:pPr>
          </w:p>
        </w:tc>
      </w:tr>
      <w:tr w14:paraId="3B2A44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1" w:hRule="exact"/>
          <w:jc w:val="center"/>
        </w:trPr>
        <w:tc>
          <w:tcPr>
            <w:tcW w:w="540" w:type="dxa"/>
            <w:tcBorders>
              <w:top w:val="single" w:color="auto" w:sz="4" w:space="0"/>
              <w:left w:val="single" w:color="auto" w:sz="4" w:space="0"/>
              <w:bottom w:val="single" w:color="auto" w:sz="4" w:space="0"/>
              <w:right w:val="single" w:color="auto" w:sz="4" w:space="0"/>
            </w:tcBorders>
            <w:vAlign w:val="center"/>
          </w:tcPr>
          <w:p w14:paraId="5AB7D16A">
            <w:pPr>
              <w:jc w:val="center"/>
              <w:rPr>
                <w:color w:val="auto"/>
                <w:spacing w:val="20"/>
                <w:szCs w:val="21"/>
                <w:highlight w:val="none"/>
              </w:rPr>
            </w:pPr>
          </w:p>
        </w:tc>
        <w:tc>
          <w:tcPr>
            <w:tcW w:w="1620" w:type="dxa"/>
            <w:tcBorders>
              <w:top w:val="single" w:color="auto" w:sz="4" w:space="0"/>
              <w:left w:val="single" w:color="auto" w:sz="4" w:space="0"/>
              <w:bottom w:val="single" w:color="auto" w:sz="4" w:space="0"/>
              <w:right w:val="single" w:color="auto" w:sz="4" w:space="0"/>
            </w:tcBorders>
            <w:vAlign w:val="center"/>
          </w:tcPr>
          <w:p w14:paraId="01A77BEB">
            <w:pPr>
              <w:jc w:val="center"/>
              <w:rPr>
                <w:color w:val="auto"/>
                <w:spacing w:val="20"/>
                <w:szCs w:val="21"/>
                <w:highlight w:val="none"/>
              </w:rPr>
            </w:pPr>
            <w:r>
              <w:rPr>
                <w:color w:val="auto"/>
                <w:spacing w:val="20"/>
                <w:szCs w:val="21"/>
                <w:highlight w:val="none"/>
              </w:rPr>
              <w:t>……</w:t>
            </w:r>
          </w:p>
        </w:tc>
        <w:tc>
          <w:tcPr>
            <w:tcW w:w="1080" w:type="dxa"/>
            <w:tcBorders>
              <w:top w:val="single" w:color="auto" w:sz="4" w:space="0"/>
              <w:left w:val="single" w:color="auto" w:sz="4" w:space="0"/>
              <w:bottom w:val="single" w:color="auto" w:sz="4" w:space="0"/>
              <w:right w:val="single" w:color="auto" w:sz="4" w:space="0"/>
            </w:tcBorders>
            <w:vAlign w:val="center"/>
          </w:tcPr>
          <w:p w14:paraId="2649F18E">
            <w:pPr>
              <w:jc w:val="center"/>
              <w:rPr>
                <w:color w:val="auto"/>
                <w:spacing w:val="20"/>
                <w:szCs w:val="21"/>
                <w:highlight w:val="none"/>
              </w:rPr>
            </w:pPr>
          </w:p>
        </w:tc>
        <w:tc>
          <w:tcPr>
            <w:tcW w:w="1440" w:type="dxa"/>
            <w:tcBorders>
              <w:top w:val="single" w:color="auto" w:sz="4" w:space="0"/>
              <w:left w:val="single" w:color="auto" w:sz="4" w:space="0"/>
              <w:bottom w:val="single" w:color="auto" w:sz="4" w:space="0"/>
              <w:right w:val="single" w:color="auto" w:sz="4" w:space="0"/>
            </w:tcBorders>
            <w:vAlign w:val="center"/>
          </w:tcPr>
          <w:p w14:paraId="24CDD69D">
            <w:pPr>
              <w:jc w:val="center"/>
              <w:rPr>
                <w:color w:val="auto"/>
                <w:spacing w:val="20"/>
                <w:szCs w:val="21"/>
                <w:highlight w:val="none"/>
              </w:rPr>
            </w:pPr>
          </w:p>
        </w:tc>
        <w:tc>
          <w:tcPr>
            <w:tcW w:w="1620" w:type="dxa"/>
            <w:tcBorders>
              <w:top w:val="single" w:color="auto" w:sz="4" w:space="0"/>
              <w:left w:val="single" w:color="auto" w:sz="4" w:space="0"/>
              <w:bottom w:val="single" w:color="auto" w:sz="4" w:space="0"/>
              <w:right w:val="single" w:color="auto" w:sz="4" w:space="0"/>
            </w:tcBorders>
            <w:vAlign w:val="center"/>
          </w:tcPr>
          <w:p w14:paraId="45B9C433">
            <w:pPr>
              <w:jc w:val="center"/>
              <w:rPr>
                <w:color w:val="auto"/>
                <w:spacing w:val="20"/>
                <w:szCs w:val="21"/>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14E4F7B5">
            <w:pPr>
              <w:jc w:val="center"/>
              <w:rPr>
                <w:color w:val="auto"/>
                <w:spacing w:val="20"/>
                <w:szCs w:val="21"/>
                <w:highlight w:val="none"/>
              </w:rPr>
            </w:pPr>
          </w:p>
        </w:tc>
        <w:tc>
          <w:tcPr>
            <w:tcW w:w="1440" w:type="dxa"/>
            <w:tcBorders>
              <w:top w:val="single" w:color="auto" w:sz="4" w:space="0"/>
              <w:left w:val="single" w:color="auto" w:sz="4" w:space="0"/>
              <w:bottom w:val="single" w:color="auto" w:sz="4" w:space="0"/>
              <w:right w:val="single" w:color="auto" w:sz="4" w:space="0"/>
            </w:tcBorders>
            <w:vAlign w:val="center"/>
          </w:tcPr>
          <w:p w14:paraId="2936F7BA">
            <w:pPr>
              <w:jc w:val="center"/>
              <w:rPr>
                <w:color w:val="auto"/>
                <w:spacing w:val="20"/>
                <w:szCs w:val="21"/>
                <w:highlight w:val="none"/>
              </w:rPr>
            </w:pPr>
          </w:p>
        </w:tc>
      </w:tr>
    </w:tbl>
    <w:p w14:paraId="7BEA6332">
      <w:pPr>
        <w:rPr>
          <w:color w:val="auto"/>
          <w:spacing w:val="20"/>
          <w:szCs w:val="21"/>
          <w:highlight w:val="none"/>
          <w:u w:val="single"/>
        </w:rPr>
      </w:pPr>
    </w:p>
    <w:p w14:paraId="1C743A99">
      <w:pPr>
        <w:spacing w:line="360" w:lineRule="auto"/>
        <w:rPr>
          <w:color w:val="auto"/>
          <w:spacing w:val="20"/>
          <w:szCs w:val="21"/>
          <w:highlight w:val="none"/>
        </w:rPr>
      </w:pPr>
      <w:bookmarkStart w:id="129" w:name="_Hlk89181787"/>
    </w:p>
    <w:p w14:paraId="68F02DC0">
      <w:pPr>
        <w:pStyle w:val="17"/>
        <w:rPr>
          <w:color w:val="auto"/>
          <w:highlight w:val="none"/>
        </w:rPr>
      </w:pPr>
      <w:r>
        <w:rPr>
          <w:color w:val="auto"/>
          <w:szCs w:val="21"/>
          <w:highlight w:val="none"/>
        </w:rPr>
        <w:t>注：</w:t>
      </w:r>
      <w:r>
        <w:rPr>
          <w:rFonts w:hint="eastAsia"/>
          <w:color w:val="auto"/>
          <w:szCs w:val="21"/>
          <w:highlight w:val="none"/>
        </w:rPr>
        <w:t>本表如</w:t>
      </w:r>
      <w:r>
        <w:rPr>
          <w:rFonts w:hint="eastAsia"/>
          <w:color w:val="auto"/>
          <w:highlight w:val="none"/>
        </w:rPr>
        <w:t>与广西政府采购云平台不一致的，以广西政府采购云平台为准。</w:t>
      </w:r>
    </w:p>
    <w:p w14:paraId="0EE77215">
      <w:pPr>
        <w:jc w:val="left"/>
        <w:rPr>
          <w:color w:val="auto"/>
          <w:szCs w:val="21"/>
          <w:highlight w:val="none"/>
        </w:rPr>
      </w:pPr>
    </w:p>
    <w:p w14:paraId="6F1DED9E">
      <w:pPr>
        <w:spacing w:line="360" w:lineRule="auto"/>
        <w:rPr>
          <w:color w:val="auto"/>
          <w:spacing w:val="20"/>
          <w:szCs w:val="21"/>
          <w:highlight w:val="none"/>
        </w:rPr>
      </w:pPr>
    </w:p>
    <w:p w14:paraId="0FCC94F4">
      <w:pPr>
        <w:spacing w:line="360" w:lineRule="auto"/>
        <w:rPr>
          <w:color w:val="auto"/>
          <w:szCs w:val="21"/>
          <w:highlight w:val="none"/>
        </w:rPr>
      </w:pPr>
      <w:r>
        <w:rPr>
          <w:color w:val="auto"/>
          <w:szCs w:val="21"/>
          <w:highlight w:val="none"/>
        </w:rPr>
        <w:t>供应商名称（</w:t>
      </w:r>
      <w:r>
        <w:rPr>
          <w:rFonts w:hint="eastAsia"/>
          <w:color w:val="auto"/>
          <w:szCs w:val="21"/>
          <w:highlight w:val="none"/>
        </w:rPr>
        <w:t>电子签章</w:t>
      </w:r>
      <w:r>
        <w:rPr>
          <w:color w:val="auto"/>
          <w:szCs w:val="21"/>
          <w:highlight w:val="none"/>
        </w:rPr>
        <w:t>）：</w:t>
      </w:r>
      <w:r>
        <w:rPr>
          <w:color w:val="auto"/>
          <w:szCs w:val="21"/>
          <w:highlight w:val="none"/>
          <w:u w:val="single"/>
        </w:rPr>
        <w:t xml:space="preserve">                          </w:t>
      </w:r>
    </w:p>
    <w:p w14:paraId="17EF889C">
      <w:pPr>
        <w:spacing w:line="360" w:lineRule="auto"/>
        <w:rPr>
          <w:color w:val="auto"/>
          <w:spacing w:val="20"/>
          <w:szCs w:val="21"/>
          <w:highlight w:val="none"/>
          <w:u w:val="single"/>
        </w:rPr>
      </w:pPr>
      <w:r>
        <w:rPr>
          <w:color w:val="auto"/>
          <w:szCs w:val="21"/>
          <w:highlight w:val="none"/>
        </w:rPr>
        <w:t>日  期：</w:t>
      </w:r>
      <w:r>
        <w:rPr>
          <w:color w:val="auto"/>
          <w:szCs w:val="21"/>
          <w:highlight w:val="none"/>
          <w:u w:val="single"/>
        </w:rPr>
        <w:t xml:space="preserve">         </w:t>
      </w:r>
      <w:r>
        <w:rPr>
          <w:color w:val="auto"/>
          <w:szCs w:val="21"/>
          <w:highlight w:val="none"/>
        </w:rPr>
        <w:t>年</w:t>
      </w:r>
      <w:r>
        <w:rPr>
          <w:color w:val="auto"/>
          <w:szCs w:val="21"/>
          <w:highlight w:val="none"/>
          <w:u w:val="single"/>
        </w:rPr>
        <w:t xml:space="preserve">   </w:t>
      </w:r>
      <w:r>
        <w:rPr>
          <w:color w:val="auto"/>
          <w:szCs w:val="21"/>
          <w:highlight w:val="none"/>
        </w:rPr>
        <w:t>月</w:t>
      </w:r>
      <w:r>
        <w:rPr>
          <w:color w:val="auto"/>
          <w:szCs w:val="21"/>
          <w:highlight w:val="none"/>
          <w:u w:val="single"/>
        </w:rPr>
        <w:t xml:space="preserve">   </w:t>
      </w:r>
      <w:r>
        <w:rPr>
          <w:color w:val="auto"/>
          <w:szCs w:val="21"/>
          <w:highlight w:val="none"/>
        </w:rPr>
        <w:t xml:space="preserve">日 </w:t>
      </w:r>
    </w:p>
    <w:bookmarkEnd w:id="129"/>
    <w:p w14:paraId="55C0A316">
      <w:pPr>
        <w:snapToGrid w:val="0"/>
        <w:spacing w:before="50" w:after="120" w:afterLines="50"/>
        <w:jc w:val="left"/>
        <w:rPr>
          <w:color w:val="auto"/>
          <w:szCs w:val="21"/>
          <w:highlight w:val="none"/>
        </w:rPr>
      </w:pPr>
    </w:p>
    <w:p w14:paraId="03843244">
      <w:pPr>
        <w:snapToGrid w:val="0"/>
        <w:spacing w:before="120" w:beforeLines="50" w:after="50" w:line="440" w:lineRule="exact"/>
        <w:jc w:val="left"/>
        <w:outlineLvl w:val="1"/>
        <w:rPr>
          <w:color w:val="auto"/>
          <w:szCs w:val="21"/>
          <w:highlight w:val="none"/>
        </w:rPr>
        <w:sectPr>
          <w:pgSz w:w="11906" w:h="16838"/>
          <w:pgMar w:top="1418" w:right="1274" w:bottom="1418" w:left="1418" w:header="851" w:footer="992" w:gutter="0"/>
          <w:cols w:space="720" w:num="1"/>
          <w:docGrid w:linePitch="312" w:charSpace="0"/>
        </w:sectPr>
      </w:pPr>
    </w:p>
    <w:p w14:paraId="4A7A92B9">
      <w:pPr>
        <w:snapToGrid w:val="0"/>
        <w:spacing w:before="50" w:after="120" w:afterLines="50"/>
        <w:jc w:val="left"/>
        <w:rPr>
          <w:color w:val="auto"/>
          <w:szCs w:val="21"/>
          <w:highlight w:val="none"/>
        </w:rPr>
      </w:pPr>
      <w:r>
        <w:rPr>
          <w:rFonts w:hint="eastAsia"/>
          <w:color w:val="auto"/>
          <w:szCs w:val="21"/>
          <w:highlight w:val="none"/>
        </w:rPr>
        <w:t>3.</w:t>
      </w:r>
      <w:r>
        <w:rPr>
          <w:color w:val="auto"/>
          <w:szCs w:val="21"/>
          <w:highlight w:val="none"/>
        </w:rPr>
        <w:t>过低报价合理性的说明。（如有）</w:t>
      </w:r>
    </w:p>
    <w:p w14:paraId="78F7920F">
      <w:pPr>
        <w:spacing w:line="360" w:lineRule="auto"/>
        <w:ind w:firstLine="420" w:firstLineChars="200"/>
        <w:rPr>
          <w:color w:val="auto"/>
          <w:szCs w:val="21"/>
          <w:highlight w:val="none"/>
        </w:rPr>
      </w:pPr>
      <w:bookmarkStart w:id="130" w:name="_Hlk21624143"/>
      <w:r>
        <w:rPr>
          <w:color w:val="auto"/>
          <w:szCs w:val="21"/>
          <w:highlight w:val="none"/>
        </w:rPr>
        <w:t>评审委员会认为的报价</w:t>
      </w:r>
      <w:r>
        <w:rPr>
          <w:rFonts w:hint="eastAsia"/>
          <w:color w:val="auto"/>
          <w:szCs w:val="21"/>
          <w:highlight w:val="none"/>
        </w:rPr>
        <w:t>存在异常低价问题的情形</w:t>
      </w:r>
      <w:r>
        <w:rPr>
          <w:color w:val="auto"/>
          <w:szCs w:val="21"/>
          <w:highlight w:val="none"/>
        </w:rPr>
        <w:t>，供应商将被要求以书面方式提供</w:t>
      </w:r>
      <w:r>
        <w:rPr>
          <w:rFonts w:hint="eastAsia"/>
          <w:color w:val="auto"/>
          <w:szCs w:val="21"/>
          <w:highlight w:val="none"/>
        </w:rPr>
        <w:t>项目具体成本测算等与报价合理性相关的书面说明及必要的证明材料</w:t>
      </w:r>
      <w:r>
        <w:rPr>
          <w:color w:val="auto"/>
          <w:szCs w:val="21"/>
          <w:highlight w:val="none"/>
        </w:rPr>
        <w:t>。为避免在评审现场因未能及时提供说明而导致被评审委员会作为无效</w:t>
      </w:r>
      <w:r>
        <w:rPr>
          <w:rFonts w:hint="eastAsia"/>
          <w:color w:val="auto"/>
          <w:szCs w:val="21"/>
          <w:highlight w:val="none"/>
        </w:rPr>
        <w:t>响应</w:t>
      </w:r>
      <w:r>
        <w:rPr>
          <w:color w:val="auto"/>
          <w:szCs w:val="21"/>
          <w:highlight w:val="none"/>
        </w:rPr>
        <w:t>，供应商</w:t>
      </w:r>
      <w:r>
        <w:rPr>
          <w:rFonts w:hint="eastAsia"/>
          <w:color w:val="auto"/>
          <w:highlight w:val="none"/>
        </w:rPr>
        <w:t>自行决定是否</w:t>
      </w:r>
      <w:r>
        <w:rPr>
          <w:color w:val="auto"/>
          <w:kern w:val="1"/>
          <w:szCs w:val="21"/>
          <w:highlight w:val="none"/>
        </w:rPr>
        <w:t>直接在</w:t>
      </w:r>
      <w:r>
        <w:rPr>
          <w:color w:val="auto"/>
          <w:szCs w:val="21"/>
          <w:highlight w:val="none"/>
        </w:rPr>
        <w:t>此处</w:t>
      </w:r>
      <w:r>
        <w:rPr>
          <w:rFonts w:hint="eastAsia"/>
          <w:color w:val="auto"/>
          <w:szCs w:val="21"/>
          <w:highlight w:val="none"/>
        </w:rPr>
        <w:t>进行陈述</w:t>
      </w:r>
      <w:r>
        <w:rPr>
          <w:color w:val="auto"/>
          <w:szCs w:val="21"/>
          <w:highlight w:val="none"/>
        </w:rPr>
        <w:t>。格式自拟。</w:t>
      </w:r>
      <w:r>
        <w:rPr>
          <w:rFonts w:hint="eastAsia"/>
          <w:color w:val="auto"/>
          <w:szCs w:val="21"/>
          <w:highlight w:val="none"/>
        </w:rPr>
        <w:t>（</w:t>
      </w:r>
      <w:r>
        <w:rPr>
          <w:rFonts w:hint="eastAsia"/>
          <w:color w:val="auto"/>
          <w:kern w:val="1"/>
          <w:szCs w:val="21"/>
          <w:highlight w:val="none"/>
        </w:rPr>
        <w:t>具体要求详见第四章评审方法及标准“过低报价合理性的审查”</w:t>
      </w:r>
      <w:r>
        <w:rPr>
          <w:rFonts w:hint="eastAsia"/>
          <w:color w:val="auto"/>
          <w:szCs w:val="21"/>
          <w:highlight w:val="none"/>
        </w:rPr>
        <w:t>）</w:t>
      </w:r>
    </w:p>
    <w:p w14:paraId="78D94905">
      <w:pPr>
        <w:pStyle w:val="120"/>
        <w:jc w:val="center"/>
        <w:rPr>
          <w:b/>
          <w:bCs/>
          <w:color w:val="auto"/>
          <w:highlight w:val="none"/>
        </w:rPr>
      </w:pPr>
      <w:bookmarkStart w:id="131" w:name="_Hlk211331823"/>
    </w:p>
    <w:p w14:paraId="3ABB9952">
      <w:pPr>
        <w:pStyle w:val="120"/>
        <w:jc w:val="center"/>
        <w:rPr>
          <w:color w:val="auto"/>
          <w:highlight w:val="none"/>
        </w:rPr>
      </w:pPr>
      <w:r>
        <w:rPr>
          <w:rFonts w:hint="eastAsia"/>
          <w:b/>
          <w:bCs/>
          <w:color w:val="auto"/>
          <w:highlight w:val="none"/>
        </w:rPr>
        <w:t>产品成本测算表（参考格式）</w:t>
      </w:r>
    </w:p>
    <w:p w14:paraId="5ED72081">
      <w:pPr>
        <w:spacing w:line="360" w:lineRule="auto"/>
        <w:rPr>
          <w:color w:val="auto"/>
          <w:highlight w:val="none"/>
        </w:rPr>
      </w:pPr>
    </w:p>
    <w:bookmarkEnd w:id="131"/>
    <w:tbl>
      <w:tblPr>
        <w:tblStyle w:val="51"/>
        <w:tblW w:w="8666"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427"/>
        <w:gridCol w:w="348"/>
        <w:gridCol w:w="660"/>
        <w:gridCol w:w="490"/>
        <w:gridCol w:w="830"/>
        <w:gridCol w:w="1201"/>
        <w:gridCol w:w="972"/>
        <w:gridCol w:w="887"/>
        <w:gridCol w:w="1052"/>
        <w:gridCol w:w="780"/>
        <w:gridCol w:w="1019"/>
      </w:tblGrid>
      <w:tr w14:paraId="47B9869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98" w:hRule="atLeast"/>
          <w:jc w:val="center"/>
        </w:trPr>
        <w:tc>
          <w:tcPr>
            <w:tcW w:w="427" w:type="dxa"/>
            <w:shd w:val="clear" w:color="C3BD96" w:themeColor="background2" w:themeShade="BF" w:fill="auto"/>
            <w:vAlign w:val="center"/>
          </w:tcPr>
          <w:p w14:paraId="605BBA96">
            <w:pPr>
              <w:ind w:left="-105" w:leftChars="-50" w:right="-105" w:rightChars="-50"/>
              <w:jc w:val="center"/>
              <w:rPr>
                <w:rFonts w:cs="宋体"/>
                <w:b/>
                <w:color w:val="auto"/>
                <w:highlight w:val="none"/>
              </w:rPr>
            </w:pPr>
            <w:r>
              <w:rPr>
                <w:rFonts w:hint="eastAsia" w:cs="仿宋_GB2312"/>
                <w:b/>
                <w:color w:val="auto"/>
                <w:highlight w:val="none"/>
              </w:rPr>
              <w:t>序号</w:t>
            </w:r>
          </w:p>
        </w:tc>
        <w:tc>
          <w:tcPr>
            <w:tcW w:w="348" w:type="dxa"/>
            <w:shd w:val="clear" w:color="C3BD96" w:themeColor="background2" w:themeShade="BF" w:fill="auto"/>
            <w:vAlign w:val="center"/>
          </w:tcPr>
          <w:p w14:paraId="3EE77C80">
            <w:pPr>
              <w:spacing w:line="360" w:lineRule="auto"/>
              <w:ind w:left="-48" w:leftChars="-23" w:right="-65" w:rightChars="-31"/>
              <w:jc w:val="center"/>
              <w:rPr>
                <w:rFonts w:cs="宋体"/>
                <w:b/>
                <w:color w:val="auto"/>
                <w:highlight w:val="none"/>
              </w:rPr>
            </w:pPr>
            <w:r>
              <w:rPr>
                <w:rFonts w:hint="eastAsia" w:cs="宋体"/>
                <w:b/>
                <w:color w:val="auto"/>
                <w:highlight w:val="none"/>
              </w:rPr>
              <w:t>名称</w:t>
            </w:r>
          </w:p>
        </w:tc>
        <w:tc>
          <w:tcPr>
            <w:tcW w:w="660" w:type="dxa"/>
            <w:shd w:val="clear" w:color="C3BD96" w:themeColor="background2" w:themeShade="BF" w:fill="auto"/>
            <w:vAlign w:val="center"/>
          </w:tcPr>
          <w:p w14:paraId="13EBAA9F">
            <w:pPr>
              <w:spacing w:line="360" w:lineRule="auto"/>
              <w:ind w:left="-48" w:leftChars="-23" w:right="-65" w:rightChars="-31"/>
              <w:jc w:val="center"/>
              <w:rPr>
                <w:rFonts w:cs="宋体"/>
                <w:b/>
                <w:color w:val="auto"/>
                <w:highlight w:val="none"/>
              </w:rPr>
            </w:pPr>
            <w:r>
              <w:rPr>
                <w:rFonts w:hint="eastAsia"/>
                <w:b/>
                <w:color w:val="auto"/>
                <w:highlight w:val="none"/>
              </w:rPr>
              <w:t>品牌规格型号</w:t>
            </w:r>
          </w:p>
        </w:tc>
        <w:tc>
          <w:tcPr>
            <w:tcW w:w="490" w:type="dxa"/>
            <w:tcBorders>
              <w:left w:val="single" w:color="auto" w:sz="4" w:space="0"/>
            </w:tcBorders>
            <w:shd w:val="clear" w:color="C3BD96" w:themeColor="background2" w:themeShade="BF" w:fill="auto"/>
            <w:vAlign w:val="center"/>
          </w:tcPr>
          <w:p w14:paraId="66A8E802">
            <w:pPr>
              <w:spacing w:line="360" w:lineRule="auto"/>
              <w:ind w:left="-48" w:leftChars="-23" w:right="-65" w:rightChars="-31"/>
              <w:jc w:val="center"/>
              <w:rPr>
                <w:rFonts w:cs="宋体"/>
                <w:b/>
                <w:color w:val="auto"/>
                <w:highlight w:val="none"/>
              </w:rPr>
            </w:pPr>
            <w:r>
              <w:rPr>
                <w:rFonts w:hint="eastAsia" w:cs="宋体"/>
                <w:b/>
                <w:color w:val="auto"/>
                <w:highlight w:val="none"/>
              </w:rPr>
              <w:t>单位</w:t>
            </w:r>
          </w:p>
        </w:tc>
        <w:tc>
          <w:tcPr>
            <w:tcW w:w="830" w:type="dxa"/>
            <w:tcBorders>
              <w:right w:val="single" w:color="auto" w:sz="4" w:space="0"/>
            </w:tcBorders>
            <w:shd w:val="clear" w:color="C3BD96" w:themeColor="background2" w:themeShade="BF" w:fill="auto"/>
            <w:vAlign w:val="center"/>
          </w:tcPr>
          <w:p w14:paraId="179CD0A9">
            <w:pPr>
              <w:spacing w:line="360" w:lineRule="auto"/>
              <w:ind w:left="-48" w:leftChars="-23" w:right="-65" w:rightChars="-31"/>
              <w:jc w:val="center"/>
              <w:rPr>
                <w:rFonts w:cs="宋体"/>
                <w:b/>
                <w:color w:val="auto"/>
                <w:highlight w:val="none"/>
              </w:rPr>
            </w:pPr>
            <w:r>
              <w:rPr>
                <w:rFonts w:hint="eastAsia" w:cs="宋体"/>
                <w:b/>
                <w:color w:val="auto"/>
                <w:highlight w:val="none"/>
              </w:rPr>
              <w:t>报价单价（</w:t>
            </w:r>
            <w:r>
              <w:rPr>
                <w:rFonts w:cs="宋体"/>
                <w:b/>
                <w:color w:val="auto"/>
                <w:highlight w:val="none"/>
              </w:rPr>
              <w:t>元）</w:t>
            </w:r>
          </w:p>
        </w:tc>
        <w:tc>
          <w:tcPr>
            <w:tcW w:w="1201" w:type="dxa"/>
            <w:shd w:val="clear" w:color="C3BD96" w:themeColor="background2" w:themeShade="BF" w:fill="auto"/>
            <w:vAlign w:val="center"/>
          </w:tcPr>
          <w:p w14:paraId="2F1993D7">
            <w:pPr>
              <w:spacing w:line="360" w:lineRule="auto"/>
              <w:ind w:left="-48" w:leftChars="-23" w:right="-65" w:rightChars="-31"/>
              <w:jc w:val="center"/>
              <w:rPr>
                <w:rFonts w:cs="宋体"/>
                <w:b/>
                <w:color w:val="auto"/>
                <w:highlight w:val="none"/>
              </w:rPr>
            </w:pPr>
            <w:r>
              <w:rPr>
                <w:rFonts w:hint="eastAsia" w:cs="宋体"/>
                <w:b/>
                <w:color w:val="auto"/>
                <w:highlight w:val="none"/>
              </w:rPr>
              <w:t>成本项目</w:t>
            </w:r>
          </w:p>
          <w:p w14:paraId="18A3FA18">
            <w:pPr>
              <w:spacing w:line="360" w:lineRule="auto"/>
              <w:ind w:right="-65" w:rightChars="-31"/>
              <w:rPr>
                <w:rFonts w:cs="宋体"/>
                <w:b/>
                <w:color w:val="auto"/>
                <w:highlight w:val="none"/>
              </w:rPr>
            </w:pPr>
          </w:p>
        </w:tc>
        <w:tc>
          <w:tcPr>
            <w:tcW w:w="972" w:type="dxa"/>
            <w:shd w:val="clear" w:color="C3BD96" w:themeColor="background2" w:themeShade="BF" w:fill="auto"/>
            <w:vAlign w:val="center"/>
          </w:tcPr>
          <w:p w14:paraId="5F4BD850">
            <w:pPr>
              <w:spacing w:line="360" w:lineRule="auto"/>
              <w:ind w:left="-48" w:leftChars="-23" w:right="-65" w:rightChars="-31"/>
              <w:jc w:val="center"/>
              <w:rPr>
                <w:rFonts w:cs="宋体"/>
                <w:b/>
                <w:color w:val="auto"/>
                <w:highlight w:val="none"/>
              </w:rPr>
            </w:pPr>
            <w:r>
              <w:rPr>
                <w:rFonts w:hint="eastAsia" w:cs="宋体"/>
                <w:b/>
                <w:color w:val="auto"/>
                <w:highlight w:val="none"/>
              </w:rPr>
              <w:t>具体明细</w:t>
            </w:r>
          </w:p>
          <w:p w14:paraId="41E946CB">
            <w:pPr>
              <w:spacing w:line="360" w:lineRule="auto"/>
              <w:ind w:left="-48" w:leftChars="-23" w:right="-65" w:rightChars="-31"/>
              <w:jc w:val="center"/>
              <w:rPr>
                <w:rFonts w:cs="宋体"/>
                <w:b/>
                <w:color w:val="auto"/>
                <w:highlight w:val="none"/>
              </w:rPr>
            </w:pPr>
          </w:p>
        </w:tc>
        <w:tc>
          <w:tcPr>
            <w:tcW w:w="887" w:type="dxa"/>
            <w:shd w:val="clear" w:color="C3BD96" w:themeColor="background2" w:themeShade="BF" w:fill="auto"/>
            <w:vAlign w:val="center"/>
          </w:tcPr>
          <w:p w14:paraId="73A5C72C">
            <w:pPr>
              <w:spacing w:line="360" w:lineRule="auto"/>
              <w:ind w:left="-48" w:leftChars="-23" w:right="-65" w:rightChars="-31"/>
              <w:jc w:val="center"/>
              <w:rPr>
                <w:rFonts w:cs="宋体"/>
                <w:b/>
                <w:color w:val="auto"/>
                <w:highlight w:val="none"/>
              </w:rPr>
            </w:pPr>
            <w:r>
              <w:rPr>
                <w:rFonts w:hint="eastAsia" w:cs="宋体"/>
                <w:b/>
                <w:color w:val="auto"/>
                <w:highlight w:val="none"/>
              </w:rPr>
              <w:t>单位产品用量</w:t>
            </w:r>
          </w:p>
          <w:p w14:paraId="6FE5A655">
            <w:pPr>
              <w:spacing w:line="360" w:lineRule="auto"/>
              <w:ind w:left="-48" w:leftChars="-23" w:right="-65" w:rightChars="-31"/>
              <w:jc w:val="center"/>
              <w:rPr>
                <w:rFonts w:cs="宋体"/>
                <w:b/>
                <w:color w:val="auto"/>
                <w:highlight w:val="none"/>
              </w:rPr>
            </w:pPr>
          </w:p>
        </w:tc>
        <w:tc>
          <w:tcPr>
            <w:tcW w:w="1052" w:type="dxa"/>
            <w:shd w:val="clear" w:color="C3BD96" w:themeColor="background2" w:themeShade="BF" w:fill="auto"/>
            <w:vAlign w:val="center"/>
          </w:tcPr>
          <w:p w14:paraId="75DBC0DA">
            <w:pPr>
              <w:spacing w:line="360" w:lineRule="auto"/>
              <w:ind w:left="-48" w:leftChars="-23" w:right="-65" w:rightChars="-31"/>
              <w:jc w:val="center"/>
              <w:rPr>
                <w:rFonts w:cs="宋体"/>
                <w:b/>
                <w:color w:val="auto"/>
                <w:highlight w:val="none"/>
              </w:rPr>
            </w:pPr>
            <w:r>
              <w:rPr>
                <w:rFonts w:hint="eastAsia" w:cs="宋体"/>
                <w:b/>
                <w:color w:val="auto"/>
                <w:highlight w:val="none"/>
              </w:rPr>
              <w:t>单位成本（元）</w:t>
            </w:r>
          </w:p>
        </w:tc>
        <w:tc>
          <w:tcPr>
            <w:tcW w:w="780" w:type="dxa"/>
            <w:tcBorders>
              <w:left w:val="single" w:color="auto" w:sz="4" w:space="0"/>
            </w:tcBorders>
            <w:shd w:val="clear" w:color="C3BD96" w:themeColor="background2" w:themeShade="BF" w:fill="auto"/>
            <w:vAlign w:val="center"/>
          </w:tcPr>
          <w:p w14:paraId="6527F4A3">
            <w:pPr>
              <w:spacing w:line="360" w:lineRule="auto"/>
              <w:ind w:left="-48" w:leftChars="-23" w:right="-65" w:rightChars="-31"/>
              <w:jc w:val="center"/>
              <w:rPr>
                <w:rFonts w:cs="宋体"/>
                <w:b/>
                <w:color w:val="auto"/>
                <w:highlight w:val="none"/>
              </w:rPr>
            </w:pPr>
            <w:r>
              <w:rPr>
                <w:rFonts w:hint="eastAsia" w:cs="宋体"/>
                <w:b/>
                <w:color w:val="auto"/>
                <w:highlight w:val="none"/>
              </w:rPr>
              <w:t>成本</w:t>
            </w:r>
            <w:r>
              <w:rPr>
                <w:rFonts w:cs="宋体"/>
                <w:b/>
                <w:color w:val="auto"/>
                <w:highlight w:val="none"/>
              </w:rPr>
              <w:t>合计（元）</w:t>
            </w:r>
          </w:p>
        </w:tc>
        <w:tc>
          <w:tcPr>
            <w:tcW w:w="1019" w:type="dxa"/>
            <w:tcBorders>
              <w:left w:val="single" w:color="auto" w:sz="4" w:space="0"/>
            </w:tcBorders>
            <w:shd w:val="clear" w:color="C3BD96" w:themeColor="background2" w:themeShade="BF" w:fill="auto"/>
            <w:vAlign w:val="center"/>
          </w:tcPr>
          <w:p w14:paraId="624AAC9F">
            <w:pPr>
              <w:spacing w:line="360" w:lineRule="auto"/>
              <w:ind w:left="-48" w:leftChars="-23" w:right="-65" w:rightChars="-31"/>
              <w:jc w:val="center"/>
              <w:rPr>
                <w:rFonts w:cs="宋体"/>
                <w:b/>
                <w:color w:val="auto"/>
                <w:highlight w:val="none"/>
              </w:rPr>
            </w:pPr>
            <w:r>
              <w:rPr>
                <w:rFonts w:hint="eastAsia" w:cs="宋体"/>
                <w:b/>
                <w:color w:val="auto"/>
                <w:highlight w:val="none"/>
              </w:rPr>
              <w:t>备注（测算依据/证明材料）</w:t>
            </w:r>
          </w:p>
        </w:tc>
      </w:tr>
      <w:tr w14:paraId="3083347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427" w:type="dxa"/>
            <w:vMerge w:val="restart"/>
            <w:shd w:val="clear" w:color="auto" w:fill="auto"/>
            <w:vAlign w:val="center"/>
          </w:tcPr>
          <w:p w14:paraId="29FE0A71">
            <w:pPr>
              <w:numPr>
                <w:ilvl w:val="0"/>
                <w:numId w:val="4"/>
              </w:numPr>
              <w:tabs>
                <w:tab w:val="left" w:pos="61"/>
              </w:tabs>
              <w:jc w:val="center"/>
              <w:rPr>
                <w:color w:val="auto"/>
                <w:highlight w:val="none"/>
              </w:rPr>
            </w:pPr>
          </w:p>
        </w:tc>
        <w:tc>
          <w:tcPr>
            <w:tcW w:w="348" w:type="dxa"/>
            <w:vMerge w:val="restart"/>
            <w:shd w:val="clear" w:color="auto" w:fill="auto"/>
            <w:vAlign w:val="center"/>
          </w:tcPr>
          <w:p w14:paraId="67E9B5B9">
            <w:pPr>
              <w:tabs>
                <w:tab w:val="left" w:pos="0"/>
                <w:tab w:val="left" w:pos="56"/>
              </w:tabs>
              <w:ind w:left="479" w:hanging="478" w:hangingChars="228"/>
              <w:jc w:val="center"/>
              <w:rPr>
                <w:color w:val="auto"/>
                <w:highlight w:val="none"/>
              </w:rPr>
            </w:pPr>
          </w:p>
        </w:tc>
        <w:tc>
          <w:tcPr>
            <w:tcW w:w="660" w:type="dxa"/>
            <w:vMerge w:val="restart"/>
            <w:shd w:val="clear" w:color="auto" w:fill="auto"/>
            <w:vAlign w:val="center"/>
          </w:tcPr>
          <w:p w14:paraId="4CB768EE">
            <w:pPr>
              <w:spacing w:line="240" w:lineRule="atLeast"/>
              <w:ind w:left="-48" w:leftChars="-23" w:right="-65" w:rightChars="-31"/>
              <w:jc w:val="left"/>
              <w:rPr>
                <w:rFonts w:cs="宋体"/>
                <w:color w:val="auto"/>
                <w:highlight w:val="none"/>
              </w:rPr>
            </w:pPr>
          </w:p>
        </w:tc>
        <w:tc>
          <w:tcPr>
            <w:tcW w:w="490" w:type="dxa"/>
            <w:vMerge w:val="restart"/>
            <w:tcBorders>
              <w:left w:val="single" w:color="auto" w:sz="4" w:space="0"/>
            </w:tcBorders>
            <w:shd w:val="clear" w:color="auto" w:fill="auto"/>
            <w:vAlign w:val="center"/>
          </w:tcPr>
          <w:p w14:paraId="3BDE0A25">
            <w:pPr>
              <w:spacing w:line="240" w:lineRule="atLeast"/>
              <w:ind w:left="-48" w:leftChars="-23" w:right="-65" w:rightChars="-31"/>
              <w:jc w:val="left"/>
              <w:rPr>
                <w:rFonts w:cs="宋体"/>
                <w:color w:val="auto"/>
                <w:highlight w:val="none"/>
              </w:rPr>
            </w:pPr>
          </w:p>
        </w:tc>
        <w:tc>
          <w:tcPr>
            <w:tcW w:w="830" w:type="dxa"/>
            <w:vMerge w:val="restart"/>
            <w:tcBorders>
              <w:left w:val="single" w:color="auto" w:sz="4" w:space="0"/>
              <w:right w:val="single" w:color="auto" w:sz="4" w:space="0"/>
            </w:tcBorders>
            <w:shd w:val="clear" w:color="auto" w:fill="auto"/>
            <w:vAlign w:val="center"/>
          </w:tcPr>
          <w:p w14:paraId="656B2AF4">
            <w:pPr>
              <w:spacing w:line="240" w:lineRule="atLeast"/>
              <w:ind w:left="-48" w:leftChars="-23" w:right="-65" w:rightChars="-31"/>
              <w:jc w:val="left"/>
              <w:rPr>
                <w:rFonts w:cs="宋体"/>
                <w:color w:val="auto"/>
                <w:highlight w:val="none"/>
              </w:rPr>
            </w:pPr>
          </w:p>
        </w:tc>
        <w:tc>
          <w:tcPr>
            <w:tcW w:w="1201" w:type="dxa"/>
            <w:vMerge w:val="restart"/>
            <w:tcBorders>
              <w:left w:val="single" w:color="auto" w:sz="4" w:space="0"/>
              <w:right w:val="single" w:color="auto" w:sz="4" w:space="0"/>
            </w:tcBorders>
            <w:vAlign w:val="center"/>
          </w:tcPr>
          <w:p w14:paraId="7C802F14">
            <w:pPr>
              <w:spacing w:line="240" w:lineRule="atLeast"/>
              <w:ind w:left="-48" w:leftChars="-23" w:right="-65" w:rightChars="-31"/>
              <w:jc w:val="left"/>
              <w:rPr>
                <w:rFonts w:cs="宋体"/>
                <w:color w:val="auto"/>
                <w:highlight w:val="none"/>
              </w:rPr>
            </w:pPr>
            <w:r>
              <w:rPr>
                <w:rFonts w:hint="eastAsia" w:cs="宋体"/>
                <w:color w:val="auto"/>
                <w:highlight w:val="none"/>
              </w:rPr>
              <w:t>原材料成本</w:t>
            </w:r>
          </w:p>
        </w:tc>
        <w:tc>
          <w:tcPr>
            <w:tcW w:w="972" w:type="dxa"/>
            <w:tcBorders>
              <w:left w:val="single" w:color="auto" w:sz="4" w:space="0"/>
            </w:tcBorders>
            <w:shd w:val="clear" w:color="auto" w:fill="auto"/>
            <w:vAlign w:val="center"/>
          </w:tcPr>
          <w:p w14:paraId="069B8B4C">
            <w:pPr>
              <w:spacing w:line="240" w:lineRule="atLeast"/>
              <w:ind w:left="-48" w:leftChars="-23" w:right="-65" w:rightChars="-31"/>
              <w:jc w:val="left"/>
              <w:rPr>
                <w:rFonts w:cs="宋体"/>
                <w:color w:val="auto"/>
                <w:highlight w:val="none"/>
              </w:rPr>
            </w:pPr>
            <w:r>
              <w:rPr>
                <w:rFonts w:cs="宋体"/>
                <w:color w:val="auto"/>
                <w:highlight w:val="none"/>
              </w:rPr>
              <w:t>原材料1</w:t>
            </w:r>
          </w:p>
        </w:tc>
        <w:tc>
          <w:tcPr>
            <w:tcW w:w="887" w:type="dxa"/>
            <w:tcBorders>
              <w:left w:val="single" w:color="auto" w:sz="4" w:space="0"/>
            </w:tcBorders>
            <w:shd w:val="clear" w:color="auto" w:fill="auto"/>
            <w:vAlign w:val="center"/>
          </w:tcPr>
          <w:p w14:paraId="2F68FB79">
            <w:pPr>
              <w:spacing w:line="240" w:lineRule="atLeast"/>
              <w:ind w:left="-48" w:leftChars="-23" w:right="-65" w:rightChars="-31"/>
              <w:jc w:val="left"/>
              <w:rPr>
                <w:rFonts w:cs="宋体"/>
                <w:color w:val="auto"/>
                <w:highlight w:val="none"/>
              </w:rPr>
            </w:pPr>
          </w:p>
        </w:tc>
        <w:tc>
          <w:tcPr>
            <w:tcW w:w="1052" w:type="dxa"/>
            <w:tcBorders>
              <w:left w:val="single" w:color="auto" w:sz="4" w:space="0"/>
            </w:tcBorders>
            <w:shd w:val="clear" w:color="auto" w:fill="auto"/>
            <w:vAlign w:val="center"/>
          </w:tcPr>
          <w:p w14:paraId="3D20FDC8">
            <w:pPr>
              <w:spacing w:line="240" w:lineRule="atLeast"/>
              <w:ind w:left="-48" w:leftChars="-23" w:right="-65" w:rightChars="-31"/>
              <w:jc w:val="left"/>
              <w:rPr>
                <w:rFonts w:cs="宋体"/>
                <w:color w:val="auto"/>
                <w:highlight w:val="none"/>
              </w:rPr>
            </w:pPr>
          </w:p>
        </w:tc>
        <w:tc>
          <w:tcPr>
            <w:tcW w:w="780" w:type="dxa"/>
            <w:vMerge w:val="restart"/>
            <w:tcBorders>
              <w:left w:val="single" w:color="auto" w:sz="4" w:space="0"/>
            </w:tcBorders>
            <w:shd w:val="clear" w:color="auto" w:fill="auto"/>
            <w:vAlign w:val="center"/>
          </w:tcPr>
          <w:p w14:paraId="427DEE84">
            <w:pPr>
              <w:spacing w:line="240" w:lineRule="atLeast"/>
              <w:ind w:left="-48" w:leftChars="-23" w:right="-65" w:rightChars="-31"/>
              <w:jc w:val="left"/>
              <w:rPr>
                <w:rFonts w:cs="宋体"/>
                <w:color w:val="auto"/>
                <w:highlight w:val="none"/>
              </w:rPr>
            </w:pPr>
          </w:p>
        </w:tc>
        <w:tc>
          <w:tcPr>
            <w:tcW w:w="1019" w:type="dxa"/>
            <w:tcBorders>
              <w:left w:val="single" w:color="auto" w:sz="4" w:space="0"/>
            </w:tcBorders>
            <w:shd w:val="clear" w:color="auto" w:fill="auto"/>
            <w:vAlign w:val="center"/>
          </w:tcPr>
          <w:p w14:paraId="221AE79D">
            <w:pPr>
              <w:spacing w:line="240" w:lineRule="atLeast"/>
              <w:ind w:left="-48" w:leftChars="-23" w:right="-65" w:rightChars="-31"/>
              <w:jc w:val="left"/>
              <w:rPr>
                <w:rFonts w:cs="宋体"/>
                <w:color w:val="auto"/>
                <w:highlight w:val="none"/>
              </w:rPr>
            </w:pPr>
          </w:p>
        </w:tc>
      </w:tr>
      <w:tr w14:paraId="09F9A57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427" w:type="dxa"/>
            <w:vMerge w:val="continue"/>
            <w:shd w:val="clear" w:color="auto" w:fill="auto"/>
            <w:vAlign w:val="center"/>
          </w:tcPr>
          <w:p w14:paraId="3DCC417F">
            <w:pPr>
              <w:numPr>
                <w:ilvl w:val="0"/>
                <w:numId w:val="4"/>
              </w:numPr>
              <w:tabs>
                <w:tab w:val="left" w:pos="61"/>
              </w:tabs>
              <w:jc w:val="center"/>
              <w:rPr>
                <w:color w:val="auto"/>
                <w:highlight w:val="none"/>
              </w:rPr>
            </w:pPr>
          </w:p>
        </w:tc>
        <w:tc>
          <w:tcPr>
            <w:tcW w:w="348" w:type="dxa"/>
            <w:vMerge w:val="continue"/>
            <w:shd w:val="clear" w:color="auto" w:fill="auto"/>
            <w:vAlign w:val="center"/>
          </w:tcPr>
          <w:p w14:paraId="423C8565">
            <w:pPr>
              <w:tabs>
                <w:tab w:val="left" w:pos="0"/>
                <w:tab w:val="left" w:pos="56"/>
              </w:tabs>
              <w:ind w:left="479" w:hanging="478" w:hangingChars="228"/>
              <w:jc w:val="center"/>
              <w:rPr>
                <w:color w:val="auto"/>
                <w:highlight w:val="none"/>
              </w:rPr>
            </w:pPr>
          </w:p>
        </w:tc>
        <w:tc>
          <w:tcPr>
            <w:tcW w:w="660" w:type="dxa"/>
            <w:vMerge w:val="continue"/>
            <w:shd w:val="clear" w:color="auto" w:fill="auto"/>
            <w:vAlign w:val="center"/>
          </w:tcPr>
          <w:p w14:paraId="5211A8E2">
            <w:pPr>
              <w:spacing w:line="240" w:lineRule="atLeast"/>
              <w:ind w:left="-48" w:leftChars="-23" w:right="-65" w:rightChars="-31"/>
              <w:jc w:val="left"/>
              <w:rPr>
                <w:rFonts w:cs="宋体"/>
                <w:color w:val="auto"/>
                <w:highlight w:val="none"/>
              </w:rPr>
            </w:pPr>
          </w:p>
        </w:tc>
        <w:tc>
          <w:tcPr>
            <w:tcW w:w="490" w:type="dxa"/>
            <w:vMerge w:val="continue"/>
            <w:tcBorders>
              <w:left w:val="single" w:color="auto" w:sz="4" w:space="0"/>
            </w:tcBorders>
            <w:shd w:val="clear" w:color="auto" w:fill="auto"/>
            <w:vAlign w:val="center"/>
          </w:tcPr>
          <w:p w14:paraId="5442038A">
            <w:pPr>
              <w:spacing w:line="240" w:lineRule="atLeast"/>
              <w:ind w:left="-48" w:leftChars="-23" w:right="-65" w:rightChars="-31"/>
              <w:jc w:val="left"/>
              <w:rPr>
                <w:rFonts w:cs="宋体"/>
                <w:color w:val="auto"/>
                <w:highlight w:val="none"/>
              </w:rPr>
            </w:pPr>
          </w:p>
        </w:tc>
        <w:tc>
          <w:tcPr>
            <w:tcW w:w="830" w:type="dxa"/>
            <w:vMerge w:val="continue"/>
            <w:tcBorders>
              <w:left w:val="single" w:color="auto" w:sz="4" w:space="0"/>
              <w:right w:val="single" w:color="auto" w:sz="4" w:space="0"/>
            </w:tcBorders>
            <w:shd w:val="clear" w:color="auto" w:fill="auto"/>
            <w:vAlign w:val="center"/>
          </w:tcPr>
          <w:p w14:paraId="3AA648B8">
            <w:pPr>
              <w:spacing w:line="240" w:lineRule="atLeast"/>
              <w:ind w:left="-48" w:leftChars="-23" w:right="-65" w:rightChars="-31"/>
              <w:jc w:val="left"/>
              <w:rPr>
                <w:rFonts w:cs="宋体"/>
                <w:color w:val="auto"/>
                <w:highlight w:val="none"/>
              </w:rPr>
            </w:pPr>
          </w:p>
        </w:tc>
        <w:tc>
          <w:tcPr>
            <w:tcW w:w="1201" w:type="dxa"/>
            <w:vMerge w:val="continue"/>
            <w:tcBorders>
              <w:left w:val="single" w:color="auto" w:sz="4" w:space="0"/>
              <w:right w:val="single" w:color="auto" w:sz="4" w:space="0"/>
            </w:tcBorders>
            <w:vAlign w:val="center"/>
          </w:tcPr>
          <w:p w14:paraId="5199A73C">
            <w:pPr>
              <w:spacing w:line="240" w:lineRule="atLeast"/>
              <w:ind w:left="-48" w:leftChars="-23" w:right="-65" w:rightChars="-31"/>
              <w:jc w:val="left"/>
              <w:rPr>
                <w:rFonts w:cs="宋体"/>
                <w:color w:val="auto"/>
                <w:highlight w:val="none"/>
              </w:rPr>
            </w:pPr>
          </w:p>
        </w:tc>
        <w:tc>
          <w:tcPr>
            <w:tcW w:w="972" w:type="dxa"/>
            <w:tcBorders>
              <w:left w:val="single" w:color="auto" w:sz="4" w:space="0"/>
            </w:tcBorders>
            <w:shd w:val="clear" w:color="auto" w:fill="auto"/>
            <w:vAlign w:val="center"/>
          </w:tcPr>
          <w:p w14:paraId="137BE9B3">
            <w:pPr>
              <w:spacing w:line="240" w:lineRule="atLeast"/>
              <w:ind w:left="-48" w:leftChars="-23" w:right="-65" w:rightChars="-31"/>
              <w:jc w:val="left"/>
              <w:rPr>
                <w:rFonts w:cs="宋体"/>
                <w:color w:val="auto"/>
                <w:highlight w:val="none"/>
              </w:rPr>
            </w:pPr>
            <w:r>
              <w:rPr>
                <w:rFonts w:hint="eastAsia" w:cs="宋体"/>
                <w:color w:val="auto"/>
                <w:highlight w:val="none"/>
              </w:rPr>
              <w:t>...</w:t>
            </w:r>
          </w:p>
        </w:tc>
        <w:tc>
          <w:tcPr>
            <w:tcW w:w="887" w:type="dxa"/>
            <w:tcBorders>
              <w:left w:val="single" w:color="auto" w:sz="4" w:space="0"/>
            </w:tcBorders>
            <w:shd w:val="clear" w:color="auto" w:fill="auto"/>
            <w:vAlign w:val="center"/>
          </w:tcPr>
          <w:p w14:paraId="59304D4A">
            <w:pPr>
              <w:spacing w:line="240" w:lineRule="atLeast"/>
              <w:ind w:left="-48" w:leftChars="-23" w:right="-65" w:rightChars="-31"/>
              <w:jc w:val="left"/>
              <w:rPr>
                <w:rFonts w:cs="宋体"/>
                <w:color w:val="auto"/>
                <w:highlight w:val="none"/>
              </w:rPr>
            </w:pPr>
          </w:p>
        </w:tc>
        <w:tc>
          <w:tcPr>
            <w:tcW w:w="1052" w:type="dxa"/>
            <w:tcBorders>
              <w:left w:val="single" w:color="auto" w:sz="4" w:space="0"/>
            </w:tcBorders>
            <w:shd w:val="clear" w:color="auto" w:fill="auto"/>
            <w:vAlign w:val="center"/>
          </w:tcPr>
          <w:p w14:paraId="27E4C746">
            <w:pPr>
              <w:spacing w:line="240" w:lineRule="atLeast"/>
              <w:ind w:left="-48" w:leftChars="-23" w:right="-65" w:rightChars="-31"/>
              <w:jc w:val="left"/>
              <w:rPr>
                <w:rFonts w:cs="宋体"/>
                <w:color w:val="auto"/>
                <w:highlight w:val="none"/>
              </w:rPr>
            </w:pPr>
          </w:p>
        </w:tc>
        <w:tc>
          <w:tcPr>
            <w:tcW w:w="780" w:type="dxa"/>
            <w:vMerge w:val="continue"/>
            <w:tcBorders>
              <w:left w:val="single" w:color="auto" w:sz="4" w:space="0"/>
            </w:tcBorders>
            <w:shd w:val="clear" w:color="auto" w:fill="auto"/>
            <w:vAlign w:val="center"/>
          </w:tcPr>
          <w:p w14:paraId="7DC0F454">
            <w:pPr>
              <w:spacing w:line="240" w:lineRule="atLeast"/>
              <w:ind w:left="-48" w:leftChars="-23" w:right="-65" w:rightChars="-31"/>
              <w:jc w:val="left"/>
              <w:rPr>
                <w:rFonts w:cs="宋体"/>
                <w:color w:val="auto"/>
                <w:highlight w:val="none"/>
              </w:rPr>
            </w:pPr>
          </w:p>
        </w:tc>
        <w:tc>
          <w:tcPr>
            <w:tcW w:w="1019" w:type="dxa"/>
            <w:tcBorders>
              <w:left w:val="single" w:color="auto" w:sz="4" w:space="0"/>
            </w:tcBorders>
            <w:shd w:val="clear" w:color="auto" w:fill="auto"/>
            <w:vAlign w:val="center"/>
          </w:tcPr>
          <w:p w14:paraId="58978782">
            <w:pPr>
              <w:spacing w:line="240" w:lineRule="atLeast"/>
              <w:ind w:left="-48" w:leftChars="-23" w:right="-65" w:rightChars="-31"/>
              <w:jc w:val="left"/>
              <w:rPr>
                <w:rFonts w:cs="宋体"/>
                <w:color w:val="auto"/>
                <w:highlight w:val="none"/>
              </w:rPr>
            </w:pPr>
          </w:p>
        </w:tc>
      </w:tr>
      <w:tr w14:paraId="5D1FF6F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427" w:type="dxa"/>
            <w:vMerge w:val="continue"/>
            <w:shd w:val="clear" w:color="auto" w:fill="auto"/>
            <w:vAlign w:val="center"/>
          </w:tcPr>
          <w:p w14:paraId="77B3C95A">
            <w:pPr>
              <w:tabs>
                <w:tab w:val="left" w:pos="61"/>
              </w:tabs>
              <w:jc w:val="center"/>
              <w:rPr>
                <w:color w:val="auto"/>
                <w:highlight w:val="none"/>
              </w:rPr>
            </w:pPr>
          </w:p>
        </w:tc>
        <w:tc>
          <w:tcPr>
            <w:tcW w:w="348" w:type="dxa"/>
            <w:vMerge w:val="continue"/>
            <w:shd w:val="clear" w:color="auto" w:fill="auto"/>
            <w:vAlign w:val="center"/>
          </w:tcPr>
          <w:p w14:paraId="0668FAB0">
            <w:pPr>
              <w:tabs>
                <w:tab w:val="left" w:pos="0"/>
                <w:tab w:val="left" w:pos="56"/>
              </w:tabs>
              <w:ind w:left="479" w:hanging="478" w:hangingChars="228"/>
              <w:jc w:val="center"/>
              <w:rPr>
                <w:color w:val="auto"/>
                <w:highlight w:val="none"/>
              </w:rPr>
            </w:pPr>
          </w:p>
        </w:tc>
        <w:tc>
          <w:tcPr>
            <w:tcW w:w="660" w:type="dxa"/>
            <w:vMerge w:val="continue"/>
            <w:shd w:val="clear" w:color="auto" w:fill="auto"/>
            <w:vAlign w:val="center"/>
          </w:tcPr>
          <w:p w14:paraId="234EF7BC">
            <w:pPr>
              <w:spacing w:line="240" w:lineRule="atLeast"/>
              <w:ind w:left="-48" w:leftChars="-23" w:right="-65" w:rightChars="-31"/>
              <w:jc w:val="left"/>
              <w:rPr>
                <w:rFonts w:cs="宋体"/>
                <w:color w:val="auto"/>
                <w:highlight w:val="none"/>
              </w:rPr>
            </w:pPr>
          </w:p>
        </w:tc>
        <w:tc>
          <w:tcPr>
            <w:tcW w:w="490" w:type="dxa"/>
            <w:vMerge w:val="continue"/>
            <w:tcBorders>
              <w:left w:val="single" w:color="auto" w:sz="4" w:space="0"/>
            </w:tcBorders>
            <w:shd w:val="clear" w:color="auto" w:fill="auto"/>
            <w:vAlign w:val="center"/>
          </w:tcPr>
          <w:p w14:paraId="601F7318">
            <w:pPr>
              <w:spacing w:line="240" w:lineRule="atLeast"/>
              <w:ind w:left="-48" w:leftChars="-23" w:right="-65" w:rightChars="-31"/>
              <w:jc w:val="left"/>
              <w:rPr>
                <w:rFonts w:cs="宋体"/>
                <w:color w:val="auto"/>
                <w:highlight w:val="none"/>
              </w:rPr>
            </w:pPr>
          </w:p>
        </w:tc>
        <w:tc>
          <w:tcPr>
            <w:tcW w:w="830" w:type="dxa"/>
            <w:vMerge w:val="continue"/>
            <w:tcBorders>
              <w:left w:val="single" w:color="auto" w:sz="4" w:space="0"/>
              <w:right w:val="single" w:color="auto" w:sz="4" w:space="0"/>
            </w:tcBorders>
            <w:shd w:val="clear" w:color="auto" w:fill="auto"/>
            <w:vAlign w:val="center"/>
          </w:tcPr>
          <w:p w14:paraId="3D3683D5">
            <w:pPr>
              <w:spacing w:line="240" w:lineRule="atLeast"/>
              <w:ind w:left="-48" w:leftChars="-23" w:right="-65" w:rightChars="-31"/>
              <w:jc w:val="left"/>
              <w:rPr>
                <w:rFonts w:cs="宋体"/>
                <w:color w:val="auto"/>
                <w:highlight w:val="none"/>
              </w:rPr>
            </w:pPr>
          </w:p>
        </w:tc>
        <w:tc>
          <w:tcPr>
            <w:tcW w:w="1201" w:type="dxa"/>
            <w:vMerge w:val="restart"/>
            <w:tcBorders>
              <w:left w:val="single" w:color="auto" w:sz="4" w:space="0"/>
              <w:right w:val="single" w:color="auto" w:sz="4" w:space="0"/>
            </w:tcBorders>
            <w:vAlign w:val="center"/>
          </w:tcPr>
          <w:p w14:paraId="2F40681A">
            <w:pPr>
              <w:spacing w:line="240" w:lineRule="atLeast"/>
              <w:ind w:left="-48" w:leftChars="-23" w:right="-65" w:rightChars="-31"/>
              <w:jc w:val="left"/>
              <w:rPr>
                <w:rFonts w:cs="宋体"/>
                <w:color w:val="auto"/>
                <w:highlight w:val="none"/>
              </w:rPr>
            </w:pPr>
            <w:r>
              <w:rPr>
                <w:rFonts w:hint="eastAsia" w:cs="宋体"/>
                <w:color w:val="auto"/>
                <w:highlight w:val="none"/>
              </w:rPr>
              <w:t>人工成本</w:t>
            </w:r>
          </w:p>
        </w:tc>
        <w:tc>
          <w:tcPr>
            <w:tcW w:w="972" w:type="dxa"/>
            <w:tcBorders>
              <w:left w:val="single" w:color="auto" w:sz="4" w:space="0"/>
            </w:tcBorders>
            <w:shd w:val="clear" w:color="auto" w:fill="auto"/>
            <w:vAlign w:val="center"/>
          </w:tcPr>
          <w:p w14:paraId="6B79F9A4">
            <w:pPr>
              <w:spacing w:line="240" w:lineRule="atLeast"/>
              <w:ind w:left="-48" w:leftChars="-23" w:right="-65" w:rightChars="-31"/>
              <w:jc w:val="left"/>
              <w:rPr>
                <w:rFonts w:cs="宋体"/>
                <w:color w:val="auto"/>
                <w:highlight w:val="none"/>
              </w:rPr>
            </w:pPr>
            <w:r>
              <w:rPr>
                <w:rFonts w:cs="宋体"/>
                <w:color w:val="auto"/>
                <w:highlight w:val="none"/>
              </w:rPr>
              <w:t>生产工人工资</w:t>
            </w:r>
          </w:p>
        </w:tc>
        <w:tc>
          <w:tcPr>
            <w:tcW w:w="887" w:type="dxa"/>
            <w:tcBorders>
              <w:left w:val="single" w:color="auto" w:sz="4" w:space="0"/>
            </w:tcBorders>
            <w:shd w:val="clear" w:color="auto" w:fill="auto"/>
            <w:vAlign w:val="center"/>
          </w:tcPr>
          <w:p w14:paraId="5E949C4B">
            <w:pPr>
              <w:spacing w:line="240" w:lineRule="atLeast"/>
              <w:ind w:left="-48" w:leftChars="-23" w:right="-65" w:rightChars="-31"/>
              <w:jc w:val="left"/>
              <w:rPr>
                <w:rFonts w:cs="宋体"/>
                <w:color w:val="auto"/>
                <w:highlight w:val="none"/>
              </w:rPr>
            </w:pPr>
          </w:p>
        </w:tc>
        <w:tc>
          <w:tcPr>
            <w:tcW w:w="1052" w:type="dxa"/>
            <w:tcBorders>
              <w:left w:val="single" w:color="auto" w:sz="4" w:space="0"/>
            </w:tcBorders>
            <w:shd w:val="clear" w:color="auto" w:fill="auto"/>
            <w:vAlign w:val="center"/>
          </w:tcPr>
          <w:p w14:paraId="467829FF">
            <w:pPr>
              <w:spacing w:line="240" w:lineRule="atLeast"/>
              <w:ind w:left="-48" w:leftChars="-23" w:right="-65" w:rightChars="-31"/>
              <w:jc w:val="left"/>
              <w:rPr>
                <w:rFonts w:cs="宋体"/>
                <w:color w:val="auto"/>
                <w:highlight w:val="none"/>
              </w:rPr>
            </w:pPr>
          </w:p>
        </w:tc>
        <w:tc>
          <w:tcPr>
            <w:tcW w:w="780" w:type="dxa"/>
            <w:vMerge w:val="continue"/>
            <w:tcBorders>
              <w:left w:val="single" w:color="auto" w:sz="4" w:space="0"/>
            </w:tcBorders>
            <w:shd w:val="clear" w:color="auto" w:fill="auto"/>
            <w:vAlign w:val="center"/>
          </w:tcPr>
          <w:p w14:paraId="490A2527">
            <w:pPr>
              <w:spacing w:line="240" w:lineRule="atLeast"/>
              <w:ind w:left="-48" w:leftChars="-23" w:right="-65" w:rightChars="-31"/>
              <w:jc w:val="left"/>
              <w:rPr>
                <w:rFonts w:cs="宋体"/>
                <w:color w:val="auto"/>
                <w:highlight w:val="none"/>
              </w:rPr>
            </w:pPr>
          </w:p>
        </w:tc>
        <w:tc>
          <w:tcPr>
            <w:tcW w:w="1019" w:type="dxa"/>
            <w:tcBorders>
              <w:left w:val="single" w:color="auto" w:sz="4" w:space="0"/>
            </w:tcBorders>
            <w:shd w:val="clear" w:color="auto" w:fill="auto"/>
            <w:vAlign w:val="center"/>
          </w:tcPr>
          <w:p w14:paraId="17590953">
            <w:pPr>
              <w:spacing w:line="240" w:lineRule="atLeast"/>
              <w:ind w:left="-48" w:leftChars="-23" w:right="-65" w:rightChars="-31"/>
              <w:jc w:val="left"/>
              <w:rPr>
                <w:rFonts w:cs="宋体"/>
                <w:color w:val="auto"/>
                <w:highlight w:val="none"/>
              </w:rPr>
            </w:pPr>
          </w:p>
        </w:tc>
      </w:tr>
      <w:tr w14:paraId="4D06436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427" w:type="dxa"/>
            <w:vMerge w:val="continue"/>
            <w:shd w:val="clear" w:color="auto" w:fill="auto"/>
            <w:vAlign w:val="center"/>
          </w:tcPr>
          <w:p w14:paraId="096D902B">
            <w:pPr>
              <w:tabs>
                <w:tab w:val="left" w:pos="61"/>
              </w:tabs>
              <w:jc w:val="center"/>
              <w:rPr>
                <w:color w:val="auto"/>
                <w:highlight w:val="none"/>
              </w:rPr>
            </w:pPr>
          </w:p>
        </w:tc>
        <w:tc>
          <w:tcPr>
            <w:tcW w:w="348" w:type="dxa"/>
            <w:vMerge w:val="continue"/>
            <w:shd w:val="clear" w:color="auto" w:fill="auto"/>
            <w:vAlign w:val="center"/>
          </w:tcPr>
          <w:p w14:paraId="707FA06D">
            <w:pPr>
              <w:tabs>
                <w:tab w:val="left" w:pos="0"/>
                <w:tab w:val="left" w:pos="56"/>
              </w:tabs>
              <w:ind w:left="479" w:hanging="478" w:hangingChars="228"/>
              <w:jc w:val="center"/>
              <w:rPr>
                <w:color w:val="auto"/>
                <w:highlight w:val="none"/>
              </w:rPr>
            </w:pPr>
          </w:p>
        </w:tc>
        <w:tc>
          <w:tcPr>
            <w:tcW w:w="660" w:type="dxa"/>
            <w:vMerge w:val="continue"/>
            <w:shd w:val="clear" w:color="auto" w:fill="auto"/>
            <w:vAlign w:val="center"/>
          </w:tcPr>
          <w:p w14:paraId="73BD8B94">
            <w:pPr>
              <w:spacing w:line="240" w:lineRule="atLeast"/>
              <w:ind w:left="-48" w:leftChars="-23" w:right="-65" w:rightChars="-31"/>
              <w:jc w:val="left"/>
              <w:rPr>
                <w:rFonts w:cs="宋体"/>
                <w:color w:val="auto"/>
                <w:highlight w:val="none"/>
              </w:rPr>
            </w:pPr>
          </w:p>
        </w:tc>
        <w:tc>
          <w:tcPr>
            <w:tcW w:w="490" w:type="dxa"/>
            <w:vMerge w:val="continue"/>
            <w:tcBorders>
              <w:left w:val="single" w:color="auto" w:sz="4" w:space="0"/>
            </w:tcBorders>
            <w:shd w:val="clear" w:color="auto" w:fill="auto"/>
            <w:vAlign w:val="center"/>
          </w:tcPr>
          <w:p w14:paraId="023AE740">
            <w:pPr>
              <w:spacing w:line="240" w:lineRule="atLeast"/>
              <w:ind w:left="-48" w:leftChars="-23" w:right="-65" w:rightChars="-31"/>
              <w:jc w:val="left"/>
              <w:rPr>
                <w:rFonts w:cs="宋体"/>
                <w:color w:val="auto"/>
                <w:highlight w:val="none"/>
              </w:rPr>
            </w:pPr>
          </w:p>
        </w:tc>
        <w:tc>
          <w:tcPr>
            <w:tcW w:w="830" w:type="dxa"/>
            <w:vMerge w:val="continue"/>
            <w:tcBorders>
              <w:left w:val="single" w:color="auto" w:sz="4" w:space="0"/>
              <w:right w:val="single" w:color="auto" w:sz="4" w:space="0"/>
            </w:tcBorders>
            <w:shd w:val="clear" w:color="auto" w:fill="auto"/>
            <w:vAlign w:val="center"/>
          </w:tcPr>
          <w:p w14:paraId="4077AE54">
            <w:pPr>
              <w:spacing w:line="240" w:lineRule="atLeast"/>
              <w:ind w:left="-48" w:leftChars="-23" w:right="-65" w:rightChars="-31"/>
              <w:jc w:val="left"/>
              <w:rPr>
                <w:rFonts w:cs="宋体"/>
                <w:color w:val="auto"/>
                <w:highlight w:val="none"/>
              </w:rPr>
            </w:pPr>
          </w:p>
        </w:tc>
        <w:tc>
          <w:tcPr>
            <w:tcW w:w="1201" w:type="dxa"/>
            <w:vMerge w:val="continue"/>
            <w:tcBorders>
              <w:left w:val="single" w:color="auto" w:sz="4" w:space="0"/>
              <w:right w:val="single" w:color="auto" w:sz="4" w:space="0"/>
            </w:tcBorders>
            <w:vAlign w:val="center"/>
          </w:tcPr>
          <w:p w14:paraId="05A21842">
            <w:pPr>
              <w:spacing w:line="240" w:lineRule="atLeast"/>
              <w:ind w:left="-48" w:leftChars="-23" w:right="-65" w:rightChars="-31"/>
              <w:jc w:val="left"/>
              <w:rPr>
                <w:rFonts w:cs="宋体"/>
                <w:color w:val="auto"/>
                <w:highlight w:val="none"/>
              </w:rPr>
            </w:pPr>
          </w:p>
        </w:tc>
        <w:tc>
          <w:tcPr>
            <w:tcW w:w="972" w:type="dxa"/>
            <w:tcBorders>
              <w:left w:val="single" w:color="auto" w:sz="4" w:space="0"/>
            </w:tcBorders>
            <w:shd w:val="clear" w:color="auto" w:fill="auto"/>
            <w:vAlign w:val="center"/>
          </w:tcPr>
          <w:p w14:paraId="0B624DEF">
            <w:pPr>
              <w:spacing w:line="240" w:lineRule="atLeast"/>
              <w:ind w:left="-48" w:leftChars="-23" w:right="-65" w:rightChars="-31"/>
              <w:jc w:val="left"/>
              <w:rPr>
                <w:rFonts w:cs="宋体"/>
                <w:color w:val="auto"/>
                <w:highlight w:val="none"/>
              </w:rPr>
            </w:pPr>
            <w:r>
              <w:rPr>
                <w:rFonts w:hint="eastAsia" w:cs="宋体"/>
                <w:color w:val="auto"/>
                <w:highlight w:val="none"/>
              </w:rPr>
              <w:t>....</w:t>
            </w:r>
          </w:p>
        </w:tc>
        <w:tc>
          <w:tcPr>
            <w:tcW w:w="887" w:type="dxa"/>
            <w:tcBorders>
              <w:left w:val="single" w:color="auto" w:sz="4" w:space="0"/>
            </w:tcBorders>
            <w:shd w:val="clear" w:color="auto" w:fill="auto"/>
            <w:vAlign w:val="center"/>
          </w:tcPr>
          <w:p w14:paraId="72A3A6FE">
            <w:pPr>
              <w:spacing w:line="240" w:lineRule="atLeast"/>
              <w:ind w:left="-48" w:leftChars="-23" w:right="-65" w:rightChars="-31"/>
              <w:jc w:val="left"/>
              <w:rPr>
                <w:rFonts w:cs="宋体"/>
                <w:color w:val="auto"/>
                <w:highlight w:val="none"/>
              </w:rPr>
            </w:pPr>
          </w:p>
        </w:tc>
        <w:tc>
          <w:tcPr>
            <w:tcW w:w="1052" w:type="dxa"/>
            <w:tcBorders>
              <w:left w:val="single" w:color="auto" w:sz="4" w:space="0"/>
            </w:tcBorders>
            <w:shd w:val="clear" w:color="auto" w:fill="auto"/>
            <w:vAlign w:val="center"/>
          </w:tcPr>
          <w:p w14:paraId="295C5A0F">
            <w:pPr>
              <w:spacing w:line="240" w:lineRule="atLeast"/>
              <w:ind w:left="-48" w:leftChars="-23" w:right="-65" w:rightChars="-31"/>
              <w:jc w:val="left"/>
              <w:rPr>
                <w:rFonts w:cs="宋体"/>
                <w:color w:val="auto"/>
                <w:highlight w:val="none"/>
              </w:rPr>
            </w:pPr>
          </w:p>
        </w:tc>
        <w:tc>
          <w:tcPr>
            <w:tcW w:w="780" w:type="dxa"/>
            <w:vMerge w:val="continue"/>
            <w:tcBorders>
              <w:left w:val="single" w:color="auto" w:sz="4" w:space="0"/>
            </w:tcBorders>
            <w:shd w:val="clear" w:color="auto" w:fill="auto"/>
            <w:vAlign w:val="center"/>
          </w:tcPr>
          <w:p w14:paraId="492CAF97">
            <w:pPr>
              <w:spacing w:line="240" w:lineRule="atLeast"/>
              <w:ind w:left="-48" w:leftChars="-23" w:right="-65" w:rightChars="-31"/>
              <w:jc w:val="left"/>
              <w:rPr>
                <w:rFonts w:cs="宋体"/>
                <w:color w:val="auto"/>
                <w:highlight w:val="none"/>
              </w:rPr>
            </w:pPr>
          </w:p>
        </w:tc>
        <w:tc>
          <w:tcPr>
            <w:tcW w:w="1019" w:type="dxa"/>
            <w:tcBorders>
              <w:left w:val="single" w:color="auto" w:sz="4" w:space="0"/>
            </w:tcBorders>
            <w:shd w:val="clear" w:color="auto" w:fill="auto"/>
            <w:vAlign w:val="center"/>
          </w:tcPr>
          <w:p w14:paraId="7A76C8FE">
            <w:pPr>
              <w:spacing w:line="240" w:lineRule="atLeast"/>
              <w:ind w:left="-48" w:leftChars="-23" w:right="-65" w:rightChars="-31"/>
              <w:jc w:val="left"/>
              <w:rPr>
                <w:rFonts w:cs="宋体"/>
                <w:color w:val="auto"/>
                <w:highlight w:val="none"/>
              </w:rPr>
            </w:pPr>
          </w:p>
        </w:tc>
      </w:tr>
      <w:tr w14:paraId="5FBC216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427" w:type="dxa"/>
            <w:vMerge w:val="continue"/>
            <w:shd w:val="clear" w:color="auto" w:fill="auto"/>
            <w:vAlign w:val="center"/>
          </w:tcPr>
          <w:p w14:paraId="159555F8">
            <w:pPr>
              <w:tabs>
                <w:tab w:val="left" w:pos="61"/>
              </w:tabs>
              <w:jc w:val="center"/>
              <w:rPr>
                <w:color w:val="auto"/>
                <w:highlight w:val="none"/>
              </w:rPr>
            </w:pPr>
          </w:p>
        </w:tc>
        <w:tc>
          <w:tcPr>
            <w:tcW w:w="348" w:type="dxa"/>
            <w:vMerge w:val="continue"/>
            <w:shd w:val="clear" w:color="auto" w:fill="auto"/>
            <w:vAlign w:val="center"/>
          </w:tcPr>
          <w:p w14:paraId="651AD26D">
            <w:pPr>
              <w:tabs>
                <w:tab w:val="left" w:pos="0"/>
                <w:tab w:val="left" w:pos="56"/>
              </w:tabs>
              <w:ind w:left="479" w:hanging="478" w:hangingChars="228"/>
              <w:jc w:val="center"/>
              <w:rPr>
                <w:color w:val="auto"/>
                <w:highlight w:val="none"/>
              </w:rPr>
            </w:pPr>
          </w:p>
        </w:tc>
        <w:tc>
          <w:tcPr>
            <w:tcW w:w="660" w:type="dxa"/>
            <w:vMerge w:val="continue"/>
            <w:shd w:val="clear" w:color="auto" w:fill="auto"/>
            <w:vAlign w:val="center"/>
          </w:tcPr>
          <w:p w14:paraId="5B905D8A">
            <w:pPr>
              <w:spacing w:line="240" w:lineRule="atLeast"/>
              <w:ind w:left="-48" w:leftChars="-23" w:right="-65" w:rightChars="-31"/>
              <w:jc w:val="left"/>
              <w:rPr>
                <w:rFonts w:cs="宋体"/>
                <w:color w:val="auto"/>
                <w:highlight w:val="none"/>
              </w:rPr>
            </w:pPr>
          </w:p>
        </w:tc>
        <w:tc>
          <w:tcPr>
            <w:tcW w:w="490" w:type="dxa"/>
            <w:vMerge w:val="continue"/>
            <w:tcBorders>
              <w:left w:val="single" w:color="auto" w:sz="4" w:space="0"/>
            </w:tcBorders>
            <w:shd w:val="clear" w:color="auto" w:fill="auto"/>
            <w:vAlign w:val="center"/>
          </w:tcPr>
          <w:p w14:paraId="337CE077">
            <w:pPr>
              <w:spacing w:line="240" w:lineRule="atLeast"/>
              <w:ind w:left="-48" w:leftChars="-23" w:right="-65" w:rightChars="-31"/>
              <w:jc w:val="left"/>
              <w:rPr>
                <w:rFonts w:cs="宋体"/>
                <w:color w:val="auto"/>
                <w:highlight w:val="none"/>
              </w:rPr>
            </w:pPr>
          </w:p>
        </w:tc>
        <w:tc>
          <w:tcPr>
            <w:tcW w:w="830" w:type="dxa"/>
            <w:vMerge w:val="continue"/>
            <w:tcBorders>
              <w:left w:val="single" w:color="auto" w:sz="4" w:space="0"/>
              <w:right w:val="single" w:color="auto" w:sz="4" w:space="0"/>
            </w:tcBorders>
            <w:shd w:val="clear" w:color="auto" w:fill="auto"/>
            <w:vAlign w:val="center"/>
          </w:tcPr>
          <w:p w14:paraId="43E350E1">
            <w:pPr>
              <w:spacing w:line="240" w:lineRule="atLeast"/>
              <w:ind w:left="-48" w:leftChars="-23" w:right="-65" w:rightChars="-31"/>
              <w:jc w:val="left"/>
              <w:rPr>
                <w:rFonts w:cs="宋体"/>
                <w:color w:val="auto"/>
                <w:highlight w:val="none"/>
              </w:rPr>
            </w:pPr>
          </w:p>
        </w:tc>
        <w:tc>
          <w:tcPr>
            <w:tcW w:w="1201" w:type="dxa"/>
            <w:vMerge w:val="restart"/>
            <w:tcBorders>
              <w:left w:val="single" w:color="auto" w:sz="4" w:space="0"/>
              <w:right w:val="single" w:color="auto" w:sz="4" w:space="0"/>
            </w:tcBorders>
            <w:vAlign w:val="center"/>
          </w:tcPr>
          <w:p w14:paraId="4AAD74F8">
            <w:pPr>
              <w:spacing w:line="240" w:lineRule="atLeast"/>
              <w:ind w:left="-48" w:leftChars="-23" w:right="-65" w:rightChars="-31"/>
              <w:jc w:val="left"/>
              <w:rPr>
                <w:rFonts w:cs="宋体"/>
                <w:color w:val="auto"/>
                <w:highlight w:val="none"/>
              </w:rPr>
            </w:pPr>
            <w:r>
              <w:rPr>
                <w:rFonts w:hint="eastAsia" w:cs="宋体"/>
                <w:color w:val="auto"/>
                <w:highlight w:val="none"/>
              </w:rPr>
              <w:t>制造费用</w:t>
            </w:r>
          </w:p>
        </w:tc>
        <w:tc>
          <w:tcPr>
            <w:tcW w:w="972" w:type="dxa"/>
            <w:tcBorders>
              <w:left w:val="single" w:color="auto" w:sz="4" w:space="0"/>
            </w:tcBorders>
            <w:shd w:val="clear" w:color="auto" w:fill="auto"/>
            <w:vAlign w:val="center"/>
          </w:tcPr>
          <w:p w14:paraId="60A710FB">
            <w:pPr>
              <w:spacing w:line="240" w:lineRule="atLeast"/>
              <w:ind w:left="-48" w:leftChars="-23" w:right="-65" w:rightChars="-31"/>
              <w:jc w:val="left"/>
              <w:rPr>
                <w:rFonts w:cs="宋体"/>
                <w:color w:val="auto"/>
                <w:highlight w:val="none"/>
              </w:rPr>
            </w:pPr>
            <w:r>
              <w:rPr>
                <w:rFonts w:cs="宋体"/>
                <w:color w:val="auto"/>
                <w:highlight w:val="none"/>
              </w:rPr>
              <w:t>设备折旧费</w:t>
            </w:r>
          </w:p>
        </w:tc>
        <w:tc>
          <w:tcPr>
            <w:tcW w:w="887" w:type="dxa"/>
            <w:tcBorders>
              <w:left w:val="single" w:color="auto" w:sz="4" w:space="0"/>
            </w:tcBorders>
            <w:shd w:val="clear" w:color="auto" w:fill="auto"/>
            <w:vAlign w:val="center"/>
          </w:tcPr>
          <w:p w14:paraId="182E01EA">
            <w:pPr>
              <w:spacing w:line="240" w:lineRule="atLeast"/>
              <w:ind w:left="-48" w:leftChars="-23" w:right="-65" w:rightChars="-31"/>
              <w:jc w:val="left"/>
              <w:rPr>
                <w:rFonts w:cs="宋体"/>
                <w:color w:val="auto"/>
                <w:highlight w:val="none"/>
              </w:rPr>
            </w:pPr>
          </w:p>
        </w:tc>
        <w:tc>
          <w:tcPr>
            <w:tcW w:w="1052" w:type="dxa"/>
            <w:tcBorders>
              <w:left w:val="single" w:color="auto" w:sz="4" w:space="0"/>
            </w:tcBorders>
            <w:shd w:val="clear" w:color="auto" w:fill="auto"/>
            <w:vAlign w:val="center"/>
          </w:tcPr>
          <w:p w14:paraId="4ADEE960">
            <w:pPr>
              <w:spacing w:line="240" w:lineRule="atLeast"/>
              <w:ind w:left="-48" w:leftChars="-23" w:right="-65" w:rightChars="-31"/>
              <w:jc w:val="left"/>
              <w:rPr>
                <w:rFonts w:cs="宋体"/>
                <w:color w:val="auto"/>
                <w:highlight w:val="none"/>
              </w:rPr>
            </w:pPr>
          </w:p>
        </w:tc>
        <w:tc>
          <w:tcPr>
            <w:tcW w:w="780" w:type="dxa"/>
            <w:vMerge w:val="continue"/>
            <w:tcBorders>
              <w:left w:val="single" w:color="auto" w:sz="4" w:space="0"/>
            </w:tcBorders>
            <w:shd w:val="clear" w:color="auto" w:fill="auto"/>
            <w:vAlign w:val="center"/>
          </w:tcPr>
          <w:p w14:paraId="6DD36ACB">
            <w:pPr>
              <w:spacing w:line="240" w:lineRule="atLeast"/>
              <w:ind w:left="-48" w:leftChars="-23" w:right="-65" w:rightChars="-31"/>
              <w:jc w:val="left"/>
              <w:rPr>
                <w:rFonts w:cs="宋体"/>
                <w:color w:val="auto"/>
                <w:highlight w:val="none"/>
              </w:rPr>
            </w:pPr>
          </w:p>
        </w:tc>
        <w:tc>
          <w:tcPr>
            <w:tcW w:w="1019" w:type="dxa"/>
            <w:tcBorders>
              <w:left w:val="single" w:color="auto" w:sz="4" w:space="0"/>
            </w:tcBorders>
            <w:shd w:val="clear" w:color="auto" w:fill="auto"/>
            <w:vAlign w:val="center"/>
          </w:tcPr>
          <w:p w14:paraId="2D457D1F">
            <w:pPr>
              <w:spacing w:line="240" w:lineRule="atLeast"/>
              <w:ind w:left="-48" w:leftChars="-23" w:right="-65" w:rightChars="-31"/>
              <w:jc w:val="left"/>
              <w:rPr>
                <w:rFonts w:cs="宋体"/>
                <w:color w:val="auto"/>
                <w:highlight w:val="none"/>
              </w:rPr>
            </w:pPr>
          </w:p>
        </w:tc>
      </w:tr>
      <w:tr w14:paraId="65550F5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427" w:type="dxa"/>
            <w:vMerge w:val="continue"/>
            <w:shd w:val="clear" w:color="auto" w:fill="auto"/>
            <w:vAlign w:val="center"/>
          </w:tcPr>
          <w:p w14:paraId="1103F132">
            <w:pPr>
              <w:tabs>
                <w:tab w:val="left" w:pos="61"/>
              </w:tabs>
              <w:jc w:val="center"/>
              <w:rPr>
                <w:color w:val="auto"/>
                <w:highlight w:val="none"/>
              </w:rPr>
            </w:pPr>
          </w:p>
        </w:tc>
        <w:tc>
          <w:tcPr>
            <w:tcW w:w="348" w:type="dxa"/>
            <w:vMerge w:val="continue"/>
            <w:shd w:val="clear" w:color="auto" w:fill="auto"/>
            <w:vAlign w:val="center"/>
          </w:tcPr>
          <w:p w14:paraId="30E00E4C">
            <w:pPr>
              <w:tabs>
                <w:tab w:val="left" w:pos="0"/>
                <w:tab w:val="left" w:pos="56"/>
              </w:tabs>
              <w:ind w:left="479" w:hanging="478" w:hangingChars="228"/>
              <w:jc w:val="center"/>
              <w:rPr>
                <w:color w:val="auto"/>
                <w:highlight w:val="none"/>
              </w:rPr>
            </w:pPr>
          </w:p>
        </w:tc>
        <w:tc>
          <w:tcPr>
            <w:tcW w:w="660" w:type="dxa"/>
            <w:vMerge w:val="continue"/>
            <w:shd w:val="clear" w:color="auto" w:fill="auto"/>
            <w:vAlign w:val="center"/>
          </w:tcPr>
          <w:p w14:paraId="39C2A919">
            <w:pPr>
              <w:spacing w:line="240" w:lineRule="atLeast"/>
              <w:ind w:left="-48" w:leftChars="-23" w:right="-65" w:rightChars="-31"/>
              <w:jc w:val="left"/>
              <w:rPr>
                <w:rFonts w:cs="宋体"/>
                <w:color w:val="auto"/>
                <w:highlight w:val="none"/>
              </w:rPr>
            </w:pPr>
          </w:p>
        </w:tc>
        <w:tc>
          <w:tcPr>
            <w:tcW w:w="490" w:type="dxa"/>
            <w:vMerge w:val="continue"/>
            <w:tcBorders>
              <w:left w:val="single" w:color="auto" w:sz="4" w:space="0"/>
            </w:tcBorders>
            <w:shd w:val="clear" w:color="auto" w:fill="auto"/>
            <w:vAlign w:val="center"/>
          </w:tcPr>
          <w:p w14:paraId="5ABB4E5B">
            <w:pPr>
              <w:spacing w:line="240" w:lineRule="atLeast"/>
              <w:ind w:left="-48" w:leftChars="-23" w:right="-65" w:rightChars="-31"/>
              <w:jc w:val="left"/>
              <w:rPr>
                <w:rFonts w:cs="宋体"/>
                <w:color w:val="auto"/>
                <w:highlight w:val="none"/>
              </w:rPr>
            </w:pPr>
          </w:p>
        </w:tc>
        <w:tc>
          <w:tcPr>
            <w:tcW w:w="830" w:type="dxa"/>
            <w:vMerge w:val="continue"/>
            <w:tcBorders>
              <w:left w:val="single" w:color="auto" w:sz="4" w:space="0"/>
              <w:right w:val="single" w:color="auto" w:sz="4" w:space="0"/>
            </w:tcBorders>
            <w:shd w:val="clear" w:color="auto" w:fill="auto"/>
            <w:vAlign w:val="center"/>
          </w:tcPr>
          <w:p w14:paraId="2CB84D0A">
            <w:pPr>
              <w:spacing w:line="240" w:lineRule="atLeast"/>
              <w:ind w:left="-48" w:leftChars="-23" w:right="-65" w:rightChars="-31"/>
              <w:jc w:val="left"/>
              <w:rPr>
                <w:rFonts w:cs="宋体"/>
                <w:color w:val="auto"/>
                <w:highlight w:val="none"/>
              </w:rPr>
            </w:pPr>
          </w:p>
        </w:tc>
        <w:tc>
          <w:tcPr>
            <w:tcW w:w="1201" w:type="dxa"/>
            <w:vMerge w:val="continue"/>
            <w:tcBorders>
              <w:left w:val="single" w:color="auto" w:sz="4" w:space="0"/>
              <w:right w:val="single" w:color="auto" w:sz="4" w:space="0"/>
            </w:tcBorders>
            <w:vAlign w:val="center"/>
          </w:tcPr>
          <w:p w14:paraId="1A753D4E">
            <w:pPr>
              <w:spacing w:line="240" w:lineRule="atLeast"/>
              <w:ind w:left="-48" w:leftChars="-23" w:right="-65" w:rightChars="-31"/>
              <w:jc w:val="left"/>
              <w:rPr>
                <w:rFonts w:cs="宋体"/>
                <w:color w:val="auto"/>
                <w:highlight w:val="none"/>
              </w:rPr>
            </w:pPr>
          </w:p>
        </w:tc>
        <w:tc>
          <w:tcPr>
            <w:tcW w:w="972" w:type="dxa"/>
            <w:tcBorders>
              <w:left w:val="single" w:color="auto" w:sz="4" w:space="0"/>
            </w:tcBorders>
            <w:shd w:val="clear" w:color="auto" w:fill="auto"/>
            <w:vAlign w:val="center"/>
          </w:tcPr>
          <w:p w14:paraId="4B026200">
            <w:pPr>
              <w:spacing w:line="240" w:lineRule="atLeast"/>
              <w:ind w:left="-48" w:leftChars="-23" w:right="-65" w:rightChars="-31"/>
              <w:jc w:val="left"/>
              <w:rPr>
                <w:rFonts w:cs="宋体"/>
                <w:color w:val="auto"/>
                <w:highlight w:val="none"/>
              </w:rPr>
            </w:pPr>
            <w:r>
              <w:rPr>
                <w:rFonts w:hint="eastAsia" w:cs="宋体"/>
                <w:color w:val="auto"/>
                <w:highlight w:val="none"/>
              </w:rPr>
              <w:t>...</w:t>
            </w:r>
          </w:p>
        </w:tc>
        <w:tc>
          <w:tcPr>
            <w:tcW w:w="887" w:type="dxa"/>
            <w:tcBorders>
              <w:left w:val="single" w:color="auto" w:sz="4" w:space="0"/>
            </w:tcBorders>
            <w:shd w:val="clear" w:color="auto" w:fill="auto"/>
            <w:vAlign w:val="center"/>
          </w:tcPr>
          <w:p w14:paraId="11C6B433">
            <w:pPr>
              <w:spacing w:line="240" w:lineRule="atLeast"/>
              <w:ind w:left="-48" w:leftChars="-23" w:right="-65" w:rightChars="-31"/>
              <w:jc w:val="left"/>
              <w:rPr>
                <w:rFonts w:cs="宋体"/>
                <w:color w:val="auto"/>
                <w:highlight w:val="none"/>
              </w:rPr>
            </w:pPr>
          </w:p>
        </w:tc>
        <w:tc>
          <w:tcPr>
            <w:tcW w:w="1052" w:type="dxa"/>
            <w:tcBorders>
              <w:left w:val="single" w:color="auto" w:sz="4" w:space="0"/>
            </w:tcBorders>
            <w:shd w:val="clear" w:color="auto" w:fill="auto"/>
            <w:vAlign w:val="center"/>
          </w:tcPr>
          <w:p w14:paraId="0A58EB76">
            <w:pPr>
              <w:spacing w:line="240" w:lineRule="atLeast"/>
              <w:ind w:left="-48" w:leftChars="-23" w:right="-65" w:rightChars="-31"/>
              <w:jc w:val="left"/>
              <w:rPr>
                <w:rFonts w:cs="宋体"/>
                <w:color w:val="auto"/>
                <w:highlight w:val="none"/>
              </w:rPr>
            </w:pPr>
          </w:p>
        </w:tc>
        <w:tc>
          <w:tcPr>
            <w:tcW w:w="780" w:type="dxa"/>
            <w:vMerge w:val="continue"/>
            <w:tcBorders>
              <w:left w:val="single" w:color="auto" w:sz="4" w:space="0"/>
            </w:tcBorders>
            <w:shd w:val="clear" w:color="auto" w:fill="auto"/>
            <w:vAlign w:val="center"/>
          </w:tcPr>
          <w:p w14:paraId="7E62038F">
            <w:pPr>
              <w:spacing w:line="240" w:lineRule="atLeast"/>
              <w:ind w:left="-48" w:leftChars="-23" w:right="-65" w:rightChars="-31"/>
              <w:jc w:val="left"/>
              <w:rPr>
                <w:rFonts w:cs="宋体"/>
                <w:color w:val="auto"/>
                <w:highlight w:val="none"/>
              </w:rPr>
            </w:pPr>
          </w:p>
        </w:tc>
        <w:tc>
          <w:tcPr>
            <w:tcW w:w="1019" w:type="dxa"/>
            <w:tcBorders>
              <w:left w:val="single" w:color="auto" w:sz="4" w:space="0"/>
            </w:tcBorders>
            <w:shd w:val="clear" w:color="auto" w:fill="auto"/>
            <w:vAlign w:val="center"/>
          </w:tcPr>
          <w:p w14:paraId="415476EA">
            <w:pPr>
              <w:spacing w:line="240" w:lineRule="atLeast"/>
              <w:ind w:left="-48" w:leftChars="-23" w:right="-65" w:rightChars="-31"/>
              <w:jc w:val="left"/>
              <w:rPr>
                <w:rFonts w:cs="宋体"/>
                <w:color w:val="auto"/>
                <w:highlight w:val="none"/>
              </w:rPr>
            </w:pPr>
          </w:p>
        </w:tc>
      </w:tr>
      <w:tr w14:paraId="0D1ABAB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427" w:type="dxa"/>
            <w:vMerge w:val="continue"/>
            <w:shd w:val="clear" w:color="auto" w:fill="auto"/>
            <w:vAlign w:val="center"/>
          </w:tcPr>
          <w:p w14:paraId="3E199689">
            <w:pPr>
              <w:tabs>
                <w:tab w:val="left" w:pos="61"/>
              </w:tabs>
              <w:jc w:val="center"/>
              <w:rPr>
                <w:color w:val="auto"/>
                <w:highlight w:val="none"/>
              </w:rPr>
            </w:pPr>
          </w:p>
        </w:tc>
        <w:tc>
          <w:tcPr>
            <w:tcW w:w="348" w:type="dxa"/>
            <w:vMerge w:val="continue"/>
            <w:shd w:val="clear" w:color="auto" w:fill="auto"/>
            <w:vAlign w:val="center"/>
          </w:tcPr>
          <w:p w14:paraId="74FFEE6B">
            <w:pPr>
              <w:tabs>
                <w:tab w:val="left" w:pos="0"/>
                <w:tab w:val="left" w:pos="56"/>
              </w:tabs>
              <w:ind w:left="479" w:hanging="478" w:hangingChars="228"/>
              <w:jc w:val="center"/>
              <w:rPr>
                <w:color w:val="auto"/>
                <w:highlight w:val="none"/>
              </w:rPr>
            </w:pPr>
          </w:p>
        </w:tc>
        <w:tc>
          <w:tcPr>
            <w:tcW w:w="660" w:type="dxa"/>
            <w:vMerge w:val="continue"/>
            <w:shd w:val="clear" w:color="auto" w:fill="auto"/>
            <w:vAlign w:val="center"/>
          </w:tcPr>
          <w:p w14:paraId="6A629BA2">
            <w:pPr>
              <w:spacing w:line="240" w:lineRule="atLeast"/>
              <w:ind w:left="-48" w:leftChars="-23" w:right="-65" w:rightChars="-31"/>
              <w:jc w:val="left"/>
              <w:rPr>
                <w:rFonts w:cs="宋体"/>
                <w:color w:val="auto"/>
                <w:highlight w:val="none"/>
              </w:rPr>
            </w:pPr>
          </w:p>
        </w:tc>
        <w:tc>
          <w:tcPr>
            <w:tcW w:w="490" w:type="dxa"/>
            <w:vMerge w:val="continue"/>
            <w:tcBorders>
              <w:left w:val="single" w:color="auto" w:sz="4" w:space="0"/>
            </w:tcBorders>
            <w:shd w:val="clear" w:color="auto" w:fill="auto"/>
            <w:vAlign w:val="center"/>
          </w:tcPr>
          <w:p w14:paraId="28A462F8">
            <w:pPr>
              <w:spacing w:line="240" w:lineRule="atLeast"/>
              <w:ind w:left="-48" w:leftChars="-23" w:right="-65" w:rightChars="-31"/>
              <w:jc w:val="left"/>
              <w:rPr>
                <w:rFonts w:cs="宋体"/>
                <w:color w:val="auto"/>
                <w:highlight w:val="none"/>
              </w:rPr>
            </w:pPr>
          </w:p>
        </w:tc>
        <w:tc>
          <w:tcPr>
            <w:tcW w:w="830" w:type="dxa"/>
            <w:vMerge w:val="continue"/>
            <w:tcBorders>
              <w:left w:val="single" w:color="auto" w:sz="4" w:space="0"/>
              <w:right w:val="single" w:color="auto" w:sz="4" w:space="0"/>
            </w:tcBorders>
            <w:shd w:val="clear" w:color="auto" w:fill="auto"/>
            <w:vAlign w:val="center"/>
          </w:tcPr>
          <w:p w14:paraId="76A2005A">
            <w:pPr>
              <w:spacing w:line="240" w:lineRule="atLeast"/>
              <w:ind w:left="-48" w:leftChars="-23" w:right="-65" w:rightChars="-31"/>
              <w:jc w:val="left"/>
              <w:rPr>
                <w:rFonts w:cs="宋体"/>
                <w:color w:val="auto"/>
                <w:highlight w:val="none"/>
              </w:rPr>
            </w:pPr>
          </w:p>
        </w:tc>
        <w:tc>
          <w:tcPr>
            <w:tcW w:w="1201" w:type="dxa"/>
            <w:tcBorders>
              <w:left w:val="single" w:color="auto" w:sz="4" w:space="0"/>
              <w:right w:val="single" w:color="auto" w:sz="4" w:space="0"/>
            </w:tcBorders>
            <w:vAlign w:val="center"/>
          </w:tcPr>
          <w:p w14:paraId="623D5926">
            <w:pPr>
              <w:spacing w:line="240" w:lineRule="atLeast"/>
              <w:ind w:left="-48" w:leftChars="-23" w:right="-65" w:rightChars="-31"/>
              <w:jc w:val="left"/>
              <w:rPr>
                <w:rFonts w:cs="宋体"/>
                <w:color w:val="auto"/>
                <w:highlight w:val="none"/>
              </w:rPr>
            </w:pPr>
            <w:r>
              <w:rPr>
                <w:rFonts w:hint="eastAsia" w:cs="宋体"/>
                <w:color w:val="auto"/>
                <w:highlight w:val="none"/>
              </w:rPr>
              <w:t>其他成本</w:t>
            </w:r>
          </w:p>
        </w:tc>
        <w:tc>
          <w:tcPr>
            <w:tcW w:w="972" w:type="dxa"/>
            <w:tcBorders>
              <w:left w:val="single" w:color="auto" w:sz="4" w:space="0"/>
            </w:tcBorders>
            <w:shd w:val="clear" w:color="auto" w:fill="auto"/>
            <w:vAlign w:val="center"/>
          </w:tcPr>
          <w:p w14:paraId="10301B1D">
            <w:pPr>
              <w:spacing w:line="240" w:lineRule="atLeast"/>
              <w:ind w:left="-48" w:leftChars="-23" w:right="-65" w:rightChars="-31"/>
              <w:jc w:val="left"/>
              <w:rPr>
                <w:rFonts w:cs="宋体"/>
                <w:color w:val="auto"/>
                <w:highlight w:val="none"/>
              </w:rPr>
            </w:pPr>
          </w:p>
        </w:tc>
        <w:tc>
          <w:tcPr>
            <w:tcW w:w="887" w:type="dxa"/>
            <w:tcBorders>
              <w:left w:val="single" w:color="auto" w:sz="4" w:space="0"/>
            </w:tcBorders>
            <w:shd w:val="clear" w:color="auto" w:fill="auto"/>
            <w:vAlign w:val="center"/>
          </w:tcPr>
          <w:p w14:paraId="756A92CB">
            <w:pPr>
              <w:spacing w:line="240" w:lineRule="atLeast"/>
              <w:ind w:left="-48" w:leftChars="-23" w:right="-65" w:rightChars="-31"/>
              <w:jc w:val="left"/>
              <w:rPr>
                <w:rFonts w:cs="宋体"/>
                <w:color w:val="auto"/>
                <w:highlight w:val="none"/>
              </w:rPr>
            </w:pPr>
          </w:p>
        </w:tc>
        <w:tc>
          <w:tcPr>
            <w:tcW w:w="1052" w:type="dxa"/>
            <w:tcBorders>
              <w:left w:val="single" w:color="auto" w:sz="4" w:space="0"/>
            </w:tcBorders>
            <w:shd w:val="clear" w:color="auto" w:fill="auto"/>
            <w:vAlign w:val="center"/>
          </w:tcPr>
          <w:p w14:paraId="4C3C010F">
            <w:pPr>
              <w:spacing w:line="240" w:lineRule="atLeast"/>
              <w:ind w:left="-48" w:leftChars="-23" w:right="-65" w:rightChars="-31"/>
              <w:jc w:val="left"/>
              <w:rPr>
                <w:rFonts w:cs="宋体"/>
                <w:color w:val="auto"/>
                <w:highlight w:val="none"/>
              </w:rPr>
            </w:pPr>
          </w:p>
        </w:tc>
        <w:tc>
          <w:tcPr>
            <w:tcW w:w="780" w:type="dxa"/>
            <w:vMerge w:val="continue"/>
            <w:tcBorders>
              <w:left w:val="single" w:color="auto" w:sz="4" w:space="0"/>
            </w:tcBorders>
            <w:shd w:val="clear" w:color="auto" w:fill="auto"/>
            <w:vAlign w:val="center"/>
          </w:tcPr>
          <w:p w14:paraId="71D26B90">
            <w:pPr>
              <w:spacing w:line="240" w:lineRule="atLeast"/>
              <w:ind w:left="-48" w:leftChars="-23" w:right="-65" w:rightChars="-31"/>
              <w:jc w:val="left"/>
              <w:rPr>
                <w:rFonts w:cs="宋体"/>
                <w:color w:val="auto"/>
                <w:highlight w:val="none"/>
              </w:rPr>
            </w:pPr>
          </w:p>
        </w:tc>
        <w:tc>
          <w:tcPr>
            <w:tcW w:w="1019" w:type="dxa"/>
            <w:tcBorders>
              <w:left w:val="single" w:color="auto" w:sz="4" w:space="0"/>
            </w:tcBorders>
            <w:shd w:val="clear" w:color="auto" w:fill="auto"/>
            <w:vAlign w:val="center"/>
          </w:tcPr>
          <w:p w14:paraId="2102E062">
            <w:pPr>
              <w:spacing w:line="240" w:lineRule="atLeast"/>
              <w:ind w:left="-48" w:leftChars="-23" w:right="-65" w:rightChars="-31"/>
              <w:jc w:val="left"/>
              <w:rPr>
                <w:rFonts w:cs="宋体"/>
                <w:color w:val="auto"/>
                <w:highlight w:val="none"/>
              </w:rPr>
            </w:pPr>
          </w:p>
        </w:tc>
      </w:tr>
      <w:tr w14:paraId="3D94FB6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427" w:type="dxa"/>
            <w:shd w:val="clear" w:color="auto" w:fill="auto"/>
            <w:vAlign w:val="center"/>
          </w:tcPr>
          <w:p w14:paraId="764E3005">
            <w:pPr>
              <w:tabs>
                <w:tab w:val="left" w:pos="61"/>
              </w:tabs>
              <w:jc w:val="center"/>
              <w:rPr>
                <w:color w:val="auto"/>
                <w:highlight w:val="none"/>
              </w:rPr>
            </w:pPr>
            <w:r>
              <w:rPr>
                <w:rFonts w:hint="eastAsia"/>
                <w:color w:val="auto"/>
                <w:highlight w:val="none"/>
              </w:rPr>
              <w:t>2</w:t>
            </w:r>
          </w:p>
        </w:tc>
        <w:tc>
          <w:tcPr>
            <w:tcW w:w="348" w:type="dxa"/>
            <w:shd w:val="clear" w:color="auto" w:fill="auto"/>
            <w:vAlign w:val="center"/>
          </w:tcPr>
          <w:p w14:paraId="72947000">
            <w:pPr>
              <w:tabs>
                <w:tab w:val="left" w:pos="0"/>
                <w:tab w:val="left" w:pos="56"/>
              </w:tabs>
              <w:ind w:left="479" w:hanging="478" w:hangingChars="228"/>
              <w:jc w:val="center"/>
              <w:rPr>
                <w:color w:val="auto"/>
                <w:highlight w:val="none"/>
              </w:rPr>
            </w:pPr>
          </w:p>
        </w:tc>
        <w:tc>
          <w:tcPr>
            <w:tcW w:w="660" w:type="dxa"/>
            <w:shd w:val="clear" w:color="auto" w:fill="auto"/>
            <w:vAlign w:val="center"/>
          </w:tcPr>
          <w:p w14:paraId="1836A099">
            <w:pPr>
              <w:spacing w:line="240" w:lineRule="atLeast"/>
              <w:ind w:left="-48" w:leftChars="-23" w:right="-65" w:rightChars="-31"/>
              <w:jc w:val="left"/>
              <w:rPr>
                <w:rFonts w:cs="宋体"/>
                <w:color w:val="auto"/>
                <w:highlight w:val="none"/>
              </w:rPr>
            </w:pPr>
          </w:p>
        </w:tc>
        <w:tc>
          <w:tcPr>
            <w:tcW w:w="490" w:type="dxa"/>
            <w:tcBorders>
              <w:left w:val="single" w:color="auto" w:sz="4" w:space="0"/>
            </w:tcBorders>
            <w:shd w:val="clear" w:color="auto" w:fill="auto"/>
            <w:vAlign w:val="center"/>
          </w:tcPr>
          <w:p w14:paraId="0A476FE5">
            <w:pPr>
              <w:spacing w:line="240" w:lineRule="atLeast"/>
              <w:ind w:left="-48" w:leftChars="-23" w:right="-65" w:rightChars="-31"/>
              <w:jc w:val="left"/>
              <w:rPr>
                <w:rFonts w:cs="宋体"/>
                <w:color w:val="auto"/>
                <w:highlight w:val="none"/>
              </w:rPr>
            </w:pPr>
          </w:p>
        </w:tc>
        <w:tc>
          <w:tcPr>
            <w:tcW w:w="830" w:type="dxa"/>
            <w:tcBorders>
              <w:left w:val="single" w:color="auto" w:sz="4" w:space="0"/>
              <w:right w:val="single" w:color="auto" w:sz="4" w:space="0"/>
            </w:tcBorders>
            <w:shd w:val="clear" w:color="auto" w:fill="auto"/>
            <w:vAlign w:val="center"/>
          </w:tcPr>
          <w:p w14:paraId="4A724BE8">
            <w:pPr>
              <w:spacing w:line="240" w:lineRule="atLeast"/>
              <w:ind w:left="-48" w:leftChars="-23" w:right="-65" w:rightChars="-31"/>
              <w:jc w:val="left"/>
              <w:rPr>
                <w:rFonts w:cs="宋体"/>
                <w:color w:val="auto"/>
                <w:highlight w:val="none"/>
              </w:rPr>
            </w:pPr>
          </w:p>
        </w:tc>
        <w:tc>
          <w:tcPr>
            <w:tcW w:w="1201" w:type="dxa"/>
            <w:tcBorders>
              <w:left w:val="single" w:color="auto" w:sz="4" w:space="0"/>
              <w:right w:val="single" w:color="auto" w:sz="4" w:space="0"/>
            </w:tcBorders>
          </w:tcPr>
          <w:p w14:paraId="4B623FC0">
            <w:pPr>
              <w:spacing w:line="240" w:lineRule="atLeast"/>
              <w:ind w:left="-48" w:leftChars="-23" w:right="-65" w:rightChars="-31"/>
              <w:jc w:val="left"/>
              <w:rPr>
                <w:rFonts w:cs="宋体"/>
                <w:color w:val="auto"/>
                <w:highlight w:val="none"/>
              </w:rPr>
            </w:pPr>
          </w:p>
        </w:tc>
        <w:tc>
          <w:tcPr>
            <w:tcW w:w="972" w:type="dxa"/>
            <w:tcBorders>
              <w:left w:val="single" w:color="auto" w:sz="4" w:space="0"/>
            </w:tcBorders>
            <w:shd w:val="clear" w:color="auto" w:fill="auto"/>
            <w:vAlign w:val="center"/>
          </w:tcPr>
          <w:p w14:paraId="674B4156">
            <w:pPr>
              <w:spacing w:line="240" w:lineRule="atLeast"/>
              <w:ind w:left="-48" w:leftChars="-23" w:right="-65" w:rightChars="-31"/>
              <w:jc w:val="left"/>
              <w:rPr>
                <w:rFonts w:cs="宋体"/>
                <w:color w:val="auto"/>
                <w:highlight w:val="none"/>
              </w:rPr>
            </w:pPr>
          </w:p>
        </w:tc>
        <w:tc>
          <w:tcPr>
            <w:tcW w:w="887" w:type="dxa"/>
            <w:tcBorders>
              <w:left w:val="single" w:color="auto" w:sz="4" w:space="0"/>
            </w:tcBorders>
            <w:shd w:val="clear" w:color="auto" w:fill="auto"/>
            <w:vAlign w:val="center"/>
          </w:tcPr>
          <w:p w14:paraId="3F206E2A">
            <w:pPr>
              <w:spacing w:line="240" w:lineRule="atLeast"/>
              <w:ind w:left="-48" w:leftChars="-23" w:right="-65" w:rightChars="-31"/>
              <w:jc w:val="left"/>
              <w:rPr>
                <w:rFonts w:cs="宋体"/>
                <w:color w:val="auto"/>
                <w:highlight w:val="none"/>
              </w:rPr>
            </w:pPr>
          </w:p>
        </w:tc>
        <w:tc>
          <w:tcPr>
            <w:tcW w:w="1052" w:type="dxa"/>
            <w:tcBorders>
              <w:left w:val="single" w:color="auto" w:sz="4" w:space="0"/>
            </w:tcBorders>
            <w:shd w:val="clear" w:color="auto" w:fill="auto"/>
            <w:vAlign w:val="center"/>
          </w:tcPr>
          <w:p w14:paraId="05D47080">
            <w:pPr>
              <w:spacing w:line="240" w:lineRule="atLeast"/>
              <w:ind w:left="-48" w:leftChars="-23" w:right="-65" w:rightChars="-31"/>
              <w:jc w:val="left"/>
              <w:rPr>
                <w:rFonts w:cs="宋体"/>
                <w:color w:val="auto"/>
                <w:highlight w:val="none"/>
              </w:rPr>
            </w:pPr>
          </w:p>
        </w:tc>
        <w:tc>
          <w:tcPr>
            <w:tcW w:w="780" w:type="dxa"/>
            <w:tcBorders>
              <w:left w:val="single" w:color="auto" w:sz="4" w:space="0"/>
            </w:tcBorders>
            <w:shd w:val="clear" w:color="auto" w:fill="auto"/>
            <w:vAlign w:val="center"/>
          </w:tcPr>
          <w:p w14:paraId="49F52A7B">
            <w:pPr>
              <w:spacing w:line="240" w:lineRule="atLeast"/>
              <w:ind w:left="-48" w:leftChars="-23" w:right="-65" w:rightChars="-31"/>
              <w:jc w:val="left"/>
              <w:rPr>
                <w:rFonts w:cs="宋体"/>
                <w:color w:val="auto"/>
                <w:highlight w:val="none"/>
              </w:rPr>
            </w:pPr>
          </w:p>
        </w:tc>
        <w:tc>
          <w:tcPr>
            <w:tcW w:w="1019" w:type="dxa"/>
            <w:tcBorders>
              <w:left w:val="single" w:color="auto" w:sz="4" w:space="0"/>
            </w:tcBorders>
            <w:shd w:val="clear" w:color="auto" w:fill="auto"/>
            <w:vAlign w:val="center"/>
          </w:tcPr>
          <w:p w14:paraId="038C16CC">
            <w:pPr>
              <w:spacing w:line="240" w:lineRule="atLeast"/>
              <w:ind w:left="-48" w:leftChars="-23" w:right="-65" w:rightChars="-31"/>
              <w:jc w:val="left"/>
              <w:rPr>
                <w:rFonts w:cs="宋体"/>
                <w:color w:val="auto"/>
                <w:highlight w:val="none"/>
              </w:rPr>
            </w:pPr>
          </w:p>
        </w:tc>
      </w:tr>
      <w:tr w14:paraId="2B0CCE6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34" w:hRule="atLeast"/>
          <w:jc w:val="center"/>
        </w:trPr>
        <w:tc>
          <w:tcPr>
            <w:tcW w:w="427" w:type="dxa"/>
            <w:tcBorders>
              <w:bottom w:val="single" w:color="auto" w:sz="4" w:space="0"/>
            </w:tcBorders>
            <w:shd w:val="clear" w:color="auto" w:fill="auto"/>
            <w:vAlign w:val="center"/>
          </w:tcPr>
          <w:p w14:paraId="1FC0FEF9">
            <w:pPr>
              <w:tabs>
                <w:tab w:val="left" w:pos="82"/>
              </w:tabs>
              <w:jc w:val="center"/>
              <w:rPr>
                <w:color w:val="auto"/>
                <w:highlight w:val="none"/>
              </w:rPr>
            </w:pPr>
            <w:r>
              <w:rPr>
                <w:rFonts w:hint="eastAsia"/>
                <w:color w:val="auto"/>
                <w:highlight w:val="none"/>
              </w:rPr>
              <w:t>…</w:t>
            </w:r>
          </w:p>
        </w:tc>
        <w:tc>
          <w:tcPr>
            <w:tcW w:w="348" w:type="dxa"/>
            <w:tcBorders>
              <w:bottom w:val="single" w:color="auto" w:sz="4" w:space="0"/>
            </w:tcBorders>
            <w:shd w:val="clear" w:color="auto" w:fill="auto"/>
            <w:vAlign w:val="center"/>
          </w:tcPr>
          <w:p w14:paraId="702E7D2A">
            <w:pPr>
              <w:spacing w:line="240" w:lineRule="atLeast"/>
              <w:ind w:left="-48" w:leftChars="-23" w:right="-65" w:rightChars="-31"/>
              <w:jc w:val="left"/>
              <w:rPr>
                <w:rFonts w:cs="宋体"/>
                <w:color w:val="auto"/>
                <w:highlight w:val="none"/>
              </w:rPr>
            </w:pPr>
          </w:p>
        </w:tc>
        <w:tc>
          <w:tcPr>
            <w:tcW w:w="660" w:type="dxa"/>
            <w:tcBorders>
              <w:bottom w:val="single" w:color="auto" w:sz="4" w:space="0"/>
            </w:tcBorders>
            <w:shd w:val="clear" w:color="auto" w:fill="auto"/>
            <w:vAlign w:val="center"/>
          </w:tcPr>
          <w:p w14:paraId="30DA14F8">
            <w:pPr>
              <w:spacing w:line="240" w:lineRule="atLeast"/>
              <w:ind w:left="-48" w:leftChars="-23" w:right="-65" w:rightChars="-31"/>
              <w:jc w:val="left"/>
              <w:rPr>
                <w:rFonts w:cs="宋体"/>
                <w:color w:val="auto"/>
                <w:highlight w:val="none"/>
              </w:rPr>
            </w:pPr>
          </w:p>
        </w:tc>
        <w:tc>
          <w:tcPr>
            <w:tcW w:w="490" w:type="dxa"/>
            <w:tcBorders>
              <w:left w:val="single" w:color="auto" w:sz="4" w:space="0"/>
              <w:bottom w:val="single" w:color="auto" w:sz="4" w:space="0"/>
            </w:tcBorders>
            <w:shd w:val="clear" w:color="auto" w:fill="auto"/>
            <w:vAlign w:val="center"/>
          </w:tcPr>
          <w:p w14:paraId="706350C0">
            <w:pPr>
              <w:spacing w:line="240" w:lineRule="atLeast"/>
              <w:ind w:left="-48" w:leftChars="-23" w:right="-65" w:rightChars="-31"/>
              <w:jc w:val="left"/>
              <w:rPr>
                <w:rFonts w:cs="宋体"/>
                <w:color w:val="auto"/>
                <w:highlight w:val="none"/>
              </w:rPr>
            </w:pPr>
          </w:p>
        </w:tc>
        <w:tc>
          <w:tcPr>
            <w:tcW w:w="830" w:type="dxa"/>
            <w:tcBorders>
              <w:left w:val="single" w:color="auto" w:sz="4" w:space="0"/>
              <w:bottom w:val="single" w:color="auto" w:sz="4" w:space="0"/>
              <w:right w:val="single" w:color="auto" w:sz="4" w:space="0"/>
            </w:tcBorders>
            <w:shd w:val="clear" w:color="auto" w:fill="auto"/>
            <w:vAlign w:val="center"/>
          </w:tcPr>
          <w:p w14:paraId="700721E0">
            <w:pPr>
              <w:spacing w:line="240" w:lineRule="atLeast"/>
              <w:ind w:left="-48" w:leftChars="-23" w:right="-65" w:rightChars="-31"/>
              <w:jc w:val="left"/>
              <w:rPr>
                <w:rFonts w:cs="宋体"/>
                <w:color w:val="auto"/>
                <w:highlight w:val="none"/>
              </w:rPr>
            </w:pPr>
          </w:p>
        </w:tc>
        <w:tc>
          <w:tcPr>
            <w:tcW w:w="1201" w:type="dxa"/>
            <w:tcBorders>
              <w:left w:val="single" w:color="auto" w:sz="4" w:space="0"/>
              <w:bottom w:val="single" w:color="auto" w:sz="4" w:space="0"/>
              <w:right w:val="single" w:color="auto" w:sz="4" w:space="0"/>
            </w:tcBorders>
          </w:tcPr>
          <w:p w14:paraId="593A57B9">
            <w:pPr>
              <w:spacing w:line="240" w:lineRule="atLeast"/>
              <w:ind w:left="-48" w:leftChars="-23" w:right="-65" w:rightChars="-31"/>
              <w:jc w:val="left"/>
              <w:rPr>
                <w:rFonts w:cs="宋体"/>
                <w:color w:val="auto"/>
                <w:highlight w:val="none"/>
              </w:rPr>
            </w:pPr>
          </w:p>
        </w:tc>
        <w:tc>
          <w:tcPr>
            <w:tcW w:w="972" w:type="dxa"/>
            <w:tcBorders>
              <w:left w:val="single" w:color="auto" w:sz="4" w:space="0"/>
              <w:bottom w:val="single" w:color="auto" w:sz="4" w:space="0"/>
            </w:tcBorders>
            <w:shd w:val="clear" w:color="auto" w:fill="auto"/>
            <w:vAlign w:val="center"/>
          </w:tcPr>
          <w:p w14:paraId="45C77875">
            <w:pPr>
              <w:spacing w:line="240" w:lineRule="atLeast"/>
              <w:ind w:left="-48" w:leftChars="-23" w:right="-65" w:rightChars="-31"/>
              <w:jc w:val="left"/>
              <w:rPr>
                <w:rFonts w:cs="宋体"/>
                <w:color w:val="auto"/>
                <w:highlight w:val="none"/>
              </w:rPr>
            </w:pPr>
          </w:p>
        </w:tc>
        <w:tc>
          <w:tcPr>
            <w:tcW w:w="887" w:type="dxa"/>
            <w:tcBorders>
              <w:left w:val="single" w:color="auto" w:sz="4" w:space="0"/>
              <w:bottom w:val="single" w:color="auto" w:sz="4" w:space="0"/>
            </w:tcBorders>
            <w:shd w:val="clear" w:color="auto" w:fill="auto"/>
            <w:vAlign w:val="center"/>
          </w:tcPr>
          <w:p w14:paraId="52C677CC">
            <w:pPr>
              <w:spacing w:line="240" w:lineRule="atLeast"/>
              <w:ind w:left="-48" w:leftChars="-23" w:right="-65" w:rightChars="-31"/>
              <w:jc w:val="left"/>
              <w:rPr>
                <w:rFonts w:cs="宋体"/>
                <w:color w:val="auto"/>
                <w:highlight w:val="none"/>
              </w:rPr>
            </w:pPr>
          </w:p>
          <w:p w14:paraId="3DD3E9A6">
            <w:pPr>
              <w:rPr>
                <w:color w:val="auto"/>
                <w:highlight w:val="none"/>
              </w:rPr>
            </w:pPr>
          </w:p>
        </w:tc>
        <w:tc>
          <w:tcPr>
            <w:tcW w:w="1052" w:type="dxa"/>
            <w:tcBorders>
              <w:left w:val="single" w:color="auto" w:sz="4" w:space="0"/>
              <w:bottom w:val="single" w:color="auto" w:sz="4" w:space="0"/>
            </w:tcBorders>
            <w:shd w:val="clear" w:color="auto" w:fill="auto"/>
            <w:vAlign w:val="center"/>
          </w:tcPr>
          <w:p w14:paraId="23997F12">
            <w:pPr>
              <w:rPr>
                <w:color w:val="auto"/>
                <w:highlight w:val="none"/>
              </w:rPr>
            </w:pPr>
          </w:p>
        </w:tc>
        <w:tc>
          <w:tcPr>
            <w:tcW w:w="780" w:type="dxa"/>
            <w:tcBorders>
              <w:left w:val="single" w:color="auto" w:sz="4" w:space="0"/>
              <w:bottom w:val="single" w:color="auto" w:sz="4" w:space="0"/>
            </w:tcBorders>
            <w:shd w:val="clear" w:color="auto" w:fill="auto"/>
            <w:vAlign w:val="center"/>
          </w:tcPr>
          <w:p w14:paraId="6E438CF5">
            <w:pPr>
              <w:spacing w:line="240" w:lineRule="atLeast"/>
              <w:ind w:left="-48" w:leftChars="-23" w:right="-65" w:rightChars="-31"/>
              <w:jc w:val="left"/>
              <w:rPr>
                <w:rFonts w:cs="宋体"/>
                <w:color w:val="auto"/>
                <w:highlight w:val="none"/>
              </w:rPr>
            </w:pPr>
          </w:p>
        </w:tc>
        <w:tc>
          <w:tcPr>
            <w:tcW w:w="1019" w:type="dxa"/>
            <w:tcBorders>
              <w:left w:val="single" w:color="auto" w:sz="4" w:space="0"/>
              <w:bottom w:val="single" w:color="auto" w:sz="4" w:space="0"/>
            </w:tcBorders>
            <w:shd w:val="clear" w:color="auto" w:fill="auto"/>
            <w:vAlign w:val="center"/>
          </w:tcPr>
          <w:p w14:paraId="0DD3DF77">
            <w:pPr>
              <w:spacing w:line="240" w:lineRule="atLeast"/>
              <w:ind w:left="-48" w:leftChars="-23" w:right="-65" w:rightChars="-31"/>
              <w:jc w:val="left"/>
              <w:rPr>
                <w:rFonts w:cs="宋体"/>
                <w:color w:val="auto"/>
                <w:highlight w:val="none"/>
              </w:rPr>
            </w:pPr>
          </w:p>
        </w:tc>
      </w:tr>
    </w:tbl>
    <w:p w14:paraId="66C90426">
      <w:pPr>
        <w:spacing w:line="360" w:lineRule="auto"/>
        <w:jc w:val="left"/>
        <w:rPr>
          <w:color w:val="auto"/>
          <w:szCs w:val="21"/>
          <w:highlight w:val="none"/>
        </w:rPr>
      </w:pPr>
    </w:p>
    <w:p w14:paraId="28D1BD36">
      <w:pPr>
        <w:spacing w:line="360" w:lineRule="auto"/>
        <w:jc w:val="left"/>
        <w:rPr>
          <w:color w:val="auto"/>
          <w:szCs w:val="21"/>
          <w:highlight w:val="none"/>
        </w:rPr>
      </w:pPr>
      <w:r>
        <w:rPr>
          <w:rFonts w:hint="eastAsia"/>
          <w:color w:val="auto"/>
          <w:szCs w:val="21"/>
          <w:highlight w:val="none"/>
        </w:rPr>
        <w:t>说明：项目具体成本测算等与报价合理性相关的书面说明及必要的证明材料，包括但不限于原材料成本、人工成本、制造费用等</w:t>
      </w:r>
    </w:p>
    <w:p w14:paraId="69A55224">
      <w:pPr>
        <w:spacing w:line="360" w:lineRule="auto"/>
        <w:ind w:firstLine="6090" w:firstLineChars="2900"/>
        <w:jc w:val="left"/>
        <w:rPr>
          <w:color w:val="auto"/>
          <w:szCs w:val="21"/>
          <w:highlight w:val="none"/>
        </w:rPr>
      </w:pPr>
      <w:r>
        <w:rPr>
          <w:color w:val="auto"/>
          <w:szCs w:val="21"/>
          <w:highlight w:val="none"/>
        </w:rPr>
        <w:t>供应商名称（</w:t>
      </w:r>
      <w:r>
        <w:rPr>
          <w:rFonts w:hint="eastAsia"/>
          <w:color w:val="auto"/>
          <w:szCs w:val="21"/>
          <w:highlight w:val="none"/>
        </w:rPr>
        <w:t>电子签章</w:t>
      </w:r>
      <w:r>
        <w:rPr>
          <w:color w:val="auto"/>
          <w:szCs w:val="21"/>
          <w:highlight w:val="none"/>
        </w:rPr>
        <w:t>）：</w:t>
      </w:r>
      <w:r>
        <w:rPr>
          <w:color w:val="auto"/>
          <w:szCs w:val="21"/>
          <w:highlight w:val="none"/>
          <w:u w:val="single"/>
        </w:rPr>
        <w:t xml:space="preserve">                          </w:t>
      </w:r>
    </w:p>
    <w:p w14:paraId="4469B6DE">
      <w:pPr>
        <w:spacing w:line="360" w:lineRule="auto"/>
        <w:ind w:firstLine="6090" w:firstLineChars="2900"/>
        <w:jc w:val="left"/>
        <w:rPr>
          <w:color w:val="auto"/>
          <w:szCs w:val="21"/>
          <w:highlight w:val="none"/>
        </w:rPr>
        <w:sectPr>
          <w:pgSz w:w="11906" w:h="16838"/>
          <w:pgMar w:top="1418" w:right="1133" w:bottom="1246" w:left="1418" w:header="851" w:footer="992" w:gutter="0"/>
          <w:cols w:space="720" w:num="1"/>
          <w:docGrid w:linePitch="312" w:charSpace="0"/>
        </w:sectPr>
      </w:pPr>
      <w:r>
        <w:rPr>
          <w:color w:val="auto"/>
          <w:szCs w:val="21"/>
          <w:highlight w:val="none"/>
        </w:rPr>
        <w:t>日  期</w:t>
      </w:r>
      <w:r>
        <w:rPr>
          <w:rFonts w:hint="eastAsia"/>
          <w:color w:val="auto"/>
          <w:szCs w:val="21"/>
          <w:highlight w:val="none"/>
        </w:rPr>
        <w:t>：</w:t>
      </w:r>
      <w:r>
        <w:rPr>
          <w:color w:val="auto"/>
          <w:szCs w:val="21"/>
          <w:highlight w:val="none"/>
          <w:u w:val="single"/>
        </w:rPr>
        <w:t xml:space="preserve">         </w:t>
      </w:r>
      <w:r>
        <w:rPr>
          <w:color w:val="auto"/>
          <w:szCs w:val="21"/>
          <w:highlight w:val="none"/>
        </w:rPr>
        <w:t>年</w:t>
      </w:r>
      <w:r>
        <w:rPr>
          <w:color w:val="auto"/>
          <w:szCs w:val="21"/>
          <w:highlight w:val="none"/>
          <w:u w:val="single"/>
        </w:rPr>
        <w:t xml:space="preserve">   </w:t>
      </w:r>
      <w:r>
        <w:rPr>
          <w:color w:val="auto"/>
          <w:szCs w:val="21"/>
          <w:highlight w:val="none"/>
        </w:rPr>
        <w:t>月</w:t>
      </w:r>
      <w:r>
        <w:rPr>
          <w:color w:val="auto"/>
          <w:szCs w:val="21"/>
          <w:highlight w:val="none"/>
          <w:u w:val="single"/>
        </w:rPr>
        <w:t xml:space="preserve">   </w:t>
      </w:r>
      <w:r>
        <w:rPr>
          <w:color w:val="auto"/>
          <w:szCs w:val="21"/>
          <w:highlight w:val="none"/>
        </w:rPr>
        <w:t xml:space="preserve">日 </w:t>
      </w:r>
    </w:p>
    <w:p w14:paraId="33902E8B">
      <w:pPr>
        <w:widowControl/>
        <w:jc w:val="left"/>
        <w:outlineLvl w:val="1"/>
        <w:rPr>
          <w:color w:val="auto"/>
          <w:szCs w:val="21"/>
          <w:highlight w:val="none"/>
        </w:rPr>
      </w:pPr>
      <w:bookmarkStart w:id="132" w:name="_Hlk89184603"/>
      <w:bookmarkStart w:id="133" w:name="_Hlk89181869"/>
      <w:r>
        <w:rPr>
          <w:rFonts w:hint="eastAsia"/>
          <w:color w:val="auto"/>
          <w:szCs w:val="21"/>
          <w:highlight w:val="none"/>
        </w:rPr>
        <w:t>4.开标一览表</w:t>
      </w:r>
    </w:p>
    <w:p w14:paraId="61DA5760">
      <w:pPr>
        <w:widowControl/>
        <w:jc w:val="left"/>
        <w:rPr>
          <w:color w:val="auto"/>
          <w:szCs w:val="21"/>
          <w:highlight w:val="none"/>
        </w:rPr>
      </w:pPr>
    </w:p>
    <w:p w14:paraId="4DF7A993">
      <w:pPr>
        <w:widowControl/>
        <w:jc w:val="left"/>
        <w:rPr>
          <w:color w:val="auto"/>
          <w:szCs w:val="21"/>
          <w:highlight w:val="none"/>
        </w:rPr>
      </w:pPr>
    </w:p>
    <w:p w14:paraId="0D278A9B">
      <w:pPr>
        <w:widowControl/>
        <w:jc w:val="left"/>
        <w:rPr>
          <w:color w:val="auto"/>
          <w:szCs w:val="21"/>
          <w:highlight w:val="none"/>
        </w:rPr>
      </w:pPr>
    </w:p>
    <w:p w14:paraId="580B7C3E">
      <w:pPr>
        <w:rPr>
          <w:b/>
          <w:color w:val="auto"/>
          <w:szCs w:val="21"/>
          <w:highlight w:val="none"/>
        </w:rPr>
      </w:pPr>
    </w:p>
    <w:p w14:paraId="0D0A8E63">
      <w:pPr>
        <w:rPr>
          <w:b/>
          <w:color w:val="auto"/>
          <w:szCs w:val="21"/>
          <w:highlight w:val="none"/>
        </w:rPr>
      </w:pPr>
    </w:p>
    <w:p w14:paraId="45B864C5">
      <w:pPr>
        <w:rPr>
          <w:b/>
          <w:color w:val="auto"/>
          <w:szCs w:val="21"/>
          <w:highlight w:val="none"/>
        </w:rPr>
      </w:pPr>
      <w:r>
        <w:rPr>
          <w:rFonts w:hint="eastAsia"/>
          <w:b/>
          <w:color w:val="auto"/>
          <w:szCs w:val="21"/>
          <w:highlight w:val="none"/>
        </w:rPr>
        <w:t>格式详见广西政府采购云平台，且仅在广西政府采购云平台填写即可。</w:t>
      </w:r>
    </w:p>
    <w:bookmarkEnd w:id="132"/>
    <w:p w14:paraId="5F9F529B">
      <w:pPr>
        <w:spacing w:line="340" w:lineRule="exact"/>
        <w:ind w:firstLine="420" w:firstLineChars="200"/>
        <w:rPr>
          <w:color w:val="auto"/>
          <w:szCs w:val="21"/>
          <w:highlight w:val="none"/>
        </w:rPr>
      </w:pPr>
    </w:p>
    <w:bookmarkEnd w:id="130"/>
    <w:bookmarkEnd w:id="133"/>
    <w:p w14:paraId="5D5FDCE5">
      <w:pPr>
        <w:rPr>
          <w:b/>
          <w:color w:val="auto"/>
          <w:szCs w:val="21"/>
          <w:highlight w:val="none"/>
        </w:rPr>
      </w:pPr>
    </w:p>
    <w:sectPr>
      <w:pgSz w:w="11906" w:h="16838"/>
      <w:pgMar w:top="1418" w:right="1274" w:bottom="1418" w:left="1418"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swiss"/>
    <w:pitch w:val="default"/>
    <w:sig w:usb0="00000000" w:usb1="00000000" w:usb2="00000010" w:usb3="00000000" w:csb0="00040000" w:csb1="00000000"/>
  </w:font>
  <w:font w:name="仿宋">
    <w:panose1 w:val="02010609060101010101"/>
    <w:charset w:val="86"/>
    <w:family w:val="swiss"/>
    <w:pitch w:val="default"/>
    <w:sig w:usb0="800002BF" w:usb1="38CF7CFA" w:usb2="00000016" w:usb3="00000000" w:csb0="00040001" w:csb1="00000000"/>
  </w:font>
  <w:font w:name="_x000B__x000C_">
    <w:altName w:val="Times New Roman"/>
    <w:panose1 w:val="00000000000000000000"/>
    <w:charset w:val="00"/>
    <w:family w:val="swiss"/>
    <w:pitch w:val="default"/>
    <w:sig w:usb0="00000000" w:usb1="00000000" w:usb2="00000000" w:usb3="00000000" w:csb0="00040001" w:csb1="00000000"/>
  </w:font>
  <w:font w:name="Verdana">
    <w:panose1 w:val="020B0604030504040204"/>
    <w:charset w:val="00"/>
    <w:family w:val="decorative"/>
    <w:pitch w:val="default"/>
    <w:sig w:usb0="A00006FF" w:usb1="4000205B" w:usb2="00000010" w:usb3="00000000" w:csb0="2000019F" w:csb1="00000000"/>
  </w:font>
  <w:font w:name="Cambria">
    <w:panose1 w:val="02040503050406030204"/>
    <w:charset w:val="00"/>
    <w:family w:val="modern"/>
    <w:pitch w:val="default"/>
    <w:sig w:usb0="E00006FF" w:usb1="420024FF" w:usb2="02000000" w:usb3="00000000" w:csb0="2000019F" w:csb1="00000000"/>
  </w:font>
  <w:font w:name="Tahoma">
    <w:panose1 w:val="020B0604030504040204"/>
    <w:charset w:val="00"/>
    <w:family w:val="decorative"/>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Microsoft YaHei UI">
    <w:panose1 w:val="020B0503020204020204"/>
    <w:charset w:val="86"/>
    <w:family w:val="decorative"/>
    <w:pitch w:val="default"/>
    <w:sig w:usb0="80000287" w:usb1="2ACF3C50" w:usb2="00000016" w:usb3="00000000" w:csb0="0004001F" w:csb1="00000000"/>
  </w:font>
  <w:font w:name="华文楷体">
    <w:panose1 w:val="02010600040101010101"/>
    <w:charset w:val="86"/>
    <w:family w:val="auto"/>
    <w:pitch w:val="default"/>
    <w:sig w:usb0="00000287" w:usb1="080F0000" w:usb2="00000000" w:usb3="00000000" w:csb0="0004009F" w:csb1="DFD70000"/>
  </w:font>
  <w:font w:name="楷体_GB2312">
    <w:altName w:val="楷体"/>
    <w:panose1 w:val="02010609030101010101"/>
    <w:charset w:val="86"/>
    <w:family w:val="swiss"/>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Wingdings 2">
    <w:panose1 w:val="05020102010507070707"/>
    <w:charset w:val="02"/>
    <w:family w:val="modern"/>
    <w:pitch w:val="default"/>
    <w:sig w:usb0="00000000" w:usb1="00000000" w:usb2="00000000" w:usb3="00000000" w:csb0="80000000" w:csb1="00000000"/>
  </w:font>
  <w:font w:name="Helvetica">
    <w:altName w:val="Arial"/>
    <w:panose1 w:val="020B0604020202020204"/>
    <w:charset w:val="00"/>
    <w:family w:val="decorative"/>
    <w:pitch w:val="default"/>
    <w:sig w:usb0="00000000" w:usb1="00000000"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41C350">
    <w:pPr>
      <w:pStyle w:val="31"/>
      <w:jc w:val="center"/>
    </w:pPr>
  </w:p>
  <w:p w14:paraId="29734A3C">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B0D2C7">
    <w:pPr>
      <w:pStyle w:val="31"/>
      <w:jc w:val="center"/>
    </w:pPr>
    <w:r>
      <w:fldChar w:fldCharType="begin"/>
    </w:r>
    <w:r>
      <w:instrText xml:space="preserve">PAGE   \* MERGEFORMAT</w:instrText>
    </w:r>
    <w:r>
      <w:fldChar w:fldCharType="separate"/>
    </w:r>
    <w:r>
      <w:rPr>
        <w:lang w:val="zh-CN"/>
      </w:rPr>
      <w:t>21</w:t>
    </w:r>
    <w:r>
      <w:fldChar w:fldCharType="end"/>
    </w:r>
  </w:p>
  <w:p w14:paraId="42C4CF07">
    <w:pPr>
      <w:pStyle w:val="3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B6E8F2">
    <w:pPr>
      <w:pStyle w:val="31"/>
      <w:jc w:val="center"/>
    </w:pPr>
    <w:r>
      <w:fldChar w:fldCharType="begin"/>
    </w:r>
    <w:r>
      <w:instrText xml:space="preserve">PAGE   \* MERGEFORMAT</w:instrText>
    </w:r>
    <w:r>
      <w:fldChar w:fldCharType="separate"/>
    </w:r>
    <w:r>
      <w:rPr>
        <w:lang w:val="zh-CN"/>
      </w:rPr>
      <w:t>52</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0087CE">
    <w:pPr>
      <w:pStyle w:val="31"/>
      <w:framePr w:wrap="around" w:vAnchor="text" w:hAnchor="margin" w:xAlign="center" w:y="1"/>
      <w:rPr>
        <w:rStyle w:val="55"/>
      </w:rPr>
    </w:pPr>
    <w:r>
      <w:fldChar w:fldCharType="begin"/>
    </w:r>
    <w:r>
      <w:rPr>
        <w:rStyle w:val="55"/>
      </w:rPr>
      <w:instrText xml:space="preserve">PAGE  </w:instrText>
    </w:r>
    <w:r>
      <w:fldChar w:fldCharType="separate"/>
    </w:r>
    <w:r>
      <w:rPr>
        <w:rStyle w:val="55"/>
      </w:rPr>
      <w:t>106</w:t>
    </w:r>
    <w:r>
      <w:fldChar w:fldCharType="end"/>
    </w:r>
  </w:p>
  <w:p w14:paraId="37877192">
    <w:pPr>
      <w:pStyle w:val="31"/>
      <w:jc w:val="right"/>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3999DF">
    <w:pPr>
      <w:pStyle w:val="32"/>
      <w:jc w:val="left"/>
    </w:pPr>
    <w:r>
      <w:rPr>
        <w:rFonts w:hint="eastAsia"/>
      </w:rPr>
      <w:t xml:space="preserve">广西机电设备招标有限公司采购文件                                                      </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8FAA50">
    <w:pPr>
      <w:rPr>
        <w:sz w:val="18"/>
        <w:szCs w:val="18"/>
        <w:u w:val="single"/>
      </w:rPr>
    </w:pPr>
    <w:r>
      <w:rPr>
        <w:rFonts w:hint="eastAsia"/>
        <w:sz w:val="18"/>
        <w:szCs w:val="18"/>
        <w:u w:val="single"/>
      </w:rPr>
      <w:t xml:space="preserve">广西机电设备招标有限公司采购文件                                                       </w:t>
    </w:r>
    <w:r>
      <w:rPr>
        <w:sz w:val="18"/>
        <w:szCs w:val="18"/>
        <w:u w:val="single"/>
      </w:rPr>
      <w:t xml:space="preserve">                                                          </w:t>
    </w:r>
    <w:r>
      <w:rPr>
        <w:rFonts w:hint="eastAsia"/>
        <w:sz w:val="18"/>
        <w:szCs w:val="18"/>
        <w:u w:val="single"/>
      </w:rPr>
      <w:t xml:space="preserve">   </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36DE61">
    <w:pPr>
      <w:rPr>
        <w:sz w:val="18"/>
        <w:szCs w:val="18"/>
        <w:u w:val="single"/>
      </w:rPr>
    </w:pPr>
    <w:r>
      <w:rPr>
        <w:rFonts w:hint="eastAsia"/>
        <w:sz w:val="18"/>
        <w:szCs w:val="18"/>
        <w:u w:val="single"/>
      </w:rPr>
      <w:t xml:space="preserve">广西机电设备招标有限公司采购文件                                                       </w:t>
    </w:r>
    <w:r>
      <w:rPr>
        <w:sz w:val="18"/>
        <w:szCs w:val="18"/>
        <w:u w:val="single"/>
      </w:rPr>
      <w:t xml:space="preserve">            </w:t>
    </w:r>
    <w:r>
      <w:rPr>
        <w:rFonts w:hint="eastAsia"/>
        <w:sz w:val="18"/>
        <w:szCs w:val="18"/>
        <w:u w:val="single"/>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9CECB3">
    <w:pPr>
      <w:pStyle w:val="32"/>
      <w:pBdr>
        <w:bottom w:val="single" w:color="auto" w:sz="6" w:space="0"/>
      </w:pBdr>
      <w:jc w:val="left"/>
    </w:pPr>
    <w:r>
      <w:rPr>
        <w:rFonts w:hint="eastAsia"/>
      </w:rPr>
      <w:t xml:space="preserve">广西机电设备招标有限公司采购文件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3D3B82">
    <w:pPr>
      <w:pStyle w:val="32"/>
      <w:jc w:val="left"/>
    </w:pPr>
    <w:r>
      <w:rPr>
        <w:rFonts w:hint="eastAsia"/>
      </w:rPr>
      <w:t xml:space="preserve">广西机电设备招标有限公司招标文件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DE5CEE">
    <w:pPr>
      <w:pStyle w:val="32"/>
      <w:jc w:val="left"/>
    </w:pPr>
    <w:r>
      <w:rPr>
        <w:rFonts w:hint="eastAsia"/>
      </w:rPr>
      <w:t xml:space="preserve">广西机电设备招标有限公司招标文件                                                           </w:t>
    </w:r>
  </w:p>
  <w:p w14:paraId="1639D338">
    <w:pPr>
      <w:pStyle w:val="32"/>
      <w:pBdr>
        <w:bottom w:val="none" w:color="auto" w:sz="0" w:space="0"/>
      </w:pBdr>
      <w:jc w:val="lef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117E91">
    <w:pPr>
      <w:pStyle w:val="32"/>
      <w:jc w:val="left"/>
    </w:pPr>
    <w:r>
      <w:rPr>
        <w:rFonts w:hint="eastAsia"/>
      </w:rPr>
      <w:t xml:space="preserve">广西机电设备招标有限公司采购文件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E089F7">
    <w:pPr>
      <w:pStyle w:val="32"/>
      <w:jc w:val="left"/>
    </w:pPr>
    <w:r>
      <w:rPr>
        <w:rFonts w:hint="eastAsia"/>
      </w:rPr>
      <w:t xml:space="preserve">广西机电设备招标有限公司采购文件                                                           </w:t>
    </w:r>
  </w:p>
  <w:p w14:paraId="7F0984A3">
    <w:pPr>
      <w:pStyle w:val="32"/>
      <w:pBdr>
        <w:bottom w:val="none" w:color="auto" w:sz="0" w:space="0"/>
      </w:pBdr>
      <w:jc w:val="lef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4BC6E8">
    <w:pPr>
      <w:pStyle w:val="32"/>
      <w:jc w:val="left"/>
    </w:pPr>
    <w:r>
      <w:rPr>
        <w:rFonts w:hint="eastAsia"/>
      </w:rPr>
      <w:t xml:space="preserve">广西机电设备招标有限公司采购文件                                                    </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52757D">
    <w:pPr>
      <w:pStyle w:val="32"/>
      <w:jc w:val="left"/>
    </w:pPr>
    <w:r>
      <w:rPr>
        <w:rFonts w:hint="eastAsia"/>
      </w:rPr>
      <w:t xml:space="preserve">广西机电设备招标有限公司采购文件                                                     </w:t>
    </w:r>
  </w:p>
  <w:p w14:paraId="585023DA">
    <w:pPr>
      <w:pStyle w:val="32"/>
      <w:pBdr>
        <w:bottom w:val="none" w:color="auto" w:sz="0" w:space="0"/>
      </w:pBdr>
      <w:jc w:val="left"/>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7D25A9">
    <w:pPr>
      <w:pBdr>
        <w:bottom w:val="single" w:color="auto" w:sz="6" w:space="1"/>
      </w:pBdr>
      <w:snapToGrid w:val="0"/>
      <w:jc w:val="left"/>
      <w:rPr>
        <w:sz w:val="18"/>
        <w:szCs w:val="18"/>
      </w:rPr>
    </w:pPr>
    <w:r>
      <w:rPr>
        <w:rFonts w:hint="eastAsia"/>
        <w:sz w:val="18"/>
        <w:szCs w:val="18"/>
      </w:rPr>
      <w:t>广西机电设备招标有限公司招标文件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13"/>
    <w:multiLevelType w:val="multilevel"/>
    <w:tmpl w:val="00000013"/>
    <w:lvl w:ilvl="0" w:tentative="0">
      <w:start w:val="1"/>
      <w:numFmt w:val="decimal"/>
      <w:lvlText w:val="（%1）"/>
      <w:lvlJc w:val="left"/>
      <w:pPr>
        <w:ind w:left="1140" w:hanging="7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
    <w:nsid w:val="3B026C45"/>
    <w:multiLevelType w:val="multilevel"/>
    <w:tmpl w:val="3B026C45"/>
    <w:lvl w:ilvl="0" w:tentative="0">
      <w:start w:val="1"/>
      <w:numFmt w:val="decimal"/>
      <w:lvlText w:val="%1"/>
      <w:lvlJc w:val="center"/>
      <w:pPr>
        <w:ind w:left="420" w:hanging="420"/>
      </w:pPr>
      <w:rPr>
        <w:rFonts w:hint="eastAsia"/>
        <w:b w:val="0"/>
        <w:i w:val="0"/>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6A5F3276"/>
    <w:multiLevelType w:val="singleLevel"/>
    <w:tmpl w:val="6A5F3276"/>
    <w:lvl w:ilvl="0" w:tentative="0">
      <w:start w:val="10"/>
      <w:numFmt w:val="decimal"/>
      <w:suff w:val="nothing"/>
      <w:lvlText w:val="%1."/>
      <w:lvlJc w:val="left"/>
    </w:lvl>
  </w:abstractNum>
  <w:abstractNum w:abstractNumId="3">
    <w:nsid w:val="6A5F3354"/>
    <w:multiLevelType w:val="singleLevel"/>
    <w:tmpl w:val="6A5F3354"/>
    <w:lvl w:ilvl="0" w:tentative="0">
      <w:start w:val="4"/>
      <w:numFmt w:val="decimal"/>
      <w:suff w:val="nothing"/>
      <w:lvlText w:val="%1."/>
      <w:lvlJc w:val="left"/>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NotDisplayPageBoundaries w:val="1"/>
  <w:documentProtection w:enforcement="0"/>
  <w:defaultTabStop w:val="420"/>
  <w:drawingGridVerticalSpacing w:val="156"/>
  <w:noPunctuationKerning w:val="1"/>
  <w:characterSpacingControl w:val="compressPunctuation"/>
  <w:doNotValidateAgainstSchema/>
  <w:doNotDemarcateInvalidXml/>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20A"/>
    <w:rsid w:val="000003EF"/>
    <w:rsid w:val="0000091B"/>
    <w:rsid w:val="00000D0A"/>
    <w:rsid w:val="00000D19"/>
    <w:rsid w:val="00000E1A"/>
    <w:rsid w:val="00001B3E"/>
    <w:rsid w:val="00001CD6"/>
    <w:rsid w:val="00002DDA"/>
    <w:rsid w:val="00003D69"/>
    <w:rsid w:val="00003DAE"/>
    <w:rsid w:val="000058D7"/>
    <w:rsid w:val="00005E55"/>
    <w:rsid w:val="00006E2C"/>
    <w:rsid w:val="000079FF"/>
    <w:rsid w:val="00007B0D"/>
    <w:rsid w:val="000102A9"/>
    <w:rsid w:val="000103C7"/>
    <w:rsid w:val="00010B1A"/>
    <w:rsid w:val="00010CAB"/>
    <w:rsid w:val="00011D72"/>
    <w:rsid w:val="00012078"/>
    <w:rsid w:val="0001292D"/>
    <w:rsid w:val="00013139"/>
    <w:rsid w:val="0001371C"/>
    <w:rsid w:val="00013748"/>
    <w:rsid w:val="00013D1E"/>
    <w:rsid w:val="00013D41"/>
    <w:rsid w:val="000143A3"/>
    <w:rsid w:val="00014518"/>
    <w:rsid w:val="00014ADD"/>
    <w:rsid w:val="00014DD6"/>
    <w:rsid w:val="0001598C"/>
    <w:rsid w:val="000160DA"/>
    <w:rsid w:val="00016C31"/>
    <w:rsid w:val="000207AB"/>
    <w:rsid w:val="00020BB1"/>
    <w:rsid w:val="00020BF0"/>
    <w:rsid w:val="000215B7"/>
    <w:rsid w:val="000217BF"/>
    <w:rsid w:val="000217D7"/>
    <w:rsid w:val="00021C98"/>
    <w:rsid w:val="00021CCD"/>
    <w:rsid w:val="00021EE3"/>
    <w:rsid w:val="00022424"/>
    <w:rsid w:val="000228AB"/>
    <w:rsid w:val="000233CA"/>
    <w:rsid w:val="000234FB"/>
    <w:rsid w:val="00023652"/>
    <w:rsid w:val="0002407B"/>
    <w:rsid w:val="00024633"/>
    <w:rsid w:val="00024B89"/>
    <w:rsid w:val="0002560A"/>
    <w:rsid w:val="00025656"/>
    <w:rsid w:val="00025CB2"/>
    <w:rsid w:val="00025DA0"/>
    <w:rsid w:val="0002696D"/>
    <w:rsid w:val="0002754D"/>
    <w:rsid w:val="00027666"/>
    <w:rsid w:val="000276B2"/>
    <w:rsid w:val="00027A46"/>
    <w:rsid w:val="00027AF3"/>
    <w:rsid w:val="00030024"/>
    <w:rsid w:val="00030124"/>
    <w:rsid w:val="000305FD"/>
    <w:rsid w:val="0003084F"/>
    <w:rsid w:val="00030C2F"/>
    <w:rsid w:val="00030DAA"/>
    <w:rsid w:val="000311F9"/>
    <w:rsid w:val="00031757"/>
    <w:rsid w:val="00032686"/>
    <w:rsid w:val="0003274B"/>
    <w:rsid w:val="00032AD8"/>
    <w:rsid w:val="000331CC"/>
    <w:rsid w:val="0003322E"/>
    <w:rsid w:val="000335CC"/>
    <w:rsid w:val="00033927"/>
    <w:rsid w:val="00033B67"/>
    <w:rsid w:val="00035840"/>
    <w:rsid w:val="00035844"/>
    <w:rsid w:val="00035DF4"/>
    <w:rsid w:val="00036BAA"/>
    <w:rsid w:val="00037895"/>
    <w:rsid w:val="00037C63"/>
    <w:rsid w:val="00037C99"/>
    <w:rsid w:val="00037CE4"/>
    <w:rsid w:val="00040187"/>
    <w:rsid w:val="000406A9"/>
    <w:rsid w:val="00040AC1"/>
    <w:rsid w:val="000418B1"/>
    <w:rsid w:val="00042BF9"/>
    <w:rsid w:val="00043295"/>
    <w:rsid w:val="00045069"/>
    <w:rsid w:val="00045194"/>
    <w:rsid w:val="00045947"/>
    <w:rsid w:val="00045B8A"/>
    <w:rsid w:val="000462A8"/>
    <w:rsid w:val="00046360"/>
    <w:rsid w:val="0004653D"/>
    <w:rsid w:val="000465AB"/>
    <w:rsid w:val="00046DC4"/>
    <w:rsid w:val="00046E59"/>
    <w:rsid w:val="000472E6"/>
    <w:rsid w:val="000476C9"/>
    <w:rsid w:val="000479CD"/>
    <w:rsid w:val="00047FA4"/>
    <w:rsid w:val="000500E6"/>
    <w:rsid w:val="000504FE"/>
    <w:rsid w:val="00050E2B"/>
    <w:rsid w:val="00052A50"/>
    <w:rsid w:val="00052CA6"/>
    <w:rsid w:val="00052CE3"/>
    <w:rsid w:val="00053BFC"/>
    <w:rsid w:val="0005428F"/>
    <w:rsid w:val="00054870"/>
    <w:rsid w:val="00054ABD"/>
    <w:rsid w:val="00054F7D"/>
    <w:rsid w:val="00055230"/>
    <w:rsid w:val="00055282"/>
    <w:rsid w:val="00055557"/>
    <w:rsid w:val="000556A1"/>
    <w:rsid w:val="00055A1D"/>
    <w:rsid w:val="00055A8A"/>
    <w:rsid w:val="00055E6D"/>
    <w:rsid w:val="00055F06"/>
    <w:rsid w:val="0005625F"/>
    <w:rsid w:val="000563CB"/>
    <w:rsid w:val="0005649E"/>
    <w:rsid w:val="00056597"/>
    <w:rsid w:val="00056999"/>
    <w:rsid w:val="0005700C"/>
    <w:rsid w:val="00057393"/>
    <w:rsid w:val="00057E45"/>
    <w:rsid w:val="000606B6"/>
    <w:rsid w:val="00060C55"/>
    <w:rsid w:val="000616F0"/>
    <w:rsid w:val="00061DF2"/>
    <w:rsid w:val="00062637"/>
    <w:rsid w:val="000631AC"/>
    <w:rsid w:val="000631B7"/>
    <w:rsid w:val="000639D4"/>
    <w:rsid w:val="00064A48"/>
    <w:rsid w:val="00064C80"/>
    <w:rsid w:val="00065AB2"/>
    <w:rsid w:val="00065AB7"/>
    <w:rsid w:val="00065D71"/>
    <w:rsid w:val="0006667A"/>
    <w:rsid w:val="000673D8"/>
    <w:rsid w:val="00067DE7"/>
    <w:rsid w:val="000706AC"/>
    <w:rsid w:val="00070950"/>
    <w:rsid w:val="000709D3"/>
    <w:rsid w:val="00070B2E"/>
    <w:rsid w:val="00070F5F"/>
    <w:rsid w:val="000710CA"/>
    <w:rsid w:val="000712F8"/>
    <w:rsid w:val="00071A6A"/>
    <w:rsid w:val="00071C4A"/>
    <w:rsid w:val="00071C95"/>
    <w:rsid w:val="00071E9C"/>
    <w:rsid w:val="0007216A"/>
    <w:rsid w:val="00072A95"/>
    <w:rsid w:val="00073F01"/>
    <w:rsid w:val="00074218"/>
    <w:rsid w:val="00074923"/>
    <w:rsid w:val="00074CBD"/>
    <w:rsid w:val="000750EA"/>
    <w:rsid w:val="000753A7"/>
    <w:rsid w:val="00076AA9"/>
    <w:rsid w:val="00077698"/>
    <w:rsid w:val="00077891"/>
    <w:rsid w:val="0007797E"/>
    <w:rsid w:val="000800AA"/>
    <w:rsid w:val="0008017C"/>
    <w:rsid w:val="00080AA6"/>
    <w:rsid w:val="00081C1C"/>
    <w:rsid w:val="00081F2E"/>
    <w:rsid w:val="000820CD"/>
    <w:rsid w:val="000822F0"/>
    <w:rsid w:val="00082611"/>
    <w:rsid w:val="0008264F"/>
    <w:rsid w:val="0008372E"/>
    <w:rsid w:val="00083A64"/>
    <w:rsid w:val="00083B97"/>
    <w:rsid w:val="000866A9"/>
    <w:rsid w:val="00086EC2"/>
    <w:rsid w:val="00087358"/>
    <w:rsid w:val="000873F5"/>
    <w:rsid w:val="00087A48"/>
    <w:rsid w:val="00090053"/>
    <w:rsid w:val="000900DF"/>
    <w:rsid w:val="00090193"/>
    <w:rsid w:val="0009021F"/>
    <w:rsid w:val="00091D8D"/>
    <w:rsid w:val="000923A3"/>
    <w:rsid w:val="00093149"/>
    <w:rsid w:val="00093A83"/>
    <w:rsid w:val="00093DF8"/>
    <w:rsid w:val="000941F6"/>
    <w:rsid w:val="000945C5"/>
    <w:rsid w:val="00094784"/>
    <w:rsid w:val="00094ECF"/>
    <w:rsid w:val="0009592E"/>
    <w:rsid w:val="00096686"/>
    <w:rsid w:val="0009715C"/>
    <w:rsid w:val="000A10DB"/>
    <w:rsid w:val="000A1429"/>
    <w:rsid w:val="000A2075"/>
    <w:rsid w:val="000A2584"/>
    <w:rsid w:val="000A2968"/>
    <w:rsid w:val="000A3515"/>
    <w:rsid w:val="000A3518"/>
    <w:rsid w:val="000A6F1D"/>
    <w:rsid w:val="000A70C7"/>
    <w:rsid w:val="000A7238"/>
    <w:rsid w:val="000A791D"/>
    <w:rsid w:val="000B0698"/>
    <w:rsid w:val="000B09FE"/>
    <w:rsid w:val="000B15EF"/>
    <w:rsid w:val="000B26D6"/>
    <w:rsid w:val="000B28C2"/>
    <w:rsid w:val="000B316D"/>
    <w:rsid w:val="000B3194"/>
    <w:rsid w:val="000B3CFE"/>
    <w:rsid w:val="000B4EF3"/>
    <w:rsid w:val="000B554C"/>
    <w:rsid w:val="000B59FF"/>
    <w:rsid w:val="000B5D87"/>
    <w:rsid w:val="000B6F18"/>
    <w:rsid w:val="000B7E6D"/>
    <w:rsid w:val="000C0269"/>
    <w:rsid w:val="000C350A"/>
    <w:rsid w:val="000C38C8"/>
    <w:rsid w:val="000C3CF9"/>
    <w:rsid w:val="000C4988"/>
    <w:rsid w:val="000C56F1"/>
    <w:rsid w:val="000C59D1"/>
    <w:rsid w:val="000C5D4B"/>
    <w:rsid w:val="000C645C"/>
    <w:rsid w:val="000C6F35"/>
    <w:rsid w:val="000C7045"/>
    <w:rsid w:val="000C7170"/>
    <w:rsid w:val="000C757A"/>
    <w:rsid w:val="000C7D9F"/>
    <w:rsid w:val="000C7FA4"/>
    <w:rsid w:val="000D1B95"/>
    <w:rsid w:val="000D207B"/>
    <w:rsid w:val="000D211B"/>
    <w:rsid w:val="000D3E1B"/>
    <w:rsid w:val="000D4061"/>
    <w:rsid w:val="000D4860"/>
    <w:rsid w:val="000D48FB"/>
    <w:rsid w:val="000D4B4F"/>
    <w:rsid w:val="000D4EC1"/>
    <w:rsid w:val="000D55FD"/>
    <w:rsid w:val="000D6AC8"/>
    <w:rsid w:val="000E01DF"/>
    <w:rsid w:val="000E0E30"/>
    <w:rsid w:val="000E1C04"/>
    <w:rsid w:val="000E2AD1"/>
    <w:rsid w:val="000E2BC5"/>
    <w:rsid w:val="000E3CD3"/>
    <w:rsid w:val="000E3D2F"/>
    <w:rsid w:val="000E4712"/>
    <w:rsid w:val="000E612C"/>
    <w:rsid w:val="000E6D38"/>
    <w:rsid w:val="000E72E7"/>
    <w:rsid w:val="000E72F6"/>
    <w:rsid w:val="000E75B3"/>
    <w:rsid w:val="000E7CC8"/>
    <w:rsid w:val="000F1769"/>
    <w:rsid w:val="000F1B78"/>
    <w:rsid w:val="000F1F2C"/>
    <w:rsid w:val="000F1F51"/>
    <w:rsid w:val="000F1FB0"/>
    <w:rsid w:val="000F2181"/>
    <w:rsid w:val="000F24AC"/>
    <w:rsid w:val="000F2BA5"/>
    <w:rsid w:val="000F2BFA"/>
    <w:rsid w:val="000F2F60"/>
    <w:rsid w:val="000F4B3A"/>
    <w:rsid w:val="000F5331"/>
    <w:rsid w:val="000F55C9"/>
    <w:rsid w:val="000F5AE9"/>
    <w:rsid w:val="000F6242"/>
    <w:rsid w:val="000F6F32"/>
    <w:rsid w:val="000F7264"/>
    <w:rsid w:val="000F75A8"/>
    <w:rsid w:val="000F76E0"/>
    <w:rsid w:val="000F7F50"/>
    <w:rsid w:val="00100331"/>
    <w:rsid w:val="00101255"/>
    <w:rsid w:val="001016BB"/>
    <w:rsid w:val="0010251A"/>
    <w:rsid w:val="00102BC3"/>
    <w:rsid w:val="00103458"/>
    <w:rsid w:val="00104AFF"/>
    <w:rsid w:val="001054C2"/>
    <w:rsid w:val="00105A06"/>
    <w:rsid w:val="001078F4"/>
    <w:rsid w:val="00110797"/>
    <w:rsid w:val="00111D44"/>
    <w:rsid w:val="00111ECD"/>
    <w:rsid w:val="001121DD"/>
    <w:rsid w:val="00112DBF"/>
    <w:rsid w:val="00112DD2"/>
    <w:rsid w:val="00113646"/>
    <w:rsid w:val="0011487E"/>
    <w:rsid w:val="001150C7"/>
    <w:rsid w:val="0011545B"/>
    <w:rsid w:val="00116258"/>
    <w:rsid w:val="0011730E"/>
    <w:rsid w:val="00117559"/>
    <w:rsid w:val="00117694"/>
    <w:rsid w:val="00117CB4"/>
    <w:rsid w:val="0012077F"/>
    <w:rsid w:val="00120813"/>
    <w:rsid w:val="0012099E"/>
    <w:rsid w:val="00120E60"/>
    <w:rsid w:val="0012130E"/>
    <w:rsid w:val="001213B0"/>
    <w:rsid w:val="00121741"/>
    <w:rsid w:val="00121818"/>
    <w:rsid w:val="00121832"/>
    <w:rsid w:val="00121BDD"/>
    <w:rsid w:val="0012235C"/>
    <w:rsid w:val="0012239D"/>
    <w:rsid w:val="00122A75"/>
    <w:rsid w:val="00122C14"/>
    <w:rsid w:val="0012405C"/>
    <w:rsid w:val="001241D1"/>
    <w:rsid w:val="00124985"/>
    <w:rsid w:val="00125609"/>
    <w:rsid w:val="00126655"/>
    <w:rsid w:val="00126707"/>
    <w:rsid w:val="001269E0"/>
    <w:rsid w:val="00130116"/>
    <w:rsid w:val="0013190A"/>
    <w:rsid w:val="00131C94"/>
    <w:rsid w:val="00131DE6"/>
    <w:rsid w:val="00131EAD"/>
    <w:rsid w:val="001326DF"/>
    <w:rsid w:val="00132AD8"/>
    <w:rsid w:val="00132CCE"/>
    <w:rsid w:val="00133D01"/>
    <w:rsid w:val="00134161"/>
    <w:rsid w:val="00134510"/>
    <w:rsid w:val="00134BB0"/>
    <w:rsid w:val="0013590D"/>
    <w:rsid w:val="00136031"/>
    <w:rsid w:val="00136073"/>
    <w:rsid w:val="001361F7"/>
    <w:rsid w:val="00136606"/>
    <w:rsid w:val="00136806"/>
    <w:rsid w:val="001369A6"/>
    <w:rsid w:val="00136BD6"/>
    <w:rsid w:val="00136DBC"/>
    <w:rsid w:val="00136F77"/>
    <w:rsid w:val="00137856"/>
    <w:rsid w:val="00137BD8"/>
    <w:rsid w:val="00137E9D"/>
    <w:rsid w:val="00140291"/>
    <w:rsid w:val="001404CD"/>
    <w:rsid w:val="00141083"/>
    <w:rsid w:val="001422D4"/>
    <w:rsid w:val="001442C2"/>
    <w:rsid w:val="001449E1"/>
    <w:rsid w:val="00144D5F"/>
    <w:rsid w:val="001457CC"/>
    <w:rsid w:val="0014647C"/>
    <w:rsid w:val="00147769"/>
    <w:rsid w:val="00147916"/>
    <w:rsid w:val="0014795D"/>
    <w:rsid w:val="001479AA"/>
    <w:rsid w:val="00147F00"/>
    <w:rsid w:val="00150564"/>
    <w:rsid w:val="001506A7"/>
    <w:rsid w:val="00150882"/>
    <w:rsid w:val="00150A4A"/>
    <w:rsid w:val="00151898"/>
    <w:rsid w:val="001518B5"/>
    <w:rsid w:val="00151BBA"/>
    <w:rsid w:val="0015252D"/>
    <w:rsid w:val="00152656"/>
    <w:rsid w:val="001526A2"/>
    <w:rsid w:val="00152C00"/>
    <w:rsid w:val="00152C2B"/>
    <w:rsid w:val="00152E98"/>
    <w:rsid w:val="00153084"/>
    <w:rsid w:val="001535D0"/>
    <w:rsid w:val="001540CA"/>
    <w:rsid w:val="00154304"/>
    <w:rsid w:val="0015430F"/>
    <w:rsid w:val="0015450A"/>
    <w:rsid w:val="0015477A"/>
    <w:rsid w:val="00154F0A"/>
    <w:rsid w:val="001554C4"/>
    <w:rsid w:val="00155767"/>
    <w:rsid w:val="00156891"/>
    <w:rsid w:val="00156BA3"/>
    <w:rsid w:val="00156BFA"/>
    <w:rsid w:val="00157320"/>
    <w:rsid w:val="001579B9"/>
    <w:rsid w:val="001602EB"/>
    <w:rsid w:val="001610EB"/>
    <w:rsid w:val="00161A22"/>
    <w:rsid w:val="00161BE7"/>
    <w:rsid w:val="00161C1F"/>
    <w:rsid w:val="00161C2F"/>
    <w:rsid w:val="001620B6"/>
    <w:rsid w:val="001621E9"/>
    <w:rsid w:val="00162664"/>
    <w:rsid w:val="00163005"/>
    <w:rsid w:val="00163194"/>
    <w:rsid w:val="00163CE9"/>
    <w:rsid w:val="00163DB9"/>
    <w:rsid w:val="00164C68"/>
    <w:rsid w:val="00164F8F"/>
    <w:rsid w:val="0016529F"/>
    <w:rsid w:val="001658F5"/>
    <w:rsid w:val="00165F38"/>
    <w:rsid w:val="001661B8"/>
    <w:rsid w:val="00166237"/>
    <w:rsid w:val="0016644D"/>
    <w:rsid w:val="00166EE6"/>
    <w:rsid w:val="001672AF"/>
    <w:rsid w:val="001677C3"/>
    <w:rsid w:val="00170A14"/>
    <w:rsid w:val="0017112B"/>
    <w:rsid w:val="0017260F"/>
    <w:rsid w:val="001726CF"/>
    <w:rsid w:val="00172A27"/>
    <w:rsid w:val="00172B96"/>
    <w:rsid w:val="00172BAF"/>
    <w:rsid w:val="00172EC0"/>
    <w:rsid w:val="00173191"/>
    <w:rsid w:val="001731C7"/>
    <w:rsid w:val="001737FE"/>
    <w:rsid w:val="00173F09"/>
    <w:rsid w:val="0017426E"/>
    <w:rsid w:val="00176E50"/>
    <w:rsid w:val="00176FB5"/>
    <w:rsid w:val="0017723E"/>
    <w:rsid w:val="001775DA"/>
    <w:rsid w:val="00177959"/>
    <w:rsid w:val="00177AD0"/>
    <w:rsid w:val="00177D53"/>
    <w:rsid w:val="001804A1"/>
    <w:rsid w:val="00181135"/>
    <w:rsid w:val="00181344"/>
    <w:rsid w:val="00181C0B"/>
    <w:rsid w:val="00182382"/>
    <w:rsid w:val="001825DE"/>
    <w:rsid w:val="00182DF8"/>
    <w:rsid w:val="001838B4"/>
    <w:rsid w:val="00185AA7"/>
    <w:rsid w:val="00185D27"/>
    <w:rsid w:val="00187892"/>
    <w:rsid w:val="00187DFB"/>
    <w:rsid w:val="00190463"/>
    <w:rsid w:val="0019075C"/>
    <w:rsid w:val="00191323"/>
    <w:rsid w:val="00191435"/>
    <w:rsid w:val="001919C3"/>
    <w:rsid w:val="00192213"/>
    <w:rsid w:val="001927A2"/>
    <w:rsid w:val="001927AF"/>
    <w:rsid w:val="0019290D"/>
    <w:rsid w:val="00192C82"/>
    <w:rsid w:val="0019335B"/>
    <w:rsid w:val="00193A21"/>
    <w:rsid w:val="0019423A"/>
    <w:rsid w:val="00194BD4"/>
    <w:rsid w:val="00195648"/>
    <w:rsid w:val="001959DC"/>
    <w:rsid w:val="00195F44"/>
    <w:rsid w:val="00196019"/>
    <w:rsid w:val="00196C83"/>
    <w:rsid w:val="00196E92"/>
    <w:rsid w:val="00197054"/>
    <w:rsid w:val="001A0154"/>
    <w:rsid w:val="001A0896"/>
    <w:rsid w:val="001A21A3"/>
    <w:rsid w:val="001A315B"/>
    <w:rsid w:val="001A3856"/>
    <w:rsid w:val="001A3F6D"/>
    <w:rsid w:val="001A43A8"/>
    <w:rsid w:val="001A4C94"/>
    <w:rsid w:val="001A4FDF"/>
    <w:rsid w:val="001A5A97"/>
    <w:rsid w:val="001A5DA1"/>
    <w:rsid w:val="001A5DB5"/>
    <w:rsid w:val="001A5F35"/>
    <w:rsid w:val="001A63AC"/>
    <w:rsid w:val="001A69CB"/>
    <w:rsid w:val="001A775C"/>
    <w:rsid w:val="001A7CBA"/>
    <w:rsid w:val="001B05F1"/>
    <w:rsid w:val="001B1736"/>
    <w:rsid w:val="001B1AE6"/>
    <w:rsid w:val="001B32D3"/>
    <w:rsid w:val="001B32E4"/>
    <w:rsid w:val="001B35B1"/>
    <w:rsid w:val="001B36EB"/>
    <w:rsid w:val="001B3778"/>
    <w:rsid w:val="001B3E30"/>
    <w:rsid w:val="001B3E4A"/>
    <w:rsid w:val="001B4ED3"/>
    <w:rsid w:val="001B50CC"/>
    <w:rsid w:val="001B5355"/>
    <w:rsid w:val="001B6049"/>
    <w:rsid w:val="001B60D4"/>
    <w:rsid w:val="001B6482"/>
    <w:rsid w:val="001B66F9"/>
    <w:rsid w:val="001B6EA5"/>
    <w:rsid w:val="001B7014"/>
    <w:rsid w:val="001B7A12"/>
    <w:rsid w:val="001B7C32"/>
    <w:rsid w:val="001B7CBF"/>
    <w:rsid w:val="001B7F9E"/>
    <w:rsid w:val="001C0D3C"/>
    <w:rsid w:val="001C148A"/>
    <w:rsid w:val="001C15DB"/>
    <w:rsid w:val="001C1814"/>
    <w:rsid w:val="001C1860"/>
    <w:rsid w:val="001C3671"/>
    <w:rsid w:val="001C3B66"/>
    <w:rsid w:val="001C3D80"/>
    <w:rsid w:val="001C4361"/>
    <w:rsid w:val="001C51A3"/>
    <w:rsid w:val="001C5358"/>
    <w:rsid w:val="001C56D1"/>
    <w:rsid w:val="001C59AB"/>
    <w:rsid w:val="001C6154"/>
    <w:rsid w:val="001C6921"/>
    <w:rsid w:val="001C7A8C"/>
    <w:rsid w:val="001C7C8A"/>
    <w:rsid w:val="001D1400"/>
    <w:rsid w:val="001D15D9"/>
    <w:rsid w:val="001D1930"/>
    <w:rsid w:val="001D20E3"/>
    <w:rsid w:val="001D23EF"/>
    <w:rsid w:val="001D3534"/>
    <w:rsid w:val="001D4681"/>
    <w:rsid w:val="001D537F"/>
    <w:rsid w:val="001D678A"/>
    <w:rsid w:val="001D723E"/>
    <w:rsid w:val="001D7681"/>
    <w:rsid w:val="001D7B65"/>
    <w:rsid w:val="001E0464"/>
    <w:rsid w:val="001E131D"/>
    <w:rsid w:val="001E1FA3"/>
    <w:rsid w:val="001E21AC"/>
    <w:rsid w:val="001E24A4"/>
    <w:rsid w:val="001E28CC"/>
    <w:rsid w:val="001E321D"/>
    <w:rsid w:val="001E38B1"/>
    <w:rsid w:val="001E3FEB"/>
    <w:rsid w:val="001E42EC"/>
    <w:rsid w:val="001E43E6"/>
    <w:rsid w:val="001E478C"/>
    <w:rsid w:val="001E4C00"/>
    <w:rsid w:val="001E4D12"/>
    <w:rsid w:val="001E4D56"/>
    <w:rsid w:val="001E5B91"/>
    <w:rsid w:val="001E6426"/>
    <w:rsid w:val="001E697B"/>
    <w:rsid w:val="001E6F9D"/>
    <w:rsid w:val="001E72E0"/>
    <w:rsid w:val="001F0064"/>
    <w:rsid w:val="001F09D1"/>
    <w:rsid w:val="001F16DF"/>
    <w:rsid w:val="001F17B3"/>
    <w:rsid w:val="001F193C"/>
    <w:rsid w:val="001F1960"/>
    <w:rsid w:val="001F1ABD"/>
    <w:rsid w:val="001F2631"/>
    <w:rsid w:val="001F30D8"/>
    <w:rsid w:val="001F3661"/>
    <w:rsid w:val="001F3BF9"/>
    <w:rsid w:val="001F3DAE"/>
    <w:rsid w:val="001F4685"/>
    <w:rsid w:val="001F4A98"/>
    <w:rsid w:val="001F6159"/>
    <w:rsid w:val="001F6680"/>
    <w:rsid w:val="001F6F34"/>
    <w:rsid w:val="001F6FB6"/>
    <w:rsid w:val="001F740D"/>
    <w:rsid w:val="001F792F"/>
    <w:rsid w:val="001F7AC9"/>
    <w:rsid w:val="001F7B97"/>
    <w:rsid w:val="001F7B9E"/>
    <w:rsid w:val="001F7BE1"/>
    <w:rsid w:val="001F7C97"/>
    <w:rsid w:val="00200A84"/>
    <w:rsid w:val="002012B8"/>
    <w:rsid w:val="002014F7"/>
    <w:rsid w:val="00202576"/>
    <w:rsid w:val="00202B50"/>
    <w:rsid w:val="00202EF9"/>
    <w:rsid w:val="00203204"/>
    <w:rsid w:val="00203236"/>
    <w:rsid w:val="002036E8"/>
    <w:rsid w:val="00203894"/>
    <w:rsid w:val="00203999"/>
    <w:rsid w:val="00203B3F"/>
    <w:rsid w:val="00203B81"/>
    <w:rsid w:val="002048AD"/>
    <w:rsid w:val="0020494A"/>
    <w:rsid w:val="00204AC3"/>
    <w:rsid w:val="002051F7"/>
    <w:rsid w:val="0020531C"/>
    <w:rsid w:val="00205536"/>
    <w:rsid w:val="00205C3B"/>
    <w:rsid w:val="00205EF5"/>
    <w:rsid w:val="002067D2"/>
    <w:rsid w:val="0020708A"/>
    <w:rsid w:val="00207642"/>
    <w:rsid w:val="00207AFC"/>
    <w:rsid w:val="00207F6A"/>
    <w:rsid w:val="00210256"/>
    <w:rsid w:val="00210394"/>
    <w:rsid w:val="0021076E"/>
    <w:rsid w:val="00212B08"/>
    <w:rsid w:val="00213289"/>
    <w:rsid w:val="002132DA"/>
    <w:rsid w:val="00213825"/>
    <w:rsid w:val="00213E48"/>
    <w:rsid w:val="00214189"/>
    <w:rsid w:val="002143DA"/>
    <w:rsid w:val="00214ADD"/>
    <w:rsid w:val="00214F82"/>
    <w:rsid w:val="0021525B"/>
    <w:rsid w:val="002153E3"/>
    <w:rsid w:val="00215A0D"/>
    <w:rsid w:val="00216B19"/>
    <w:rsid w:val="00216CCC"/>
    <w:rsid w:val="00216E16"/>
    <w:rsid w:val="0021738B"/>
    <w:rsid w:val="00220082"/>
    <w:rsid w:val="00220248"/>
    <w:rsid w:val="002203BD"/>
    <w:rsid w:val="00220776"/>
    <w:rsid w:val="00222027"/>
    <w:rsid w:val="002221C3"/>
    <w:rsid w:val="002223BA"/>
    <w:rsid w:val="0022299A"/>
    <w:rsid w:val="00222B91"/>
    <w:rsid w:val="002230FD"/>
    <w:rsid w:val="002232B3"/>
    <w:rsid w:val="002242DB"/>
    <w:rsid w:val="00224756"/>
    <w:rsid w:val="00224878"/>
    <w:rsid w:val="0022514D"/>
    <w:rsid w:val="00225366"/>
    <w:rsid w:val="00225495"/>
    <w:rsid w:val="00225AFD"/>
    <w:rsid w:val="00225CEE"/>
    <w:rsid w:val="00226447"/>
    <w:rsid w:val="002266DB"/>
    <w:rsid w:val="00226894"/>
    <w:rsid w:val="002268B0"/>
    <w:rsid w:val="00227577"/>
    <w:rsid w:val="002277E9"/>
    <w:rsid w:val="002301C5"/>
    <w:rsid w:val="002303A6"/>
    <w:rsid w:val="00230894"/>
    <w:rsid w:val="002308E9"/>
    <w:rsid w:val="00231B36"/>
    <w:rsid w:val="00231F9E"/>
    <w:rsid w:val="0023243C"/>
    <w:rsid w:val="00232498"/>
    <w:rsid w:val="0023254E"/>
    <w:rsid w:val="00232918"/>
    <w:rsid w:val="00232D34"/>
    <w:rsid w:val="0023350C"/>
    <w:rsid w:val="00233D7D"/>
    <w:rsid w:val="00233E70"/>
    <w:rsid w:val="00234281"/>
    <w:rsid w:val="00234FD3"/>
    <w:rsid w:val="0023583D"/>
    <w:rsid w:val="002362C4"/>
    <w:rsid w:val="00236B90"/>
    <w:rsid w:val="002371BF"/>
    <w:rsid w:val="00237A87"/>
    <w:rsid w:val="002404C3"/>
    <w:rsid w:val="00240C42"/>
    <w:rsid w:val="00241129"/>
    <w:rsid w:val="00241840"/>
    <w:rsid w:val="00241C36"/>
    <w:rsid w:val="00241CFA"/>
    <w:rsid w:val="002421D6"/>
    <w:rsid w:val="002427EB"/>
    <w:rsid w:val="002427F0"/>
    <w:rsid w:val="002428BD"/>
    <w:rsid w:val="0024294E"/>
    <w:rsid w:val="00242E09"/>
    <w:rsid w:val="00243214"/>
    <w:rsid w:val="002432B7"/>
    <w:rsid w:val="002440B2"/>
    <w:rsid w:val="002458CE"/>
    <w:rsid w:val="00245FBA"/>
    <w:rsid w:val="00246513"/>
    <w:rsid w:val="00246B1D"/>
    <w:rsid w:val="00247439"/>
    <w:rsid w:val="00247BDE"/>
    <w:rsid w:val="0025009E"/>
    <w:rsid w:val="002507C4"/>
    <w:rsid w:val="00250B11"/>
    <w:rsid w:val="00251D1C"/>
    <w:rsid w:val="00251EB3"/>
    <w:rsid w:val="00252473"/>
    <w:rsid w:val="00253254"/>
    <w:rsid w:val="0025329B"/>
    <w:rsid w:val="002538BA"/>
    <w:rsid w:val="00253EC4"/>
    <w:rsid w:val="0025418A"/>
    <w:rsid w:val="00254240"/>
    <w:rsid w:val="00255BC2"/>
    <w:rsid w:val="00256539"/>
    <w:rsid w:val="00256D0C"/>
    <w:rsid w:val="00256DEA"/>
    <w:rsid w:val="00257C49"/>
    <w:rsid w:val="0026072F"/>
    <w:rsid w:val="00260952"/>
    <w:rsid w:val="00261192"/>
    <w:rsid w:val="00261A11"/>
    <w:rsid w:val="00261A67"/>
    <w:rsid w:val="00261CB5"/>
    <w:rsid w:val="002625F2"/>
    <w:rsid w:val="002626D5"/>
    <w:rsid w:val="00263413"/>
    <w:rsid w:val="0026431A"/>
    <w:rsid w:val="002644A4"/>
    <w:rsid w:val="0026452D"/>
    <w:rsid w:val="00265066"/>
    <w:rsid w:val="00265C93"/>
    <w:rsid w:val="00266300"/>
    <w:rsid w:val="002676F9"/>
    <w:rsid w:val="00270BA8"/>
    <w:rsid w:val="00270E35"/>
    <w:rsid w:val="00271150"/>
    <w:rsid w:val="00274025"/>
    <w:rsid w:val="00274041"/>
    <w:rsid w:val="002747CC"/>
    <w:rsid w:val="00274830"/>
    <w:rsid w:val="00274A77"/>
    <w:rsid w:val="00274DF9"/>
    <w:rsid w:val="00275170"/>
    <w:rsid w:val="002756DB"/>
    <w:rsid w:val="00275D77"/>
    <w:rsid w:val="002775AA"/>
    <w:rsid w:val="002778F2"/>
    <w:rsid w:val="00277F52"/>
    <w:rsid w:val="002809A3"/>
    <w:rsid w:val="00280AAE"/>
    <w:rsid w:val="00281664"/>
    <w:rsid w:val="00281979"/>
    <w:rsid w:val="00281E85"/>
    <w:rsid w:val="002837F8"/>
    <w:rsid w:val="00283ACF"/>
    <w:rsid w:val="00283C99"/>
    <w:rsid w:val="0028473D"/>
    <w:rsid w:val="00284850"/>
    <w:rsid w:val="00284AC7"/>
    <w:rsid w:val="00284D22"/>
    <w:rsid w:val="00284EAF"/>
    <w:rsid w:val="00285326"/>
    <w:rsid w:val="00285DE8"/>
    <w:rsid w:val="00286798"/>
    <w:rsid w:val="00290891"/>
    <w:rsid w:val="00291DA9"/>
    <w:rsid w:val="00292097"/>
    <w:rsid w:val="00292773"/>
    <w:rsid w:val="002927AC"/>
    <w:rsid w:val="00292E8B"/>
    <w:rsid w:val="0029469F"/>
    <w:rsid w:val="00294704"/>
    <w:rsid w:val="00294C20"/>
    <w:rsid w:val="00295405"/>
    <w:rsid w:val="002954FB"/>
    <w:rsid w:val="0029618D"/>
    <w:rsid w:val="002965BA"/>
    <w:rsid w:val="00296711"/>
    <w:rsid w:val="00296814"/>
    <w:rsid w:val="00296FE0"/>
    <w:rsid w:val="0029716C"/>
    <w:rsid w:val="002A0C57"/>
    <w:rsid w:val="002A0DD4"/>
    <w:rsid w:val="002A1CD7"/>
    <w:rsid w:val="002A2537"/>
    <w:rsid w:val="002A2AB8"/>
    <w:rsid w:val="002A2B8E"/>
    <w:rsid w:val="002A2FD5"/>
    <w:rsid w:val="002A30B3"/>
    <w:rsid w:val="002A34B0"/>
    <w:rsid w:val="002A413D"/>
    <w:rsid w:val="002A5126"/>
    <w:rsid w:val="002A5948"/>
    <w:rsid w:val="002A64F2"/>
    <w:rsid w:val="002A6590"/>
    <w:rsid w:val="002A66BC"/>
    <w:rsid w:val="002A7059"/>
    <w:rsid w:val="002A7478"/>
    <w:rsid w:val="002A7B26"/>
    <w:rsid w:val="002B01AD"/>
    <w:rsid w:val="002B047F"/>
    <w:rsid w:val="002B2D78"/>
    <w:rsid w:val="002B32C9"/>
    <w:rsid w:val="002B3736"/>
    <w:rsid w:val="002B389E"/>
    <w:rsid w:val="002B4054"/>
    <w:rsid w:val="002B46FF"/>
    <w:rsid w:val="002B497D"/>
    <w:rsid w:val="002B4D0E"/>
    <w:rsid w:val="002B50F2"/>
    <w:rsid w:val="002B542A"/>
    <w:rsid w:val="002B5495"/>
    <w:rsid w:val="002B54C5"/>
    <w:rsid w:val="002B55E5"/>
    <w:rsid w:val="002B60D3"/>
    <w:rsid w:val="002B653E"/>
    <w:rsid w:val="002B6703"/>
    <w:rsid w:val="002B6D69"/>
    <w:rsid w:val="002B6F67"/>
    <w:rsid w:val="002B7411"/>
    <w:rsid w:val="002B7F0B"/>
    <w:rsid w:val="002B7F1B"/>
    <w:rsid w:val="002C0083"/>
    <w:rsid w:val="002C032E"/>
    <w:rsid w:val="002C0788"/>
    <w:rsid w:val="002C081A"/>
    <w:rsid w:val="002C108A"/>
    <w:rsid w:val="002C1553"/>
    <w:rsid w:val="002C2CCD"/>
    <w:rsid w:val="002C2F7F"/>
    <w:rsid w:val="002C2FB4"/>
    <w:rsid w:val="002C2FD3"/>
    <w:rsid w:val="002C30A3"/>
    <w:rsid w:val="002C3337"/>
    <w:rsid w:val="002C3683"/>
    <w:rsid w:val="002C369F"/>
    <w:rsid w:val="002C3A79"/>
    <w:rsid w:val="002C3BA9"/>
    <w:rsid w:val="002C6684"/>
    <w:rsid w:val="002C6840"/>
    <w:rsid w:val="002C6916"/>
    <w:rsid w:val="002C6DC2"/>
    <w:rsid w:val="002C6DDA"/>
    <w:rsid w:val="002C713E"/>
    <w:rsid w:val="002C7F2C"/>
    <w:rsid w:val="002D053D"/>
    <w:rsid w:val="002D0B99"/>
    <w:rsid w:val="002D1936"/>
    <w:rsid w:val="002D1CE8"/>
    <w:rsid w:val="002D2FB2"/>
    <w:rsid w:val="002D3782"/>
    <w:rsid w:val="002D3CE3"/>
    <w:rsid w:val="002D48E6"/>
    <w:rsid w:val="002D4DBC"/>
    <w:rsid w:val="002D5B16"/>
    <w:rsid w:val="002D73F7"/>
    <w:rsid w:val="002D769A"/>
    <w:rsid w:val="002D7789"/>
    <w:rsid w:val="002D77B7"/>
    <w:rsid w:val="002D7CC4"/>
    <w:rsid w:val="002D7DBC"/>
    <w:rsid w:val="002E0C21"/>
    <w:rsid w:val="002E0FA4"/>
    <w:rsid w:val="002E192A"/>
    <w:rsid w:val="002E2471"/>
    <w:rsid w:val="002E2B84"/>
    <w:rsid w:val="002E300A"/>
    <w:rsid w:val="002E30AC"/>
    <w:rsid w:val="002E3543"/>
    <w:rsid w:val="002E3B82"/>
    <w:rsid w:val="002E3C6A"/>
    <w:rsid w:val="002E3C95"/>
    <w:rsid w:val="002E40D7"/>
    <w:rsid w:val="002E4BB3"/>
    <w:rsid w:val="002E5518"/>
    <w:rsid w:val="002E5F0D"/>
    <w:rsid w:val="002E67C6"/>
    <w:rsid w:val="002E6EE7"/>
    <w:rsid w:val="002F0C6B"/>
    <w:rsid w:val="002F1A12"/>
    <w:rsid w:val="002F1CD0"/>
    <w:rsid w:val="002F1D5C"/>
    <w:rsid w:val="002F207F"/>
    <w:rsid w:val="002F24AF"/>
    <w:rsid w:val="002F3259"/>
    <w:rsid w:val="002F32ED"/>
    <w:rsid w:val="002F3799"/>
    <w:rsid w:val="002F43B6"/>
    <w:rsid w:val="002F49F9"/>
    <w:rsid w:val="002F4E60"/>
    <w:rsid w:val="002F515D"/>
    <w:rsid w:val="002F594A"/>
    <w:rsid w:val="002F6673"/>
    <w:rsid w:val="002F66DB"/>
    <w:rsid w:val="002F689E"/>
    <w:rsid w:val="002F7A05"/>
    <w:rsid w:val="002F7EB8"/>
    <w:rsid w:val="00300047"/>
    <w:rsid w:val="0030086D"/>
    <w:rsid w:val="00300D86"/>
    <w:rsid w:val="003017E1"/>
    <w:rsid w:val="00302F6A"/>
    <w:rsid w:val="00303B54"/>
    <w:rsid w:val="003040C0"/>
    <w:rsid w:val="00305CC7"/>
    <w:rsid w:val="00305F62"/>
    <w:rsid w:val="0030688B"/>
    <w:rsid w:val="00306AB8"/>
    <w:rsid w:val="003074FD"/>
    <w:rsid w:val="00307A2D"/>
    <w:rsid w:val="00310204"/>
    <w:rsid w:val="00310272"/>
    <w:rsid w:val="0031058E"/>
    <w:rsid w:val="00310D86"/>
    <w:rsid w:val="00310F34"/>
    <w:rsid w:val="00311FD9"/>
    <w:rsid w:val="00312AF6"/>
    <w:rsid w:val="00312CB7"/>
    <w:rsid w:val="00312E68"/>
    <w:rsid w:val="0031351A"/>
    <w:rsid w:val="00314AF3"/>
    <w:rsid w:val="00315B92"/>
    <w:rsid w:val="003161E5"/>
    <w:rsid w:val="00316C18"/>
    <w:rsid w:val="00317071"/>
    <w:rsid w:val="003170F2"/>
    <w:rsid w:val="0032028C"/>
    <w:rsid w:val="003204DA"/>
    <w:rsid w:val="00320582"/>
    <w:rsid w:val="003206BE"/>
    <w:rsid w:val="00321282"/>
    <w:rsid w:val="0032130E"/>
    <w:rsid w:val="00321461"/>
    <w:rsid w:val="0032187E"/>
    <w:rsid w:val="003218EA"/>
    <w:rsid w:val="00321F93"/>
    <w:rsid w:val="003223D4"/>
    <w:rsid w:val="0032278A"/>
    <w:rsid w:val="0032279E"/>
    <w:rsid w:val="00322A25"/>
    <w:rsid w:val="0032318E"/>
    <w:rsid w:val="0032373F"/>
    <w:rsid w:val="00323BA6"/>
    <w:rsid w:val="003240D0"/>
    <w:rsid w:val="00324A14"/>
    <w:rsid w:val="00325668"/>
    <w:rsid w:val="00326266"/>
    <w:rsid w:val="003262AB"/>
    <w:rsid w:val="0032659C"/>
    <w:rsid w:val="00326E7D"/>
    <w:rsid w:val="00327292"/>
    <w:rsid w:val="003272FD"/>
    <w:rsid w:val="0032744E"/>
    <w:rsid w:val="00327480"/>
    <w:rsid w:val="00327554"/>
    <w:rsid w:val="00330A37"/>
    <w:rsid w:val="00330B81"/>
    <w:rsid w:val="00332EBA"/>
    <w:rsid w:val="00333A15"/>
    <w:rsid w:val="00333A67"/>
    <w:rsid w:val="00333A6D"/>
    <w:rsid w:val="00333F1D"/>
    <w:rsid w:val="00335776"/>
    <w:rsid w:val="00336075"/>
    <w:rsid w:val="003365AA"/>
    <w:rsid w:val="00336AA6"/>
    <w:rsid w:val="0033731A"/>
    <w:rsid w:val="003374B9"/>
    <w:rsid w:val="003375AB"/>
    <w:rsid w:val="003378B1"/>
    <w:rsid w:val="003408E2"/>
    <w:rsid w:val="003415A2"/>
    <w:rsid w:val="0034163B"/>
    <w:rsid w:val="003419D5"/>
    <w:rsid w:val="0034312D"/>
    <w:rsid w:val="0034330F"/>
    <w:rsid w:val="00343669"/>
    <w:rsid w:val="00343C67"/>
    <w:rsid w:val="0034413A"/>
    <w:rsid w:val="00344BA3"/>
    <w:rsid w:val="00344BDC"/>
    <w:rsid w:val="00344D5E"/>
    <w:rsid w:val="00345475"/>
    <w:rsid w:val="00345E41"/>
    <w:rsid w:val="00346AE5"/>
    <w:rsid w:val="00346C56"/>
    <w:rsid w:val="00347159"/>
    <w:rsid w:val="00347782"/>
    <w:rsid w:val="00347D51"/>
    <w:rsid w:val="00347E11"/>
    <w:rsid w:val="00350268"/>
    <w:rsid w:val="00350594"/>
    <w:rsid w:val="00350C56"/>
    <w:rsid w:val="003511D2"/>
    <w:rsid w:val="0035155F"/>
    <w:rsid w:val="003518DC"/>
    <w:rsid w:val="00351DC1"/>
    <w:rsid w:val="00352523"/>
    <w:rsid w:val="00352542"/>
    <w:rsid w:val="00352E7B"/>
    <w:rsid w:val="0035326A"/>
    <w:rsid w:val="0035327A"/>
    <w:rsid w:val="003534CB"/>
    <w:rsid w:val="0035354E"/>
    <w:rsid w:val="00353E65"/>
    <w:rsid w:val="00353FC5"/>
    <w:rsid w:val="00354407"/>
    <w:rsid w:val="00354730"/>
    <w:rsid w:val="003547FD"/>
    <w:rsid w:val="0035516A"/>
    <w:rsid w:val="003555CF"/>
    <w:rsid w:val="00355B59"/>
    <w:rsid w:val="0035620E"/>
    <w:rsid w:val="003564B6"/>
    <w:rsid w:val="0035669E"/>
    <w:rsid w:val="003574FA"/>
    <w:rsid w:val="00357518"/>
    <w:rsid w:val="0035773F"/>
    <w:rsid w:val="00357C05"/>
    <w:rsid w:val="00357DE5"/>
    <w:rsid w:val="003600BF"/>
    <w:rsid w:val="0036071E"/>
    <w:rsid w:val="00360B3F"/>
    <w:rsid w:val="00360B9B"/>
    <w:rsid w:val="00360E9D"/>
    <w:rsid w:val="0036394D"/>
    <w:rsid w:val="00363B12"/>
    <w:rsid w:val="00363DC5"/>
    <w:rsid w:val="0036423C"/>
    <w:rsid w:val="003648BB"/>
    <w:rsid w:val="00364A04"/>
    <w:rsid w:val="00364B4C"/>
    <w:rsid w:val="00364B96"/>
    <w:rsid w:val="00364C38"/>
    <w:rsid w:val="00364D59"/>
    <w:rsid w:val="003654BE"/>
    <w:rsid w:val="003654DD"/>
    <w:rsid w:val="00365D2E"/>
    <w:rsid w:val="00365DBB"/>
    <w:rsid w:val="003673E6"/>
    <w:rsid w:val="003675F0"/>
    <w:rsid w:val="00367A90"/>
    <w:rsid w:val="003703EC"/>
    <w:rsid w:val="00370963"/>
    <w:rsid w:val="00370FF7"/>
    <w:rsid w:val="00371009"/>
    <w:rsid w:val="00371BC4"/>
    <w:rsid w:val="003722E8"/>
    <w:rsid w:val="00372733"/>
    <w:rsid w:val="0037280D"/>
    <w:rsid w:val="003728E1"/>
    <w:rsid w:val="00372C4C"/>
    <w:rsid w:val="003735AF"/>
    <w:rsid w:val="00373B9D"/>
    <w:rsid w:val="003745D0"/>
    <w:rsid w:val="00374EA0"/>
    <w:rsid w:val="00375B8A"/>
    <w:rsid w:val="00375E04"/>
    <w:rsid w:val="0037642E"/>
    <w:rsid w:val="00376D72"/>
    <w:rsid w:val="00377897"/>
    <w:rsid w:val="00377D45"/>
    <w:rsid w:val="003801DC"/>
    <w:rsid w:val="00380E15"/>
    <w:rsid w:val="00380E43"/>
    <w:rsid w:val="00380F51"/>
    <w:rsid w:val="00381993"/>
    <w:rsid w:val="00381B3A"/>
    <w:rsid w:val="00381F75"/>
    <w:rsid w:val="0038248C"/>
    <w:rsid w:val="0038294D"/>
    <w:rsid w:val="003832C2"/>
    <w:rsid w:val="00383E24"/>
    <w:rsid w:val="00383F00"/>
    <w:rsid w:val="00384837"/>
    <w:rsid w:val="003856C6"/>
    <w:rsid w:val="00385E50"/>
    <w:rsid w:val="0038685F"/>
    <w:rsid w:val="00386B43"/>
    <w:rsid w:val="00386CBA"/>
    <w:rsid w:val="00386FC4"/>
    <w:rsid w:val="003878B7"/>
    <w:rsid w:val="00387D7F"/>
    <w:rsid w:val="00391901"/>
    <w:rsid w:val="00391AC1"/>
    <w:rsid w:val="00391B2B"/>
    <w:rsid w:val="003923E6"/>
    <w:rsid w:val="00392F45"/>
    <w:rsid w:val="00393FE9"/>
    <w:rsid w:val="0039476B"/>
    <w:rsid w:val="00394841"/>
    <w:rsid w:val="00395161"/>
    <w:rsid w:val="00396113"/>
    <w:rsid w:val="0039618A"/>
    <w:rsid w:val="00396F26"/>
    <w:rsid w:val="003973FD"/>
    <w:rsid w:val="00397413"/>
    <w:rsid w:val="003976E4"/>
    <w:rsid w:val="00397E21"/>
    <w:rsid w:val="00397FDC"/>
    <w:rsid w:val="003A04AE"/>
    <w:rsid w:val="003A0667"/>
    <w:rsid w:val="003A1549"/>
    <w:rsid w:val="003A19D6"/>
    <w:rsid w:val="003A22AE"/>
    <w:rsid w:val="003A2D4E"/>
    <w:rsid w:val="003A3116"/>
    <w:rsid w:val="003A3999"/>
    <w:rsid w:val="003A3B99"/>
    <w:rsid w:val="003A4462"/>
    <w:rsid w:val="003A4663"/>
    <w:rsid w:val="003A4BFF"/>
    <w:rsid w:val="003A4F4E"/>
    <w:rsid w:val="003A5D90"/>
    <w:rsid w:val="003A62DA"/>
    <w:rsid w:val="003A7B14"/>
    <w:rsid w:val="003A7B7B"/>
    <w:rsid w:val="003A7D2A"/>
    <w:rsid w:val="003A7D38"/>
    <w:rsid w:val="003A7EEA"/>
    <w:rsid w:val="003B08CD"/>
    <w:rsid w:val="003B14FD"/>
    <w:rsid w:val="003B2427"/>
    <w:rsid w:val="003B2465"/>
    <w:rsid w:val="003B2D7D"/>
    <w:rsid w:val="003B3E12"/>
    <w:rsid w:val="003B4696"/>
    <w:rsid w:val="003B4E65"/>
    <w:rsid w:val="003B4EB6"/>
    <w:rsid w:val="003B517A"/>
    <w:rsid w:val="003B6031"/>
    <w:rsid w:val="003B6E81"/>
    <w:rsid w:val="003B77E5"/>
    <w:rsid w:val="003B7E05"/>
    <w:rsid w:val="003C02B7"/>
    <w:rsid w:val="003C052A"/>
    <w:rsid w:val="003C0F8F"/>
    <w:rsid w:val="003C131E"/>
    <w:rsid w:val="003C19A5"/>
    <w:rsid w:val="003C1C85"/>
    <w:rsid w:val="003C1F69"/>
    <w:rsid w:val="003C2450"/>
    <w:rsid w:val="003C2FEB"/>
    <w:rsid w:val="003C3A2A"/>
    <w:rsid w:val="003C3BB8"/>
    <w:rsid w:val="003C3E7F"/>
    <w:rsid w:val="003C4482"/>
    <w:rsid w:val="003C47C6"/>
    <w:rsid w:val="003C5260"/>
    <w:rsid w:val="003C553F"/>
    <w:rsid w:val="003C612F"/>
    <w:rsid w:val="003C6468"/>
    <w:rsid w:val="003C76EF"/>
    <w:rsid w:val="003D0AF6"/>
    <w:rsid w:val="003D0BFD"/>
    <w:rsid w:val="003D11D9"/>
    <w:rsid w:val="003D1E5A"/>
    <w:rsid w:val="003D3990"/>
    <w:rsid w:val="003D42B5"/>
    <w:rsid w:val="003D42CB"/>
    <w:rsid w:val="003D43E2"/>
    <w:rsid w:val="003D4B62"/>
    <w:rsid w:val="003D4E9A"/>
    <w:rsid w:val="003D51F4"/>
    <w:rsid w:val="003D5811"/>
    <w:rsid w:val="003D58C5"/>
    <w:rsid w:val="003D5C4A"/>
    <w:rsid w:val="003D6638"/>
    <w:rsid w:val="003D688E"/>
    <w:rsid w:val="003D7786"/>
    <w:rsid w:val="003D7E89"/>
    <w:rsid w:val="003D7FC4"/>
    <w:rsid w:val="003E0354"/>
    <w:rsid w:val="003E08DC"/>
    <w:rsid w:val="003E1248"/>
    <w:rsid w:val="003E184A"/>
    <w:rsid w:val="003E1887"/>
    <w:rsid w:val="003E18C9"/>
    <w:rsid w:val="003E19E2"/>
    <w:rsid w:val="003E2538"/>
    <w:rsid w:val="003E278F"/>
    <w:rsid w:val="003E2E55"/>
    <w:rsid w:val="003E3370"/>
    <w:rsid w:val="003E4296"/>
    <w:rsid w:val="003E43C8"/>
    <w:rsid w:val="003E450F"/>
    <w:rsid w:val="003E4B5F"/>
    <w:rsid w:val="003E530F"/>
    <w:rsid w:val="003E5A33"/>
    <w:rsid w:val="003E65FD"/>
    <w:rsid w:val="003E69CF"/>
    <w:rsid w:val="003E6DA0"/>
    <w:rsid w:val="003E6F17"/>
    <w:rsid w:val="003E72DA"/>
    <w:rsid w:val="003F02A3"/>
    <w:rsid w:val="003F031C"/>
    <w:rsid w:val="003F0912"/>
    <w:rsid w:val="003F099E"/>
    <w:rsid w:val="003F1622"/>
    <w:rsid w:val="003F1AA3"/>
    <w:rsid w:val="003F25EF"/>
    <w:rsid w:val="003F3277"/>
    <w:rsid w:val="003F3C9B"/>
    <w:rsid w:val="003F4C79"/>
    <w:rsid w:val="003F4E06"/>
    <w:rsid w:val="003F4FA4"/>
    <w:rsid w:val="003F4FF2"/>
    <w:rsid w:val="003F506A"/>
    <w:rsid w:val="003F562C"/>
    <w:rsid w:val="003F5E3F"/>
    <w:rsid w:val="003F6463"/>
    <w:rsid w:val="003F67CB"/>
    <w:rsid w:val="003F6A4A"/>
    <w:rsid w:val="003F759C"/>
    <w:rsid w:val="003F7DBA"/>
    <w:rsid w:val="00401CD0"/>
    <w:rsid w:val="00402608"/>
    <w:rsid w:val="00402A5A"/>
    <w:rsid w:val="00403542"/>
    <w:rsid w:val="00403A15"/>
    <w:rsid w:val="00403B73"/>
    <w:rsid w:val="00405461"/>
    <w:rsid w:val="00405477"/>
    <w:rsid w:val="0040566B"/>
    <w:rsid w:val="0040646A"/>
    <w:rsid w:val="004067F1"/>
    <w:rsid w:val="00406C91"/>
    <w:rsid w:val="00410441"/>
    <w:rsid w:val="0041078F"/>
    <w:rsid w:val="00410B78"/>
    <w:rsid w:val="00410ED9"/>
    <w:rsid w:val="0041102C"/>
    <w:rsid w:val="00411154"/>
    <w:rsid w:val="004125D1"/>
    <w:rsid w:val="004127F9"/>
    <w:rsid w:val="00412BDE"/>
    <w:rsid w:val="004146E5"/>
    <w:rsid w:val="00414DE0"/>
    <w:rsid w:val="004150FE"/>
    <w:rsid w:val="0041522E"/>
    <w:rsid w:val="004158A0"/>
    <w:rsid w:val="00415D69"/>
    <w:rsid w:val="00415FAD"/>
    <w:rsid w:val="0041619C"/>
    <w:rsid w:val="00416E51"/>
    <w:rsid w:val="0041747C"/>
    <w:rsid w:val="00417697"/>
    <w:rsid w:val="00417701"/>
    <w:rsid w:val="004178A6"/>
    <w:rsid w:val="00417C68"/>
    <w:rsid w:val="00417D7A"/>
    <w:rsid w:val="004203AA"/>
    <w:rsid w:val="0042099D"/>
    <w:rsid w:val="00420ABF"/>
    <w:rsid w:val="00420BA6"/>
    <w:rsid w:val="0042110F"/>
    <w:rsid w:val="0042121D"/>
    <w:rsid w:val="0042181C"/>
    <w:rsid w:val="00422508"/>
    <w:rsid w:val="0042267A"/>
    <w:rsid w:val="00422C4F"/>
    <w:rsid w:val="00422C59"/>
    <w:rsid w:val="00422CFC"/>
    <w:rsid w:val="00423B44"/>
    <w:rsid w:val="0042412E"/>
    <w:rsid w:val="0042472D"/>
    <w:rsid w:val="00424995"/>
    <w:rsid w:val="0042505E"/>
    <w:rsid w:val="004257A7"/>
    <w:rsid w:val="00425EF9"/>
    <w:rsid w:val="0042784A"/>
    <w:rsid w:val="00430564"/>
    <w:rsid w:val="004305C5"/>
    <w:rsid w:val="00430686"/>
    <w:rsid w:val="00430FEF"/>
    <w:rsid w:val="004318F9"/>
    <w:rsid w:val="0043202F"/>
    <w:rsid w:val="00432859"/>
    <w:rsid w:val="00432B9E"/>
    <w:rsid w:val="004336BA"/>
    <w:rsid w:val="004342CB"/>
    <w:rsid w:val="00434374"/>
    <w:rsid w:val="0043448E"/>
    <w:rsid w:val="00435197"/>
    <w:rsid w:val="004358F0"/>
    <w:rsid w:val="0043678E"/>
    <w:rsid w:val="004373AE"/>
    <w:rsid w:val="00437B57"/>
    <w:rsid w:val="00437F88"/>
    <w:rsid w:val="00440CFD"/>
    <w:rsid w:val="004410BC"/>
    <w:rsid w:val="00441164"/>
    <w:rsid w:val="004412C4"/>
    <w:rsid w:val="004414D3"/>
    <w:rsid w:val="00441976"/>
    <w:rsid w:val="00441A6C"/>
    <w:rsid w:val="004420F9"/>
    <w:rsid w:val="004435D7"/>
    <w:rsid w:val="00443C09"/>
    <w:rsid w:val="00444188"/>
    <w:rsid w:val="00444473"/>
    <w:rsid w:val="0044482D"/>
    <w:rsid w:val="00444927"/>
    <w:rsid w:val="00444FEA"/>
    <w:rsid w:val="0044517B"/>
    <w:rsid w:val="00445226"/>
    <w:rsid w:val="00445837"/>
    <w:rsid w:val="004458AB"/>
    <w:rsid w:val="00445C9F"/>
    <w:rsid w:val="00446D64"/>
    <w:rsid w:val="00447C52"/>
    <w:rsid w:val="004503A1"/>
    <w:rsid w:val="00450674"/>
    <w:rsid w:val="0045201A"/>
    <w:rsid w:val="00453DB3"/>
    <w:rsid w:val="00454B8F"/>
    <w:rsid w:val="00454C20"/>
    <w:rsid w:val="004558FA"/>
    <w:rsid w:val="00455CAE"/>
    <w:rsid w:val="00455E9B"/>
    <w:rsid w:val="0045683D"/>
    <w:rsid w:val="00456D15"/>
    <w:rsid w:val="004578E3"/>
    <w:rsid w:val="00457B9A"/>
    <w:rsid w:val="004602D4"/>
    <w:rsid w:val="00460A4B"/>
    <w:rsid w:val="00461252"/>
    <w:rsid w:val="0046159B"/>
    <w:rsid w:val="00461A84"/>
    <w:rsid w:val="00461EAE"/>
    <w:rsid w:val="00462286"/>
    <w:rsid w:val="0046249E"/>
    <w:rsid w:val="00462F25"/>
    <w:rsid w:val="004631A1"/>
    <w:rsid w:val="0046330C"/>
    <w:rsid w:val="00463717"/>
    <w:rsid w:val="00463754"/>
    <w:rsid w:val="004637CD"/>
    <w:rsid w:val="004653AD"/>
    <w:rsid w:val="00465498"/>
    <w:rsid w:val="00465A3C"/>
    <w:rsid w:val="00465F55"/>
    <w:rsid w:val="00466065"/>
    <w:rsid w:val="0046615C"/>
    <w:rsid w:val="004665E5"/>
    <w:rsid w:val="00466742"/>
    <w:rsid w:val="00466AE4"/>
    <w:rsid w:val="0046756D"/>
    <w:rsid w:val="00467B68"/>
    <w:rsid w:val="00471361"/>
    <w:rsid w:val="00472834"/>
    <w:rsid w:val="00472ADA"/>
    <w:rsid w:val="00472AF9"/>
    <w:rsid w:val="00472E87"/>
    <w:rsid w:val="00473CE6"/>
    <w:rsid w:val="004741E2"/>
    <w:rsid w:val="00474322"/>
    <w:rsid w:val="00474620"/>
    <w:rsid w:val="0047548C"/>
    <w:rsid w:val="00475B81"/>
    <w:rsid w:val="00476085"/>
    <w:rsid w:val="00476446"/>
    <w:rsid w:val="004768DB"/>
    <w:rsid w:val="004779AB"/>
    <w:rsid w:val="00477FA2"/>
    <w:rsid w:val="004801BA"/>
    <w:rsid w:val="0048028B"/>
    <w:rsid w:val="0048113B"/>
    <w:rsid w:val="00481C87"/>
    <w:rsid w:val="00482785"/>
    <w:rsid w:val="004828B4"/>
    <w:rsid w:val="00482F94"/>
    <w:rsid w:val="0048329D"/>
    <w:rsid w:val="004840B7"/>
    <w:rsid w:val="00485352"/>
    <w:rsid w:val="0048639E"/>
    <w:rsid w:val="004865B6"/>
    <w:rsid w:val="004876C2"/>
    <w:rsid w:val="004878B6"/>
    <w:rsid w:val="00487D66"/>
    <w:rsid w:val="00490831"/>
    <w:rsid w:val="00491095"/>
    <w:rsid w:val="00491554"/>
    <w:rsid w:val="004918B1"/>
    <w:rsid w:val="00492C56"/>
    <w:rsid w:val="00492F1A"/>
    <w:rsid w:val="00493782"/>
    <w:rsid w:val="00493CF5"/>
    <w:rsid w:val="00493D4F"/>
    <w:rsid w:val="00493E2D"/>
    <w:rsid w:val="00494B2E"/>
    <w:rsid w:val="004952A2"/>
    <w:rsid w:val="0049590C"/>
    <w:rsid w:val="00495D9A"/>
    <w:rsid w:val="004966E0"/>
    <w:rsid w:val="0049688D"/>
    <w:rsid w:val="00496FC7"/>
    <w:rsid w:val="00497D9F"/>
    <w:rsid w:val="004A00D5"/>
    <w:rsid w:val="004A05C0"/>
    <w:rsid w:val="004A0ECC"/>
    <w:rsid w:val="004A1246"/>
    <w:rsid w:val="004A1416"/>
    <w:rsid w:val="004A17FA"/>
    <w:rsid w:val="004A25D9"/>
    <w:rsid w:val="004A2B26"/>
    <w:rsid w:val="004A3F18"/>
    <w:rsid w:val="004A40D9"/>
    <w:rsid w:val="004A4606"/>
    <w:rsid w:val="004A4886"/>
    <w:rsid w:val="004A4D06"/>
    <w:rsid w:val="004A4FC8"/>
    <w:rsid w:val="004A5232"/>
    <w:rsid w:val="004A53D2"/>
    <w:rsid w:val="004A59C2"/>
    <w:rsid w:val="004A76F0"/>
    <w:rsid w:val="004B0A5F"/>
    <w:rsid w:val="004B11AD"/>
    <w:rsid w:val="004B15CE"/>
    <w:rsid w:val="004B2630"/>
    <w:rsid w:val="004B4636"/>
    <w:rsid w:val="004B495E"/>
    <w:rsid w:val="004B4990"/>
    <w:rsid w:val="004B51A3"/>
    <w:rsid w:val="004B534E"/>
    <w:rsid w:val="004B59CB"/>
    <w:rsid w:val="004B6901"/>
    <w:rsid w:val="004B6F05"/>
    <w:rsid w:val="004B7582"/>
    <w:rsid w:val="004B7977"/>
    <w:rsid w:val="004C0712"/>
    <w:rsid w:val="004C08EA"/>
    <w:rsid w:val="004C09C3"/>
    <w:rsid w:val="004C0F0D"/>
    <w:rsid w:val="004C1838"/>
    <w:rsid w:val="004C1CE3"/>
    <w:rsid w:val="004C3144"/>
    <w:rsid w:val="004C380C"/>
    <w:rsid w:val="004C3FD7"/>
    <w:rsid w:val="004C4B3E"/>
    <w:rsid w:val="004C5AA1"/>
    <w:rsid w:val="004C600D"/>
    <w:rsid w:val="004C6374"/>
    <w:rsid w:val="004C64D0"/>
    <w:rsid w:val="004C683A"/>
    <w:rsid w:val="004C6B4F"/>
    <w:rsid w:val="004C6D63"/>
    <w:rsid w:val="004C6DF5"/>
    <w:rsid w:val="004C79D9"/>
    <w:rsid w:val="004D118D"/>
    <w:rsid w:val="004D200F"/>
    <w:rsid w:val="004D25E2"/>
    <w:rsid w:val="004D3A17"/>
    <w:rsid w:val="004D48A7"/>
    <w:rsid w:val="004D4AC2"/>
    <w:rsid w:val="004D5038"/>
    <w:rsid w:val="004D53B3"/>
    <w:rsid w:val="004D5EBD"/>
    <w:rsid w:val="004D6314"/>
    <w:rsid w:val="004D645B"/>
    <w:rsid w:val="004D6A67"/>
    <w:rsid w:val="004D7171"/>
    <w:rsid w:val="004D7312"/>
    <w:rsid w:val="004D7420"/>
    <w:rsid w:val="004D79DD"/>
    <w:rsid w:val="004E054D"/>
    <w:rsid w:val="004E07DA"/>
    <w:rsid w:val="004E0B98"/>
    <w:rsid w:val="004E1454"/>
    <w:rsid w:val="004E1DEA"/>
    <w:rsid w:val="004E1F07"/>
    <w:rsid w:val="004E234B"/>
    <w:rsid w:val="004E2921"/>
    <w:rsid w:val="004E2BC5"/>
    <w:rsid w:val="004E305F"/>
    <w:rsid w:val="004E3C85"/>
    <w:rsid w:val="004E3FB6"/>
    <w:rsid w:val="004E41AF"/>
    <w:rsid w:val="004E4277"/>
    <w:rsid w:val="004E4F95"/>
    <w:rsid w:val="004E53FC"/>
    <w:rsid w:val="004E54A3"/>
    <w:rsid w:val="004E578F"/>
    <w:rsid w:val="004E5A30"/>
    <w:rsid w:val="004E5CF5"/>
    <w:rsid w:val="004E7540"/>
    <w:rsid w:val="004E7FC0"/>
    <w:rsid w:val="004F05B8"/>
    <w:rsid w:val="004F0962"/>
    <w:rsid w:val="004F0F05"/>
    <w:rsid w:val="004F1A7E"/>
    <w:rsid w:val="004F2F35"/>
    <w:rsid w:val="004F3442"/>
    <w:rsid w:val="004F3B0D"/>
    <w:rsid w:val="004F3BE6"/>
    <w:rsid w:val="004F3D20"/>
    <w:rsid w:val="004F3F4C"/>
    <w:rsid w:val="004F4978"/>
    <w:rsid w:val="004F4D72"/>
    <w:rsid w:val="004F4F47"/>
    <w:rsid w:val="004F5124"/>
    <w:rsid w:val="004F56ED"/>
    <w:rsid w:val="004F5D56"/>
    <w:rsid w:val="004F5FA0"/>
    <w:rsid w:val="004F6045"/>
    <w:rsid w:val="004F6147"/>
    <w:rsid w:val="004F614F"/>
    <w:rsid w:val="004F636C"/>
    <w:rsid w:val="004F69FE"/>
    <w:rsid w:val="004F752A"/>
    <w:rsid w:val="004F781C"/>
    <w:rsid w:val="004F7918"/>
    <w:rsid w:val="004F7DEC"/>
    <w:rsid w:val="0050084B"/>
    <w:rsid w:val="0050098F"/>
    <w:rsid w:val="00500CC6"/>
    <w:rsid w:val="0050145C"/>
    <w:rsid w:val="005014A0"/>
    <w:rsid w:val="00501507"/>
    <w:rsid w:val="005029F5"/>
    <w:rsid w:val="00503797"/>
    <w:rsid w:val="0050398F"/>
    <w:rsid w:val="00503F6D"/>
    <w:rsid w:val="005042A5"/>
    <w:rsid w:val="00504FA6"/>
    <w:rsid w:val="005058F0"/>
    <w:rsid w:val="00505B35"/>
    <w:rsid w:val="005064B5"/>
    <w:rsid w:val="005067EB"/>
    <w:rsid w:val="00506B64"/>
    <w:rsid w:val="005111E1"/>
    <w:rsid w:val="0051227C"/>
    <w:rsid w:val="0051254F"/>
    <w:rsid w:val="005130A1"/>
    <w:rsid w:val="00513E25"/>
    <w:rsid w:val="0051430B"/>
    <w:rsid w:val="005144B5"/>
    <w:rsid w:val="00514710"/>
    <w:rsid w:val="00514D31"/>
    <w:rsid w:val="005152F9"/>
    <w:rsid w:val="0051578D"/>
    <w:rsid w:val="005162F1"/>
    <w:rsid w:val="00516603"/>
    <w:rsid w:val="005169DD"/>
    <w:rsid w:val="0051788F"/>
    <w:rsid w:val="00517F25"/>
    <w:rsid w:val="005209F7"/>
    <w:rsid w:val="005219BF"/>
    <w:rsid w:val="00521C86"/>
    <w:rsid w:val="0052249E"/>
    <w:rsid w:val="0052275F"/>
    <w:rsid w:val="0052297D"/>
    <w:rsid w:val="00522FD1"/>
    <w:rsid w:val="005234BC"/>
    <w:rsid w:val="00523834"/>
    <w:rsid w:val="00523B2F"/>
    <w:rsid w:val="00523D53"/>
    <w:rsid w:val="00523F12"/>
    <w:rsid w:val="00523FCF"/>
    <w:rsid w:val="00524E5B"/>
    <w:rsid w:val="00525285"/>
    <w:rsid w:val="0052553B"/>
    <w:rsid w:val="00525A51"/>
    <w:rsid w:val="00525BBB"/>
    <w:rsid w:val="00526118"/>
    <w:rsid w:val="0052636C"/>
    <w:rsid w:val="005263EB"/>
    <w:rsid w:val="0052648C"/>
    <w:rsid w:val="0052699C"/>
    <w:rsid w:val="0052700A"/>
    <w:rsid w:val="00527A5E"/>
    <w:rsid w:val="00527BA9"/>
    <w:rsid w:val="00530166"/>
    <w:rsid w:val="00530771"/>
    <w:rsid w:val="00530783"/>
    <w:rsid w:val="00530833"/>
    <w:rsid w:val="00530A18"/>
    <w:rsid w:val="00530A47"/>
    <w:rsid w:val="00530DE9"/>
    <w:rsid w:val="005320EA"/>
    <w:rsid w:val="00532334"/>
    <w:rsid w:val="005330E9"/>
    <w:rsid w:val="0053426D"/>
    <w:rsid w:val="0053625D"/>
    <w:rsid w:val="005368B7"/>
    <w:rsid w:val="00536C47"/>
    <w:rsid w:val="00536F59"/>
    <w:rsid w:val="00537507"/>
    <w:rsid w:val="005378D9"/>
    <w:rsid w:val="00537A32"/>
    <w:rsid w:val="0054020B"/>
    <w:rsid w:val="005404C8"/>
    <w:rsid w:val="0054077E"/>
    <w:rsid w:val="00540889"/>
    <w:rsid w:val="00540997"/>
    <w:rsid w:val="005412F3"/>
    <w:rsid w:val="00541413"/>
    <w:rsid w:val="00541D7A"/>
    <w:rsid w:val="005431F0"/>
    <w:rsid w:val="005431FC"/>
    <w:rsid w:val="00544261"/>
    <w:rsid w:val="00544329"/>
    <w:rsid w:val="00544453"/>
    <w:rsid w:val="005446AA"/>
    <w:rsid w:val="005449AC"/>
    <w:rsid w:val="0054597C"/>
    <w:rsid w:val="00545CEB"/>
    <w:rsid w:val="005461C3"/>
    <w:rsid w:val="0054766B"/>
    <w:rsid w:val="00550AA6"/>
    <w:rsid w:val="005516BD"/>
    <w:rsid w:val="00552F3F"/>
    <w:rsid w:val="005530E3"/>
    <w:rsid w:val="00553457"/>
    <w:rsid w:val="00553854"/>
    <w:rsid w:val="005539EC"/>
    <w:rsid w:val="00553A0B"/>
    <w:rsid w:val="00554607"/>
    <w:rsid w:val="00554627"/>
    <w:rsid w:val="005547FF"/>
    <w:rsid w:val="00555DC4"/>
    <w:rsid w:val="00555E12"/>
    <w:rsid w:val="005563C9"/>
    <w:rsid w:val="005563D0"/>
    <w:rsid w:val="005574F9"/>
    <w:rsid w:val="00560031"/>
    <w:rsid w:val="00560624"/>
    <w:rsid w:val="00560C38"/>
    <w:rsid w:val="00560DE2"/>
    <w:rsid w:val="00560FAC"/>
    <w:rsid w:val="005612D4"/>
    <w:rsid w:val="005613A3"/>
    <w:rsid w:val="005613A7"/>
    <w:rsid w:val="005619B7"/>
    <w:rsid w:val="00561A59"/>
    <w:rsid w:val="00561C1C"/>
    <w:rsid w:val="00562A86"/>
    <w:rsid w:val="00562E3D"/>
    <w:rsid w:val="00563ADB"/>
    <w:rsid w:val="00563BCC"/>
    <w:rsid w:val="00563F75"/>
    <w:rsid w:val="005640EB"/>
    <w:rsid w:val="00565514"/>
    <w:rsid w:val="00565A6B"/>
    <w:rsid w:val="00565D52"/>
    <w:rsid w:val="00565D96"/>
    <w:rsid w:val="00565DB8"/>
    <w:rsid w:val="00566845"/>
    <w:rsid w:val="00566900"/>
    <w:rsid w:val="00570584"/>
    <w:rsid w:val="0057070F"/>
    <w:rsid w:val="005712D6"/>
    <w:rsid w:val="00571548"/>
    <w:rsid w:val="00571812"/>
    <w:rsid w:val="00571DCD"/>
    <w:rsid w:val="0057218C"/>
    <w:rsid w:val="00572C81"/>
    <w:rsid w:val="00572E70"/>
    <w:rsid w:val="00573369"/>
    <w:rsid w:val="00573C20"/>
    <w:rsid w:val="0057418A"/>
    <w:rsid w:val="00574923"/>
    <w:rsid w:val="00574D59"/>
    <w:rsid w:val="00575ACD"/>
    <w:rsid w:val="00575C24"/>
    <w:rsid w:val="00576226"/>
    <w:rsid w:val="005762EA"/>
    <w:rsid w:val="005767AE"/>
    <w:rsid w:val="00580390"/>
    <w:rsid w:val="00581240"/>
    <w:rsid w:val="005817B2"/>
    <w:rsid w:val="005819F7"/>
    <w:rsid w:val="00581C35"/>
    <w:rsid w:val="005824C6"/>
    <w:rsid w:val="00582674"/>
    <w:rsid w:val="0058271E"/>
    <w:rsid w:val="00582761"/>
    <w:rsid w:val="0058283F"/>
    <w:rsid w:val="0058380D"/>
    <w:rsid w:val="00583930"/>
    <w:rsid w:val="00583BFE"/>
    <w:rsid w:val="00583D8A"/>
    <w:rsid w:val="005840EF"/>
    <w:rsid w:val="005845A3"/>
    <w:rsid w:val="005848F8"/>
    <w:rsid w:val="00584E2F"/>
    <w:rsid w:val="00585151"/>
    <w:rsid w:val="0058525B"/>
    <w:rsid w:val="00585C03"/>
    <w:rsid w:val="0058619F"/>
    <w:rsid w:val="00586637"/>
    <w:rsid w:val="005867CF"/>
    <w:rsid w:val="00586E8E"/>
    <w:rsid w:val="00587C46"/>
    <w:rsid w:val="00587F56"/>
    <w:rsid w:val="00587FD9"/>
    <w:rsid w:val="005908B9"/>
    <w:rsid w:val="00591265"/>
    <w:rsid w:val="00591283"/>
    <w:rsid w:val="005915A4"/>
    <w:rsid w:val="005922F4"/>
    <w:rsid w:val="005924D3"/>
    <w:rsid w:val="005924F1"/>
    <w:rsid w:val="005925E3"/>
    <w:rsid w:val="00592F32"/>
    <w:rsid w:val="0059304D"/>
    <w:rsid w:val="005933AE"/>
    <w:rsid w:val="00594550"/>
    <w:rsid w:val="00595156"/>
    <w:rsid w:val="00596129"/>
    <w:rsid w:val="00596832"/>
    <w:rsid w:val="00596CCB"/>
    <w:rsid w:val="00596DB6"/>
    <w:rsid w:val="00597753"/>
    <w:rsid w:val="00597E6F"/>
    <w:rsid w:val="005A0203"/>
    <w:rsid w:val="005A052F"/>
    <w:rsid w:val="005A0EFC"/>
    <w:rsid w:val="005A1018"/>
    <w:rsid w:val="005A1099"/>
    <w:rsid w:val="005A12EF"/>
    <w:rsid w:val="005A167F"/>
    <w:rsid w:val="005A1980"/>
    <w:rsid w:val="005A1A26"/>
    <w:rsid w:val="005A1B43"/>
    <w:rsid w:val="005A1C52"/>
    <w:rsid w:val="005A1F74"/>
    <w:rsid w:val="005A23D2"/>
    <w:rsid w:val="005A2593"/>
    <w:rsid w:val="005A3196"/>
    <w:rsid w:val="005A339E"/>
    <w:rsid w:val="005A408B"/>
    <w:rsid w:val="005A6F80"/>
    <w:rsid w:val="005A7215"/>
    <w:rsid w:val="005A726F"/>
    <w:rsid w:val="005A72E6"/>
    <w:rsid w:val="005A782E"/>
    <w:rsid w:val="005A793B"/>
    <w:rsid w:val="005A79AE"/>
    <w:rsid w:val="005B1731"/>
    <w:rsid w:val="005B1B6F"/>
    <w:rsid w:val="005B1FD1"/>
    <w:rsid w:val="005B2054"/>
    <w:rsid w:val="005B2607"/>
    <w:rsid w:val="005B26FD"/>
    <w:rsid w:val="005B40A1"/>
    <w:rsid w:val="005B429E"/>
    <w:rsid w:val="005B44D0"/>
    <w:rsid w:val="005B4C41"/>
    <w:rsid w:val="005B4CD8"/>
    <w:rsid w:val="005B5179"/>
    <w:rsid w:val="005B5B11"/>
    <w:rsid w:val="005B60BD"/>
    <w:rsid w:val="005B6837"/>
    <w:rsid w:val="005B74F6"/>
    <w:rsid w:val="005B75BF"/>
    <w:rsid w:val="005B78D4"/>
    <w:rsid w:val="005B7BE6"/>
    <w:rsid w:val="005C0607"/>
    <w:rsid w:val="005C0A76"/>
    <w:rsid w:val="005C0F51"/>
    <w:rsid w:val="005C0F98"/>
    <w:rsid w:val="005C11E6"/>
    <w:rsid w:val="005C1F3B"/>
    <w:rsid w:val="005C208C"/>
    <w:rsid w:val="005C2E67"/>
    <w:rsid w:val="005C2E85"/>
    <w:rsid w:val="005C35ED"/>
    <w:rsid w:val="005C35FA"/>
    <w:rsid w:val="005C3CEA"/>
    <w:rsid w:val="005C482F"/>
    <w:rsid w:val="005C48AC"/>
    <w:rsid w:val="005C4D24"/>
    <w:rsid w:val="005C4DD7"/>
    <w:rsid w:val="005C539A"/>
    <w:rsid w:val="005C549E"/>
    <w:rsid w:val="005C5CAB"/>
    <w:rsid w:val="005C6236"/>
    <w:rsid w:val="005C667F"/>
    <w:rsid w:val="005C778A"/>
    <w:rsid w:val="005C794A"/>
    <w:rsid w:val="005C7B1F"/>
    <w:rsid w:val="005D03CD"/>
    <w:rsid w:val="005D074C"/>
    <w:rsid w:val="005D0923"/>
    <w:rsid w:val="005D1034"/>
    <w:rsid w:val="005D12BF"/>
    <w:rsid w:val="005D130B"/>
    <w:rsid w:val="005D14E9"/>
    <w:rsid w:val="005D1B75"/>
    <w:rsid w:val="005D1C71"/>
    <w:rsid w:val="005D21A6"/>
    <w:rsid w:val="005D29D5"/>
    <w:rsid w:val="005D2A36"/>
    <w:rsid w:val="005D3E97"/>
    <w:rsid w:val="005D4095"/>
    <w:rsid w:val="005D4641"/>
    <w:rsid w:val="005D49FF"/>
    <w:rsid w:val="005D4D0A"/>
    <w:rsid w:val="005D5695"/>
    <w:rsid w:val="005D5F69"/>
    <w:rsid w:val="005D63D6"/>
    <w:rsid w:val="005D7ED3"/>
    <w:rsid w:val="005E0862"/>
    <w:rsid w:val="005E1375"/>
    <w:rsid w:val="005E147F"/>
    <w:rsid w:val="005E1CEB"/>
    <w:rsid w:val="005E218F"/>
    <w:rsid w:val="005E2A30"/>
    <w:rsid w:val="005E2FF1"/>
    <w:rsid w:val="005E3850"/>
    <w:rsid w:val="005E3DEF"/>
    <w:rsid w:val="005E4507"/>
    <w:rsid w:val="005E4E97"/>
    <w:rsid w:val="005E5C65"/>
    <w:rsid w:val="005E5DFA"/>
    <w:rsid w:val="005E682E"/>
    <w:rsid w:val="005E6F86"/>
    <w:rsid w:val="005E7479"/>
    <w:rsid w:val="005E7892"/>
    <w:rsid w:val="005E7AE2"/>
    <w:rsid w:val="005F0245"/>
    <w:rsid w:val="005F0652"/>
    <w:rsid w:val="005F07BE"/>
    <w:rsid w:val="005F1146"/>
    <w:rsid w:val="005F3CEA"/>
    <w:rsid w:val="005F42D4"/>
    <w:rsid w:val="005F4A97"/>
    <w:rsid w:val="005F4E85"/>
    <w:rsid w:val="005F546F"/>
    <w:rsid w:val="005F5479"/>
    <w:rsid w:val="005F5B32"/>
    <w:rsid w:val="005F5CD6"/>
    <w:rsid w:val="005F6568"/>
    <w:rsid w:val="005F66DC"/>
    <w:rsid w:val="005F6D4B"/>
    <w:rsid w:val="005F731B"/>
    <w:rsid w:val="005F7D47"/>
    <w:rsid w:val="005F7E3B"/>
    <w:rsid w:val="005F7E8D"/>
    <w:rsid w:val="0060009D"/>
    <w:rsid w:val="006002D9"/>
    <w:rsid w:val="0060130C"/>
    <w:rsid w:val="006013FB"/>
    <w:rsid w:val="00601F1A"/>
    <w:rsid w:val="00602746"/>
    <w:rsid w:val="0060294C"/>
    <w:rsid w:val="00603073"/>
    <w:rsid w:val="00603128"/>
    <w:rsid w:val="006036E2"/>
    <w:rsid w:val="006037C5"/>
    <w:rsid w:val="00604154"/>
    <w:rsid w:val="006041D5"/>
    <w:rsid w:val="00604F65"/>
    <w:rsid w:val="00604F87"/>
    <w:rsid w:val="006052B9"/>
    <w:rsid w:val="00605607"/>
    <w:rsid w:val="00605E4D"/>
    <w:rsid w:val="00606050"/>
    <w:rsid w:val="00606458"/>
    <w:rsid w:val="00606CC5"/>
    <w:rsid w:val="00607141"/>
    <w:rsid w:val="00607B23"/>
    <w:rsid w:val="00611189"/>
    <w:rsid w:val="006125C5"/>
    <w:rsid w:val="006126C4"/>
    <w:rsid w:val="0061278B"/>
    <w:rsid w:val="00612EA9"/>
    <w:rsid w:val="006136B7"/>
    <w:rsid w:val="006144BB"/>
    <w:rsid w:val="00614943"/>
    <w:rsid w:val="00616900"/>
    <w:rsid w:val="00616ACC"/>
    <w:rsid w:val="00616B2A"/>
    <w:rsid w:val="00616B3B"/>
    <w:rsid w:val="0061744E"/>
    <w:rsid w:val="0061780F"/>
    <w:rsid w:val="0061799E"/>
    <w:rsid w:val="00617BBF"/>
    <w:rsid w:val="00617CDA"/>
    <w:rsid w:val="006204D9"/>
    <w:rsid w:val="006205AD"/>
    <w:rsid w:val="00621934"/>
    <w:rsid w:val="00622007"/>
    <w:rsid w:val="00622295"/>
    <w:rsid w:val="006223E7"/>
    <w:rsid w:val="00622B34"/>
    <w:rsid w:val="00623836"/>
    <w:rsid w:val="00623D94"/>
    <w:rsid w:val="00623F1D"/>
    <w:rsid w:val="00624B58"/>
    <w:rsid w:val="00624D93"/>
    <w:rsid w:val="00624E2A"/>
    <w:rsid w:val="006251EF"/>
    <w:rsid w:val="006254B1"/>
    <w:rsid w:val="00630007"/>
    <w:rsid w:val="006305AE"/>
    <w:rsid w:val="00630940"/>
    <w:rsid w:val="00630B6A"/>
    <w:rsid w:val="006312F7"/>
    <w:rsid w:val="006320CB"/>
    <w:rsid w:val="0063262B"/>
    <w:rsid w:val="00632656"/>
    <w:rsid w:val="00632F67"/>
    <w:rsid w:val="00633FD3"/>
    <w:rsid w:val="00634285"/>
    <w:rsid w:val="006345ED"/>
    <w:rsid w:val="006345EE"/>
    <w:rsid w:val="00635971"/>
    <w:rsid w:val="00640005"/>
    <w:rsid w:val="006403E0"/>
    <w:rsid w:val="0064043A"/>
    <w:rsid w:val="0064099A"/>
    <w:rsid w:val="00641627"/>
    <w:rsid w:val="00641758"/>
    <w:rsid w:val="00641DF1"/>
    <w:rsid w:val="00641F32"/>
    <w:rsid w:val="00642B83"/>
    <w:rsid w:val="0064341D"/>
    <w:rsid w:val="00643C4B"/>
    <w:rsid w:val="00645164"/>
    <w:rsid w:val="0064691C"/>
    <w:rsid w:val="006469A2"/>
    <w:rsid w:val="00646AB8"/>
    <w:rsid w:val="00646D0D"/>
    <w:rsid w:val="006471F9"/>
    <w:rsid w:val="006475BE"/>
    <w:rsid w:val="0064768C"/>
    <w:rsid w:val="0064782E"/>
    <w:rsid w:val="006507E9"/>
    <w:rsid w:val="00650822"/>
    <w:rsid w:val="006508E9"/>
    <w:rsid w:val="00650A98"/>
    <w:rsid w:val="00651614"/>
    <w:rsid w:val="00652863"/>
    <w:rsid w:val="0065290E"/>
    <w:rsid w:val="00652921"/>
    <w:rsid w:val="00653C4B"/>
    <w:rsid w:val="00653D6D"/>
    <w:rsid w:val="00654978"/>
    <w:rsid w:val="00655EA5"/>
    <w:rsid w:val="006560A2"/>
    <w:rsid w:val="00656401"/>
    <w:rsid w:val="00656989"/>
    <w:rsid w:val="006572C7"/>
    <w:rsid w:val="00657499"/>
    <w:rsid w:val="006578FA"/>
    <w:rsid w:val="0066025F"/>
    <w:rsid w:val="0066047B"/>
    <w:rsid w:val="00660BD7"/>
    <w:rsid w:val="00660E13"/>
    <w:rsid w:val="0066141F"/>
    <w:rsid w:val="00661B9D"/>
    <w:rsid w:val="0066243B"/>
    <w:rsid w:val="00662E8A"/>
    <w:rsid w:val="00663136"/>
    <w:rsid w:val="00663BB8"/>
    <w:rsid w:val="0066419D"/>
    <w:rsid w:val="0066434A"/>
    <w:rsid w:val="00664610"/>
    <w:rsid w:val="00664DBC"/>
    <w:rsid w:val="006655C3"/>
    <w:rsid w:val="006661AE"/>
    <w:rsid w:val="006661E7"/>
    <w:rsid w:val="0066711D"/>
    <w:rsid w:val="0066735E"/>
    <w:rsid w:val="006674AF"/>
    <w:rsid w:val="00667690"/>
    <w:rsid w:val="00667861"/>
    <w:rsid w:val="00667980"/>
    <w:rsid w:val="00667EF3"/>
    <w:rsid w:val="00667FEE"/>
    <w:rsid w:val="006701A1"/>
    <w:rsid w:val="006707CC"/>
    <w:rsid w:val="00670E7B"/>
    <w:rsid w:val="00670ECD"/>
    <w:rsid w:val="00671D6C"/>
    <w:rsid w:val="00671E51"/>
    <w:rsid w:val="0067398D"/>
    <w:rsid w:val="00673BC8"/>
    <w:rsid w:val="00673BEE"/>
    <w:rsid w:val="006740EF"/>
    <w:rsid w:val="006746D0"/>
    <w:rsid w:val="00675115"/>
    <w:rsid w:val="006757FE"/>
    <w:rsid w:val="00675FA0"/>
    <w:rsid w:val="00676A77"/>
    <w:rsid w:val="00677B79"/>
    <w:rsid w:val="00677FAC"/>
    <w:rsid w:val="006801FA"/>
    <w:rsid w:val="00680580"/>
    <w:rsid w:val="00680B1F"/>
    <w:rsid w:val="00680E20"/>
    <w:rsid w:val="0068129F"/>
    <w:rsid w:val="00681688"/>
    <w:rsid w:val="00681A87"/>
    <w:rsid w:val="00681D97"/>
    <w:rsid w:val="00681F24"/>
    <w:rsid w:val="006826D6"/>
    <w:rsid w:val="00682E85"/>
    <w:rsid w:val="00682F49"/>
    <w:rsid w:val="006838FF"/>
    <w:rsid w:val="00683A6F"/>
    <w:rsid w:val="00683AED"/>
    <w:rsid w:val="006840C7"/>
    <w:rsid w:val="0068441B"/>
    <w:rsid w:val="0068476F"/>
    <w:rsid w:val="00684771"/>
    <w:rsid w:val="00684C89"/>
    <w:rsid w:val="00685028"/>
    <w:rsid w:val="0068553C"/>
    <w:rsid w:val="00686E4A"/>
    <w:rsid w:val="00686F72"/>
    <w:rsid w:val="0068744E"/>
    <w:rsid w:val="00687644"/>
    <w:rsid w:val="00687A58"/>
    <w:rsid w:val="00687A88"/>
    <w:rsid w:val="00687B8D"/>
    <w:rsid w:val="00687CF6"/>
    <w:rsid w:val="00687D00"/>
    <w:rsid w:val="006900BA"/>
    <w:rsid w:val="0069098B"/>
    <w:rsid w:val="006914F0"/>
    <w:rsid w:val="006930F8"/>
    <w:rsid w:val="006933D1"/>
    <w:rsid w:val="00693912"/>
    <w:rsid w:val="00693BDB"/>
    <w:rsid w:val="006940D3"/>
    <w:rsid w:val="006940F0"/>
    <w:rsid w:val="00694113"/>
    <w:rsid w:val="006949CD"/>
    <w:rsid w:val="00694BA0"/>
    <w:rsid w:val="00695222"/>
    <w:rsid w:val="00695C9D"/>
    <w:rsid w:val="006966DF"/>
    <w:rsid w:val="006A0747"/>
    <w:rsid w:val="006A18E6"/>
    <w:rsid w:val="006A1DBF"/>
    <w:rsid w:val="006A29F8"/>
    <w:rsid w:val="006A427A"/>
    <w:rsid w:val="006A4C49"/>
    <w:rsid w:val="006A55B0"/>
    <w:rsid w:val="006A6C1F"/>
    <w:rsid w:val="006A7279"/>
    <w:rsid w:val="006A77AB"/>
    <w:rsid w:val="006A7D09"/>
    <w:rsid w:val="006B0723"/>
    <w:rsid w:val="006B0794"/>
    <w:rsid w:val="006B14B4"/>
    <w:rsid w:val="006B1692"/>
    <w:rsid w:val="006B2437"/>
    <w:rsid w:val="006B25B8"/>
    <w:rsid w:val="006B3E1A"/>
    <w:rsid w:val="006B3F37"/>
    <w:rsid w:val="006B51B9"/>
    <w:rsid w:val="006B75B6"/>
    <w:rsid w:val="006B7772"/>
    <w:rsid w:val="006B7896"/>
    <w:rsid w:val="006C0484"/>
    <w:rsid w:val="006C05A9"/>
    <w:rsid w:val="006C067B"/>
    <w:rsid w:val="006C179E"/>
    <w:rsid w:val="006C1850"/>
    <w:rsid w:val="006C231A"/>
    <w:rsid w:val="006C367E"/>
    <w:rsid w:val="006C3AB5"/>
    <w:rsid w:val="006C541F"/>
    <w:rsid w:val="006C562C"/>
    <w:rsid w:val="006C5A85"/>
    <w:rsid w:val="006C61A8"/>
    <w:rsid w:val="006C65A0"/>
    <w:rsid w:val="006C6E11"/>
    <w:rsid w:val="006C6E7A"/>
    <w:rsid w:val="006C70B8"/>
    <w:rsid w:val="006C7607"/>
    <w:rsid w:val="006C76C7"/>
    <w:rsid w:val="006C7EC3"/>
    <w:rsid w:val="006D0598"/>
    <w:rsid w:val="006D0793"/>
    <w:rsid w:val="006D0851"/>
    <w:rsid w:val="006D0C71"/>
    <w:rsid w:val="006D0F97"/>
    <w:rsid w:val="006D348B"/>
    <w:rsid w:val="006D3522"/>
    <w:rsid w:val="006D3530"/>
    <w:rsid w:val="006D3751"/>
    <w:rsid w:val="006D4415"/>
    <w:rsid w:val="006D4716"/>
    <w:rsid w:val="006D47F4"/>
    <w:rsid w:val="006D5683"/>
    <w:rsid w:val="006D5B1D"/>
    <w:rsid w:val="006D60C9"/>
    <w:rsid w:val="006D68DC"/>
    <w:rsid w:val="006D7B59"/>
    <w:rsid w:val="006D7EAC"/>
    <w:rsid w:val="006E0011"/>
    <w:rsid w:val="006E035A"/>
    <w:rsid w:val="006E0F39"/>
    <w:rsid w:val="006E17E8"/>
    <w:rsid w:val="006E1A47"/>
    <w:rsid w:val="006E2F04"/>
    <w:rsid w:val="006E462D"/>
    <w:rsid w:val="006E4782"/>
    <w:rsid w:val="006E530D"/>
    <w:rsid w:val="006E566E"/>
    <w:rsid w:val="006E6469"/>
    <w:rsid w:val="006E6D01"/>
    <w:rsid w:val="006E6FDA"/>
    <w:rsid w:val="006E737E"/>
    <w:rsid w:val="006E74B2"/>
    <w:rsid w:val="006E7CBD"/>
    <w:rsid w:val="006F003B"/>
    <w:rsid w:val="006F179A"/>
    <w:rsid w:val="006F27E3"/>
    <w:rsid w:val="006F28FB"/>
    <w:rsid w:val="006F316D"/>
    <w:rsid w:val="006F39CD"/>
    <w:rsid w:val="006F3DAA"/>
    <w:rsid w:val="006F7DDF"/>
    <w:rsid w:val="00700123"/>
    <w:rsid w:val="007004A0"/>
    <w:rsid w:val="00700E90"/>
    <w:rsid w:val="0070109F"/>
    <w:rsid w:val="00701447"/>
    <w:rsid w:val="007016D3"/>
    <w:rsid w:val="00701979"/>
    <w:rsid w:val="00701F65"/>
    <w:rsid w:val="007021DE"/>
    <w:rsid w:val="007023A5"/>
    <w:rsid w:val="00702F78"/>
    <w:rsid w:val="00702F7F"/>
    <w:rsid w:val="00703C9A"/>
    <w:rsid w:val="00703E2E"/>
    <w:rsid w:val="00703FAC"/>
    <w:rsid w:val="00704A0E"/>
    <w:rsid w:val="00705495"/>
    <w:rsid w:val="007055DE"/>
    <w:rsid w:val="007056E8"/>
    <w:rsid w:val="007058C0"/>
    <w:rsid w:val="00705BC6"/>
    <w:rsid w:val="0070698D"/>
    <w:rsid w:val="00706F45"/>
    <w:rsid w:val="00706FCE"/>
    <w:rsid w:val="00707316"/>
    <w:rsid w:val="007075CF"/>
    <w:rsid w:val="00707892"/>
    <w:rsid w:val="007104DD"/>
    <w:rsid w:val="00710626"/>
    <w:rsid w:val="00710869"/>
    <w:rsid w:val="00711196"/>
    <w:rsid w:val="00711B3F"/>
    <w:rsid w:val="007121B4"/>
    <w:rsid w:val="00712886"/>
    <w:rsid w:val="00714306"/>
    <w:rsid w:val="00714C50"/>
    <w:rsid w:val="007150D4"/>
    <w:rsid w:val="00715DE1"/>
    <w:rsid w:val="00717B75"/>
    <w:rsid w:val="00717ECB"/>
    <w:rsid w:val="00717FE8"/>
    <w:rsid w:val="007203E3"/>
    <w:rsid w:val="00720A06"/>
    <w:rsid w:val="00720C72"/>
    <w:rsid w:val="007213E4"/>
    <w:rsid w:val="0072163E"/>
    <w:rsid w:val="007223EB"/>
    <w:rsid w:val="00723ABC"/>
    <w:rsid w:val="00723F70"/>
    <w:rsid w:val="0072430C"/>
    <w:rsid w:val="0072437A"/>
    <w:rsid w:val="00724531"/>
    <w:rsid w:val="0072578A"/>
    <w:rsid w:val="0072662E"/>
    <w:rsid w:val="00730355"/>
    <w:rsid w:val="00730A23"/>
    <w:rsid w:val="00730CB1"/>
    <w:rsid w:val="0073147D"/>
    <w:rsid w:val="0073158E"/>
    <w:rsid w:val="0073172A"/>
    <w:rsid w:val="00732773"/>
    <w:rsid w:val="00732EBC"/>
    <w:rsid w:val="00733672"/>
    <w:rsid w:val="0073379C"/>
    <w:rsid w:val="00733FFC"/>
    <w:rsid w:val="0073414D"/>
    <w:rsid w:val="00734289"/>
    <w:rsid w:val="007345C7"/>
    <w:rsid w:val="00735263"/>
    <w:rsid w:val="00735626"/>
    <w:rsid w:val="00735AA3"/>
    <w:rsid w:val="00735AB7"/>
    <w:rsid w:val="00735C2D"/>
    <w:rsid w:val="0073604D"/>
    <w:rsid w:val="007363B4"/>
    <w:rsid w:val="00736733"/>
    <w:rsid w:val="00736761"/>
    <w:rsid w:val="00736B6F"/>
    <w:rsid w:val="007371A6"/>
    <w:rsid w:val="00737264"/>
    <w:rsid w:val="00737BA6"/>
    <w:rsid w:val="007409B2"/>
    <w:rsid w:val="00741510"/>
    <w:rsid w:val="00742156"/>
    <w:rsid w:val="00743ADC"/>
    <w:rsid w:val="007443A1"/>
    <w:rsid w:val="00744416"/>
    <w:rsid w:val="00744493"/>
    <w:rsid w:val="00744534"/>
    <w:rsid w:val="0074455E"/>
    <w:rsid w:val="00744C97"/>
    <w:rsid w:val="007462EC"/>
    <w:rsid w:val="00746589"/>
    <w:rsid w:val="0074663B"/>
    <w:rsid w:val="00746766"/>
    <w:rsid w:val="00746DF1"/>
    <w:rsid w:val="00747577"/>
    <w:rsid w:val="0074789C"/>
    <w:rsid w:val="00747A16"/>
    <w:rsid w:val="00747FE1"/>
    <w:rsid w:val="00750613"/>
    <w:rsid w:val="0075090A"/>
    <w:rsid w:val="00750B94"/>
    <w:rsid w:val="00751195"/>
    <w:rsid w:val="007518EA"/>
    <w:rsid w:val="007522AF"/>
    <w:rsid w:val="00753347"/>
    <w:rsid w:val="007533C9"/>
    <w:rsid w:val="007539CB"/>
    <w:rsid w:val="007544A9"/>
    <w:rsid w:val="0075471A"/>
    <w:rsid w:val="00755D9A"/>
    <w:rsid w:val="00756B31"/>
    <w:rsid w:val="00756D76"/>
    <w:rsid w:val="00756E62"/>
    <w:rsid w:val="007572BA"/>
    <w:rsid w:val="00757425"/>
    <w:rsid w:val="007576A8"/>
    <w:rsid w:val="00760428"/>
    <w:rsid w:val="00760C90"/>
    <w:rsid w:val="00761442"/>
    <w:rsid w:val="00761AC8"/>
    <w:rsid w:val="00761E92"/>
    <w:rsid w:val="0076206F"/>
    <w:rsid w:val="00762CF0"/>
    <w:rsid w:val="00762F5B"/>
    <w:rsid w:val="007632E0"/>
    <w:rsid w:val="00764453"/>
    <w:rsid w:val="00764801"/>
    <w:rsid w:val="00764891"/>
    <w:rsid w:val="00764C4A"/>
    <w:rsid w:val="0076515D"/>
    <w:rsid w:val="007655FA"/>
    <w:rsid w:val="007658E5"/>
    <w:rsid w:val="00765AA7"/>
    <w:rsid w:val="007662DE"/>
    <w:rsid w:val="00766779"/>
    <w:rsid w:val="007679EB"/>
    <w:rsid w:val="00770D94"/>
    <w:rsid w:val="00771631"/>
    <w:rsid w:val="0077193B"/>
    <w:rsid w:val="00771F9B"/>
    <w:rsid w:val="0077261D"/>
    <w:rsid w:val="0077271B"/>
    <w:rsid w:val="00772ADE"/>
    <w:rsid w:val="007735A5"/>
    <w:rsid w:val="007752E2"/>
    <w:rsid w:val="007759FE"/>
    <w:rsid w:val="007762CD"/>
    <w:rsid w:val="0077710D"/>
    <w:rsid w:val="00777290"/>
    <w:rsid w:val="007777C3"/>
    <w:rsid w:val="00780273"/>
    <w:rsid w:val="00780956"/>
    <w:rsid w:val="0078233F"/>
    <w:rsid w:val="00782D8F"/>
    <w:rsid w:val="00782F00"/>
    <w:rsid w:val="00782FC5"/>
    <w:rsid w:val="007834E3"/>
    <w:rsid w:val="0078357E"/>
    <w:rsid w:val="0078385A"/>
    <w:rsid w:val="007839E7"/>
    <w:rsid w:val="00783F2E"/>
    <w:rsid w:val="007841FF"/>
    <w:rsid w:val="00785009"/>
    <w:rsid w:val="00785E26"/>
    <w:rsid w:val="00785EFF"/>
    <w:rsid w:val="007865FC"/>
    <w:rsid w:val="00786824"/>
    <w:rsid w:val="00786C48"/>
    <w:rsid w:val="0078724C"/>
    <w:rsid w:val="007872AD"/>
    <w:rsid w:val="00787C9D"/>
    <w:rsid w:val="007906CA"/>
    <w:rsid w:val="00791503"/>
    <w:rsid w:val="00791C71"/>
    <w:rsid w:val="007934D4"/>
    <w:rsid w:val="00793789"/>
    <w:rsid w:val="007939BD"/>
    <w:rsid w:val="00793C16"/>
    <w:rsid w:val="00793FBD"/>
    <w:rsid w:val="00795610"/>
    <w:rsid w:val="00795792"/>
    <w:rsid w:val="0079630D"/>
    <w:rsid w:val="00796AC3"/>
    <w:rsid w:val="00796C5E"/>
    <w:rsid w:val="0079775B"/>
    <w:rsid w:val="00797D70"/>
    <w:rsid w:val="007A0692"/>
    <w:rsid w:val="007A0A3F"/>
    <w:rsid w:val="007A0B62"/>
    <w:rsid w:val="007A11B0"/>
    <w:rsid w:val="007A1236"/>
    <w:rsid w:val="007A1D32"/>
    <w:rsid w:val="007A21A0"/>
    <w:rsid w:val="007A2A69"/>
    <w:rsid w:val="007A2A6F"/>
    <w:rsid w:val="007A2D6D"/>
    <w:rsid w:val="007A32ED"/>
    <w:rsid w:val="007A39D3"/>
    <w:rsid w:val="007A3BDD"/>
    <w:rsid w:val="007A3E4D"/>
    <w:rsid w:val="007A40B3"/>
    <w:rsid w:val="007A4506"/>
    <w:rsid w:val="007A4EA2"/>
    <w:rsid w:val="007A57AE"/>
    <w:rsid w:val="007A6E20"/>
    <w:rsid w:val="007A737B"/>
    <w:rsid w:val="007A73DA"/>
    <w:rsid w:val="007A74B2"/>
    <w:rsid w:val="007A7922"/>
    <w:rsid w:val="007B07C4"/>
    <w:rsid w:val="007B0B94"/>
    <w:rsid w:val="007B11EC"/>
    <w:rsid w:val="007B1798"/>
    <w:rsid w:val="007B1956"/>
    <w:rsid w:val="007B1F57"/>
    <w:rsid w:val="007B4597"/>
    <w:rsid w:val="007B47A0"/>
    <w:rsid w:val="007B4B28"/>
    <w:rsid w:val="007B4B84"/>
    <w:rsid w:val="007B5174"/>
    <w:rsid w:val="007B5336"/>
    <w:rsid w:val="007B55C5"/>
    <w:rsid w:val="007B57D2"/>
    <w:rsid w:val="007B5E43"/>
    <w:rsid w:val="007B70FB"/>
    <w:rsid w:val="007B74DB"/>
    <w:rsid w:val="007C02CB"/>
    <w:rsid w:val="007C0482"/>
    <w:rsid w:val="007C123C"/>
    <w:rsid w:val="007C1DC9"/>
    <w:rsid w:val="007C1FC0"/>
    <w:rsid w:val="007C20FE"/>
    <w:rsid w:val="007C212C"/>
    <w:rsid w:val="007C2678"/>
    <w:rsid w:val="007C2F6E"/>
    <w:rsid w:val="007C3435"/>
    <w:rsid w:val="007C376A"/>
    <w:rsid w:val="007C39D4"/>
    <w:rsid w:val="007C3E04"/>
    <w:rsid w:val="007C4936"/>
    <w:rsid w:val="007C4A77"/>
    <w:rsid w:val="007C522D"/>
    <w:rsid w:val="007C55BE"/>
    <w:rsid w:val="007C5AB5"/>
    <w:rsid w:val="007C5CCF"/>
    <w:rsid w:val="007C6869"/>
    <w:rsid w:val="007C766F"/>
    <w:rsid w:val="007C7AD6"/>
    <w:rsid w:val="007C7C59"/>
    <w:rsid w:val="007C7DC7"/>
    <w:rsid w:val="007D0BB9"/>
    <w:rsid w:val="007D2593"/>
    <w:rsid w:val="007D2A26"/>
    <w:rsid w:val="007D40F5"/>
    <w:rsid w:val="007D4419"/>
    <w:rsid w:val="007D46D8"/>
    <w:rsid w:val="007D4892"/>
    <w:rsid w:val="007D48E9"/>
    <w:rsid w:val="007D53CB"/>
    <w:rsid w:val="007D564C"/>
    <w:rsid w:val="007D5857"/>
    <w:rsid w:val="007D6380"/>
    <w:rsid w:val="007D6F86"/>
    <w:rsid w:val="007D72EB"/>
    <w:rsid w:val="007D7CD6"/>
    <w:rsid w:val="007D7E01"/>
    <w:rsid w:val="007E06FB"/>
    <w:rsid w:val="007E0C3A"/>
    <w:rsid w:val="007E0F8F"/>
    <w:rsid w:val="007E2DD6"/>
    <w:rsid w:val="007E317C"/>
    <w:rsid w:val="007E3E82"/>
    <w:rsid w:val="007E44F9"/>
    <w:rsid w:val="007E46B8"/>
    <w:rsid w:val="007E5E79"/>
    <w:rsid w:val="007E5ED9"/>
    <w:rsid w:val="007E5EDC"/>
    <w:rsid w:val="007E5F31"/>
    <w:rsid w:val="007E6646"/>
    <w:rsid w:val="007E6C51"/>
    <w:rsid w:val="007E7232"/>
    <w:rsid w:val="007E72AB"/>
    <w:rsid w:val="007E7A42"/>
    <w:rsid w:val="007F0378"/>
    <w:rsid w:val="007F0684"/>
    <w:rsid w:val="007F06B6"/>
    <w:rsid w:val="007F06E8"/>
    <w:rsid w:val="007F08B2"/>
    <w:rsid w:val="007F0AF8"/>
    <w:rsid w:val="007F219A"/>
    <w:rsid w:val="007F226D"/>
    <w:rsid w:val="007F2450"/>
    <w:rsid w:val="007F2841"/>
    <w:rsid w:val="007F2A83"/>
    <w:rsid w:val="007F3A6F"/>
    <w:rsid w:val="007F3F16"/>
    <w:rsid w:val="007F4981"/>
    <w:rsid w:val="007F5C57"/>
    <w:rsid w:val="007F65DB"/>
    <w:rsid w:val="007F6761"/>
    <w:rsid w:val="007F6BC4"/>
    <w:rsid w:val="007F70D4"/>
    <w:rsid w:val="007F76B6"/>
    <w:rsid w:val="0080009A"/>
    <w:rsid w:val="00800120"/>
    <w:rsid w:val="0080073F"/>
    <w:rsid w:val="008009AF"/>
    <w:rsid w:val="008009DA"/>
    <w:rsid w:val="0080123D"/>
    <w:rsid w:val="00801CB1"/>
    <w:rsid w:val="00802AA7"/>
    <w:rsid w:val="00802B6F"/>
    <w:rsid w:val="00802BED"/>
    <w:rsid w:val="00803ACE"/>
    <w:rsid w:val="00805B99"/>
    <w:rsid w:val="0080611F"/>
    <w:rsid w:val="008064DA"/>
    <w:rsid w:val="00806E9B"/>
    <w:rsid w:val="00807090"/>
    <w:rsid w:val="008071F1"/>
    <w:rsid w:val="00807926"/>
    <w:rsid w:val="00807A15"/>
    <w:rsid w:val="00807AB5"/>
    <w:rsid w:val="008100A2"/>
    <w:rsid w:val="008107F5"/>
    <w:rsid w:val="00810E30"/>
    <w:rsid w:val="00810ED7"/>
    <w:rsid w:val="00812164"/>
    <w:rsid w:val="008136E9"/>
    <w:rsid w:val="00813AEB"/>
    <w:rsid w:val="00813FF1"/>
    <w:rsid w:val="00814CAD"/>
    <w:rsid w:val="00814F7D"/>
    <w:rsid w:val="00815CC8"/>
    <w:rsid w:val="00816377"/>
    <w:rsid w:val="008167F3"/>
    <w:rsid w:val="00817D96"/>
    <w:rsid w:val="00817F9A"/>
    <w:rsid w:val="008227FA"/>
    <w:rsid w:val="008229A2"/>
    <w:rsid w:val="00823049"/>
    <w:rsid w:val="0082443D"/>
    <w:rsid w:val="00824A9E"/>
    <w:rsid w:val="00824AA5"/>
    <w:rsid w:val="00825852"/>
    <w:rsid w:val="00825EA0"/>
    <w:rsid w:val="00825F58"/>
    <w:rsid w:val="00826756"/>
    <w:rsid w:val="008268CF"/>
    <w:rsid w:val="008270EE"/>
    <w:rsid w:val="00827497"/>
    <w:rsid w:val="0083026B"/>
    <w:rsid w:val="00830356"/>
    <w:rsid w:val="008313E6"/>
    <w:rsid w:val="00831472"/>
    <w:rsid w:val="008329FF"/>
    <w:rsid w:val="00832ECB"/>
    <w:rsid w:val="00833526"/>
    <w:rsid w:val="008340EC"/>
    <w:rsid w:val="008344B2"/>
    <w:rsid w:val="00834B47"/>
    <w:rsid w:val="00834D0C"/>
    <w:rsid w:val="00835459"/>
    <w:rsid w:val="00836F1A"/>
    <w:rsid w:val="008373A3"/>
    <w:rsid w:val="00837C41"/>
    <w:rsid w:val="00837C92"/>
    <w:rsid w:val="00837F0F"/>
    <w:rsid w:val="008416E5"/>
    <w:rsid w:val="0084210C"/>
    <w:rsid w:val="00842BBA"/>
    <w:rsid w:val="00842CB6"/>
    <w:rsid w:val="00842D41"/>
    <w:rsid w:val="00843029"/>
    <w:rsid w:val="00843420"/>
    <w:rsid w:val="00843B5D"/>
    <w:rsid w:val="008447D4"/>
    <w:rsid w:val="0084506C"/>
    <w:rsid w:val="008454BD"/>
    <w:rsid w:val="00845BDC"/>
    <w:rsid w:val="008463F3"/>
    <w:rsid w:val="00846D76"/>
    <w:rsid w:val="00847B3C"/>
    <w:rsid w:val="0085005F"/>
    <w:rsid w:val="0085062F"/>
    <w:rsid w:val="008506AC"/>
    <w:rsid w:val="00851059"/>
    <w:rsid w:val="00851307"/>
    <w:rsid w:val="008515B1"/>
    <w:rsid w:val="00852508"/>
    <w:rsid w:val="00852B17"/>
    <w:rsid w:val="00852E5B"/>
    <w:rsid w:val="00853677"/>
    <w:rsid w:val="008536B3"/>
    <w:rsid w:val="00853ACD"/>
    <w:rsid w:val="00853ACF"/>
    <w:rsid w:val="00853F1F"/>
    <w:rsid w:val="008544D3"/>
    <w:rsid w:val="008551DC"/>
    <w:rsid w:val="008558A1"/>
    <w:rsid w:val="0085642F"/>
    <w:rsid w:val="008573AF"/>
    <w:rsid w:val="00857645"/>
    <w:rsid w:val="00857D80"/>
    <w:rsid w:val="008602FC"/>
    <w:rsid w:val="0086083C"/>
    <w:rsid w:val="00860989"/>
    <w:rsid w:val="00860CF9"/>
    <w:rsid w:val="00861DDC"/>
    <w:rsid w:val="008622D3"/>
    <w:rsid w:val="0086268A"/>
    <w:rsid w:val="008639A2"/>
    <w:rsid w:val="00863BBB"/>
    <w:rsid w:val="00863D0B"/>
    <w:rsid w:val="008640FD"/>
    <w:rsid w:val="0086426C"/>
    <w:rsid w:val="0086564F"/>
    <w:rsid w:val="00865681"/>
    <w:rsid w:val="00866618"/>
    <w:rsid w:val="008668AB"/>
    <w:rsid w:val="00867985"/>
    <w:rsid w:val="00867B6B"/>
    <w:rsid w:val="00870AFC"/>
    <w:rsid w:val="0087132F"/>
    <w:rsid w:val="008715CC"/>
    <w:rsid w:val="008719F7"/>
    <w:rsid w:val="00872589"/>
    <w:rsid w:val="00872770"/>
    <w:rsid w:val="00873754"/>
    <w:rsid w:val="00873AD5"/>
    <w:rsid w:val="0087455C"/>
    <w:rsid w:val="008751B8"/>
    <w:rsid w:val="008752FC"/>
    <w:rsid w:val="00875FA4"/>
    <w:rsid w:val="008763C8"/>
    <w:rsid w:val="00877D6E"/>
    <w:rsid w:val="00877E35"/>
    <w:rsid w:val="0088014E"/>
    <w:rsid w:val="00880BAB"/>
    <w:rsid w:val="008817FF"/>
    <w:rsid w:val="008819B1"/>
    <w:rsid w:val="00881CC6"/>
    <w:rsid w:val="00881D3D"/>
    <w:rsid w:val="00882284"/>
    <w:rsid w:val="0088239C"/>
    <w:rsid w:val="00882745"/>
    <w:rsid w:val="008828F7"/>
    <w:rsid w:val="00882A65"/>
    <w:rsid w:val="00882E58"/>
    <w:rsid w:val="008835B1"/>
    <w:rsid w:val="00883B3F"/>
    <w:rsid w:val="00884CE3"/>
    <w:rsid w:val="008851BE"/>
    <w:rsid w:val="00885538"/>
    <w:rsid w:val="00885691"/>
    <w:rsid w:val="00886188"/>
    <w:rsid w:val="00886AF1"/>
    <w:rsid w:val="00887063"/>
    <w:rsid w:val="00887F1B"/>
    <w:rsid w:val="008900CF"/>
    <w:rsid w:val="00890ADA"/>
    <w:rsid w:val="00891E35"/>
    <w:rsid w:val="008922CF"/>
    <w:rsid w:val="008923D1"/>
    <w:rsid w:val="008925B9"/>
    <w:rsid w:val="008937CB"/>
    <w:rsid w:val="0089427B"/>
    <w:rsid w:val="0089483C"/>
    <w:rsid w:val="00894A6B"/>
    <w:rsid w:val="00894A7F"/>
    <w:rsid w:val="00895815"/>
    <w:rsid w:val="00895E4B"/>
    <w:rsid w:val="00895E5A"/>
    <w:rsid w:val="00896642"/>
    <w:rsid w:val="00896E3B"/>
    <w:rsid w:val="00897502"/>
    <w:rsid w:val="00897855"/>
    <w:rsid w:val="00897E32"/>
    <w:rsid w:val="008A0432"/>
    <w:rsid w:val="008A0E63"/>
    <w:rsid w:val="008A125D"/>
    <w:rsid w:val="008A173F"/>
    <w:rsid w:val="008A1EFD"/>
    <w:rsid w:val="008A2149"/>
    <w:rsid w:val="008A2790"/>
    <w:rsid w:val="008A2C5D"/>
    <w:rsid w:val="008A3C32"/>
    <w:rsid w:val="008A3CB8"/>
    <w:rsid w:val="008A40AB"/>
    <w:rsid w:val="008A414F"/>
    <w:rsid w:val="008A4F57"/>
    <w:rsid w:val="008A52CE"/>
    <w:rsid w:val="008A574C"/>
    <w:rsid w:val="008A6A25"/>
    <w:rsid w:val="008B0BA7"/>
    <w:rsid w:val="008B0D11"/>
    <w:rsid w:val="008B1E06"/>
    <w:rsid w:val="008B20A4"/>
    <w:rsid w:val="008B2A3F"/>
    <w:rsid w:val="008B2F1A"/>
    <w:rsid w:val="008B31AD"/>
    <w:rsid w:val="008B331F"/>
    <w:rsid w:val="008B3A87"/>
    <w:rsid w:val="008B3C1F"/>
    <w:rsid w:val="008B4243"/>
    <w:rsid w:val="008B4953"/>
    <w:rsid w:val="008B4E19"/>
    <w:rsid w:val="008B4F72"/>
    <w:rsid w:val="008B585B"/>
    <w:rsid w:val="008B5F58"/>
    <w:rsid w:val="008B6367"/>
    <w:rsid w:val="008B63AD"/>
    <w:rsid w:val="008B6F61"/>
    <w:rsid w:val="008B7546"/>
    <w:rsid w:val="008B7636"/>
    <w:rsid w:val="008B79D4"/>
    <w:rsid w:val="008C0557"/>
    <w:rsid w:val="008C0771"/>
    <w:rsid w:val="008C0845"/>
    <w:rsid w:val="008C127F"/>
    <w:rsid w:val="008C1715"/>
    <w:rsid w:val="008C1779"/>
    <w:rsid w:val="008C1DC1"/>
    <w:rsid w:val="008C28B3"/>
    <w:rsid w:val="008C2919"/>
    <w:rsid w:val="008C3434"/>
    <w:rsid w:val="008C3591"/>
    <w:rsid w:val="008C3A88"/>
    <w:rsid w:val="008C3AC1"/>
    <w:rsid w:val="008C4EB8"/>
    <w:rsid w:val="008C61B0"/>
    <w:rsid w:val="008C6FD3"/>
    <w:rsid w:val="008C702F"/>
    <w:rsid w:val="008C70EB"/>
    <w:rsid w:val="008C7A27"/>
    <w:rsid w:val="008C7FA7"/>
    <w:rsid w:val="008D03A3"/>
    <w:rsid w:val="008D155D"/>
    <w:rsid w:val="008D15E6"/>
    <w:rsid w:val="008D229E"/>
    <w:rsid w:val="008D24C5"/>
    <w:rsid w:val="008D25A1"/>
    <w:rsid w:val="008D36D2"/>
    <w:rsid w:val="008D3FE4"/>
    <w:rsid w:val="008D415F"/>
    <w:rsid w:val="008D4B1B"/>
    <w:rsid w:val="008D5506"/>
    <w:rsid w:val="008D56FC"/>
    <w:rsid w:val="008D5744"/>
    <w:rsid w:val="008D5DAB"/>
    <w:rsid w:val="008D5FB0"/>
    <w:rsid w:val="008D6641"/>
    <w:rsid w:val="008D6644"/>
    <w:rsid w:val="008D6847"/>
    <w:rsid w:val="008D6968"/>
    <w:rsid w:val="008D6C68"/>
    <w:rsid w:val="008D71F3"/>
    <w:rsid w:val="008D7AFD"/>
    <w:rsid w:val="008D7E3E"/>
    <w:rsid w:val="008D7EA6"/>
    <w:rsid w:val="008E0029"/>
    <w:rsid w:val="008E01BA"/>
    <w:rsid w:val="008E0219"/>
    <w:rsid w:val="008E08E9"/>
    <w:rsid w:val="008E0DE2"/>
    <w:rsid w:val="008E1A04"/>
    <w:rsid w:val="008E1CA4"/>
    <w:rsid w:val="008E2796"/>
    <w:rsid w:val="008E2BCC"/>
    <w:rsid w:val="008E3B01"/>
    <w:rsid w:val="008E3F5C"/>
    <w:rsid w:val="008E4594"/>
    <w:rsid w:val="008E5A4E"/>
    <w:rsid w:val="008E6D37"/>
    <w:rsid w:val="008E6F6B"/>
    <w:rsid w:val="008E7155"/>
    <w:rsid w:val="008E71FB"/>
    <w:rsid w:val="008E7365"/>
    <w:rsid w:val="008E7B7F"/>
    <w:rsid w:val="008E7E42"/>
    <w:rsid w:val="008E7F33"/>
    <w:rsid w:val="008F0248"/>
    <w:rsid w:val="008F07B8"/>
    <w:rsid w:val="008F0932"/>
    <w:rsid w:val="008F0EF5"/>
    <w:rsid w:val="008F1238"/>
    <w:rsid w:val="008F1B93"/>
    <w:rsid w:val="008F1BA0"/>
    <w:rsid w:val="008F232D"/>
    <w:rsid w:val="008F2435"/>
    <w:rsid w:val="008F257A"/>
    <w:rsid w:val="008F35D9"/>
    <w:rsid w:val="008F3793"/>
    <w:rsid w:val="008F3E4F"/>
    <w:rsid w:val="008F4363"/>
    <w:rsid w:val="008F438C"/>
    <w:rsid w:val="008F465B"/>
    <w:rsid w:val="008F4AA0"/>
    <w:rsid w:val="008F525C"/>
    <w:rsid w:val="008F540C"/>
    <w:rsid w:val="008F57F7"/>
    <w:rsid w:val="008F6060"/>
    <w:rsid w:val="008F6426"/>
    <w:rsid w:val="008F660A"/>
    <w:rsid w:val="008F67F1"/>
    <w:rsid w:val="008F6B8B"/>
    <w:rsid w:val="008F6EA1"/>
    <w:rsid w:val="008F74F0"/>
    <w:rsid w:val="00900C3B"/>
    <w:rsid w:val="00901038"/>
    <w:rsid w:val="009013A1"/>
    <w:rsid w:val="0090146E"/>
    <w:rsid w:val="00901587"/>
    <w:rsid w:val="00901D9F"/>
    <w:rsid w:val="00901E4D"/>
    <w:rsid w:val="0090218B"/>
    <w:rsid w:val="00902295"/>
    <w:rsid w:val="00903424"/>
    <w:rsid w:val="00903553"/>
    <w:rsid w:val="0090368C"/>
    <w:rsid w:val="00904206"/>
    <w:rsid w:val="00904595"/>
    <w:rsid w:val="0090491E"/>
    <w:rsid w:val="009049B3"/>
    <w:rsid w:val="00904D8C"/>
    <w:rsid w:val="00905456"/>
    <w:rsid w:val="009054D6"/>
    <w:rsid w:val="009058F9"/>
    <w:rsid w:val="0090621C"/>
    <w:rsid w:val="00906618"/>
    <w:rsid w:val="00906C4A"/>
    <w:rsid w:val="00910866"/>
    <w:rsid w:val="009110AD"/>
    <w:rsid w:val="009110CA"/>
    <w:rsid w:val="009111CC"/>
    <w:rsid w:val="009114FF"/>
    <w:rsid w:val="00911A79"/>
    <w:rsid w:val="00911D8B"/>
    <w:rsid w:val="00912180"/>
    <w:rsid w:val="009127CC"/>
    <w:rsid w:val="00914099"/>
    <w:rsid w:val="00914797"/>
    <w:rsid w:val="009158B9"/>
    <w:rsid w:val="00915938"/>
    <w:rsid w:val="00915AFA"/>
    <w:rsid w:val="0091620A"/>
    <w:rsid w:val="00916863"/>
    <w:rsid w:val="00916C2B"/>
    <w:rsid w:val="009171B3"/>
    <w:rsid w:val="00917458"/>
    <w:rsid w:val="00917EF4"/>
    <w:rsid w:val="0092096D"/>
    <w:rsid w:val="00921E56"/>
    <w:rsid w:val="009221ED"/>
    <w:rsid w:val="0092259C"/>
    <w:rsid w:val="00922AB8"/>
    <w:rsid w:val="00923106"/>
    <w:rsid w:val="0092330D"/>
    <w:rsid w:val="00923D98"/>
    <w:rsid w:val="00923FFB"/>
    <w:rsid w:val="00924CAD"/>
    <w:rsid w:val="00926F12"/>
    <w:rsid w:val="00927309"/>
    <w:rsid w:val="00927334"/>
    <w:rsid w:val="009278F2"/>
    <w:rsid w:val="00927DE3"/>
    <w:rsid w:val="00930591"/>
    <w:rsid w:val="00930609"/>
    <w:rsid w:val="00930A59"/>
    <w:rsid w:val="00930B72"/>
    <w:rsid w:val="0093196E"/>
    <w:rsid w:val="00931A58"/>
    <w:rsid w:val="00932113"/>
    <w:rsid w:val="00932A8D"/>
    <w:rsid w:val="00932AD7"/>
    <w:rsid w:val="00932E71"/>
    <w:rsid w:val="00933C9E"/>
    <w:rsid w:val="00934C06"/>
    <w:rsid w:val="00934FDD"/>
    <w:rsid w:val="009352C5"/>
    <w:rsid w:val="00935534"/>
    <w:rsid w:val="0093562F"/>
    <w:rsid w:val="00935F61"/>
    <w:rsid w:val="009360BB"/>
    <w:rsid w:val="00936B1F"/>
    <w:rsid w:val="009379F0"/>
    <w:rsid w:val="00937A67"/>
    <w:rsid w:val="00941E03"/>
    <w:rsid w:val="00942B2E"/>
    <w:rsid w:val="009431FA"/>
    <w:rsid w:val="00943238"/>
    <w:rsid w:val="00943CFE"/>
    <w:rsid w:val="00943F96"/>
    <w:rsid w:val="00943FA2"/>
    <w:rsid w:val="0094494D"/>
    <w:rsid w:val="00944E59"/>
    <w:rsid w:val="00945401"/>
    <w:rsid w:val="009459F4"/>
    <w:rsid w:val="00945ABE"/>
    <w:rsid w:val="00945E58"/>
    <w:rsid w:val="00946127"/>
    <w:rsid w:val="00946907"/>
    <w:rsid w:val="009508FB"/>
    <w:rsid w:val="00950CAE"/>
    <w:rsid w:val="00951256"/>
    <w:rsid w:val="009512EC"/>
    <w:rsid w:val="009515E2"/>
    <w:rsid w:val="009519A8"/>
    <w:rsid w:val="00951F0B"/>
    <w:rsid w:val="0095315A"/>
    <w:rsid w:val="009534DD"/>
    <w:rsid w:val="009535C2"/>
    <w:rsid w:val="00953A5D"/>
    <w:rsid w:val="00953A73"/>
    <w:rsid w:val="00954D5A"/>
    <w:rsid w:val="009551A8"/>
    <w:rsid w:val="0095597C"/>
    <w:rsid w:val="00956098"/>
    <w:rsid w:val="00956B6C"/>
    <w:rsid w:val="00957210"/>
    <w:rsid w:val="00957B5B"/>
    <w:rsid w:val="009601CB"/>
    <w:rsid w:val="0096059A"/>
    <w:rsid w:val="0096081E"/>
    <w:rsid w:val="00960D39"/>
    <w:rsid w:val="00960F7E"/>
    <w:rsid w:val="009611A5"/>
    <w:rsid w:val="00961742"/>
    <w:rsid w:val="0096193B"/>
    <w:rsid w:val="00961BF0"/>
    <w:rsid w:val="00961C92"/>
    <w:rsid w:val="00963188"/>
    <w:rsid w:val="00963240"/>
    <w:rsid w:val="00963B82"/>
    <w:rsid w:val="00964338"/>
    <w:rsid w:val="00964475"/>
    <w:rsid w:val="00964A6E"/>
    <w:rsid w:val="00964FB4"/>
    <w:rsid w:val="0096563E"/>
    <w:rsid w:val="00965A82"/>
    <w:rsid w:val="009663B0"/>
    <w:rsid w:val="009666BD"/>
    <w:rsid w:val="0096670E"/>
    <w:rsid w:val="00966BFB"/>
    <w:rsid w:val="009670AC"/>
    <w:rsid w:val="00967CDA"/>
    <w:rsid w:val="00970048"/>
    <w:rsid w:val="00971831"/>
    <w:rsid w:val="0097216D"/>
    <w:rsid w:val="00972D8F"/>
    <w:rsid w:val="0097363C"/>
    <w:rsid w:val="00973C2B"/>
    <w:rsid w:val="0097437B"/>
    <w:rsid w:val="009743E4"/>
    <w:rsid w:val="0097441E"/>
    <w:rsid w:val="0097556A"/>
    <w:rsid w:val="00975FB0"/>
    <w:rsid w:val="009762C7"/>
    <w:rsid w:val="009766E7"/>
    <w:rsid w:val="0097670F"/>
    <w:rsid w:val="00976C61"/>
    <w:rsid w:val="0097729C"/>
    <w:rsid w:val="0098021F"/>
    <w:rsid w:val="009803EC"/>
    <w:rsid w:val="00980D74"/>
    <w:rsid w:val="00981215"/>
    <w:rsid w:val="009812FC"/>
    <w:rsid w:val="009813BF"/>
    <w:rsid w:val="009819CD"/>
    <w:rsid w:val="00981D8D"/>
    <w:rsid w:val="009829F3"/>
    <w:rsid w:val="00982C0D"/>
    <w:rsid w:val="00983D98"/>
    <w:rsid w:val="009844B4"/>
    <w:rsid w:val="0098453B"/>
    <w:rsid w:val="0098462A"/>
    <w:rsid w:val="00984D82"/>
    <w:rsid w:val="009854EF"/>
    <w:rsid w:val="0098572B"/>
    <w:rsid w:val="009859BF"/>
    <w:rsid w:val="00985CDA"/>
    <w:rsid w:val="0098603A"/>
    <w:rsid w:val="00986137"/>
    <w:rsid w:val="00986B96"/>
    <w:rsid w:val="0098740B"/>
    <w:rsid w:val="00987C6F"/>
    <w:rsid w:val="00987E5E"/>
    <w:rsid w:val="0099018C"/>
    <w:rsid w:val="00990708"/>
    <w:rsid w:val="00990C3D"/>
    <w:rsid w:val="0099199D"/>
    <w:rsid w:val="00991B9A"/>
    <w:rsid w:val="009921CE"/>
    <w:rsid w:val="0099331F"/>
    <w:rsid w:val="00993499"/>
    <w:rsid w:val="009934DB"/>
    <w:rsid w:val="009939CB"/>
    <w:rsid w:val="00993CFF"/>
    <w:rsid w:val="00993D95"/>
    <w:rsid w:val="009948FE"/>
    <w:rsid w:val="00994D09"/>
    <w:rsid w:val="00994EAB"/>
    <w:rsid w:val="00995756"/>
    <w:rsid w:val="00995AE2"/>
    <w:rsid w:val="00996AFE"/>
    <w:rsid w:val="00997125"/>
    <w:rsid w:val="009978F4"/>
    <w:rsid w:val="009A0208"/>
    <w:rsid w:val="009A0B05"/>
    <w:rsid w:val="009A0FE2"/>
    <w:rsid w:val="009A1B80"/>
    <w:rsid w:val="009A21EE"/>
    <w:rsid w:val="009A253B"/>
    <w:rsid w:val="009A2F7C"/>
    <w:rsid w:val="009A3C6E"/>
    <w:rsid w:val="009A472B"/>
    <w:rsid w:val="009A4CC5"/>
    <w:rsid w:val="009A640C"/>
    <w:rsid w:val="009A657D"/>
    <w:rsid w:val="009A667C"/>
    <w:rsid w:val="009A6A04"/>
    <w:rsid w:val="009A6A34"/>
    <w:rsid w:val="009A7344"/>
    <w:rsid w:val="009A7741"/>
    <w:rsid w:val="009A78A6"/>
    <w:rsid w:val="009B01AE"/>
    <w:rsid w:val="009B04F2"/>
    <w:rsid w:val="009B074F"/>
    <w:rsid w:val="009B0A43"/>
    <w:rsid w:val="009B123D"/>
    <w:rsid w:val="009B1C1B"/>
    <w:rsid w:val="009B1E55"/>
    <w:rsid w:val="009B35BF"/>
    <w:rsid w:val="009B4C3E"/>
    <w:rsid w:val="009B4D2F"/>
    <w:rsid w:val="009B5038"/>
    <w:rsid w:val="009B55FE"/>
    <w:rsid w:val="009B56BE"/>
    <w:rsid w:val="009B573C"/>
    <w:rsid w:val="009B6E0F"/>
    <w:rsid w:val="009B708C"/>
    <w:rsid w:val="009B7356"/>
    <w:rsid w:val="009B78AF"/>
    <w:rsid w:val="009B7A8A"/>
    <w:rsid w:val="009C099B"/>
    <w:rsid w:val="009C0B86"/>
    <w:rsid w:val="009C1604"/>
    <w:rsid w:val="009C1ADB"/>
    <w:rsid w:val="009C1F3C"/>
    <w:rsid w:val="009C25AE"/>
    <w:rsid w:val="009C37BF"/>
    <w:rsid w:val="009C398A"/>
    <w:rsid w:val="009C442E"/>
    <w:rsid w:val="009C4676"/>
    <w:rsid w:val="009C4D9E"/>
    <w:rsid w:val="009C52A3"/>
    <w:rsid w:val="009C5FC3"/>
    <w:rsid w:val="009C6046"/>
    <w:rsid w:val="009C60E9"/>
    <w:rsid w:val="009C619B"/>
    <w:rsid w:val="009C6629"/>
    <w:rsid w:val="009C7896"/>
    <w:rsid w:val="009D0530"/>
    <w:rsid w:val="009D0C23"/>
    <w:rsid w:val="009D0CF4"/>
    <w:rsid w:val="009D0D52"/>
    <w:rsid w:val="009D140A"/>
    <w:rsid w:val="009D1460"/>
    <w:rsid w:val="009D1A74"/>
    <w:rsid w:val="009D2398"/>
    <w:rsid w:val="009D23B8"/>
    <w:rsid w:val="009D2988"/>
    <w:rsid w:val="009D2B87"/>
    <w:rsid w:val="009D3160"/>
    <w:rsid w:val="009D39E1"/>
    <w:rsid w:val="009D3D90"/>
    <w:rsid w:val="009D43C4"/>
    <w:rsid w:val="009D4760"/>
    <w:rsid w:val="009D484C"/>
    <w:rsid w:val="009D4C5D"/>
    <w:rsid w:val="009D59CA"/>
    <w:rsid w:val="009D6254"/>
    <w:rsid w:val="009D645F"/>
    <w:rsid w:val="009D6D3F"/>
    <w:rsid w:val="009D7410"/>
    <w:rsid w:val="009D7601"/>
    <w:rsid w:val="009D7622"/>
    <w:rsid w:val="009E05DA"/>
    <w:rsid w:val="009E075E"/>
    <w:rsid w:val="009E1908"/>
    <w:rsid w:val="009E1ECF"/>
    <w:rsid w:val="009E2463"/>
    <w:rsid w:val="009E28F8"/>
    <w:rsid w:val="009E2A45"/>
    <w:rsid w:val="009E2B4C"/>
    <w:rsid w:val="009E2C55"/>
    <w:rsid w:val="009E2E3F"/>
    <w:rsid w:val="009E2FAC"/>
    <w:rsid w:val="009E3197"/>
    <w:rsid w:val="009E391D"/>
    <w:rsid w:val="009E44A4"/>
    <w:rsid w:val="009E4A34"/>
    <w:rsid w:val="009E4E3B"/>
    <w:rsid w:val="009E4F7F"/>
    <w:rsid w:val="009E53DF"/>
    <w:rsid w:val="009E59F4"/>
    <w:rsid w:val="009E61B0"/>
    <w:rsid w:val="009E63F0"/>
    <w:rsid w:val="009E716C"/>
    <w:rsid w:val="009E7A47"/>
    <w:rsid w:val="009E7BCD"/>
    <w:rsid w:val="009F012F"/>
    <w:rsid w:val="009F05AC"/>
    <w:rsid w:val="009F086C"/>
    <w:rsid w:val="009F142C"/>
    <w:rsid w:val="009F1443"/>
    <w:rsid w:val="009F14F3"/>
    <w:rsid w:val="009F1778"/>
    <w:rsid w:val="009F1EEE"/>
    <w:rsid w:val="009F239C"/>
    <w:rsid w:val="009F282A"/>
    <w:rsid w:val="009F2E88"/>
    <w:rsid w:val="009F37FA"/>
    <w:rsid w:val="009F4825"/>
    <w:rsid w:val="009F49FF"/>
    <w:rsid w:val="009F5CE6"/>
    <w:rsid w:val="009F60E0"/>
    <w:rsid w:val="009F68A3"/>
    <w:rsid w:val="009F6B75"/>
    <w:rsid w:val="009F6C90"/>
    <w:rsid w:val="009F6DD9"/>
    <w:rsid w:val="009F74DB"/>
    <w:rsid w:val="009F77DF"/>
    <w:rsid w:val="009F7813"/>
    <w:rsid w:val="009F783F"/>
    <w:rsid w:val="009F7CB3"/>
    <w:rsid w:val="00A00221"/>
    <w:rsid w:val="00A00271"/>
    <w:rsid w:val="00A00437"/>
    <w:rsid w:val="00A00DDA"/>
    <w:rsid w:val="00A01385"/>
    <w:rsid w:val="00A01B9D"/>
    <w:rsid w:val="00A02C0A"/>
    <w:rsid w:val="00A03652"/>
    <w:rsid w:val="00A03A2A"/>
    <w:rsid w:val="00A03D17"/>
    <w:rsid w:val="00A0480E"/>
    <w:rsid w:val="00A04844"/>
    <w:rsid w:val="00A064E2"/>
    <w:rsid w:val="00A06ED8"/>
    <w:rsid w:val="00A07570"/>
    <w:rsid w:val="00A07B97"/>
    <w:rsid w:val="00A10103"/>
    <w:rsid w:val="00A10707"/>
    <w:rsid w:val="00A11137"/>
    <w:rsid w:val="00A111EA"/>
    <w:rsid w:val="00A11235"/>
    <w:rsid w:val="00A1135E"/>
    <w:rsid w:val="00A11447"/>
    <w:rsid w:val="00A115F3"/>
    <w:rsid w:val="00A11B67"/>
    <w:rsid w:val="00A11C28"/>
    <w:rsid w:val="00A11DEE"/>
    <w:rsid w:val="00A1240A"/>
    <w:rsid w:val="00A12B28"/>
    <w:rsid w:val="00A12F3C"/>
    <w:rsid w:val="00A137E6"/>
    <w:rsid w:val="00A13C3A"/>
    <w:rsid w:val="00A13EAB"/>
    <w:rsid w:val="00A151EB"/>
    <w:rsid w:val="00A162DF"/>
    <w:rsid w:val="00A16324"/>
    <w:rsid w:val="00A17013"/>
    <w:rsid w:val="00A1745E"/>
    <w:rsid w:val="00A175C6"/>
    <w:rsid w:val="00A17AF1"/>
    <w:rsid w:val="00A17B4D"/>
    <w:rsid w:val="00A17B91"/>
    <w:rsid w:val="00A20220"/>
    <w:rsid w:val="00A20CAE"/>
    <w:rsid w:val="00A216BF"/>
    <w:rsid w:val="00A21A16"/>
    <w:rsid w:val="00A21C7C"/>
    <w:rsid w:val="00A22A9E"/>
    <w:rsid w:val="00A23269"/>
    <w:rsid w:val="00A238E0"/>
    <w:rsid w:val="00A23F95"/>
    <w:rsid w:val="00A24010"/>
    <w:rsid w:val="00A24CF6"/>
    <w:rsid w:val="00A25E6E"/>
    <w:rsid w:val="00A26462"/>
    <w:rsid w:val="00A26700"/>
    <w:rsid w:val="00A26B21"/>
    <w:rsid w:val="00A274E2"/>
    <w:rsid w:val="00A2766F"/>
    <w:rsid w:val="00A27B4F"/>
    <w:rsid w:val="00A30B97"/>
    <w:rsid w:val="00A30BDB"/>
    <w:rsid w:val="00A31193"/>
    <w:rsid w:val="00A312FC"/>
    <w:rsid w:val="00A31F9A"/>
    <w:rsid w:val="00A3288D"/>
    <w:rsid w:val="00A3307A"/>
    <w:rsid w:val="00A34BDA"/>
    <w:rsid w:val="00A358DC"/>
    <w:rsid w:val="00A35AFC"/>
    <w:rsid w:val="00A3607A"/>
    <w:rsid w:val="00A362FE"/>
    <w:rsid w:val="00A37093"/>
    <w:rsid w:val="00A375F6"/>
    <w:rsid w:val="00A400B2"/>
    <w:rsid w:val="00A405AF"/>
    <w:rsid w:val="00A4164A"/>
    <w:rsid w:val="00A417AB"/>
    <w:rsid w:val="00A41898"/>
    <w:rsid w:val="00A4189A"/>
    <w:rsid w:val="00A41C3D"/>
    <w:rsid w:val="00A41F2E"/>
    <w:rsid w:val="00A42475"/>
    <w:rsid w:val="00A42B38"/>
    <w:rsid w:val="00A42D5D"/>
    <w:rsid w:val="00A432A0"/>
    <w:rsid w:val="00A4354B"/>
    <w:rsid w:val="00A43F0A"/>
    <w:rsid w:val="00A43FF9"/>
    <w:rsid w:val="00A44220"/>
    <w:rsid w:val="00A44627"/>
    <w:rsid w:val="00A4578C"/>
    <w:rsid w:val="00A463FC"/>
    <w:rsid w:val="00A463FD"/>
    <w:rsid w:val="00A465E9"/>
    <w:rsid w:val="00A4661A"/>
    <w:rsid w:val="00A46A4B"/>
    <w:rsid w:val="00A47774"/>
    <w:rsid w:val="00A47BC1"/>
    <w:rsid w:val="00A47CAA"/>
    <w:rsid w:val="00A505E0"/>
    <w:rsid w:val="00A5072C"/>
    <w:rsid w:val="00A50899"/>
    <w:rsid w:val="00A512A2"/>
    <w:rsid w:val="00A51DF0"/>
    <w:rsid w:val="00A5216F"/>
    <w:rsid w:val="00A52254"/>
    <w:rsid w:val="00A52401"/>
    <w:rsid w:val="00A5287D"/>
    <w:rsid w:val="00A52AD2"/>
    <w:rsid w:val="00A52BBB"/>
    <w:rsid w:val="00A532D8"/>
    <w:rsid w:val="00A536F1"/>
    <w:rsid w:val="00A53753"/>
    <w:rsid w:val="00A539C0"/>
    <w:rsid w:val="00A550F7"/>
    <w:rsid w:val="00A55E33"/>
    <w:rsid w:val="00A562BE"/>
    <w:rsid w:val="00A56A4F"/>
    <w:rsid w:val="00A56B98"/>
    <w:rsid w:val="00A56DDE"/>
    <w:rsid w:val="00A56EA0"/>
    <w:rsid w:val="00A5787F"/>
    <w:rsid w:val="00A57E73"/>
    <w:rsid w:val="00A60436"/>
    <w:rsid w:val="00A607D9"/>
    <w:rsid w:val="00A60C3A"/>
    <w:rsid w:val="00A621B7"/>
    <w:rsid w:val="00A63037"/>
    <w:rsid w:val="00A6323E"/>
    <w:rsid w:val="00A637BA"/>
    <w:rsid w:val="00A639B6"/>
    <w:rsid w:val="00A63AF3"/>
    <w:rsid w:val="00A63FB6"/>
    <w:rsid w:val="00A6419E"/>
    <w:rsid w:val="00A64E8C"/>
    <w:rsid w:val="00A64EF8"/>
    <w:rsid w:val="00A65E01"/>
    <w:rsid w:val="00A664B6"/>
    <w:rsid w:val="00A6677B"/>
    <w:rsid w:val="00A6771B"/>
    <w:rsid w:val="00A67D1C"/>
    <w:rsid w:val="00A710AC"/>
    <w:rsid w:val="00A717AD"/>
    <w:rsid w:val="00A7186E"/>
    <w:rsid w:val="00A71FC9"/>
    <w:rsid w:val="00A725DB"/>
    <w:rsid w:val="00A72EFB"/>
    <w:rsid w:val="00A72FB6"/>
    <w:rsid w:val="00A73335"/>
    <w:rsid w:val="00A73738"/>
    <w:rsid w:val="00A73D7C"/>
    <w:rsid w:val="00A73E8F"/>
    <w:rsid w:val="00A747DC"/>
    <w:rsid w:val="00A74D4E"/>
    <w:rsid w:val="00A753BD"/>
    <w:rsid w:val="00A761EE"/>
    <w:rsid w:val="00A76B33"/>
    <w:rsid w:val="00A76E5B"/>
    <w:rsid w:val="00A77933"/>
    <w:rsid w:val="00A77F98"/>
    <w:rsid w:val="00A80813"/>
    <w:rsid w:val="00A80EA4"/>
    <w:rsid w:val="00A819BA"/>
    <w:rsid w:val="00A819DD"/>
    <w:rsid w:val="00A81B13"/>
    <w:rsid w:val="00A81B4E"/>
    <w:rsid w:val="00A81C95"/>
    <w:rsid w:val="00A82734"/>
    <w:rsid w:val="00A83A16"/>
    <w:rsid w:val="00A83CA5"/>
    <w:rsid w:val="00A84336"/>
    <w:rsid w:val="00A84863"/>
    <w:rsid w:val="00A84EBD"/>
    <w:rsid w:val="00A84EDD"/>
    <w:rsid w:val="00A84F34"/>
    <w:rsid w:val="00A85382"/>
    <w:rsid w:val="00A857EF"/>
    <w:rsid w:val="00A8620E"/>
    <w:rsid w:val="00A864E9"/>
    <w:rsid w:val="00A86CC9"/>
    <w:rsid w:val="00A87906"/>
    <w:rsid w:val="00A87958"/>
    <w:rsid w:val="00A87E9E"/>
    <w:rsid w:val="00A901BE"/>
    <w:rsid w:val="00A904E2"/>
    <w:rsid w:val="00A90D2E"/>
    <w:rsid w:val="00A912E7"/>
    <w:rsid w:val="00A91E97"/>
    <w:rsid w:val="00A92BCF"/>
    <w:rsid w:val="00A92E1F"/>
    <w:rsid w:val="00A93095"/>
    <w:rsid w:val="00A9407D"/>
    <w:rsid w:val="00A948C8"/>
    <w:rsid w:val="00A96085"/>
    <w:rsid w:val="00A96424"/>
    <w:rsid w:val="00A978D8"/>
    <w:rsid w:val="00A978E7"/>
    <w:rsid w:val="00AA0795"/>
    <w:rsid w:val="00AA19A6"/>
    <w:rsid w:val="00AA1AED"/>
    <w:rsid w:val="00AA20B1"/>
    <w:rsid w:val="00AA262E"/>
    <w:rsid w:val="00AA2C89"/>
    <w:rsid w:val="00AA336E"/>
    <w:rsid w:val="00AA3451"/>
    <w:rsid w:val="00AA3908"/>
    <w:rsid w:val="00AA3FF0"/>
    <w:rsid w:val="00AA43BD"/>
    <w:rsid w:val="00AA46E6"/>
    <w:rsid w:val="00AA48C1"/>
    <w:rsid w:val="00AA60A4"/>
    <w:rsid w:val="00AA6240"/>
    <w:rsid w:val="00AA73A8"/>
    <w:rsid w:val="00AA7B3F"/>
    <w:rsid w:val="00AB006F"/>
    <w:rsid w:val="00AB1A9F"/>
    <w:rsid w:val="00AB3037"/>
    <w:rsid w:val="00AB3184"/>
    <w:rsid w:val="00AB33F9"/>
    <w:rsid w:val="00AB3CEC"/>
    <w:rsid w:val="00AB3E8B"/>
    <w:rsid w:val="00AB4AFF"/>
    <w:rsid w:val="00AB537C"/>
    <w:rsid w:val="00AB5887"/>
    <w:rsid w:val="00AB5B81"/>
    <w:rsid w:val="00AB5C13"/>
    <w:rsid w:val="00AB5D24"/>
    <w:rsid w:val="00AB6154"/>
    <w:rsid w:val="00AB626D"/>
    <w:rsid w:val="00AB64E5"/>
    <w:rsid w:val="00AB6606"/>
    <w:rsid w:val="00AB6B8F"/>
    <w:rsid w:val="00AB6C31"/>
    <w:rsid w:val="00AB703C"/>
    <w:rsid w:val="00AB7213"/>
    <w:rsid w:val="00AB7442"/>
    <w:rsid w:val="00AC0FA9"/>
    <w:rsid w:val="00AC1226"/>
    <w:rsid w:val="00AC1686"/>
    <w:rsid w:val="00AC179A"/>
    <w:rsid w:val="00AC24F6"/>
    <w:rsid w:val="00AC299E"/>
    <w:rsid w:val="00AC2DD1"/>
    <w:rsid w:val="00AC5281"/>
    <w:rsid w:val="00AC52D3"/>
    <w:rsid w:val="00AC5C6A"/>
    <w:rsid w:val="00AC65AF"/>
    <w:rsid w:val="00AC7052"/>
    <w:rsid w:val="00AC7703"/>
    <w:rsid w:val="00AC7E57"/>
    <w:rsid w:val="00AD00D9"/>
    <w:rsid w:val="00AD0558"/>
    <w:rsid w:val="00AD0964"/>
    <w:rsid w:val="00AD10E5"/>
    <w:rsid w:val="00AD1EAE"/>
    <w:rsid w:val="00AD1FF4"/>
    <w:rsid w:val="00AD23CC"/>
    <w:rsid w:val="00AD2719"/>
    <w:rsid w:val="00AD31EC"/>
    <w:rsid w:val="00AD339F"/>
    <w:rsid w:val="00AD35A4"/>
    <w:rsid w:val="00AD37F0"/>
    <w:rsid w:val="00AD3BF1"/>
    <w:rsid w:val="00AD3C2A"/>
    <w:rsid w:val="00AD3E6B"/>
    <w:rsid w:val="00AD4379"/>
    <w:rsid w:val="00AD4659"/>
    <w:rsid w:val="00AD4797"/>
    <w:rsid w:val="00AD4817"/>
    <w:rsid w:val="00AD4FA6"/>
    <w:rsid w:val="00AD5107"/>
    <w:rsid w:val="00AD5162"/>
    <w:rsid w:val="00AD5D9A"/>
    <w:rsid w:val="00AD6676"/>
    <w:rsid w:val="00AD6833"/>
    <w:rsid w:val="00AD6997"/>
    <w:rsid w:val="00AD715B"/>
    <w:rsid w:val="00AD77E3"/>
    <w:rsid w:val="00AD77FA"/>
    <w:rsid w:val="00AE0E90"/>
    <w:rsid w:val="00AE0ED0"/>
    <w:rsid w:val="00AE1212"/>
    <w:rsid w:val="00AE1923"/>
    <w:rsid w:val="00AE1D4C"/>
    <w:rsid w:val="00AE2257"/>
    <w:rsid w:val="00AE24A2"/>
    <w:rsid w:val="00AE252A"/>
    <w:rsid w:val="00AE2D96"/>
    <w:rsid w:val="00AE4168"/>
    <w:rsid w:val="00AE48A4"/>
    <w:rsid w:val="00AE4F38"/>
    <w:rsid w:val="00AE507F"/>
    <w:rsid w:val="00AE6873"/>
    <w:rsid w:val="00AE6D21"/>
    <w:rsid w:val="00AE7F9B"/>
    <w:rsid w:val="00AF0979"/>
    <w:rsid w:val="00AF1DE2"/>
    <w:rsid w:val="00AF2806"/>
    <w:rsid w:val="00AF3277"/>
    <w:rsid w:val="00AF3D49"/>
    <w:rsid w:val="00AF406C"/>
    <w:rsid w:val="00AF428A"/>
    <w:rsid w:val="00AF436B"/>
    <w:rsid w:val="00AF498E"/>
    <w:rsid w:val="00AF4AF0"/>
    <w:rsid w:val="00AF4E90"/>
    <w:rsid w:val="00AF4FCC"/>
    <w:rsid w:val="00AF5912"/>
    <w:rsid w:val="00AF5D8B"/>
    <w:rsid w:val="00AF7135"/>
    <w:rsid w:val="00AF7341"/>
    <w:rsid w:val="00B0063B"/>
    <w:rsid w:val="00B00F17"/>
    <w:rsid w:val="00B01DB9"/>
    <w:rsid w:val="00B01E36"/>
    <w:rsid w:val="00B0346B"/>
    <w:rsid w:val="00B039CC"/>
    <w:rsid w:val="00B04AB9"/>
    <w:rsid w:val="00B04C10"/>
    <w:rsid w:val="00B0575B"/>
    <w:rsid w:val="00B068E4"/>
    <w:rsid w:val="00B068FF"/>
    <w:rsid w:val="00B07451"/>
    <w:rsid w:val="00B10CE6"/>
    <w:rsid w:val="00B115ED"/>
    <w:rsid w:val="00B117CB"/>
    <w:rsid w:val="00B117D7"/>
    <w:rsid w:val="00B11A82"/>
    <w:rsid w:val="00B12211"/>
    <w:rsid w:val="00B12732"/>
    <w:rsid w:val="00B1288F"/>
    <w:rsid w:val="00B13785"/>
    <w:rsid w:val="00B13B8E"/>
    <w:rsid w:val="00B142E0"/>
    <w:rsid w:val="00B150A3"/>
    <w:rsid w:val="00B15237"/>
    <w:rsid w:val="00B15612"/>
    <w:rsid w:val="00B166DD"/>
    <w:rsid w:val="00B17A45"/>
    <w:rsid w:val="00B21AAB"/>
    <w:rsid w:val="00B21F97"/>
    <w:rsid w:val="00B231BC"/>
    <w:rsid w:val="00B23573"/>
    <w:rsid w:val="00B23ABE"/>
    <w:rsid w:val="00B23B67"/>
    <w:rsid w:val="00B24B78"/>
    <w:rsid w:val="00B25853"/>
    <w:rsid w:val="00B26443"/>
    <w:rsid w:val="00B26797"/>
    <w:rsid w:val="00B26C98"/>
    <w:rsid w:val="00B26E4F"/>
    <w:rsid w:val="00B271E8"/>
    <w:rsid w:val="00B275D8"/>
    <w:rsid w:val="00B3111B"/>
    <w:rsid w:val="00B313F6"/>
    <w:rsid w:val="00B32506"/>
    <w:rsid w:val="00B32F66"/>
    <w:rsid w:val="00B33678"/>
    <w:rsid w:val="00B33DDF"/>
    <w:rsid w:val="00B33FD6"/>
    <w:rsid w:val="00B34AFD"/>
    <w:rsid w:val="00B3512D"/>
    <w:rsid w:val="00B354E2"/>
    <w:rsid w:val="00B358C1"/>
    <w:rsid w:val="00B36705"/>
    <w:rsid w:val="00B37073"/>
    <w:rsid w:val="00B40037"/>
    <w:rsid w:val="00B40C0D"/>
    <w:rsid w:val="00B41861"/>
    <w:rsid w:val="00B41A1A"/>
    <w:rsid w:val="00B41FDB"/>
    <w:rsid w:val="00B42107"/>
    <w:rsid w:val="00B429CA"/>
    <w:rsid w:val="00B433C5"/>
    <w:rsid w:val="00B437D9"/>
    <w:rsid w:val="00B43D84"/>
    <w:rsid w:val="00B440D1"/>
    <w:rsid w:val="00B44A28"/>
    <w:rsid w:val="00B45088"/>
    <w:rsid w:val="00B453BC"/>
    <w:rsid w:val="00B457F9"/>
    <w:rsid w:val="00B45BBA"/>
    <w:rsid w:val="00B462D8"/>
    <w:rsid w:val="00B46347"/>
    <w:rsid w:val="00B46444"/>
    <w:rsid w:val="00B4762E"/>
    <w:rsid w:val="00B4785D"/>
    <w:rsid w:val="00B507E3"/>
    <w:rsid w:val="00B52633"/>
    <w:rsid w:val="00B528BF"/>
    <w:rsid w:val="00B52EAD"/>
    <w:rsid w:val="00B52F36"/>
    <w:rsid w:val="00B5474A"/>
    <w:rsid w:val="00B54B53"/>
    <w:rsid w:val="00B54B97"/>
    <w:rsid w:val="00B55825"/>
    <w:rsid w:val="00B5594B"/>
    <w:rsid w:val="00B55E9E"/>
    <w:rsid w:val="00B56439"/>
    <w:rsid w:val="00B57320"/>
    <w:rsid w:val="00B574FC"/>
    <w:rsid w:val="00B577AE"/>
    <w:rsid w:val="00B57E55"/>
    <w:rsid w:val="00B60AAA"/>
    <w:rsid w:val="00B60E24"/>
    <w:rsid w:val="00B61068"/>
    <w:rsid w:val="00B61183"/>
    <w:rsid w:val="00B6118D"/>
    <w:rsid w:val="00B6199F"/>
    <w:rsid w:val="00B62312"/>
    <w:rsid w:val="00B63653"/>
    <w:rsid w:val="00B6487A"/>
    <w:rsid w:val="00B64CDE"/>
    <w:rsid w:val="00B652A4"/>
    <w:rsid w:val="00B6563B"/>
    <w:rsid w:val="00B67088"/>
    <w:rsid w:val="00B674BE"/>
    <w:rsid w:val="00B67A5D"/>
    <w:rsid w:val="00B67BF5"/>
    <w:rsid w:val="00B70240"/>
    <w:rsid w:val="00B70478"/>
    <w:rsid w:val="00B706E0"/>
    <w:rsid w:val="00B70A9B"/>
    <w:rsid w:val="00B70E68"/>
    <w:rsid w:val="00B71BEA"/>
    <w:rsid w:val="00B71D0E"/>
    <w:rsid w:val="00B71D2A"/>
    <w:rsid w:val="00B71D57"/>
    <w:rsid w:val="00B7236B"/>
    <w:rsid w:val="00B72616"/>
    <w:rsid w:val="00B731A4"/>
    <w:rsid w:val="00B7351F"/>
    <w:rsid w:val="00B7410C"/>
    <w:rsid w:val="00B743DF"/>
    <w:rsid w:val="00B74B06"/>
    <w:rsid w:val="00B74B6F"/>
    <w:rsid w:val="00B752A3"/>
    <w:rsid w:val="00B75640"/>
    <w:rsid w:val="00B75690"/>
    <w:rsid w:val="00B77355"/>
    <w:rsid w:val="00B77E94"/>
    <w:rsid w:val="00B80265"/>
    <w:rsid w:val="00B80321"/>
    <w:rsid w:val="00B81FA5"/>
    <w:rsid w:val="00B82B5E"/>
    <w:rsid w:val="00B863E7"/>
    <w:rsid w:val="00B8737B"/>
    <w:rsid w:val="00B8778B"/>
    <w:rsid w:val="00B87DD5"/>
    <w:rsid w:val="00B9031C"/>
    <w:rsid w:val="00B90653"/>
    <w:rsid w:val="00B925DB"/>
    <w:rsid w:val="00B92679"/>
    <w:rsid w:val="00B9333B"/>
    <w:rsid w:val="00B93360"/>
    <w:rsid w:val="00B938E4"/>
    <w:rsid w:val="00B93E85"/>
    <w:rsid w:val="00B947BF"/>
    <w:rsid w:val="00B94CF7"/>
    <w:rsid w:val="00B94E55"/>
    <w:rsid w:val="00B94F87"/>
    <w:rsid w:val="00B951C1"/>
    <w:rsid w:val="00B95516"/>
    <w:rsid w:val="00B9556E"/>
    <w:rsid w:val="00B95DC7"/>
    <w:rsid w:val="00B96C53"/>
    <w:rsid w:val="00B975CF"/>
    <w:rsid w:val="00BA0F89"/>
    <w:rsid w:val="00BA1049"/>
    <w:rsid w:val="00BA104D"/>
    <w:rsid w:val="00BA108A"/>
    <w:rsid w:val="00BA179D"/>
    <w:rsid w:val="00BA1AFD"/>
    <w:rsid w:val="00BA217B"/>
    <w:rsid w:val="00BA25A4"/>
    <w:rsid w:val="00BA2A85"/>
    <w:rsid w:val="00BA3CDC"/>
    <w:rsid w:val="00BA4159"/>
    <w:rsid w:val="00BA4525"/>
    <w:rsid w:val="00BA4BFB"/>
    <w:rsid w:val="00BA50C8"/>
    <w:rsid w:val="00BA51F6"/>
    <w:rsid w:val="00BA5B47"/>
    <w:rsid w:val="00BA5ED6"/>
    <w:rsid w:val="00BA648B"/>
    <w:rsid w:val="00BA6818"/>
    <w:rsid w:val="00BA73A7"/>
    <w:rsid w:val="00BA77DE"/>
    <w:rsid w:val="00BA782E"/>
    <w:rsid w:val="00BA7A25"/>
    <w:rsid w:val="00BA7CB5"/>
    <w:rsid w:val="00BB05F4"/>
    <w:rsid w:val="00BB0630"/>
    <w:rsid w:val="00BB12F6"/>
    <w:rsid w:val="00BB13AC"/>
    <w:rsid w:val="00BB1AA6"/>
    <w:rsid w:val="00BB27E2"/>
    <w:rsid w:val="00BB2F06"/>
    <w:rsid w:val="00BB3274"/>
    <w:rsid w:val="00BB3436"/>
    <w:rsid w:val="00BB3A7C"/>
    <w:rsid w:val="00BB3D9E"/>
    <w:rsid w:val="00BB4053"/>
    <w:rsid w:val="00BB48F9"/>
    <w:rsid w:val="00BB4AAA"/>
    <w:rsid w:val="00BB507A"/>
    <w:rsid w:val="00BB51DC"/>
    <w:rsid w:val="00BB5776"/>
    <w:rsid w:val="00BB5B56"/>
    <w:rsid w:val="00BB6157"/>
    <w:rsid w:val="00BB6172"/>
    <w:rsid w:val="00BB62E8"/>
    <w:rsid w:val="00BB6853"/>
    <w:rsid w:val="00BB6B0B"/>
    <w:rsid w:val="00BB6C0B"/>
    <w:rsid w:val="00BB6DEB"/>
    <w:rsid w:val="00BB6F1C"/>
    <w:rsid w:val="00BB725C"/>
    <w:rsid w:val="00BB772D"/>
    <w:rsid w:val="00BC091B"/>
    <w:rsid w:val="00BC0969"/>
    <w:rsid w:val="00BC13E1"/>
    <w:rsid w:val="00BC23C0"/>
    <w:rsid w:val="00BC24B2"/>
    <w:rsid w:val="00BC265E"/>
    <w:rsid w:val="00BC2978"/>
    <w:rsid w:val="00BC3563"/>
    <w:rsid w:val="00BC3677"/>
    <w:rsid w:val="00BC39D7"/>
    <w:rsid w:val="00BC6480"/>
    <w:rsid w:val="00BC6725"/>
    <w:rsid w:val="00BC6794"/>
    <w:rsid w:val="00BC68F0"/>
    <w:rsid w:val="00BC730B"/>
    <w:rsid w:val="00BC7C23"/>
    <w:rsid w:val="00BD0750"/>
    <w:rsid w:val="00BD0E33"/>
    <w:rsid w:val="00BD1B59"/>
    <w:rsid w:val="00BD1D83"/>
    <w:rsid w:val="00BD2555"/>
    <w:rsid w:val="00BD35F1"/>
    <w:rsid w:val="00BD37BA"/>
    <w:rsid w:val="00BD383C"/>
    <w:rsid w:val="00BD3897"/>
    <w:rsid w:val="00BD4A43"/>
    <w:rsid w:val="00BD4CCC"/>
    <w:rsid w:val="00BD4D8D"/>
    <w:rsid w:val="00BD5A96"/>
    <w:rsid w:val="00BD5F56"/>
    <w:rsid w:val="00BD601C"/>
    <w:rsid w:val="00BD673C"/>
    <w:rsid w:val="00BD70AE"/>
    <w:rsid w:val="00BD7B76"/>
    <w:rsid w:val="00BD7FDA"/>
    <w:rsid w:val="00BE0398"/>
    <w:rsid w:val="00BE057C"/>
    <w:rsid w:val="00BE0DCB"/>
    <w:rsid w:val="00BE1859"/>
    <w:rsid w:val="00BE1BF8"/>
    <w:rsid w:val="00BE24E9"/>
    <w:rsid w:val="00BE2D0C"/>
    <w:rsid w:val="00BE3B5B"/>
    <w:rsid w:val="00BE3D89"/>
    <w:rsid w:val="00BE5199"/>
    <w:rsid w:val="00BE538C"/>
    <w:rsid w:val="00BE638D"/>
    <w:rsid w:val="00BE6738"/>
    <w:rsid w:val="00BE756C"/>
    <w:rsid w:val="00BE7822"/>
    <w:rsid w:val="00BE7934"/>
    <w:rsid w:val="00BE7AC2"/>
    <w:rsid w:val="00BF01F1"/>
    <w:rsid w:val="00BF04AD"/>
    <w:rsid w:val="00BF07D6"/>
    <w:rsid w:val="00BF1740"/>
    <w:rsid w:val="00BF183E"/>
    <w:rsid w:val="00BF2184"/>
    <w:rsid w:val="00BF381C"/>
    <w:rsid w:val="00BF3CF1"/>
    <w:rsid w:val="00BF4733"/>
    <w:rsid w:val="00BF498B"/>
    <w:rsid w:val="00BF4EB8"/>
    <w:rsid w:val="00BF5D42"/>
    <w:rsid w:val="00BF6690"/>
    <w:rsid w:val="00BF7E99"/>
    <w:rsid w:val="00C00469"/>
    <w:rsid w:val="00C0047B"/>
    <w:rsid w:val="00C010FA"/>
    <w:rsid w:val="00C01BB0"/>
    <w:rsid w:val="00C03B67"/>
    <w:rsid w:val="00C03FC3"/>
    <w:rsid w:val="00C042FB"/>
    <w:rsid w:val="00C05422"/>
    <w:rsid w:val="00C05541"/>
    <w:rsid w:val="00C0591B"/>
    <w:rsid w:val="00C05BBD"/>
    <w:rsid w:val="00C0643E"/>
    <w:rsid w:val="00C06FD8"/>
    <w:rsid w:val="00C07AE4"/>
    <w:rsid w:val="00C10E4A"/>
    <w:rsid w:val="00C10F84"/>
    <w:rsid w:val="00C11958"/>
    <w:rsid w:val="00C11E76"/>
    <w:rsid w:val="00C1213D"/>
    <w:rsid w:val="00C129C1"/>
    <w:rsid w:val="00C12C2C"/>
    <w:rsid w:val="00C13EC6"/>
    <w:rsid w:val="00C14145"/>
    <w:rsid w:val="00C14D49"/>
    <w:rsid w:val="00C15346"/>
    <w:rsid w:val="00C153CC"/>
    <w:rsid w:val="00C15E18"/>
    <w:rsid w:val="00C161D2"/>
    <w:rsid w:val="00C16A23"/>
    <w:rsid w:val="00C16DA8"/>
    <w:rsid w:val="00C175F1"/>
    <w:rsid w:val="00C17671"/>
    <w:rsid w:val="00C17D16"/>
    <w:rsid w:val="00C202DC"/>
    <w:rsid w:val="00C20431"/>
    <w:rsid w:val="00C20D32"/>
    <w:rsid w:val="00C20DA8"/>
    <w:rsid w:val="00C20DF3"/>
    <w:rsid w:val="00C21563"/>
    <w:rsid w:val="00C21792"/>
    <w:rsid w:val="00C21910"/>
    <w:rsid w:val="00C2200C"/>
    <w:rsid w:val="00C224D0"/>
    <w:rsid w:val="00C22E4B"/>
    <w:rsid w:val="00C23E65"/>
    <w:rsid w:val="00C240D2"/>
    <w:rsid w:val="00C243CD"/>
    <w:rsid w:val="00C247FF"/>
    <w:rsid w:val="00C24886"/>
    <w:rsid w:val="00C24A19"/>
    <w:rsid w:val="00C24A20"/>
    <w:rsid w:val="00C24A93"/>
    <w:rsid w:val="00C25770"/>
    <w:rsid w:val="00C26063"/>
    <w:rsid w:val="00C262DD"/>
    <w:rsid w:val="00C2636E"/>
    <w:rsid w:val="00C268C6"/>
    <w:rsid w:val="00C26F90"/>
    <w:rsid w:val="00C27BD1"/>
    <w:rsid w:val="00C27BEB"/>
    <w:rsid w:val="00C27F83"/>
    <w:rsid w:val="00C3003D"/>
    <w:rsid w:val="00C3074B"/>
    <w:rsid w:val="00C30904"/>
    <w:rsid w:val="00C318AF"/>
    <w:rsid w:val="00C321FC"/>
    <w:rsid w:val="00C324F0"/>
    <w:rsid w:val="00C3267E"/>
    <w:rsid w:val="00C327BC"/>
    <w:rsid w:val="00C3385B"/>
    <w:rsid w:val="00C34193"/>
    <w:rsid w:val="00C35323"/>
    <w:rsid w:val="00C35747"/>
    <w:rsid w:val="00C35A2D"/>
    <w:rsid w:val="00C35E84"/>
    <w:rsid w:val="00C3671C"/>
    <w:rsid w:val="00C368B2"/>
    <w:rsid w:val="00C368FB"/>
    <w:rsid w:val="00C36FB7"/>
    <w:rsid w:val="00C37102"/>
    <w:rsid w:val="00C37709"/>
    <w:rsid w:val="00C37A49"/>
    <w:rsid w:val="00C40622"/>
    <w:rsid w:val="00C4227F"/>
    <w:rsid w:val="00C434FF"/>
    <w:rsid w:val="00C43770"/>
    <w:rsid w:val="00C43DB2"/>
    <w:rsid w:val="00C43F3C"/>
    <w:rsid w:val="00C44B2F"/>
    <w:rsid w:val="00C4508E"/>
    <w:rsid w:val="00C46905"/>
    <w:rsid w:val="00C46B0A"/>
    <w:rsid w:val="00C4786D"/>
    <w:rsid w:val="00C47DE2"/>
    <w:rsid w:val="00C50543"/>
    <w:rsid w:val="00C505BA"/>
    <w:rsid w:val="00C5092D"/>
    <w:rsid w:val="00C50D2A"/>
    <w:rsid w:val="00C512A3"/>
    <w:rsid w:val="00C5157D"/>
    <w:rsid w:val="00C52CEE"/>
    <w:rsid w:val="00C530B7"/>
    <w:rsid w:val="00C53C97"/>
    <w:rsid w:val="00C53EE3"/>
    <w:rsid w:val="00C5409B"/>
    <w:rsid w:val="00C55138"/>
    <w:rsid w:val="00C56DA7"/>
    <w:rsid w:val="00C56EA1"/>
    <w:rsid w:val="00C56EEA"/>
    <w:rsid w:val="00C57A60"/>
    <w:rsid w:val="00C57AE0"/>
    <w:rsid w:val="00C57C31"/>
    <w:rsid w:val="00C61102"/>
    <w:rsid w:val="00C617AE"/>
    <w:rsid w:val="00C61CEC"/>
    <w:rsid w:val="00C620C3"/>
    <w:rsid w:val="00C62211"/>
    <w:rsid w:val="00C624A9"/>
    <w:rsid w:val="00C62B22"/>
    <w:rsid w:val="00C63304"/>
    <w:rsid w:val="00C63BC0"/>
    <w:rsid w:val="00C63D7F"/>
    <w:rsid w:val="00C64BB8"/>
    <w:rsid w:val="00C64D09"/>
    <w:rsid w:val="00C6554F"/>
    <w:rsid w:val="00C6582D"/>
    <w:rsid w:val="00C65AE0"/>
    <w:rsid w:val="00C661CD"/>
    <w:rsid w:val="00C66925"/>
    <w:rsid w:val="00C66FFA"/>
    <w:rsid w:val="00C6779C"/>
    <w:rsid w:val="00C67A83"/>
    <w:rsid w:val="00C67BA4"/>
    <w:rsid w:val="00C7042B"/>
    <w:rsid w:val="00C7112E"/>
    <w:rsid w:val="00C71A7E"/>
    <w:rsid w:val="00C71C06"/>
    <w:rsid w:val="00C7346A"/>
    <w:rsid w:val="00C736A6"/>
    <w:rsid w:val="00C73BEB"/>
    <w:rsid w:val="00C73F09"/>
    <w:rsid w:val="00C74352"/>
    <w:rsid w:val="00C75061"/>
    <w:rsid w:val="00C7524C"/>
    <w:rsid w:val="00C766FC"/>
    <w:rsid w:val="00C76D6D"/>
    <w:rsid w:val="00C77636"/>
    <w:rsid w:val="00C776FD"/>
    <w:rsid w:val="00C7784C"/>
    <w:rsid w:val="00C80129"/>
    <w:rsid w:val="00C8020F"/>
    <w:rsid w:val="00C804E2"/>
    <w:rsid w:val="00C81842"/>
    <w:rsid w:val="00C8225E"/>
    <w:rsid w:val="00C83948"/>
    <w:rsid w:val="00C83C7D"/>
    <w:rsid w:val="00C83FC0"/>
    <w:rsid w:val="00C84351"/>
    <w:rsid w:val="00C848BA"/>
    <w:rsid w:val="00C84F98"/>
    <w:rsid w:val="00C852CD"/>
    <w:rsid w:val="00C85810"/>
    <w:rsid w:val="00C85A03"/>
    <w:rsid w:val="00C85DF0"/>
    <w:rsid w:val="00C86128"/>
    <w:rsid w:val="00C86A07"/>
    <w:rsid w:val="00C8751E"/>
    <w:rsid w:val="00C8799A"/>
    <w:rsid w:val="00C901FF"/>
    <w:rsid w:val="00C903B9"/>
    <w:rsid w:val="00C906AF"/>
    <w:rsid w:val="00C91C46"/>
    <w:rsid w:val="00C92372"/>
    <w:rsid w:val="00C93087"/>
    <w:rsid w:val="00C93944"/>
    <w:rsid w:val="00C9424C"/>
    <w:rsid w:val="00C94660"/>
    <w:rsid w:val="00C94796"/>
    <w:rsid w:val="00C94C8D"/>
    <w:rsid w:val="00C953D7"/>
    <w:rsid w:val="00C955D7"/>
    <w:rsid w:val="00C95C81"/>
    <w:rsid w:val="00C95D19"/>
    <w:rsid w:val="00C95F4E"/>
    <w:rsid w:val="00C96502"/>
    <w:rsid w:val="00C971AB"/>
    <w:rsid w:val="00CA043B"/>
    <w:rsid w:val="00CA062B"/>
    <w:rsid w:val="00CA0CFC"/>
    <w:rsid w:val="00CA1D40"/>
    <w:rsid w:val="00CA2076"/>
    <w:rsid w:val="00CA2E6A"/>
    <w:rsid w:val="00CA301A"/>
    <w:rsid w:val="00CA3981"/>
    <w:rsid w:val="00CA4024"/>
    <w:rsid w:val="00CA4192"/>
    <w:rsid w:val="00CA46A4"/>
    <w:rsid w:val="00CA4B8E"/>
    <w:rsid w:val="00CA4CB1"/>
    <w:rsid w:val="00CA59F3"/>
    <w:rsid w:val="00CA5A78"/>
    <w:rsid w:val="00CA68D4"/>
    <w:rsid w:val="00CA71A9"/>
    <w:rsid w:val="00CA7BBD"/>
    <w:rsid w:val="00CB0479"/>
    <w:rsid w:val="00CB0705"/>
    <w:rsid w:val="00CB0A16"/>
    <w:rsid w:val="00CB100F"/>
    <w:rsid w:val="00CB1696"/>
    <w:rsid w:val="00CB1DCD"/>
    <w:rsid w:val="00CB1E2D"/>
    <w:rsid w:val="00CB2774"/>
    <w:rsid w:val="00CB2A32"/>
    <w:rsid w:val="00CB4562"/>
    <w:rsid w:val="00CB4650"/>
    <w:rsid w:val="00CB47F9"/>
    <w:rsid w:val="00CB486A"/>
    <w:rsid w:val="00CB5079"/>
    <w:rsid w:val="00CB5679"/>
    <w:rsid w:val="00CB5713"/>
    <w:rsid w:val="00CB68A2"/>
    <w:rsid w:val="00CB6A96"/>
    <w:rsid w:val="00CB731B"/>
    <w:rsid w:val="00CB7F3B"/>
    <w:rsid w:val="00CC01EB"/>
    <w:rsid w:val="00CC0A7F"/>
    <w:rsid w:val="00CC150E"/>
    <w:rsid w:val="00CC1EB3"/>
    <w:rsid w:val="00CC25FD"/>
    <w:rsid w:val="00CC27B8"/>
    <w:rsid w:val="00CC2CA2"/>
    <w:rsid w:val="00CC31EA"/>
    <w:rsid w:val="00CC327F"/>
    <w:rsid w:val="00CC474A"/>
    <w:rsid w:val="00CC4C03"/>
    <w:rsid w:val="00CC4DEB"/>
    <w:rsid w:val="00CC4E98"/>
    <w:rsid w:val="00CC61AA"/>
    <w:rsid w:val="00CC71A0"/>
    <w:rsid w:val="00CC75C2"/>
    <w:rsid w:val="00CC778A"/>
    <w:rsid w:val="00CC7F41"/>
    <w:rsid w:val="00CD0246"/>
    <w:rsid w:val="00CD0842"/>
    <w:rsid w:val="00CD0F57"/>
    <w:rsid w:val="00CD157B"/>
    <w:rsid w:val="00CD23D6"/>
    <w:rsid w:val="00CD24F6"/>
    <w:rsid w:val="00CD2656"/>
    <w:rsid w:val="00CD365A"/>
    <w:rsid w:val="00CD3F18"/>
    <w:rsid w:val="00CD3F88"/>
    <w:rsid w:val="00CD45E3"/>
    <w:rsid w:val="00CD4B8D"/>
    <w:rsid w:val="00CD5857"/>
    <w:rsid w:val="00CD5A3F"/>
    <w:rsid w:val="00CD5FFD"/>
    <w:rsid w:val="00CD688F"/>
    <w:rsid w:val="00CE02E6"/>
    <w:rsid w:val="00CE0C9A"/>
    <w:rsid w:val="00CE0E91"/>
    <w:rsid w:val="00CE1043"/>
    <w:rsid w:val="00CE1724"/>
    <w:rsid w:val="00CE1A3B"/>
    <w:rsid w:val="00CE1A6D"/>
    <w:rsid w:val="00CE1F54"/>
    <w:rsid w:val="00CE26DC"/>
    <w:rsid w:val="00CE30FD"/>
    <w:rsid w:val="00CE31E5"/>
    <w:rsid w:val="00CE3564"/>
    <w:rsid w:val="00CE381B"/>
    <w:rsid w:val="00CE4819"/>
    <w:rsid w:val="00CE4935"/>
    <w:rsid w:val="00CE6342"/>
    <w:rsid w:val="00CE6528"/>
    <w:rsid w:val="00CE6B16"/>
    <w:rsid w:val="00CE6BB0"/>
    <w:rsid w:val="00CE6F27"/>
    <w:rsid w:val="00CE79FE"/>
    <w:rsid w:val="00CE7E16"/>
    <w:rsid w:val="00CF010F"/>
    <w:rsid w:val="00CF022E"/>
    <w:rsid w:val="00CF072B"/>
    <w:rsid w:val="00CF0ADD"/>
    <w:rsid w:val="00CF0AFE"/>
    <w:rsid w:val="00CF0D20"/>
    <w:rsid w:val="00CF1AA8"/>
    <w:rsid w:val="00CF28EE"/>
    <w:rsid w:val="00CF3159"/>
    <w:rsid w:val="00CF402D"/>
    <w:rsid w:val="00CF431B"/>
    <w:rsid w:val="00CF548A"/>
    <w:rsid w:val="00CF5577"/>
    <w:rsid w:val="00CF62A8"/>
    <w:rsid w:val="00CF6DF4"/>
    <w:rsid w:val="00CF6EA7"/>
    <w:rsid w:val="00CF7020"/>
    <w:rsid w:val="00CF7244"/>
    <w:rsid w:val="00CF7654"/>
    <w:rsid w:val="00CF7684"/>
    <w:rsid w:val="00D00DEF"/>
    <w:rsid w:val="00D01366"/>
    <w:rsid w:val="00D0212E"/>
    <w:rsid w:val="00D02657"/>
    <w:rsid w:val="00D04F62"/>
    <w:rsid w:val="00D04F7B"/>
    <w:rsid w:val="00D0512C"/>
    <w:rsid w:val="00D05B9C"/>
    <w:rsid w:val="00D06211"/>
    <w:rsid w:val="00D06E9F"/>
    <w:rsid w:val="00D06FFF"/>
    <w:rsid w:val="00D0757E"/>
    <w:rsid w:val="00D07B7D"/>
    <w:rsid w:val="00D109A9"/>
    <w:rsid w:val="00D10CDF"/>
    <w:rsid w:val="00D113E7"/>
    <w:rsid w:val="00D116F0"/>
    <w:rsid w:val="00D119B8"/>
    <w:rsid w:val="00D11B26"/>
    <w:rsid w:val="00D122BD"/>
    <w:rsid w:val="00D12A77"/>
    <w:rsid w:val="00D12E24"/>
    <w:rsid w:val="00D13CD4"/>
    <w:rsid w:val="00D13FF6"/>
    <w:rsid w:val="00D14332"/>
    <w:rsid w:val="00D15178"/>
    <w:rsid w:val="00D1522A"/>
    <w:rsid w:val="00D15337"/>
    <w:rsid w:val="00D15B0C"/>
    <w:rsid w:val="00D167E6"/>
    <w:rsid w:val="00D16F9B"/>
    <w:rsid w:val="00D17611"/>
    <w:rsid w:val="00D17D94"/>
    <w:rsid w:val="00D17E36"/>
    <w:rsid w:val="00D17F53"/>
    <w:rsid w:val="00D203A5"/>
    <w:rsid w:val="00D21482"/>
    <w:rsid w:val="00D21A5A"/>
    <w:rsid w:val="00D22170"/>
    <w:rsid w:val="00D22491"/>
    <w:rsid w:val="00D225E0"/>
    <w:rsid w:val="00D22863"/>
    <w:rsid w:val="00D22A36"/>
    <w:rsid w:val="00D23502"/>
    <w:rsid w:val="00D23F03"/>
    <w:rsid w:val="00D23F9F"/>
    <w:rsid w:val="00D24213"/>
    <w:rsid w:val="00D24778"/>
    <w:rsid w:val="00D25322"/>
    <w:rsid w:val="00D25ADF"/>
    <w:rsid w:val="00D25BE6"/>
    <w:rsid w:val="00D25C2E"/>
    <w:rsid w:val="00D25FFA"/>
    <w:rsid w:val="00D2620A"/>
    <w:rsid w:val="00D264A4"/>
    <w:rsid w:val="00D269E6"/>
    <w:rsid w:val="00D26DF4"/>
    <w:rsid w:val="00D26E87"/>
    <w:rsid w:val="00D27086"/>
    <w:rsid w:val="00D2765A"/>
    <w:rsid w:val="00D27CDB"/>
    <w:rsid w:val="00D30458"/>
    <w:rsid w:val="00D30B67"/>
    <w:rsid w:val="00D30D2F"/>
    <w:rsid w:val="00D30E9F"/>
    <w:rsid w:val="00D31529"/>
    <w:rsid w:val="00D3190D"/>
    <w:rsid w:val="00D329FC"/>
    <w:rsid w:val="00D3345B"/>
    <w:rsid w:val="00D33974"/>
    <w:rsid w:val="00D33C7E"/>
    <w:rsid w:val="00D346EB"/>
    <w:rsid w:val="00D35DEF"/>
    <w:rsid w:val="00D362D1"/>
    <w:rsid w:val="00D36FEC"/>
    <w:rsid w:val="00D3723B"/>
    <w:rsid w:val="00D377B1"/>
    <w:rsid w:val="00D37996"/>
    <w:rsid w:val="00D37DF7"/>
    <w:rsid w:val="00D405B2"/>
    <w:rsid w:val="00D4101C"/>
    <w:rsid w:val="00D4115A"/>
    <w:rsid w:val="00D411AB"/>
    <w:rsid w:val="00D41602"/>
    <w:rsid w:val="00D41BD7"/>
    <w:rsid w:val="00D41E32"/>
    <w:rsid w:val="00D41F47"/>
    <w:rsid w:val="00D42078"/>
    <w:rsid w:val="00D421C9"/>
    <w:rsid w:val="00D42731"/>
    <w:rsid w:val="00D42CC1"/>
    <w:rsid w:val="00D42F6C"/>
    <w:rsid w:val="00D43A1F"/>
    <w:rsid w:val="00D44755"/>
    <w:rsid w:val="00D45EB8"/>
    <w:rsid w:val="00D45EDA"/>
    <w:rsid w:val="00D46126"/>
    <w:rsid w:val="00D46268"/>
    <w:rsid w:val="00D465EF"/>
    <w:rsid w:val="00D508A9"/>
    <w:rsid w:val="00D50DFF"/>
    <w:rsid w:val="00D512A4"/>
    <w:rsid w:val="00D5138A"/>
    <w:rsid w:val="00D51A7A"/>
    <w:rsid w:val="00D52002"/>
    <w:rsid w:val="00D521C2"/>
    <w:rsid w:val="00D52582"/>
    <w:rsid w:val="00D52BC1"/>
    <w:rsid w:val="00D53401"/>
    <w:rsid w:val="00D5370C"/>
    <w:rsid w:val="00D53A72"/>
    <w:rsid w:val="00D53B37"/>
    <w:rsid w:val="00D54213"/>
    <w:rsid w:val="00D54F96"/>
    <w:rsid w:val="00D5509A"/>
    <w:rsid w:val="00D55A92"/>
    <w:rsid w:val="00D57027"/>
    <w:rsid w:val="00D57380"/>
    <w:rsid w:val="00D57713"/>
    <w:rsid w:val="00D578DF"/>
    <w:rsid w:val="00D57D43"/>
    <w:rsid w:val="00D57D99"/>
    <w:rsid w:val="00D60147"/>
    <w:rsid w:val="00D60DEF"/>
    <w:rsid w:val="00D611D1"/>
    <w:rsid w:val="00D61D9D"/>
    <w:rsid w:val="00D6217D"/>
    <w:rsid w:val="00D6231B"/>
    <w:rsid w:val="00D62D79"/>
    <w:rsid w:val="00D62DFA"/>
    <w:rsid w:val="00D63ACC"/>
    <w:rsid w:val="00D65822"/>
    <w:rsid w:val="00D6664E"/>
    <w:rsid w:val="00D66949"/>
    <w:rsid w:val="00D670F8"/>
    <w:rsid w:val="00D672E0"/>
    <w:rsid w:val="00D67A60"/>
    <w:rsid w:val="00D67CAF"/>
    <w:rsid w:val="00D70016"/>
    <w:rsid w:val="00D70178"/>
    <w:rsid w:val="00D701D4"/>
    <w:rsid w:val="00D7100B"/>
    <w:rsid w:val="00D71336"/>
    <w:rsid w:val="00D71461"/>
    <w:rsid w:val="00D71471"/>
    <w:rsid w:val="00D71C56"/>
    <w:rsid w:val="00D71FF8"/>
    <w:rsid w:val="00D72473"/>
    <w:rsid w:val="00D72E14"/>
    <w:rsid w:val="00D73C72"/>
    <w:rsid w:val="00D73DDB"/>
    <w:rsid w:val="00D7519D"/>
    <w:rsid w:val="00D75281"/>
    <w:rsid w:val="00D756DF"/>
    <w:rsid w:val="00D75B25"/>
    <w:rsid w:val="00D75FC5"/>
    <w:rsid w:val="00D7657C"/>
    <w:rsid w:val="00D76BAD"/>
    <w:rsid w:val="00D76E8B"/>
    <w:rsid w:val="00D7706C"/>
    <w:rsid w:val="00D77433"/>
    <w:rsid w:val="00D776E4"/>
    <w:rsid w:val="00D80F0E"/>
    <w:rsid w:val="00D810BB"/>
    <w:rsid w:val="00D81801"/>
    <w:rsid w:val="00D8205D"/>
    <w:rsid w:val="00D82A69"/>
    <w:rsid w:val="00D844C1"/>
    <w:rsid w:val="00D846EA"/>
    <w:rsid w:val="00D846FB"/>
    <w:rsid w:val="00D84E58"/>
    <w:rsid w:val="00D8567A"/>
    <w:rsid w:val="00D860C6"/>
    <w:rsid w:val="00D8643D"/>
    <w:rsid w:val="00D86512"/>
    <w:rsid w:val="00D86695"/>
    <w:rsid w:val="00D867A8"/>
    <w:rsid w:val="00D86A06"/>
    <w:rsid w:val="00D86ABB"/>
    <w:rsid w:val="00D86AD8"/>
    <w:rsid w:val="00D87080"/>
    <w:rsid w:val="00D87115"/>
    <w:rsid w:val="00D879C1"/>
    <w:rsid w:val="00D87C32"/>
    <w:rsid w:val="00D901C9"/>
    <w:rsid w:val="00D90A77"/>
    <w:rsid w:val="00D90BA1"/>
    <w:rsid w:val="00D90EA9"/>
    <w:rsid w:val="00D91911"/>
    <w:rsid w:val="00D91B8A"/>
    <w:rsid w:val="00D91D48"/>
    <w:rsid w:val="00D9376B"/>
    <w:rsid w:val="00D93E53"/>
    <w:rsid w:val="00D93F56"/>
    <w:rsid w:val="00D9449B"/>
    <w:rsid w:val="00D94A33"/>
    <w:rsid w:val="00D952A7"/>
    <w:rsid w:val="00D97CB3"/>
    <w:rsid w:val="00DA037D"/>
    <w:rsid w:val="00DA182E"/>
    <w:rsid w:val="00DA1E23"/>
    <w:rsid w:val="00DA32AF"/>
    <w:rsid w:val="00DA33EF"/>
    <w:rsid w:val="00DA35AD"/>
    <w:rsid w:val="00DA3A33"/>
    <w:rsid w:val="00DA3EAD"/>
    <w:rsid w:val="00DA4370"/>
    <w:rsid w:val="00DA43C4"/>
    <w:rsid w:val="00DA44F1"/>
    <w:rsid w:val="00DA477A"/>
    <w:rsid w:val="00DA4973"/>
    <w:rsid w:val="00DA4FAC"/>
    <w:rsid w:val="00DA5172"/>
    <w:rsid w:val="00DA5259"/>
    <w:rsid w:val="00DA545B"/>
    <w:rsid w:val="00DA56A9"/>
    <w:rsid w:val="00DA6381"/>
    <w:rsid w:val="00DA65CE"/>
    <w:rsid w:val="00DA67B4"/>
    <w:rsid w:val="00DA6B61"/>
    <w:rsid w:val="00DA6CF4"/>
    <w:rsid w:val="00DA70E8"/>
    <w:rsid w:val="00DA73AF"/>
    <w:rsid w:val="00DA7CFE"/>
    <w:rsid w:val="00DB0056"/>
    <w:rsid w:val="00DB016D"/>
    <w:rsid w:val="00DB0DD9"/>
    <w:rsid w:val="00DB149A"/>
    <w:rsid w:val="00DB30F4"/>
    <w:rsid w:val="00DB3A12"/>
    <w:rsid w:val="00DB3AC3"/>
    <w:rsid w:val="00DB3D95"/>
    <w:rsid w:val="00DB49CD"/>
    <w:rsid w:val="00DB59FC"/>
    <w:rsid w:val="00DB6E07"/>
    <w:rsid w:val="00DB6E98"/>
    <w:rsid w:val="00DB73D7"/>
    <w:rsid w:val="00DB7E6A"/>
    <w:rsid w:val="00DB7ED2"/>
    <w:rsid w:val="00DC0D2B"/>
    <w:rsid w:val="00DC1528"/>
    <w:rsid w:val="00DC168D"/>
    <w:rsid w:val="00DC1926"/>
    <w:rsid w:val="00DC1C01"/>
    <w:rsid w:val="00DC1DE3"/>
    <w:rsid w:val="00DC1E36"/>
    <w:rsid w:val="00DC2886"/>
    <w:rsid w:val="00DC390F"/>
    <w:rsid w:val="00DC3A85"/>
    <w:rsid w:val="00DC5DB6"/>
    <w:rsid w:val="00DC6B92"/>
    <w:rsid w:val="00DC7465"/>
    <w:rsid w:val="00DC7C54"/>
    <w:rsid w:val="00DD2301"/>
    <w:rsid w:val="00DD2520"/>
    <w:rsid w:val="00DD28FB"/>
    <w:rsid w:val="00DD2AC9"/>
    <w:rsid w:val="00DD30CB"/>
    <w:rsid w:val="00DD3791"/>
    <w:rsid w:val="00DD3820"/>
    <w:rsid w:val="00DD38C1"/>
    <w:rsid w:val="00DD3A1E"/>
    <w:rsid w:val="00DD4752"/>
    <w:rsid w:val="00DD488F"/>
    <w:rsid w:val="00DD4D46"/>
    <w:rsid w:val="00DD4DAF"/>
    <w:rsid w:val="00DD52AB"/>
    <w:rsid w:val="00DD5948"/>
    <w:rsid w:val="00DD5CE2"/>
    <w:rsid w:val="00DD6294"/>
    <w:rsid w:val="00DD67E5"/>
    <w:rsid w:val="00DD6A57"/>
    <w:rsid w:val="00DD6DE4"/>
    <w:rsid w:val="00DD72B7"/>
    <w:rsid w:val="00DD7848"/>
    <w:rsid w:val="00DD7EAF"/>
    <w:rsid w:val="00DE0FBE"/>
    <w:rsid w:val="00DE14EC"/>
    <w:rsid w:val="00DE1B18"/>
    <w:rsid w:val="00DE1D5F"/>
    <w:rsid w:val="00DE20F1"/>
    <w:rsid w:val="00DE21F5"/>
    <w:rsid w:val="00DE2445"/>
    <w:rsid w:val="00DE2792"/>
    <w:rsid w:val="00DE2EB4"/>
    <w:rsid w:val="00DE2F3D"/>
    <w:rsid w:val="00DE3203"/>
    <w:rsid w:val="00DE34E7"/>
    <w:rsid w:val="00DE357C"/>
    <w:rsid w:val="00DE38E9"/>
    <w:rsid w:val="00DE3A21"/>
    <w:rsid w:val="00DE3CE5"/>
    <w:rsid w:val="00DE4063"/>
    <w:rsid w:val="00DE472C"/>
    <w:rsid w:val="00DE6EB9"/>
    <w:rsid w:val="00DE7B6E"/>
    <w:rsid w:val="00DF074F"/>
    <w:rsid w:val="00DF0A20"/>
    <w:rsid w:val="00DF12B3"/>
    <w:rsid w:val="00DF1A16"/>
    <w:rsid w:val="00DF1ACA"/>
    <w:rsid w:val="00DF1C08"/>
    <w:rsid w:val="00DF21F4"/>
    <w:rsid w:val="00DF2583"/>
    <w:rsid w:val="00DF26B1"/>
    <w:rsid w:val="00DF2CE5"/>
    <w:rsid w:val="00DF2E7F"/>
    <w:rsid w:val="00DF3158"/>
    <w:rsid w:val="00DF3219"/>
    <w:rsid w:val="00DF3DA5"/>
    <w:rsid w:val="00DF4355"/>
    <w:rsid w:val="00DF4FB9"/>
    <w:rsid w:val="00DF553C"/>
    <w:rsid w:val="00DF6037"/>
    <w:rsid w:val="00DF6922"/>
    <w:rsid w:val="00E0085F"/>
    <w:rsid w:val="00E00B69"/>
    <w:rsid w:val="00E01CA7"/>
    <w:rsid w:val="00E02E95"/>
    <w:rsid w:val="00E033BA"/>
    <w:rsid w:val="00E03692"/>
    <w:rsid w:val="00E0382F"/>
    <w:rsid w:val="00E03980"/>
    <w:rsid w:val="00E041EC"/>
    <w:rsid w:val="00E04715"/>
    <w:rsid w:val="00E047AD"/>
    <w:rsid w:val="00E056A7"/>
    <w:rsid w:val="00E058EE"/>
    <w:rsid w:val="00E061C0"/>
    <w:rsid w:val="00E06220"/>
    <w:rsid w:val="00E06676"/>
    <w:rsid w:val="00E06A0D"/>
    <w:rsid w:val="00E06DF1"/>
    <w:rsid w:val="00E06EFB"/>
    <w:rsid w:val="00E073D9"/>
    <w:rsid w:val="00E075DE"/>
    <w:rsid w:val="00E07AA3"/>
    <w:rsid w:val="00E07AB5"/>
    <w:rsid w:val="00E11DB0"/>
    <w:rsid w:val="00E1213E"/>
    <w:rsid w:val="00E1249C"/>
    <w:rsid w:val="00E12CBB"/>
    <w:rsid w:val="00E12D6C"/>
    <w:rsid w:val="00E12EDF"/>
    <w:rsid w:val="00E1448C"/>
    <w:rsid w:val="00E14B7B"/>
    <w:rsid w:val="00E14D04"/>
    <w:rsid w:val="00E1520B"/>
    <w:rsid w:val="00E15B76"/>
    <w:rsid w:val="00E15F03"/>
    <w:rsid w:val="00E16150"/>
    <w:rsid w:val="00E16787"/>
    <w:rsid w:val="00E16B28"/>
    <w:rsid w:val="00E16D2F"/>
    <w:rsid w:val="00E17B40"/>
    <w:rsid w:val="00E17D6E"/>
    <w:rsid w:val="00E17F71"/>
    <w:rsid w:val="00E21224"/>
    <w:rsid w:val="00E22E87"/>
    <w:rsid w:val="00E2360B"/>
    <w:rsid w:val="00E23C52"/>
    <w:rsid w:val="00E23C67"/>
    <w:rsid w:val="00E23CEF"/>
    <w:rsid w:val="00E240A6"/>
    <w:rsid w:val="00E24BE7"/>
    <w:rsid w:val="00E2574A"/>
    <w:rsid w:val="00E2631F"/>
    <w:rsid w:val="00E26A6B"/>
    <w:rsid w:val="00E27665"/>
    <w:rsid w:val="00E278AC"/>
    <w:rsid w:val="00E27BEE"/>
    <w:rsid w:val="00E3052B"/>
    <w:rsid w:val="00E314C0"/>
    <w:rsid w:val="00E31710"/>
    <w:rsid w:val="00E31AD7"/>
    <w:rsid w:val="00E32188"/>
    <w:rsid w:val="00E32490"/>
    <w:rsid w:val="00E32616"/>
    <w:rsid w:val="00E328D8"/>
    <w:rsid w:val="00E32CE2"/>
    <w:rsid w:val="00E32D37"/>
    <w:rsid w:val="00E33C12"/>
    <w:rsid w:val="00E33C67"/>
    <w:rsid w:val="00E33F65"/>
    <w:rsid w:val="00E34142"/>
    <w:rsid w:val="00E3420B"/>
    <w:rsid w:val="00E3495E"/>
    <w:rsid w:val="00E35F46"/>
    <w:rsid w:val="00E37667"/>
    <w:rsid w:val="00E4022B"/>
    <w:rsid w:val="00E406DA"/>
    <w:rsid w:val="00E40ADA"/>
    <w:rsid w:val="00E40B89"/>
    <w:rsid w:val="00E415FC"/>
    <w:rsid w:val="00E4170E"/>
    <w:rsid w:val="00E41BE9"/>
    <w:rsid w:val="00E41D81"/>
    <w:rsid w:val="00E43398"/>
    <w:rsid w:val="00E435C9"/>
    <w:rsid w:val="00E43FB8"/>
    <w:rsid w:val="00E44214"/>
    <w:rsid w:val="00E44A83"/>
    <w:rsid w:val="00E44BFF"/>
    <w:rsid w:val="00E44C59"/>
    <w:rsid w:val="00E44E8D"/>
    <w:rsid w:val="00E4549D"/>
    <w:rsid w:val="00E45BF2"/>
    <w:rsid w:val="00E45DEA"/>
    <w:rsid w:val="00E47684"/>
    <w:rsid w:val="00E50C4C"/>
    <w:rsid w:val="00E51829"/>
    <w:rsid w:val="00E51E11"/>
    <w:rsid w:val="00E528AD"/>
    <w:rsid w:val="00E5372D"/>
    <w:rsid w:val="00E54291"/>
    <w:rsid w:val="00E5459C"/>
    <w:rsid w:val="00E549C2"/>
    <w:rsid w:val="00E557B5"/>
    <w:rsid w:val="00E559A7"/>
    <w:rsid w:val="00E56127"/>
    <w:rsid w:val="00E56BD8"/>
    <w:rsid w:val="00E56DC2"/>
    <w:rsid w:val="00E56F3C"/>
    <w:rsid w:val="00E56F48"/>
    <w:rsid w:val="00E57B6A"/>
    <w:rsid w:val="00E60952"/>
    <w:rsid w:val="00E60DB2"/>
    <w:rsid w:val="00E61E23"/>
    <w:rsid w:val="00E620A6"/>
    <w:rsid w:val="00E6210D"/>
    <w:rsid w:val="00E62171"/>
    <w:rsid w:val="00E62768"/>
    <w:rsid w:val="00E6462C"/>
    <w:rsid w:val="00E658EB"/>
    <w:rsid w:val="00E65BCA"/>
    <w:rsid w:val="00E66365"/>
    <w:rsid w:val="00E6644D"/>
    <w:rsid w:val="00E666EB"/>
    <w:rsid w:val="00E66F2C"/>
    <w:rsid w:val="00E6726B"/>
    <w:rsid w:val="00E676F1"/>
    <w:rsid w:val="00E676F9"/>
    <w:rsid w:val="00E67882"/>
    <w:rsid w:val="00E70455"/>
    <w:rsid w:val="00E71702"/>
    <w:rsid w:val="00E719D3"/>
    <w:rsid w:val="00E71D9C"/>
    <w:rsid w:val="00E71E37"/>
    <w:rsid w:val="00E720FE"/>
    <w:rsid w:val="00E72A86"/>
    <w:rsid w:val="00E72C29"/>
    <w:rsid w:val="00E73583"/>
    <w:rsid w:val="00E74EE7"/>
    <w:rsid w:val="00E76782"/>
    <w:rsid w:val="00E76956"/>
    <w:rsid w:val="00E76B49"/>
    <w:rsid w:val="00E76C9E"/>
    <w:rsid w:val="00E77030"/>
    <w:rsid w:val="00E777A7"/>
    <w:rsid w:val="00E779CB"/>
    <w:rsid w:val="00E8050E"/>
    <w:rsid w:val="00E80B80"/>
    <w:rsid w:val="00E811AD"/>
    <w:rsid w:val="00E814BC"/>
    <w:rsid w:val="00E81603"/>
    <w:rsid w:val="00E81A4E"/>
    <w:rsid w:val="00E81C41"/>
    <w:rsid w:val="00E81D46"/>
    <w:rsid w:val="00E83B3D"/>
    <w:rsid w:val="00E83D1B"/>
    <w:rsid w:val="00E8420B"/>
    <w:rsid w:val="00E84AB4"/>
    <w:rsid w:val="00E84B48"/>
    <w:rsid w:val="00E84EBF"/>
    <w:rsid w:val="00E8590A"/>
    <w:rsid w:val="00E85F38"/>
    <w:rsid w:val="00E85F64"/>
    <w:rsid w:val="00E861A8"/>
    <w:rsid w:val="00E86216"/>
    <w:rsid w:val="00E86A89"/>
    <w:rsid w:val="00E86ED2"/>
    <w:rsid w:val="00E8754C"/>
    <w:rsid w:val="00E87629"/>
    <w:rsid w:val="00E87846"/>
    <w:rsid w:val="00E87853"/>
    <w:rsid w:val="00E90423"/>
    <w:rsid w:val="00E9047F"/>
    <w:rsid w:val="00E90630"/>
    <w:rsid w:val="00E90C42"/>
    <w:rsid w:val="00E91621"/>
    <w:rsid w:val="00E91759"/>
    <w:rsid w:val="00E91C47"/>
    <w:rsid w:val="00E91D47"/>
    <w:rsid w:val="00E92935"/>
    <w:rsid w:val="00E936FA"/>
    <w:rsid w:val="00E94496"/>
    <w:rsid w:val="00E949D3"/>
    <w:rsid w:val="00E94C45"/>
    <w:rsid w:val="00E953C0"/>
    <w:rsid w:val="00E95E30"/>
    <w:rsid w:val="00E96473"/>
    <w:rsid w:val="00E9686D"/>
    <w:rsid w:val="00E97928"/>
    <w:rsid w:val="00E97A5E"/>
    <w:rsid w:val="00EA0D57"/>
    <w:rsid w:val="00EA0E45"/>
    <w:rsid w:val="00EA1EAD"/>
    <w:rsid w:val="00EA205B"/>
    <w:rsid w:val="00EA4907"/>
    <w:rsid w:val="00EA4974"/>
    <w:rsid w:val="00EA4A2E"/>
    <w:rsid w:val="00EA5490"/>
    <w:rsid w:val="00EA5618"/>
    <w:rsid w:val="00EA5CB4"/>
    <w:rsid w:val="00EA5FF7"/>
    <w:rsid w:val="00EA6303"/>
    <w:rsid w:val="00EA6872"/>
    <w:rsid w:val="00EA6B90"/>
    <w:rsid w:val="00EA6EA1"/>
    <w:rsid w:val="00EA7A0F"/>
    <w:rsid w:val="00EA7FDA"/>
    <w:rsid w:val="00EB01A1"/>
    <w:rsid w:val="00EB04B5"/>
    <w:rsid w:val="00EB0B41"/>
    <w:rsid w:val="00EB1073"/>
    <w:rsid w:val="00EB199B"/>
    <w:rsid w:val="00EB19BD"/>
    <w:rsid w:val="00EB210B"/>
    <w:rsid w:val="00EB269D"/>
    <w:rsid w:val="00EB2979"/>
    <w:rsid w:val="00EB2D46"/>
    <w:rsid w:val="00EB39F9"/>
    <w:rsid w:val="00EB3BCE"/>
    <w:rsid w:val="00EB47E5"/>
    <w:rsid w:val="00EB5877"/>
    <w:rsid w:val="00EB5CAD"/>
    <w:rsid w:val="00EB621E"/>
    <w:rsid w:val="00EB65A1"/>
    <w:rsid w:val="00EB6633"/>
    <w:rsid w:val="00EB6833"/>
    <w:rsid w:val="00EB684B"/>
    <w:rsid w:val="00EB7939"/>
    <w:rsid w:val="00EB7C89"/>
    <w:rsid w:val="00EC04FD"/>
    <w:rsid w:val="00EC0DD2"/>
    <w:rsid w:val="00EC0E73"/>
    <w:rsid w:val="00EC1543"/>
    <w:rsid w:val="00EC23B5"/>
    <w:rsid w:val="00EC25DC"/>
    <w:rsid w:val="00EC2C2F"/>
    <w:rsid w:val="00EC2CF2"/>
    <w:rsid w:val="00EC3159"/>
    <w:rsid w:val="00EC323A"/>
    <w:rsid w:val="00EC34E3"/>
    <w:rsid w:val="00EC3D4A"/>
    <w:rsid w:val="00EC4304"/>
    <w:rsid w:val="00EC4820"/>
    <w:rsid w:val="00EC56F1"/>
    <w:rsid w:val="00EC5DD1"/>
    <w:rsid w:val="00EC70F7"/>
    <w:rsid w:val="00EC7EB7"/>
    <w:rsid w:val="00ED053F"/>
    <w:rsid w:val="00ED1A2D"/>
    <w:rsid w:val="00ED1CAE"/>
    <w:rsid w:val="00ED21B4"/>
    <w:rsid w:val="00ED241C"/>
    <w:rsid w:val="00ED28D4"/>
    <w:rsid w:val="00ED2F2E"/>
    <w:rsid w:val="00ED3A50"/>
    <w:rsid w:val="00ED4235"/>
    <w:rsid w:val="00ED45A5"/>
    <w:rsid w:val="00ED46D7"/>
    <w:rsid w:val="00ED542F"/>
    <w:rsid w:val="00ED6A8D"/>
    <w:rsid w:val="00ED6B2E"/>
    <w:rsid w:val="00ED710B"/>
    <w:rsid w:val="00ED7133"/>
    <w:rsid w:val="00ED788F"/>
    <w:rsid w:val="00EE0223"/>
    <w:rsid w:val="00EE11F8"/>
    <w:rsid w:val="00EE27E2"/>
    <w:rsid w:val="00EE2819"/>
    <w:rsid w:val="00EE2AE0"/>
    <w:rsid w:val="00EE2EC4"/>
    <w:rsid w:val="00EE31A8"/>
    <w:rsid w:val="00EE33D3"/>
    <w:rsid w:val="00EE38B4"/>
    <w:rsid w:val="00EE392A"/>
    <w:rsid w:val="00EE3F23"/>
    <w:rsid w:val="00EE526B"/>
    <w:rsid w:val="00EE59ED"/>
    <w:rsid w:val="00EE60CE"/>
    <w:rsid w:val="00EE6168"/>
    <w:rsid w:val="00EE6853"/>
    <w:rsid w:val="00EE6C9F"/>
    <w:rsid w:val="00EE7E5F"/>
    <w:rsid w:val="00EF0038"/>
    <w:rsid w:val="00EF04B9"/>
    <w:rsid w:val="00EF067D"/>
    <w:rsid w:val="00EF1038"/>
    <w:rsid w:val="00EF105D"/>
    <w:rsid w:val="00EF24F5"/>
    <w:rsid w:val="00EF2565"/>
    <w:rsid w:val="00EF27D0"/>
    <w:rsid w:val="00EF28B1"/>
    <w:rsid w:val="00EF2DE8"/>
    <w:rsid w:val="00EF32F6"/>
    <w:rsid w:val="00EF4580"/>
    <w:rsid w:val="00EF539F"/>
    <w:rsid w:val="00EF5810"/>
    <w:rsid w:val="00EF5C4F"/>
    <w:rsid w:val="00EF662C"/>
    <w:rsid w:val="00EF6928"/>
    <w:rsid w:val="00F016E4"/>
    <w:rsid w:val="00F038E3"/>
    <w:rsid w:val="00F03C06"/>
    <w:rsid w:val="00F04097"/>
    <w:rsid w:val="00F045E2"/>
    <w:rsid w:val="00F04F56"/>
    <w:rsid w:val="00F05409"/>
    <w:rsid w:val="00F0550C"/>
    <w:rsid w:val="00F063ED"/>
    <w:rsid w:val="00F0689B"/>
    <w:rsid w:val="00F06E52"/>
    <w:rsid w:val="00F06F62"/>
    <w:rsid w:val="00F07279"/>
    <w:rsid w:val="00F07EC3"/>
    <w:rsid w:val="00F100E0"/>
    <w:rsid w:val="00F10625"/>
    <w:rsid w:val="00F1079D"/>
    <w:rsid w:val="00F10A53"/>
    <w:rsid w:val="00F11209"/>
    <w:rsid w:val="00F11C39"/>
    <w:rsid w:val="00F11CEB"/>
    <w:rsid w:val="00F1239B"/>
    <w:rsid w:val="00F1248F"/>
    <w:rsid w:val="00F1264C"/>
    <w:rsid w:val="00F13573"/>
    <w:rsid w:val="00F14673"/>
    <w:rsid w:val="00F1469A"/>
    <w:rsid w:val="00F147BE"/>
    <w:rsid w:val="00F1480E"/>
    <w:rsid w:val="00F149A3"/>
    <w:rsid w:val="00F14FB0"/>
    <w:rsid w:val="00F15443"/>
    <w:rsid w:val="00F159C3"/>
    <w:rsid w:val="00F15BD1"/>
    <w:rsid w:val="00F1677E"/>
    <w:rsid w:val="00F1767B"/>
    <w:rsid w:val="00F20E6E"/>
    <w:rsid w:val="00F20F17"/>
    <w:rsid w:val="00F20FC7"/>
    <w:rsid w:val="00F211C1"/>
    <w:rsid w:val="00F21EEB"/>
    <w:rsid w:val="00F23077"/>
    <w:rsid w:val="00F234F2"/>
    <w:rsid w:val="00F23B62"/>
    <w:rsid w:val="00F23BCE"/>
    <w:rsid w:val="00F25F15"/>
    <w:rsid w:val="00F26877"/>
    <w:rsid w:val="00F26C20"/>
    <w:rsid w:val="00F27165"/>
    <w:rsid w:val="00F27A80"/>
    <w:rsid w:val="00F27D16"/>
    <w:rsid w:val="00F30562"/>
    <w:rsid w:val="00F30CB3"/>
    <w:rsid w:val="00F312E0"/>
    <w:rsid w:val="00F3163A"/>
    <w:rsid w:val="00F31A97"/>
    <w:rsid w:val="00F31E33"/>
    <w:rsid w:val="00F320EB"/>
    <w:rsid w:val="00F32803"/>
    <w:rsid w:val="00F3289C"/>
    <w:rsid w:val="00F32E30"/>
    <w:rsid w:val="00F3344A"/>
    <w:rsid w:val="00F3372C"/>
    <w:rsid w:val="00F33FEC"/>
    <w:rsid w:val="00F35842"/>
    <w:rsid w:val="00F36501"/>
    <w:rsid w:val="00F36694"/>
    <w:rsid w:val="00F36CD4"/>
    <w:rsid w:val="00F36EE4"/>
    <w:rsid w:val="00F3767D"/>
    <w:rsid w:val="00F37B21"/>
    <w:rsid w:val="00F37E07"/>
    <w:rsid w:val="00F4093E"/>
    <w:rsid w:val="00F4170C"/>
    <w:rsid w:val="00F41879"/>
    <w:rsid w:val="00F41CFF"/>
    <w:rsid w:val="00F4207A"/>
    <w:rsid w:val="00F4243B"/>
    <w:rsid w:val="00F424F1"/>
    <w:rsid w:val="00F42646"/>
    <w:rsid w:val="00F42EA6"/>
    <w:rsid w:val="00F43598"/>
    <w:rsid w:val="00F43A0D"/>
    <w:rsid w:val="00F43F6D"/>
    <w:rsid w:val="00F43FDE"/>
    <w:rsid w:val="00F45A39"/>
    <w:rsid w:val="00F4667C"/>
    <w:rsid w:val="00F46963"/>
    <w:rsid w:val="00F47047"/>
    <w:rsid w:val="00F4722A"/>
    <w:rsid w:val="00F501D2"/>
    <w:rsid w:val="00F50392"/>
    <w:rsid w:val="00F50828"/>
    <w:rsid w:val="00F50A95"/>
    <w:rsid w:val="00F50AA7"/>
    <w:rsid w:val="00F511C1"/>
    <w:rsid w:val="00F51C83"/>
    <w:rsid w:val="00F52B07"/>
    <w:rsid w:val="00F53002"/>
    <w:rsid w:val="00F54714"/>
    <w:rsid w:val="00F54BA2"/>
    <w:rsid w:val="00F54BD5"/>
    <w:rsid w:val="00F54F48"/>
    <w:rsid w:val="00F558D4"/>
    <w:rsid w:val="00F55FFC"/>
    <w:rsid w:val="00F56F60"/>
    <w:rsid w:val="00F571CE"/>
    <w:rsid w:val="00F577C6"/>
    <w:rsid w:val="00F57800"/>
    <w:rsid w:val="00F603F5"/>
    <w:rsid w:val="00F6185D"/>
    <w:rsid w:val="00F62238"/>
    <w:rsid w:val="00F62391"/>
    <w:rsid w:val="00F62A2D"/>
    <w:rsid w:val="00F6306A"/>
    <w:rsid w:val="00F6350B"/>
    <w:rsid w:val="00F63856"/>
    <w:rsid w:val="00F63A0E"/>
    <w:rsid w:val="00F642E8"/>
    <w:rsid w:val="00F64B72"/>
    <w:rsid w:val="00F64FC3"/>
    <w:rsid w:val="00F6516D"/>
    <w:rsid w:val="00F65A96"/>
    <w:rsid w:val="00F65B4B"/>
    <w:rsid w:val="00F66F43"/>
    <w:rsid w:val="00F679A1"/>
    <w:rsid w:val="00F7113A"/>
    <w:rsid w:val="00F7132A"/>
    <w:rsid w:val="00F71859"/>
    <w:rsid w:val="00F721EA"/>
    <w:rsid w:val="00F72B0E"/>
    <w:rsid w:val="00F72BF8"/>
    <w:rsid w:val="00F72D40"/>
    <w:rsid w:val="00F72F42"/>
    <w:rsid w:val="00F731D2"/>
    <w:rsid w:val="00F73A5D"/>
    <w:rsid w:val="00F73C9D"/>
    <w:rsid w:val="00F73CF7"/>
    <w:rsid w:val="00F73E94"/>
    <w:rsid w:val="00F7493A"/>
    <w:rsid w:val="00F74FA0"/>
    <w:rsid w:val="00F75320"/>
    <w:rsid w:val="00F75913"/>
    <w:rsid w:val="00F76222"/>
    <w:rsid w:val="00F766A0"/>
    <w:rsid w:val="00F76D63"/>
    <w:rsid w:val="00F77748"/>
    <w:rsid w:val="00F77E2A"/>
    <w:rsid w:val="00F8050A"/>
    <w:rsid w:val="00F80C8A"/>
    <w:rsid w:val="00F81169"/>
    <w:rsid w:val="00F8129E"/>
    <w:rsid w:val="00F81908"/>
    <w:rsid w:val="00F8204F"/>
    <w:rsid w:val="00F82251"/>
    <w:rsid w:val="00F83339"/>
    <w:rsid w:val="00F83651"/>
    <w:rsid w:val="00F84776"/>
    <w:rsid w:val="00F84CA9"/>
    <w:rsid w:val="00F85A8A"/>
    <w:rsid w:val="00F85E5F"/>
    <w:rsid w:val="00F8681C"/>
    <w:rsid w:val="00F86A87"/>
    <w:rsid w:val="00F86C07"/>
    <w:rsid w:val="00F86FC8"/>
    <w:rsid w:val="00F87678"/>
    <w:rsid w:val="00F87A7C"/>
    <w:rsid w:val="00F90622"/>
    <w:rsid w:val="00F912FF"/>
    <w:rsid w:val="00F91577"/>
    <w:rsid w:val="00F91AC5"/>
    <w:rsid w:val="00F933AD"/>
    <w:rsid w:val="00F9431A"/>
    <w:rsid w:val="00F94CF3"/>
    <w:rsid w:val="00F957C9"/>
    <w:rsid w:val="00F96182"/>
    <w:rsid w:val="00F963DA"/>
    <w:rsid w:val="00F9643D"/>
    <w:rsid w:val="00F96646"/>
    <w:rsid w:val="00F967F7"/>
    <w:rsid w:val="00F969B9"/>
    <w:rsid w:val="00F973D4"/>
    <w:rsid w:val="00FA106A"/>
    <w:rsid w:val="00FA1EC5"/>
    <w:rsid w:val="00FA2240"/>
    <w:rsid w:val="00FA27B3"/>
    <w:rsid w:val="00FA5B44"/>
    <w:rsid w:val="00FA6223"/>
    <w:rsid w:val="00FA68B5"/>
    <w:rsid w:val="00FA711F"/>
    <w:rsid w:val="00FA7753"/>
    <w:rsid w:val="00FA77BD"/>
    <w:rsid w:val="00FB023F"/>
    <w:rsid w:val="00FB0560"/>
    <w:rsid w:val="00FB1834"/>
    <w:rsid w:val="00FB188E"/>
    <w:rsid w:val="00FB20FB"/>
    <w:rsid w:val="00FB21C9"/>
    <w:rsid w:val="00FB240E"/>
    <w:rsid w:val="00FB280F"/>
    <w:rsid w:val="00FB3415"/>
    <w:rsid w:val="00FB35FD"/>
    <w:rsid w:val="00FB416C"/>
    <w:rsid w:val="00FB44B4"/>
    <w:rsid w:val="00FB5009"/>
    <w:rsid w:val="00FB5309"/>
    <w:rsid w:val="00FB536C"/>
    <w:rsid w:val="00FB5814"/>
    <w:rsid w:val="00FB645F"/>
    <w:rsid w:val="00FB6F5B"/>
    <w:rsid w:val="00FB791F"/>
    <w:rsid w:val="00FB7943"/>
    <w:rsid w:val="00FB7C6D"/>
    <w:rsid w:val="00FB7F47"/>
    <w:rsid w:val="00FC0C9A"/>
    <w:rsid w:val="00FC1B2C"/>
    <w:rsid w:val="00FC2034"/>
    <w:rsid w:val="00FC247E"/>
    <w:rsid w:val="00FC24E9"/>
    <w:rsid w:val="00FC251E"/>
    <w:rsid w:val="00FC2C6F"/>
    <w:rsid w:val="00FC2DF9"/>
    <w:rsid w:val="00FC317E"/>
    <w:rsid w:val="00FC3FA0"/>
    <w:rsid w:val="00FC49E2"/>
    <w:rsid w:val="00FC4C5F"/>
    <w:rsid w:val="00FC503A"/>
    <w:rsid w:val="00FC58F4"/>
    <w:rsid w:val="00FC6D9B"/>
    <w:rsid w:val="00FC74D0"/>
    <w:rsid w:val="00FC7517"/>
    <w:rsid w:val="00FC799F"/>
    <w:rsid w:val="00FD0020"/>
    <w:rsid w:val="00FD007A"/>
    <w:rsid w:val="00FD071E"/>
    <w:rsid w:val="00FD11D9"/>
    <w:rsid w:val="00FD11F8"/>
    <w:rsid w:val="00FD1613"/>
    <w:rsid w:val="00FD18ED"/>
    <w:rsid w:val="00FD1B7C"/>
    <w:rsid w:val="00FD335A"/>
    <w:rsid w:val="00FD36F8"/>
    <w:rsid w:val="00FD3A87"/>
    <w:rsid w:val="00FD3E09"/>
    <w:rsid w:val="00FD3F57"/>
    <w:rsid w:val="00FD4326"/>
    <w:rsid w:val="00FD4BC6"/>
    <w:rsid w:val="00FD54D1"/>
    <w:rsid w:val="00FD56DD"/>
    <w:rsid w:val="00FD5C7D"/>
    <w:rsid w:val="00FD6A99"/>
    <w:rsid w:val="00FD6EFD"/>
    <w:rsid w:val="00FD70DF"/>
    <w:rsid w:val="00FE084A"/>
    <w:rsid w:val="00FE098C"/>
    <w:rsid w:val="00FE0AF5"/>
    <w:rsid w:val="00FE0BAC"/>
    <w:rsid w:val="00FE0D21"/>
    <w:rsid w:val="00FE162B"/>
    <w:rsid w:val="00FE21E9"/>
    <w:rsid w:val="00FE28DD"/>
    <w:rsid w:val="00FE2D16"/>
    <w:rsid w:val="00FE31B2"/>
    <w:rsid w:val="00FE3665"/>
    <w:rsid w:val="00FE3716"/>
    <w:rsid w:val="00FE3D20"/>
    <w:rsid w:val="00FE4D74"/>
    <w:rsid w:val="00FE4FCE"/>
    <w:rsid w:val="00FE5172"/>
    <w:rsid w:val="00FE5355"/>
    <w:rsid w:val="00FE559F"/>
    <w:rsid w:val="00FE6B63"/>
    <w:rsid w:val="00FE6C1B"/>
    <w:rsid w:val="00FE7473"/>
    <w:rsid w:val="00FE77A6"/>
    <w:rsid w:val="00FE78C0"/>
    <w:rsid w:val="00FE7B51"/>
    <w:rsid w:val="00FE7E3F"/>
    <w:rsid w:val="00FE7EED"/>
    <w:rsid w:val="00FF032A"/>
    <w:rsid w:val="00FF0CD1"/>
    <w:rsid w:val="00FF0F4C"/>
    <w:rsid w:val="00FF2079"/>
    <w:rsid w:val="00FF2648"/>
    <w:rsid w:val="00FF2CF2"/>
    <w:rsid w:val="00FF33A9"/>
    <w:rsid w:val="00FF3582"/>
    <w:rsid w:val="00FF3907"/>
    <w:rsid w:val="00FF3BC9"/>
    <w:rsid w:val="00FF42B1"/>
    <w:rsid w:val="00FF4F68"/>
    <w:rsid w:val="00FF5044"/>
    <w:rsid w:val="00FF52DE"/>
    <w:rsid w:val="00FF565C"/>
    <w:rsid w:val="00FF5F0C"/>
    <w:rsid w:val="00FF601C"/>
    <w:rsid w:val="00FF61B2"/>
    <w:rsid w:val="00FF64BE"/>
    <w:rsid w:val="00FF70B5"/>
    <w:rsid w:val="00FF7189"/>
    <w:rsid w:val="00FF7721"/>
    <w:rsid w:val="00FF7B15"/>
    <w:rsid w:val="00FF7F30"/>
    <w:rsid w:val="011A11A4"/>
    <w:rsid w:val="014B5B44"/>
    <w:rsid w:val="018C5F7F"/>
    <w:rsid w:val="01BE4069"/>
    <w:rsid w:val="01BE5800"/>
    <w:rsid w:val="01C66FA2"/>
    <w:rsid w:val="01E46F65"/>
    <w:rsid w:val="02E536DD"/>
    <w:rsid w:val="03F06C42"/>
    <w:rsid w:val="041B3357"/>
    <w:rsid w:val="04334135"/>
    <w:rsid w:val="04C34346"/>
    <w:rsid w:val="04E30437"/>
    <w:rsid w:val="05F41FAA"/>
    <w:rsid w:val="063A1C66"/>
    <w:rsid w:val="063B78DC"/>
    <w:rsid w:val="065E41ED"/>
    <w:rsid w:val="076E0F6D"/>
    <w:rsid w:val="07E84F31"/>
    <w:rsid w:val="0839529D"/>
    <w:rsid w:val="08A56D4F"/>
    <w:rsid w:val="08BB2B43"/>
    <w:rsid w:val="09110A6A"/>
    <w:rsid w:val="09974C33"/>
    <w:rsid w:val="09B82947"/>
    <w:rsid w:val="0A6B5FA5"/>
    <w:rsid w:val="0AB5719A"/>
    <w:rsid w:val="0B5A5032"/>
    <w:rsid w:val="0BF958C7"/>
    <w:rsid w:val="0C143CD0"/>
    <w:rsid w:val="0C395F54"/>
    <w:rsid w:val="0C3F3332"/>
    <w:rsid w:val="0C5A09A9"/>
    <w:rsid w:val="0CDB719E"/>
    <w:rsid w:val="0E0812B7"/>
    <w:rsid w:val="0EAB6A73"/>
    <w:rsid w:val="0F4D0707"/>
    <w:rsid w:val="0F962771"/>
    <w:rsid w:val="0FBA2A45"/>
    <w:rsid w:val="0FC41654"/>
    <w:rsid w:val="0FDE7285"/>
    <w:rsid w:val="11280AE6"/>
    <w:rsid w:val="118C2ED5"/>
    <w:rsid w:val="11B83D31"/>
    <w:rsid w:val="123F6BB3"/>
    <w:rsid w:val="12795B29"/>
    <w:rsid w:val="12F62B63"/>
    <w:rsid w:val="13696837"/>
    <w:rsid w:val="13B31AEC"/>
    <w:rsid w:val="13FE3FBA"/>
    <w:rsid w:val="140E1568"/>
    <w:rsid w:val="14404369"/>
    <w:rsid w:val="145A1B30"/>
    <w:rsid w:val="14930855"/>
    <w:rsid w:val="175D674F"/>
    <w:rsid w:val="17CD2550"/>
    <w:rsid w:val="18114189"/>
    <w:rsid w:val="18454928"/>
    <w:rsid w:val="187C6497"/>
    <w:rsid w:val="18F06F2D"/>
    <w:rsid w:val="19421A22"/>
    <w:rsid w:val="19AD7F51"/>
    <w:rsid w:val="19E46B61"/>
    <w:rsid w:val="1BA50D14"/>
    <w:rsid w:val="1BA677E7"/>
    <w:rsid w:val="1C625D30"/>
    <w:rsid w:val="1C7671E3"/>
    <w:rsid w:val="1C777601"/>
    <w:rsid w:val="1C797204"/>
    <w:rsid w:val="1C8A493E"/>
    <w:rsid w:val="1C9E0249"/>
    <w:rsid w:val="1CCB6998"/>
    <w:rsid w:val="1CD6623F"/>
    <w:rsid w:val="1CF90898"/>
    <w:rsid w:val="1CFA0FE7"/>
    <w:rsid w:val="1D082136"/>
    <w:rsid w:val="1D0D31E0"/>
    <w:rsid w:val="1D8C69C4"/>
    <w:rsid w:val="1DCD6699"/>
    <w:rsid w:val="1E1C7C6C"/>
    <w:rsid w:val="1E786F00"/>
    <w:rsid w:val="1F1F65F5"/>
    <w:rsid w:val="1F343C02"/>
    <w:rsid w:val="1FAC7E53"/>
    <w:rsid w:val="1FB7496C"/>
    <w:rsid w:val="1FC517F2"/>
    <w:rsid w:val="203E7119"/>
    <w:rsid w:val="20517FE3"/>
    <w:rsid w:val="205E17D1"/>
    <w:rsid w:val="20CE2C18"/>
    <w:rsid w:val="217C1DAF"/>
    <w:rsid w:val="218220DE"/>
    <w:rsid w:val="21D53029"/>
    <w:rsid w:val="22130B27"/>
    <w:rsid w:val="222C76C6"/>
    <w:rsid w:val="22466CF3"/>
    <w:rsid w:val="22A344E7"/>
    <w:rsid w:val="22DE3197"/>
    <w:rsid w:val="230E0741"/>
    <w:rsid w:val="23F63E16"/>
    <w:rsid w:val="243A32C2"/>
    <w:rsid w:val="248C3742"/>
    <w:rsid w:val="25093A3B"/>
    <w:rsid w:val="25236D0D"/>
    <w:rsid w:val="252F645D"/>
    <w:rsid w:val="258858A9"/>
    <w:rsid w:val="26757E2C"/>
    <w:rsid w:val="26790701"/>
    <w:rsid w:val="273508EE"/>
    <w:rsid w:val="27483692"/>
    <w:rsid w:val="276F6E45"/>
    <w:rsid w:val="278066D7"/>
    <w:rsid w:val="27827B0F"/>
    <w:rsid w:val="27886287"/>
    <w:rsid w:val="27F53526"/>
    <w:rsid w:val="27FA5E76"/>
    <w:rsid w:val="28690FE5"/>
    <w:rsid w:val="288E2BD2"/>
    <w:rsid w:val="28DC50AB"/>
    <w:rsid w:val="28E55271"/>
    <w:rsid w:val="2923374B"/>
    <w:rsid w:val="29BD796F"/>
    <w:rsid w:val="2A012BD1"/>
    <w:rsid w:val="2A6A2E4B"/>
    <w:rsid w:val="2AAC3644"/>
    <w:rsid w:val="2AEC6593"/>
    <w:rsid w:val="2B563448"/>
    <w:rsid w:val="2B8946FF"/>
    <w:rsid w:val="2C0A4741"/>
    <w:rsid w:val="2CF86E08"/>
    <w:rsid w:val="2D9B15EF"/>
    <w:rsid w:val="2E304308"/>
    <w:rsid w:val="2EB26D79"/>
    <w:rsid w:val="2F180BE3"/>
    <w:rsid w:val="2F7145F4"/>
    <w:rsid w:val="30580298"/>
    <w:rsid w:val="30646F90"/>
    <w:rsid w:val="30CB0402"/>
    <w:rsid w:val="31826D35"/>
    <w:rsid w:val="31B059BE"/>
    <w:rsid w:val="31E26B4F"/>
    <w:rsid w:val="324D2681"/>
    <w:rsid w:val="328E7E27"/>
    <w:rsid w:val="32CC59DA"/>
    <w:rsid w:val="330B1488"/>
    <w:rsid w:val="34457450"/>
    <w:rsid w:val="345346F9"/>
    <w:rsid w:val="35373F98"/>
    <w:rsid w:val="363B7932"/>
    <w:rsid w:val="36D15C2A"/>
    <w:rsid w:val="36FA4BBC"/>
    <w:rsid w:val="371D61FE"/>
    <w:rsid w:val="374B5AC3"/>
    <w:rsid w:val="3793414D"/>
    <w:rsid w:val="38187E4F"/>
    <w:rsid w:val="3820445B"/>
    <w:rsid w:val="38210467"/>
    <w:rsid w:val="38401B73"/>
    <w:rsid w:val="384B1D2A"/>
    <w:rsid w:val="39780BBB"/>
    <w:rsid w:val="39D617F2"/>
    <w:rsid w:val="3A0844B9"/>
    <w:rsid w:val="3A1E77FC"/>
    <w:rsid w:val="3A8A1884"/>
    <w:rsid w:val="3A9E1B37"/>
    <w:rsid w:val="3AA107FF"/>
    <w:rsid w:val="3B365EA2"/>
    <w:rsid w:val="3B731AB5"/>
    <w:rsid w:val="3B833738"/>
    <w:rsid w:val="3B874762"/>
    <w:rsid w:val="3BE463D9"/>
    <w:rsid w:val="3C2527C5"/>
    <w:rsid w:val="3CCF6CF3"/>
    <w:rsid w:val="3D3F3F96"/>
    <w:rsid w:val="3D6F75C9"/>
    <w:rsid w:val="3DD6644F"/>
    <w:rsid w:val="3DE90F01"/>
    <w:rsid w:val="3E266E35"/>
    <w:rsid w:val="3F014E8A"/>
    <w:rsid w:val="3F7F04D5"/>
    <w:rsid w:val="40A005F0"/>
    <w:rsid w:val="417E1386"/>
    <w:rsid w:val="422B6BF4"/>
    <w:rsid w:val="42347713"/>
    <w:rsid w:val="43B00A8F"/>
    <w:rsid w:val="45511B47"/>
    <w:rsid w:val="45A15DDB"/>
    <w:rsid w:val="45B22926"/>
    <w:rsid w:val="4681712C"/>
    <w:rsid w:val="468B6718"/>
    <w:rsid w:val="473B23EB"/>
    <w:rsid w:val="47B32EAB"/>
    <w:rsid w:val="47C40E8C"/>
    <w:rsid w:val="482A664E"/>
    <w:rsid w:val="48B1218F"/>
    <w:rsid w:val="48B14AB0"/>
    <w:rsid w:val="48D6123C"/>
    <w:rsid w:val="49150F51"/>
    <w:rsid w:val="49480BD4"/>
    <w:rsid w:val="499F04DF"/>
    <w:rsid w:val="49CB3BFF"/>
    <w:rsid w:val="4A2E50F5"/>
    <w:rsid w:val="4AA4619B"/>
    <w:rsid w:val="4B284D77"/>
    <w:rsid w:val="4B415672"/>
    <w:rsid w:val="4BEC1507"/>
    <w:rsid w:val="4CC91D6B"/>
    <w:rsid w:val="4CD363C9"/>
    <w:rsid w:val="4D7F6702"/>
    <w:rsid w:val="4F123950"/>
    <w:rsid w:val="4F134C73"/>
    <w:rsid w:val="50646C06"/>
    <w:rsid w:val="507519D9"/>
    <w:rsid w:val="50EC442B"/>
    <w:rsid w:val="52127D7D"/>
    <w:rsid w:val="52412A63"/>
    <w:rsid w:val="52DB291F"/>
    <w:rsid w:val="53763D4D"/>
    <w:rsid w:val="54135280"/>
    <w:rsid w:val="5526139C"/>
    <w:rsid w:val="552B2D26"/>
    <w:rsid w:val="554E1470"/>
    <w:rsid w:val="55986D51"/>
    <w:rsid w:val="55D42624"/>
    <w:rsid w:val="55DB4F23"/>
    <w:rsid w:val="56133CA0"/>
    <w:rsid w:val="5671497D"/>
    <w:rsid w:val="56DD4ABD"/>
    <w:rsid w:val="5703231E"/>
    <w:rsid w:val="57116442"/>
    <w:rsid w:val="573D0CDB"/>
    <w:rsid w:val="578D3493"/>
    <w:rsid w:val="586A7A45"/>
    <w:rsid w:val="588F7387"/>
    <w:rsid w:val="58914C8B"/>
    <w:rsid w:val="58E3423E"/>
    <w:rsid w:val="58F23ED5"/>
    <w:rsid w:val="593B5F4A"/>
    <w:rsid w:val="5956205C"/>
    <w:rsid w:val="59774744"/>
    <w:rsid w:val="599E6CB8"/>
    <w:rsid w:val="59C72015"/>
    <w:rsid w:val="59E031E2"/>
    <w:rsid w:val="5AA974E8"/>
    <w:rsid w:val="5B8340E7"/>
    <w:rsid w:val="5B8D0599"/>
    <w:rsid w:val="5B937814"/>
    <w:rsid w:val="5BA627EA"/>
    <w:rsid w:val="5BAA125C"/>
    <w:rsid w:val="5C6E79F1"/>
    <w:rsid w:val="5C8657B1"/>
    <w:rsid w:val="5CA73484"/>
    <w:rsid w:val="5CE5499C"/>
    <w:rsid w:val="5D77243C"/>
    <w:rsid w:val="5DBD16F0"/>
    <w:rsid w:val="5E2F13E4"/>
    <w:rsid w:val="5EC546B7"/>
    <w:rsid w:val="5EE01513"/>
    <w:rsid w:val="5FA9036D"/>
    <w:rsid w:val="5FE20A6A"/>
    <w:rsid w:val="5FE5609B"/>
    <w:rsid w:val="5FE80DF1"/>
    <w:rsid w:val="60394F33"/>
    <w:rsid w:val="607A028C"/>
    <w:rsid w:val="60F46D90"/>
    <w:rsid w:val="61904268"/>
    <w:rsid w:val="61922827"/>
    <w:rsid w:val="61985AAE"/>
    <w:rsid w:val="619B21A0"/>
    <w:rsid w:val="61BA23C3"/>
    <w:rsid w:val="61C95215"/>
    <w:rsid w:val="620863D2"/>
    <w:rsid w:val="626058BD"/>
    <w:rsid w:val="62D70238"/>
    <w:rsid w:val="634E5810"/>
    <w:rsid w:val="63862B63"/>
    <w:rsid w:val="63A81226"/>
    <w:rsid w:val="63A85CAB"/>
    <w:rsid w:val="63E44C6E"/>
    <w:rsid w:val="647C485B"/>
    <w:rsid w:val="64B571DE"/>
    <w:rsid w:val="650A079C"/>
    <w:rsid w:val="651D2E62"/>
    <w:rsid w:val="65630451"/>
    <w:rsid w:val="65E5355A"/>
    <w:rsid w:val="674A3D4F"/>
    <w:rsid w:val="678E44EB"/>
    <w:rsid w:val="679006E0"/>
    <w:rsid w:val="6864772D"/>
    <w:rsid w:val="68BA7AE6"/>
    <w:rsid w:val="68BC6A3B"/>
    <w:rsid w:val="699F3461"/>
    <w:rsid w:val="6A121AD7"/>
    <w:rsid w:val="6A3C248C"/>
    <w:rsid w:val="6A7B6A1C"/>
    <w:rsid w:val="6AD23B35"/>
    <w:rsid w:val="6B385C9F"/>
    <w:rsid w:val="6C176453"/>
    <w:rsid w:val="6C3226C6"/>
    <w:rsid w:val="6C545FF5"/>
    <w:rsid w:val="6C591BE2"/>
    <w:rsid w:val="6D0C6D61"/>
    <w:rsid w:val="6DEB533E"/>
    <w:rsid w:val="6E0A4A26"/>
    <w:rsid w:val="6E5E1B6C"/>
    <w:rsid w:val="6EEF71D1"/>
    <w:rsid w:val="6F021A16"/>
    <w:rsid w:val="6F1D40CE"/>
    <w:rsid w:val="7051517A"/>
    <w:rsid w:val="70C1356C"/>
    <w:rsid w:val="70D85BD1"/>
    <w:rsid w:val="71003FE0"/>
    <w:rsid w:val="71124305"/>
    <w:rsid w:val="715B338A"/>
    <w:rsid w:val="71625DF8"/>
    <w:rsid w:val="716A7ADC"/>
    <w:rsid w:val="71DE2E53"/>
    <w:rsid w:val="72014278"/>
    <w:rsid w:val="721F39FF"/>
    <w:rsid w:val="729E121E"/>
    <w:rsid w:val="72CD0809"/>
    <w:rsid w:val="72E23A7A"/>
    <w:rsid w:val="72F6179B"/>
    <w:rsid w:val="738003CA"/>
    <w:rsid w:val="73C56EED"/>
    <w:rsid w:val="73F2038F"/>
    <w:rsid w:val="74B3343C"/>
    <w:rsid w:val="758D4AB4"/>
    <w:rsid w:val="75A569F5"/>
    <w:rsid w:val="75D12961"/>
    <w:rsid w:val="763B5101"/>
    <w:rsid w:val="765941C5"/>
    <w:rsid w:val="773B6CD4"/>
    <w:rsid w:val="77E30949"/>
    <w:rsid w:val="77F06BBC"/>
    <w:rsid w:val="77F16A53"/>
    <w:rsid w:val="782C7005"/>
    <w:rsid w:val="783525A0"/>
    <w:rsid w:val="786F12BD"/>
    <w:rsid w:val="786F1AA9"/>
    <w:rsid w:val="7872551D"/>
    <w:rsid w:val="7920071D"/>
    <w:rsid w:val="79C52BC7"/>
    <w:rsid w:val="79C747F6"/>
    <w:rsid w:val="7A36659D"/>
    <w:rsid w:val="7A6027C1"/>
    <w:rsid w:val="7A854A12"/>
    <w:rsid w:val="7AE64955"/>
    <w:rsid w:val="7B237820"/>
    <w:rsid w:val="7B974622"/>
    <w:rsid w:val="7BDE67A2"/>
    <w:rsid w:val="7CB55E50"/>
    <w:rsid w:val="7D4E72F0"/>
    <w:rsid w:val="7DA34510"/>
    <w:rsid w:val="7E9219F9"/>
    <w:rsid w:val="7EB50A4D"/>
    <w:rsid w:val="7EF87B3E"/>
    <w:rsid w:val="7F924DA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qFormat="1"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9"/>
    <w:qFormat/>
    <w:uiPriority w:val="9"/>
    <w:pPr>
      <w:keepNext/>
      <w:keepLines/>
      <w:spacing w:before="340" w:after="330" w:line="576" w:lineRule="auto"/>
      <w:outlineLvl w:val="0"/>
    </w:pPr>
    <w:rPr>
      <w:b/>
      <w:bCs/>
      <w:kern w:val="44"/>
      <w:sz w:val="44"/>
      <w:szCs w:val="44"/>
    </w:rPr>
  </w:style>
  <w:style w:type="paragraph" w:styleId="3">
    <w:name w:val="heading 2"/>
    <w:basedOn w:val="1"/>
    <w:next w:val="1"/>
    <w:link w:val="60"/>
    <w:qFormat/>
    <w:uiPriority w:val="0"/>
    <w:pPr>
      <w:keepNext/>
      <w:keepLines/>
      <w:spacing w:before="260" w:after="260" w:line="413" w:lineRule="auto"/>
      <w:outlineLvl w:val="1"/>
    </w:pPr>
    <w:rPr>
      <w:rFonts w:ascii="Arial" w:hAnsi="Arial" w:eastAsia="黑体"/>
      <w:b/>
      <w:bCs/>
      <w:sz w:val="32"/>
      <w:szCs w:val="32"/>
    </w:rPr>
  </w:style>
  <w:style w:type="paragraph" w:styleId="4">
    <w:name w:val="heading 3"/>
    <w:basedOn w:val="1"/>
    <w:next w:val="1"/>
    <w:link w:val="61"/>
    <w:qFormat/>
    <w:uiPriority w:val="0"/>
    <w:pPr>
      <w:keepNext/>
      <w:keepLines/>
      <w:spacing w:before="260" w:after="260" w:line="413" w:lineRule="auto"/>
      <w:outlineLvl w:val="2"/>
    </w:pPr>
    <w:rPr>
      <w:b/>
      <w:bCs/>
      <w:sz w:val="32"/>
      <w:szCs w:val="32"/>
    </w:rPr>
  </w:style>
  <w:style w:type="paragraph" w:styleId="5">
    <w:name w:val="heading 4"/>
    <w:basedOn w:val="1"/>
    <w:next w:val="1"/>
    <w:link w:val="62"/>
    <w:qFormat/>
    <w:uiPriority w:val="0"/>
    <w:pPr>
      <w:keepNext/>
      <w:keepLines/>
      <w:widowControl/>
      <w:spacing w:before="120" w:after="120" w:line="360" w:lineRule="auto"/>
      <w:jc w:val="center"/>
      <w:outlineLvl w:val="3"/>
    </w:pPr>
    <w:rPr>
      <w:rFonts w:ascii="Arial" w:hAnsi="Arial" w:eastAsia="黑体"/>
      <w:kern w:val="0"/>
      <w:sz w:val="28"/>
      <w:szCs w:val="20"/>
    </w:rPr>
  </w:style>
  <w:style w:type="paragraph" w:styleId="6">
    <w:name w:val="heading 5"/>
    <w:basedOn w:val="1"/>
    <w:next w:val="7"/>
    <w:link w:val="63"/>
    <w:qFormat/>
    <w:uiPriority w:val="0"/>
    <w:pPr>
      <w:keepNext/>
      <w:keepLines/>
      <w:spacing w:before="280" w:after="290" w:line="372" w:lineRule="auto"/>
      <w:outlineLvl w:val="4"/>
    </w:pPr>
    <w:rPr>
      <w:b/>
      <w:sz w:val="28"/>
    </w:rPr>
  </w:style>
  <w:style w:type="paragraph" w:styleId="8">
    <w:name w:val="heading 6"/>
    <w:basedOn w:val="1"/>
    <w:next w:val="7"/>
    <w:link w:val="64"/>
    <w:qFormat/>
    <w:uiPriority w:val="0"/>
    <w:pPr>
      <w:keepNext/>
      <w:keepLines/>
      <w:spacing w:before="240" w:after="64" w:line="317" w:lineRule="auto"/>
      <w:outlineLvl w:val="5"/>
    </w:pPr>
    <w:rPr>
      <w:rFonts w:ascii="Arial" w:hAnsi="Arial" w:eastAsia="黑体"/>
      <w:b/>
      <w:sz w:val="24"/>
    </w:rPr>
  </w:style>
  <w:style w:type="paragraph" w:styleId="9">
    <w:name w:val="heading 7"/>
    <w:basedOn w:val="1"/>
    <w:next w:val="7"/>
    <w:link w:val="65"/>
    <w:qFormat/>
    <w:uiPriority w:val="0"/>
    <w:pPr>
      <w:keepNext/>
      <w:keepLines/>
      <w:spacing w:before="240" w:after="64" w:line="317" w:lineRule="auto"/>
      <w:outlineLvl w:val="6"/>
    </w:pPr>
    <w:rPr>
      <w:b/>
      <w:sz w:val="24"/>
    </w:rPr>
  </w:style>
  <w:style w:type="paragraph" w:styleId="10">
    <w:name w:val="heading 8"/>
    <w:basedOn w:val="1"/>
    <w:next w:val="7"/>
    <w:link w:val="66"/>
    <w:qFormat/>
    <w:uiPriority w:val="0"/>
    <w:pPr>
      <w:keepNext/>
      <w:keepLines/>
      <w:spacing w:before="240" w:after="64" w:line="317" w:lineRule="auto"/>
      <w:outlineLvl w:val="7"/>
    </w:pPr>
    <w:rPr>
      <w:rFonts w:ascii="Arial" w:hAnsi="Arial" w:eastAsia="黑体"/>
      <w:sz w:val="24"/>
    </w:rPr>
  </w:style>
  <w:style w:type="paragraph" w:styleId="11">
    <w:name w:val="heading 9"/>
    <w:basedOn w:val="1"/>
    <w:next w:val="7"/>
    <w:link w:val="67"/>
    <w:qFormat/>
    <w:uiPriority w:val="0"/>
    <w:pPr>
      <w:keepNext/>
      <w:keepLines/>
      <w:spacing w:before="240" w:after="64" w:line="317" w:lineRule="auto"/>
      <w:outlineLvl w:val="8"/>
    </w:pPr>
    <w:rPr>
      <w:rFonts w:ascii="Arial" w:hAnsi="Arial" w:eastAsia="黑体"/>
    </w:rPr>
  </w:style>
  <w:style w:type="character" w:default="1" w:styleId="53">
    <w:name w:val="Default Paragraph Font"/>
    <w:unhideWhenUsed/>
    <w:qFormat/>
    <w:uiPriority w:val="1"/>
  </w:style>
  <w:style w:type="table" w:default="1" w:styleId="51">
    <w:name w:val="Normal Table"/>
    <w:unhideWhenUsed/>
    <w:qFormat/>
    <w:uiPriority w:val="99"/>
    <w:tblPr>
      <w:tblCellMar>
        <w:top w:w="0" w:type="dxa"/>
        <w:left w:w="108" w:type="dxa"/>
        <w:bottom w:w="0" w:type="dxa"/>
        <w:right w:w="108" w:type="dxa"/>
      </w:tblCellMar>
    </w:tblPr>
  </w:style>
  <w:style w:type="paragraph" w:styleId="7">
    <w:name w:val="Normal Indent"/>
    <w:basedOn w:val="1"/>
    <w:qFormat/>
    <w:uiPriority w:val="0"/>
    <w:pPr>
      <w:ind w:firstLine="420"/>
    </w:pPr>
    <w:rPr>
      <w:szCs w:val="20"/>
    </w:rPr>
  </w:style>
  <w:style w:type="paragraph" w:styleId="12">
    <w:name w:val="List 3"/>
    <w:basedOn w:val="1"/>
    <w:qFormat/>
    <w:uiPriority w:val="0"/>
    <w:pPr>
      <w:ind w:left="100" w:leftChars="400" w:hanging="200" w:hangingChars="200"/>
    </w:pPr>
  </w:style>
  <w:style w:type="paragraph" w:styleId="13">
    <w:name w:val="toc 7"/>
    <w:basedOn w:val="1"/>
    <w:next w:val="1"/>
    <w:qFormat/>
    <w:uiPriority w:val="0"/>
    <w:pPr>
      <w:tabs>
        <w:tab w:val="right" w:leader="dot" w:pos="9185"/>
      </w:tabs>
      <w:adjustRightInd w:val="0"/>
      <w:spacing w:line="312" w:lineRule="atLeast"/>
      <w:ind w:left="2520"/>
      <w:textAlignment w:val="baseline"/>
    </w:pPr>
    <w:rPr>
      <w:kern w:val="0"/>
      <w:szCs w:val="20"/>
    </w:rPr>
  </w:style>
  <w:style w:type="paragraph" w:styleId="14">
    <w:name w:val="List Number"/>
    <w:basedOn w:val="1"/>
    <w:qFormat/>
    <w:uiPriority w:val="0"/>
    <w:pPr>
      <w:widowControl/>
      <w:tabs>
        <w:tab w:val="left" w:pos="454"/>
        <w:tab w:val="left" w:pos="720"/>
        <w:tab w:val="left" w:pos="840"/>
      </w:tabs>
      <w:spacing w:after="156" w:afterLines="50"/>
      <w:ind w:left="454" w:hanging="284"/>
      <w:jc w:val="left"/>
    </w:pPr>
    <w:rPr>
      <w:kern w:val="0"/>
      <w:sz w:val="24"/>
      <w:szCs w:val="20"/>
    </w:rPr>
  </w:style>
  <w:style w:type="paragraph" w:styleId="15">
    <w:name w:val="caption"/>
    <w:basedOn w:val="1"/>
    <w:next w:val="1"/>
    <w:qFormat/>
    <w:uiPriority w:val="0"/>
    <w:pPr>
      <w:spacing w:before="152" w:after="160"/>
    </w:pPr>
    <w:rPr>
      <w:rFonts w:ascii="Arial" w:hAnsi="Arial" w:eastAsia="黑体" w:cs="Arial"/>
      <w:sz w:val="20"/>
      <w:szCs w:val="20"/>
    </w:rPr>
  </w:style>
  <w:style w:type="paragraph" w:styleId="16">
    <w:name w:val="Document Map"/>
    <w:basedOn w:val="1"/>
    <w:link w:val="68"/>
    <w:qFormat/>
    <w:uiPriority w:val="0"/>
    <w:pPr>
      <w:shd w:val="clear" w:color="auto" w:fill="000080"/>
      <w:adjustRightInd w:val="0"/>
      <w:spacing w:line="312" w:lineRule="atLeast"/>
      <w:textAlignment w:val="baseline"/>
    </w:pPr>
    <w:rPr>
      <w:kern w:val="0"/>
      <w:szCs w:val="20"/>
    </w:rPr>
  </w:style>
  <w:style w:type="paragraph" w:styleId="17">
    <w:name w:val="annotation text"/>
    <w:basedOn w:val="1"/>
    <w:link w:val="69"/>
    <w:qFormat/>
    <w:uiPriority w:val="0"/>
    <w:pPr>
      <w:jc w:val="left"/>
    </w:pPr>
  </w:style>
  <w:style w:type="paragraph" w:styleId="18">
    <w:name w:val="Body Text 3"/>
    <w:basedOn w:val="1"/>
    <w:link w:val="70"/>
    <w:qFormat/>
    <w:uiPriority w:val="0"/>
    <w:pPr>
      <w:spacing w:line="500" w:lineRule="exact"/>
    </w:pPr>
    <w:rPr>
      <w:b/>
      <w:bCs/>
      <w:sz w:val="24"/>
    </w:rPr>
  </w:style>
  <w:style w:type="paragraph" w:styleId="19">
    <w:name w:val="Body Text"/>
    <w:basedOn w:val="1"/>
    <w:link w:val="71"/>
    <w:qFormat/>
    <w:uiPriority w:val="0"/>
    <w:pPr>
      <w:spacing w:line="380" w:lineRule="exact"/>
    </w:pPr>
    <w:rPr>
      <w:sz w:val="24"/>
    </w:rPr>
  </w:style>
  <w:style w:type="paragraph" w:styleId="20">
    <w:name w:val="Body Text Indent"/>
    <w:basedOn w:val="1"/>
    <w:link w:val="72"/>
    <w:qFormat/>
    <w:uiPriority w:val="0"/>
    <w:pPr>
      <w:ind w:firstLine="830" w:firstLineChars="352"/>
    </w:pPr>
    <w:rPr>
      <w:rFonts w:ascii="仿宋_GB2312" w:eastAsia="仿宋_GB2312"/>
      <w:sz w:val="32"/>
      <w:szCs w:val="20"/>
    </w:rPr>
  </w:style>
  <w:style w:type="paragraph" w:styleId="21">
    <w:name w:val="List Number 3"/>
    <w:basedOn w:val="1"/>
    <w:qFormat/>
    <w:uiPriority w:val="0"/>
    <w:pPr>
      <w:tabs>
        <w:tab w:val="left" w:pos="1200"/>
      </w:tabs>
      <w:ind w:left="1200" w:leftChars="400" w:hanging="360" w:hangingChars="200"/>
    </w:pPr>
  </w:style>
  <w:style w:type="paragraph" w:styleId="22">
    <w:name w:val="List 2"/>
    <w:basedOn w:val="1"/>
    <w:qFormat/>
    <w:uiPriority w:val="0"/>
    <w:pPr>
      <w:ind w:left="100" w:leftChars="200" w:hanging="200" w:hangingChars="200"/>
    </w:pPr>
    <w:rPr>
      <w:sz w:val="28"/>
    </w:rPr>
  </w:style>
  <w:style w:type="paragraph" w:styleId="23">
    <w:name w:val="Block Text"/>
    <w:basedOn w:val="1"/>
    <w:qFormat/>
    <w:uiPriority w:val="0"/>
    <w:pPr>
      <w:adjustRightInd w:val="0"/>
      <w:ind w:left="420" w:right="33"/>
      <w:jc w:val="left"/>
      <w:textAlignment w:val="baseline"/>
    </w:pPr>
    <w:rPr>
      <w:kern w:val="0"/>
      <w:sz w:val="24"/>
      <w:szCs w:val="20"/>
    </w:rPr>
  </w:style>
  <w:style w:type="paragraph" w:styleId="24">
    <w:name w:val="toc 5"/>
    <w:basedOn w:val="1"/>
    <w:next w:val="1"/>
    <w:qFormat/>
    <w:uiPriority w:val="0"/>
    <w:pPr>
      <w:tabs>
        <w:tab w:val="right" w:leader="dot" w:pos="9185"/>
      </w:tabs>
      <w:adjustRightInd w:val="0"/>
      <w:spacing w:line="312" w:lineRule="atLeast"/>
      <w:ind w:left="1680"/>
      <w:textAlignment w:val="baseline"/>
    </w:pPr>
    <w:rPr>
      <w:kern w:val="0"/>
      <w:szCs w:val="20"/>
    </w:rPr>
  </w:style>
  <w:style w:type="paragraph" w:styleId="25">
    <w:name w:val="toc 3"/>
    <w:basedOn w:val="1"/>
    <w:next w:val="1"/>
    <w:qFormat/>
    <w:uiPriority w:val="39"/>
    <w:pPr>
      <w:ind w:left="840" w:leftChars="400"/>
    </w:pPr>
  </w:style>
  <w:style w:type="paragraph" w:styleId="26">
    <w:name w:val="Plain Text"/>
    <w:basedOn w:val="1"/>
    <w:link w:val="73"/>
    <w:qFormat/>
    <w:uiPriority w:val="0"/>
    <w:rPr>
      <w:rFonts w:ascii="宋体" w:hAnsi="Courier New" w:cs="Courier New"/>
      <w:szCs w:val="21"/>
    </w:rPr>
  </w:style>
  <w:style w:type="paragraph" w:styleId="27">
    <w:name w:val="toc 8"/>
    <w:basedOn w:val="1"/>
    <w:next w:val="1"/>
    <w:qFormat/>
    <w:uiPriority w:val="0"/>
    <w:pPr>
      <w:tabs>
        <w:tab w:val="right" w:leader="dot" w:pos="9185"/>
      </w:tabs>
      <w:adjustRightInd w:val="0"/>
      <w:spacing w:line="312" w:lineRule="atLeast"/>
      <w:ind w:left="2940"/>
      <w:textAlignment w:val="baseline"/>
    </w:pPr>
    <w:rPr>
      <w:kern w:val="0"/>
      <w:szCs w:val="20"/>
    </w:rPr>
  </w:style>
  <w:style w:type="paragraph" w:styleId="28">
    <w:name w:val="Date"/>
    <w:basedOn w:val="1"/>
    <w:next w:val="1"/>
    <w:link w:val="74"/>
    <w:qFormat/>
    <w:uiPriority w:val="0"/>
    <w:pPr>
      <w:ind w:left="100" w:leftChars="2500"/>
    </w:pPr>
    <w:rPr>
      <w:rFonts w:ascii="宋体" w:hAnsi="Courier New"/>
      <w:szCs w:val="21"/>
    </w:rPr>
  </w:style>
  <w:style w:type="paragraph" w:styleId="29">
    <w:name w:val="Body Text Indent 2"/>
    <w:basedOn w:val="1"/>
    <w:link w:val="75"/>
    <w:qFormat/>
    <w:uiPriority w:val="0"/>
    <w:pPr>
      <w:ind w:firstLine="630"/>
    </w:pPr>
    <w:rPr>
      <w:sz w:val="32"/>
      <w:szCs w:val="20"/>
    </w:rPr>
  </w:style>
  <w:style w:type="paragraph" w:styleId="30">
    <w:name w:val="Balloon Text"/>
    <w:basedOn w:val="1"/>
    <w:link w:val="76"/>
    <w:qFormat/>
    <w:uiPriority w:val="0"/>
    <w:rPr>
      <w:sz w:val="18"/>
      <w:szCs w:val="18"/>
    </w:rPr>
  </w:style>
  <w:style w:type="paragraph" w:styleId="31">
    <w:name w:val="footer"/>
    <w:basedOn w:val="1"/>
    <w:link w:val="77"/>
    <w:qFormat/>
    <w:uiPriority w:val="0"/>
    <w:pPr>
      <w:tabs>
        <w:tab w:val="center" w:pos="4153"/>
        <w:tab w:val="right" w:pos="8306"/>
      </w:tabs>
      <w:snapToGrid w:val="0"/>
      <w:jc w:val="left"/>
    </w:pPr>
    <w:rPr>
      <w:sz w:val="18"/>
      <w:szCs w:val="18"/>
    </w:rPr>
  </w:style>
  <w:style w:type="paragraph" w:styleId="32">
    <w:name w:val="header"/>
    <w:basedOn w:val="1"/>
    <w:link w:val="78"/>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tabs>
        <w:tab w:val="right" w:leader="dot" w:pos="8398"/>
      </w:tabs>
      <w:spacing w:before="120" w:after="120"/>
      <w:ind w:firstLine="240" w:firstLineChars="100"/>
      <w:jc w:val="left"/>
    </w:pPr>
    <w:rPr>
      <w:rFonts w:ascii="宋体" w:hAnsi="宋体"/>
      <w:b/>
      <w:bCs/>
      <w:caps/>
      <w:sz w:val="24"/>
    </w:rPr>
  </w:style>
  <w:style w:type="paragraph" w:styleId="34">
    <w:name w:val="toc 4"/>
    <w:basedOn w:val="1"/>
    <w:next w:val="1"/>
    <w:qFormat/>
    <w:uiPriority w:val="0"/>
    <w:pPr>
      <w:tabs>
        <w:tab w:val="right" w:leader="dot" w:pos="9185"/>
      </w:tabs>
      <w:adjustRightInd w:val="0"/>
      <w:spacing w:line="312" w:lineRule="atLeast"/>
      <w:ind w:left="1260"/>
      <w:textAlignment w:val="baseline"/>
    </w:pPr>
    <w:rPr>
      <w:kern w:val="0"/>
      <w:szCs w:val="20"/>
    </w:rPr>
  </w:style>
  <w:style w:type="paragraph" w:styleId="35">
    <w:name w:val="List"/>
    <w:basedOn w:val="1"/>
    <w:qFormat/>
    <w:uiPriority w:val="0"/>
    <w:pPr>
      <w:ind w:left="200" w:hanging="200" w:hangingChars="200"/>
    </w:pPr>
    <w:rPr>
      <w:sz w:val="28"/>
    </w:rPr>
  </w:style>
  <w:style w:type="paragraph" w:styleId="36">
    <w:name w:val="toc 6"/>
    <w:basedOn w:val="1"/>
    <w:next w:val="1"/>
    <w:qFormat/>
    <w:uiPriority w:val="0"/>
    <w:pPr>
      <w:tabs>
        <w:tab w:val="right" w:leader="dot" w:pos="9185"/>
      </w:tabs>
      <w:adjustRightInd w:val="0"/>
      <w:spacing w:line="312" w:lineRule="atLeast"/>
      <w:ind w:left="2100"/>
      <w:textAlignment w:val="baseline"/>
    </w:pPr>
    <w:rPr>
      <w:kern w:val="0"/>
      <w:szCs w:val="20"/>
    </w:rPr>
  </w:style>
  <w:style w:type="paragraph" w:styleId="37">
    <w:name w:val="List 5"/>
    <w:basedOn w:val="1"/>
    <w:qFormat/>
    <w:uiPriority w:val="0"/>
    <w:pPr>
      <w:ind w:left="2100" w:hanging="420"/>
    </w:pPr>
    <w:rPr>
      <w:szCs w:val="20"/>
    </w:rPr>
  </w:style>
  <w:style w:type="paragraph" w:styleId="38">
    <w:name w:val="Body Text Indent 3"/>
    <w:basedOn w:val="1"/>
    <w:link w:val="79"/>
    <w:qFormat/>
    <w:uiPriority w:val="0"/>
    <w:pPr>
      <w:spacing w:after="120"/>
      <w:ind w:left="420" w:leftChars="200"/>
    </w:pPr>
    <w:rPr>
      <w:sz w:val="16"/>
      <w:szCs w:val="16"/>
    </w:rPr>
  </w:style>
  <w:style w:type="paragraph" w:styleId="39">
    <w:name w:val="toc 2"/>
    <w:basedOn w:val="1"/>
    <w:next w:val="1"/>
    <w:qFormat/>
    <w:uiPriority w:val="39"/>
    <w:pPr>
      <w:ind w:left="420" w:leftChars="200"/>
    </w:pPr>
  </w:style>
  <w:style w:type="paragraph" w:styleId="40">
    <w:name w:val="toc 9"/>
    <w:basedOn w:val="1"/>
    <w:next w:val="1"/>
    <w:qFormat/>
    <w:uiPriority w:val="0"/>
    <w:pPr>
      <w:tabs>
        <w:tab w:val="right" w:leader="dot" w:pos="9185"/>
      </w:tabs>
      <w:adjustRightInd w:val="0"/>
      <w:spacing w:line="312" w:lineRule="atLeast"/>
      <w:ind w:left="3360"/>
      <w:textAlignment w:val="baseline"/>
    </w:pPr>
    <w:rPr>
      <w:kern w:val="0"/>
      <w:szCs w:val="20"/>
    </w:rPr>
  </w:style>
  <w:style w:type="paragraph" w:styleId="41">
    <w:name w:val="Body Text 2"/>
    <w:basedOn w:val="1"/>
    <w:link w:val="80"/>
    <w:qFormat/>
    <w:uiPriority w:val="0"/>
    <w:pPr>
      <w:spacing w:after="120" w:line="480" w:lineRule="auto"/>
    </w:pPr>
  </w:style>
  <w:style w:type="paragraph" w:styleId="42">
    <w:name w:val="List 4"/>
    <w:basedOn w:val="1"/>
    <w:qFormat/>
    <w:uiPriority w:val="0"/>
    <w:pPr>
      <w:ind w:left="100" w:leftChars="600" w:hanging="200" w:hangingChars="200"/>
    </w:pPr>
  </w:style>
  <w:style w:type="paragraph" w:styleId="43">
    <w:name w:val="List Continue 2"/>
    <w:basedOn w:val="1"/>
    <w:qFormat/>
    <w:uiPriority w:val="0"/>
    <w:pPr>
      <w:spacing w:after="120"/>
      <w:ind w:left="840" w:leftChars="400"/>
    </w:pPr>
  </w:style>
  <w:style w:type="paragraph" w:styleId="44">
    <w:name w:val="HTML Preformatted"/>
    <w:basedOn w:val="1"/>
    <w:link w:val="8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kern w:val="0"/>
      <w:sz w:val="20"/>
      <w:szCs w:val="20"/>
    </w:rPr>
  </w:style>
  <w:style w:type="paragraph" w:styleId="45">
    <w:name w:val="Normal (Web)"/>
    <w:basedOn w:val="1"/>
    <w:qFormat/>
    <w:uiPriority w:val="0"/>
    <w:pPr>
      <w:widowControl/>
      <w:spacing w:before="100" w:beforeAutospacing="1" w:after="100" w:afterAutospacing="1"/>
      <w:jc w:val="left"/>
    </w:pPr>
    <w:rPr>
      <w:rFonts w:ascii="宋体" w:hAnsi="宋体"/>
      <w:kern w:val="0"/>
      <w:sz w:val="24"/>
    </w:rPr>
  </w:style>
  <w:style w:type="paragraph" w:styleId="46">
    <w:name w:val="index 1"/>
    <w:basedOn w:val="1"/>
    <w:next w:val="1"/>
    <w:qFormat/>
    <w:uiPriority w:val="0"/>
    <w:pPr>
      <w:spacing w:line="400" w:lineRule="exact"/>
      <w:ind w:firstLine="420" w:firstLineChars="200"/>
    </w:pPr>
    <w:rPr>
      <w:rFonts w:ascii="宋体" w:hAnsi="Courier New"/>
      <w:b/>
      <w:szCs w:val="20"/>
    </w:rPr>
  </w:style>
  <w:style w:type="paragraph" w:styleId="47">
    <w:name w:val="Title"/>
    <w:basedOn w:val="1"/>
    <w:link w:val="82"/>
    <w:qFormat/>
    <w:uiPriority w:val="0"/>
    <w:pPr>
      <w:jc w:val="center"/>
    </w:pPr>
    <w:rPr>
      <w:sz w:val="30"/>
    </w:rPr>
  </w:style>
  <w:style w:type="paragraph" w:styleId="48">
    <w:name w:val="annotation subject"/>
    <w:basedOn w:val="17"/>
    <w:next w:val="17"/>
    <w:link w:val="83"/>
    <w:qFormat/>
    <w:uiPriority w:val="0"/>
    <w:rPr>
      <w:b/>
      <w:bCs/>
    </w:rPr>
  </w:style>
  <w:style w:type="paragraph" w:styleId="49">
    <w:name w:val="Body Text First Indent"/>
    <w:basedOn w:val="19"/>
    <w:link w:val="84"/>
    <w:qFormat/>
    <w:uiPriority w:val="0"/>
    <w:pPr>
      <w:spacing w:after="120" w:line="240" w:lineRule="auto"/>
      <w:ind w:firstLine="420" w:firstLineChars="100"/>
    </w:pPr>
    <w:rPr>
      <w:sz w:val="21"/>
    </w:rPr>
  </w:style>
  <w:style w:type="paragraph" w:styleId="50">
    <w:name w:val="Body Text First Indent 2"/>
    <w:basedOn w:val="20"/>
    <w:link w:val="85"/>
    <w:qFormat/>
    <w:uiPriority w:val="0"/>
    <w:pPr>
      <w:spacing w:after="120"/>
      <w:ind w:left="420" w:leftChars="200" w:firstLine="420" w:firstLineChars="200"/>
    </w:pPr>
    <w:rPr>
      <w:rFonts w:ascii="Times New Roman" w:eastAsia="宋体"/>
      <w:sz w:val="21"/>
      <w:szCs w:val="24"/>
    </w:rPr>
  </w:style>
  <w:style w:type="table" w:styleId="52">
    <w:name w:val="Table Grid"/>
    <w:basedOn w:val="5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4">
    <w:name w:val="Strong"/>
    <w:qFormat/>
    <w:uiPriority w:val="0"/>
    <w:rPr>
      <w:b/>
      <w:bCs/>
    </w:rPr>
  </w:style>
  <w:style w:type="character" w:styleId="55">
    <w:name w:val="page number"/>
    <w:basedOn w:val="53"/>
    <w:qFormat/>
    <w:uiPriority w:val="0"/>
  </w:style>
  <w:style w:type="character" w:styleId="56">
    <w:name w:val="FollowedHyperlink"/>
    <w:qFormat/>
    <w:uiPriority w:val="99"/>
    <w:rPr>
      <w:color w:val="800080"/>
      <w:u w:val="single"/>
    </w:rPr>
  </w:style>
  <w:style w:type="character" w:styleId="57">
    <w:name w:val="Hyperlink"/>
    <w:qFormat/>
    <w:uiPriority w:val="99"/>
    <w:rPr>
      <w:color w:val="0000FF"/>
      <w:u w:val="single"/>
    </w:rPr>
  </w:style>
  <w:style w:type="character" w:styleId="58">
    <w:name w:val="annotation reference"/>
    <w:qFormat/>
    <w:uiPriority w:val="0"/>
    <w:rPr>
      <w:sz w:val="21"/>
      <w:szCs w:val="21"/>
    </w:rPr>
  </w:style>
  <w:style w:type="character" w:customStyle="1" w:styleId="59">
    <w:name w:val="标题 1 字符2"/>
    <w:link w:val="2"/>
    <w:qFormat/>
    <w:uiPriority w:val="9"/>
    <w:rPr>
      <w:rFonts w:eastAsia="宋体"/>
      <w:b/>
      <w:bCs/>
      <w:kern w:val="44"/>
      <w:sz w:val="44"/>
      <w:szCs w:val="44"/>
      <w:lang w:val="en-US" w:eastAsia="zh-CN" w:bidi="ar-SA"/>
    </w:rPr>
  </w:style>
  <w:style w:type="character" w:customStyle="1" w:styleId="60">
    <w:name w:val="标题 2 字符2"/>
    <w:link w:val="3"/>
    <w:qFormat/>
    <w:uiPriority w:val="0"/>
    <w:rPr>
      <w:rFonts w:ascii="Arial" w:hAnsi="Arial" w:eastAsia="黑体"/>
      <w:b/>
      <w:bCs/>
      <w:kern w:val="2"/>
      <w:sz w:val="32"/>
      <w:szCs w:val="32"/>
    </w:rPr>
  </w:style>
  <w:style w:type="character" w:customStyle="1" w:styleId="61">
    <w:name w:val="标题 3 字符2"/>
    <w:link w:val="4"/>
    <w:qFormat/>
    <w:uiPriority w:val="0"/>
    <w:rPr>
      <w:b/>
      <w:bCs/>
      <w:kern w:val="2"/>
      <w:sz w:val="32"/>
      <w:szCs w:val="32"/>
    </w:rPr>
  </w:style>
  <w:style w:type="character" w:customStyle="1" w:styleId="62">
    <w:name w:val="标题 4 字符2"/>
    <w:link w:val="5"/>
    <w:qFormat/>
    <w:uiPriority w:val="0"/>
    <w:rPr>
      <w:rFonts w:ascii="Arial" w:hAnsi="Arial" w:eastAsia="黑体"/>
      <w:sz w:val="28"/>
    </w:rPr>
  </w:style>
  <w:style w:type="character" w:customStyle="1" w:styleId="63">
    <w:name w:val="标题 5 字符2"/>
    <w:link w:val="6"/>
    <w:qFormat/>
    <w:uiPriority w:val="0"/>
    <w:rPr>
      <w:b/>
      <w:kern w:val="2"/>
      <w:sz w:val="28"/>
      <w:szCs w:val="24"/>
    </w:rPr>
  </w:style>
  <w:style w:type="character" w:customStyle="1" w:styleId="64">
    <w:name w:val="标题 6 字符2"/>
    <w:link w:val="8"/>
    <w:qFormat/>
    <w:uiPriority w:val="0"/>
    <w:rPr>
      <w:rFonts w:ascii="Arial" w:hAnsi="Arial" w:eastAsia="黑体"/>
      <w:b/>
      <w:kern w:val="2"/>
      <w:sz w:val="24"/>
      <w:szCs w:val="24"/>
    </w:rPr>
  </w:style>
  <w:style w:type="character" w:customStyle="1" w:styleId="65">
    <w:name w:val="标题 7 字符2"/>
    <w:link w:val="9"/>
    <w:qFormat/>
    <w:uiPriority w:val="0"/>
    <w:rPr>
      <w:b/>
      <w:kern w:val="2"/>
      <w:sz w:val="24"/>
      <w:szCs w:val="24"/>
    </w:rPr>
  </w:style>
  <w:style w:type="character" w:customStyle="1" w:styleId="66">
    <w:name w:val="标题 8 字符2"/>
    <w:link w:val="10"/>
    <w:qFormat/>
    <w:uiPriority w:val="0"/>
    <w:rPr>
      <w:rFonts w:ascii="Arial" w:hAnsi="Arial" w:eastAsia="黑体"/>
      <w:kern w:val="2"/>
      <w:sz w:val="24"/>
      <w:szCs w:val="24"/>
    </w:rPr>
  </w:style>
  <w:style w:type="character" w:customStyle="1" w:styleId="67">
    <w:name w:val="标题 9 字符2"/>
    <w:link w:val="11"/>
    <w:qFormat/>
    <w:uiPriority w:val="0"/>
    <w:rPr>
      <w:rFonts w:ascii="Arial" w:hAnsi="Arial" w:eastAsia="黑体"/>
      <w:kern w:val="2"/>
      <w:sz w:val="21"/>
      <w:szCs w:val="24"/>
    </w:rPr>
  </w:style>
  <w:style w:type="character" w:customStyle="1" w:styleId="68">
    <w:name w:val="文档结构图 字符2"/>
    <w:link w:val="16"/>
    <w:qFormat/>
    <w:uiPriority w:val="0"/>
    <w:rPr>
      <w:sz w:val="21"/>
      <w:shd w:val="clear" w:color="auto" w:fill="000080"/>
    </w:rPr>
  </w:style>
  <w:style w:type="character" w:customStyle="1" w:styleId="69">
    <w:name w:val="批注文字 字符3"/>
    <w:link w:val="17"/>
    <w:qFormat/>
    <w:uiPriority w:val="0"/>
    <w:rPr>
      <w:kern w:val="2"/>
      <w:sz w:val="21"/>
      <w:szCs w:val="24"/>
    </w:rPr>
  </w:style>
  <w:style w:type="character" w:customStyle="1" w:styleId="70">
    <w:name w:val="正文文本 3 字符2"/>
    <w:link w:val="18"/>
    <w:qFormat/>
    <w:uiPriority w:val="0"/>
    <w:rPr>
      <w:b/>
      <w:bCs/>
      <w:kern w:val="2"/>
      <w:sz w:val="24"/>
      <w:szCs w:val="24"/>
    </w:rPr>
  </w:style>
  <w:style w:type="character" w:customStyle="1" w:styleId="71">
    <w:name w:val="正文文本 字符2"/>
    <w:link w:val="19"/>
    <w:qFormat/>
    <w:uiPriority w:val="99"/>
    <w:rPr>
      <w:kern w:val="2"/>
      <w:sz w:val="24"/>
      <w:szCs w:val="24"/>
    </w:rPr>
  </w:style>
  <w:style w:type="character" w:customStyle="1" w:styleId="72">
    <w:name w:val="正文文本缩进 字符2"/>
    <w:link w:val="20"/>
    <w:qFormat/>
    <w:uiPriority w:val="99"/>
    <w:rPr>
      <w:rFonts w:ascii="仿宋_GB2312" w:eastAsia="仿宋_GB2312"/>
      <w:kern w:val="2"/>
      <w:sz w:val="32"/>
    </w:rPr>
  </w:style>
  <w:style w:type="character" w:customStyle="1" w:styleId="73">
    <w:name w:val="纯文本 字符2"/>
    <w:link w:val="26"/>
    <w:qFormat/>
    <w:uiPriority w:val="99"/>
    <w:rPr>
      <w:rFonts w:ascii="宋体" w:hAnsi="Courier New" w:eastAsia="宋体" w:cs="Courier New"/>
      <w:kern w:val="2"/>
      <w:sz w:val="21"/>
      <w:szCs w:val="21"/>
      <w:lang w:val="en-US" w:eastAsia="zh-CN" w:bidi="ar-SA"/>
    </w:rPr>
  </w:style>
  <w:style w:type="character" w:customStyle="1" w:styleId="74">
    <w:name w:val="日期 字符2"/>
    <w:link w:val="28"/>
    <w:qFormat/>
    <w:uiPriority w:val="0"/>
    <w:rPr>
      <w:rFonts w:ascii="宋体" w:hAnsi="Courier New" w:cs="Courier New"/>
      <w:kern w:val="2"/>
      <w:sz w:val="21"/>
      <w:szCs w:val="21"/>
    </w:rPr>
  </w:style>
  <w:style w:type="character" w:customStyle="1" w:styleId="75">
    <w:name w:val="正文文本缩进 2 字符2"/>
    <w:link w:val="29"/>
    <w:qFormat/>
    <w:uiPriority w:val="0"/>
    <w:rPr>
      <w:kern w:val="2"/>
      <w:sz w:val="32"/>
    </w:rPr>
  </w:style>
  <w:style w:type="character" w:customStyle="1" w:styleId="76">
    <w:name w:val="批注框文本 字符2"/>
    <w:link w:val="30"/>
    <w:qFormat/>
    <w:uiPriority w:val="0"/>
    <w:rPr>
      <w:kern w:val="2"/>
      <w:sz w:val="18"/>
      <w:szCs w:val="18"/>
    </w:rPr>
  </w:style>
  <w:style w:type="character" w:customStyle="1" w:styleId="77">
    <w:name w:val="页脚 字符2"/>
    <w:link w:val="31"/>
    <w:qFormat/>
    <w:uiPriority w:val="0"/>
    <w:rPr>
      <w:kern w:val="2"/>
      <w:sz w:val="18"/>
      <w:szCs w:val="18"/>
    </w:rPr>
  </w:style>
  <w:style w:type="character" w:customStyle="1" w:styleId="78">
    <w:name w:val="页眉 字符2"/>
    <w:link w:val="32"/>
    <w:qFormat/>
    <w:uiPriority w:val="99"/>
    <w:rPr>
      <w:kern w:val="2"/>
      <w:sz w:val="18"/>
      <w:szCs w:val="18"/>
    </w:rPr>
  </w:style>
  <w:style w:type="character" w:customStyle="1" w:styleId="79">
    <w:name w:val="正文文本缩进 3 字符2"/>
    <w:link w:val="38"/>
    <w:qFormat/>
    <w:uiPriority w:val="0"/>
    <w:rPr>
      <w:kern w:val="2"/>
      <w:sz w:val="16"/>
      <w:szCs w:val="16"/>
    </w:rPr>
  </w:style>
  <w:style w:type="character" w:customStyle="1" w:styleId="80">
    <w:name w:val="正文文本 2 字符2"/>
    <w:link w:val="41"/>
    <w:qFormat/>
    <w:uiPriority w:val="0"/>
    <w:rPr>
      <w:kern w:val="2"/>
      <w:sz w:val="21"/>
      <w:szCs w:val="24"/>
    </w:rPr>
  </w:style>
  <w:style w:type="character" w:customStyle="1" w:styleId="81">
    <w:name w:val="HTML 预设格式 字符2"/>
    <w:link w:val="44"/>
    <w:qFormat/>
    <w:uiPriority w:val="0"/>
    <w:rPr>
      <w:rFonts w:ascii="黑体" w:hAnsi="Courier New" w:eastAsia="黑体" w:cs="Courier New"/>
    </w:rPr>
  </w:style>
  <w:style w:type="character" w:customStyle="1" w:styleId="82">
    <w:name w:val="标题 字符2"/>
    <w:link w:val="47"/>
    <w:qFormat/>
    <w:uiPriority w:val="0"/>
    <w:rPr>
      <w:kern w:val="2"/>
      <w:sz w:val="30"/>
      <w:szCs w:val="24"/>
    </w:rPr>
  </w:style>
  <w:style w:type="character" w:customStyle="1" w:styleId="83">
    <w:name w:val="批注主题 字符2"/>
    <w:link w:val="48"/>
    <w:qFormat/>
    <w:uiPriority w:val="0"/>
    <w:rPr>
      <w:b/>
      <w:bCs/>
      <w:kern w:val="2"/>
      <w:sz w:val="21"/>
      <w:szCs w:val="24"/>
    </w:rPr>
  </w:style>
  <w:style w:type="character" w:customStyle="1" w:styleId="84">
    <w:name w:val="正文首行缩进 字符"/>
    <w:link w:val="49"/>
    <w:qFormat/>
    <w:uiPriority w:val="0"/>
    <w:rPr>
      <w:kern w:val="2"/>
      <w:sz w:val="21"/>
      <w:szCs w:val="24"/>
    </w:rPr>
  </w:style>
  <w:style w:type="character" w:customStyle="1" w:styleId="85">
    <w:name w:val="正文首行缩进 2 字符"/>
    <w:link w:val="50"/>
    <w:qFormat/>
    <w:uiPriority w:val="0"/>
    <w:rPr>
      <w:kern w:val="2"/>
      <w:sz w:val="21"/>
      <w:szCs w:val="24"/>
    </w:rPr>
  </w:style>
  <w:style w:type="character" w:customStyle="1" w:styleId="86">
    <w:name w:val="white"/>
    <w:basedOn w:val="53"/>
    <w:qFormat/>
    <w:uiPriority w:val="0"/>
  </w:style>
  <w:style w:type="character" w:customStyle="1" w:styleId="87">
    <w:name w:val="style11"/>
    <w:qFormat/>
    <w:uiPriority w:val="0"/>
    <w:rPr>
      <w:rFonts w:hint="default" w:ascii="Arial" w:hAnsi="Arial" w:cs="Arial"/>
    </w:rPr>
  </w:style>
  <w:style w:type="character" w:customStyle="1" w:styleId="88">
    <w:name w:val="z-窗体顶端 Char"/>
    <w:link w:val="89"/>
    <w:qFormat/>
    <w:uiPriority w:val="0"/>
    <w:rPr>
      <w:rFonts w:ascii="Arial"/>
      <w:vanish/>
      <w:kern w:val="2"/>
      <w:sz w:val="16"/>
      <w:szCs w:val="24"/>
    </w:rPr>
  </w:style>
  <w:style w:type="paragraph" w:customStyle="1" w:styleId="89">
    <w:name w:val="_Style 88"/>
    <w:basedOn w:val="1"/>
    <w:next w:val="1"/>
    <w:link w:val="88"/>
    <w:qFormat/>
    <w:uiPriority w:val="0"/>
    <w:pPr>
      <w:pBdr>
        <w:bottom w:val="single" w:color="auto" w:sz="6" w:space="1"/>
      </w:pBdr>
      <w:jc w:val="center"/>
    </w:pPr>
    <w:rPr>
      <w:rFonts w:ascii="Arial"/>
      <w:vanish/>
      <w:sz w:val="16"/>
    </w:rPr>
  </w:style>
  <w:style w:type="character" w:customStyle="1" w:styleId="90">
    <w:name w:val="f151"/>
    <w:qFormat/>
    <w:uiPriority w:val="0"/>
    <w:rPr>
      <w:sz w:val="23"/>
      <w:szCs w:val="23"/>
    </w:rPr>
  </w:style>
  <w:style w:type="character" w:customStyle="1" w:styleId="91">
    <w:name w:val="1ji Char"/>
    <w:link w:val="92"/>
    <w:qFormat/>
    <w:uiPriority w:val="0"/>
    <w:rPr>
      <w:rFonts w:ascii="宋体" w:hAnsi="宋体" w:eastAsia="宋体"/>
      <w:b/>
      <w:bCs/>
      <w:kern w:val="44"/>
      <w:sz w:val="36"/>
      <w:szCs w:val="44"/>
      <w:lang w:val="en-US" w:eastAsia="zh-CN" w:bidi="ar-SA"/>
    </w:rPr>
  </w:style>
  <w:style w:type="paragraph" w:customStyle="1" w:styleId="92">
    <w:name w:val="1ji"/>
    <w:basedOn w:val="2"/>
    <w:link w:val="91"/>
    <w:qFormat/>
    <w:uiPriority w:val="0"/>
    <w:pPr>
      <w:keepLines w:val="0"/>
      <w:widowControl/>
      <w:spacing w:before="0" w:after="0" w:line="240" w:lineRule="auto"/>
      <w:jc w:val="center"/>
    </w:pPr>
    <w:rPr>
      <w:rFonts w:ascii="宋体" w:hAnsi="宋体"/>
      <w:sz w:val="36"/>
    </w:rPr>
  </w:style>
  <w:style w:type="character" w:customStyle="1" w:styleId="93">
    <w:name w:val="apple-converted-space"/>
    <w:qFormat/>
    <w:uiPriority w:val="0"/>
  </w:style>
  <w:style w:type="character" w:customStyle="1" w:styleId="94">
    <w:name w:val="unnamed3"/>
    <w:basedOn w:val="53"/>
    <w:qFormat/>
    <w:uiPriority w:val="0"/>
  </w:style>
  <w:style w:type="character" w:customStyle="1" w:styleId="95">
    <w:name w:val="case31"/>
    <w:qFormat/>
    <w:uiPriority w:val="0"/>
    <w:rPr>
      <w:rFonts w:hint="default" w:ascii="_x000B__x000C_" w:hAnsi="_x000B__x000C_"/>
      <w:sz w:val="21"/>
      <w:szCs w:val="21"/>
    </w:rPr>
  </w:style>
  <w:style w:type="character" w:customStyle="1" w:styleId="96">
    <w:name w:val="gray12"/>
    <w:basedOn w:val="53"/>
    <w:qFormat/>
    <w:uiPriority w:val="0"/>
  </w:style>
  <w:style w:type="character" w:customStyle="1" w:styleId="97">
    <w:name w:val="text11"/>
    <w:qFormat/>
    <w:uiPriority w:val="0"/>
    <w:rPr>
      <w:rFonts w:hint="default" w:ascii="Verdana" w:hAnsi="Verdana"/>
      <w:color w:val="4E4E4E"/>
      <w:sz w:val="18"/>
      <w:szCs w:val="18"/>
    </w:rPr>
  </w:style>
  <w:style w:type="character" w:customStyle="1" w:styleId="98">
    <w:name w:val="style21"/>
    <w:qFormat/>
    <w:uiPriority w:val="0"/>
    <w:rPr>
      <w:sz w:val="17"/>
      <w:szCs w:val="17"/>
    </w:rPr>
  </w:style>
  <w:style w:type="character" w:customStyle="1" w:styleId="99">
    <w:name w:val="mark8"/>
    <w:qFormat/>
    <w:uiPriority w:val="0"/>
    <w:rPr>
      <w:b/>
      <w:bCs/>
      <w:sz w:val="21"/>
      <w:szCs w:val="21"/>
    </w:rPr>
  </w:style>
  <w:style w:type="character" w:customStyle="1" w:styleId="100">
    <w:name w:val="font01"/>
    <w:qFormat/>
    <w:uiPriority w:val="0"/>
    <w:rPr>
      <w:rFonts w:hint="eastAsia" w:ascii="宋体" w:hAnsi="宋体" w:eastAsia="宋体"/>
      <w:color w:val="000000"/>
      <w:sz w:val="22"/>
      <w:szCs w:val="22"/>
      <w:u w:val="none"/>
    </w:rPr>
  </w:style>
  <w:style w:type="character" w:customStyle="1" w:styleId="101">
    <w:name w:val="content2"/>
    <w:basedOn w:val="53"/>
    <w:qFormat/>
    <w:uiPriority w:val="0"/>
  </w:style>
  <w:style w:type="character" w:customStyle="1" w:styleId="102">
    <w:name w:val="1051"/>
    <w:qFormat/>
    <w:uiPriority w:val="0"/>
    <w:rPr>
      <w:sz w:val="21"/>
      <w:szCs w:val="21"/>
    </w:rPr>
  </w:style>
  <w:style w:type="character" w:customStyle="1" w:styleId="103">
    <w:name w:val="062"/>
    <w:qFormat/>
    <w:uiPriority w:val="0"/>
    <w:rPr>
      <w:rFonts w:ascii="宋体" w:hAnsi="宋体"/>
      <w:b/>
      <w:bCs/>
      <w:sz w:val="32"/>
    </w:rPr>
  </w:style>
  <w:style w:type="character" w:customStyle="1" w:styleId="104">
    <w:name w:val="标题3 Char"/>
    <w:link w:val="105"/>
    <w:qFormat/>
    <w:uiPriority w:val="0"/>
    <w:rPr>
      <w:rFonts w:ascii="宋体" w:hAnsi="宋体"/>
      <w:b/>
      <w:bCs/>
      <w:kern w:val="44"/>
      <w:sz w:val="24"/>
      <w:szCs w:val="24"/>
    </w:rPr>
  </w:style>
  <w:style w:type="paragraph" w:customStyle="1" w:styleId="105">
    <w:name w:val="标题3"/>
    <w:basedOn w:val="2"/>
    <w:link w:val="104"/>
    <w:qFormat/>
    <w:uiPriority w:val="0"/>
    <w:pPr>
      <w:spacing w:before="0" w:beforeLines="50" w:after="0" w:afterLines="50" w:line="400" w:lineRule="exact"/>
    </w:pPr>
    <w:rPr>
      <w:rFonts w:ascii="宋体" w:hAnsi="宋体"/>
      <w:sz w:val="24"/>
      <w:szCs w:val="24"/>
    </w:rPr>
  </w:style>
  <w:style w:type="character" w:customStyle="1" w:styleId="106">
    <w:name w:val="small"/>
    <w:basedOn w:val="53"/>
    <w:qFormat/>
    <w:uiPriority w:val="0"/>
  </w:style>
  <w:style w:type="character" w:customStyle="1" w:styleId="107">
    <w:name w:val="纯文本 Char1"/>
    <w:qFormat/>
    <w:uiPriority w:val="0"/>
    <w:rPr>
      <w:rFonts w:ascii="宋体" w:hAnsi="Courier New" w:eastAsia="宋体" w:cs="Courier New"/>
      <w:kern w:val="2"/>
      <w:sz w:val="21"/>
      <w:szCs w:val="21"/>
      <w:lang w:val="en-US" w:eastAsia="zh-CN" w:bidi="ar-SA"/>
    </w:rPr>
  </w:style>
  <w:style w:type="character" w:customStyle="1" w:styleId="108">
    <w:name w:val="short_text1"/>
    <w:qFormat/>
    <w:uiPriority w:val="0"/>
    <w:rPr>
      <w:sz w:val="26"/>
    </w:rPr>
  </w:style>
  <w:style w:type="character" w:customStyle="1" w:styleId="109">
    <w:name w:val="graytext1"/>
    <w:qFormat/>
    <w:uiPriority w:val="0"/>
    <w:rPr>
      <w:color w:val="666666"/>
    </w:rPr>
  </w:style>
  <w:style w:type="paragraph" w:customStyle="1" w:styleId="110">
    <w:name w:val="a9"/>
    <w:basedOn w:val="1"/>
    <w:qFormat/>
    <w:uiPriority w:val="0"/>
    <w:pPr>
      <w:widowControl/>
      <w:spacing w:before="100" w:beforeAutospacing="1" w:after="100" w:afterAutospacing="1"/>
      <w:jc w:val="left"/>
    </w:pPr>
    <w:rPr>
      <w:rFonts w:ascii="宋体" w:hAnsi="宋体" w:cs="宋体"/>
      <w:kern w:val="0"/>
      <w:sz w:val="24"/>
    </w:rPr>
  </w:style>
  <w:style w:type="paragraph" w:customStyle="1" w:styleId="111">
    <w:name w:val="Char"/>
    <w:basedOn w:val="1"/>
    <w:qFormat/>
    <w:uiPriority w:val="0"/>
    <w:pPr>
      <w:widowControl/>
      <w:spacing w:line="500" w:lineRule="exact"/>
      <w:outlineLvl w:val="2"/>
    </w:pPr>
    <w:rPr>
      <w:rFonts w:ascii="黑体" w:hAnsi="Verdana" w:eastAsia="黑体" w:cs="黑体"/>
      <w:kern w:val="0"/>
      <w:sz w:val="28"/>
      <w:szCs w:val="28"/>
      <w:lang w:eastAsia="en-US"/>
    </w:rPr>
  </w:style>
  <w:style w:type="paragraph" w:customStyle="1" w:styleId="112">
    <w:name w:val="Char Char Char Char Char Char1 Char"/>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113">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14">
    <w:name w:val="样式 首行缩进:  2 字符"/>
    <w:basedOn w:val="1"/>
    <w:qFormat/>
    <w:uiPriority w:val="0"/>
    <w:pPr>
      <w:spacing w:line="400" w:lineRule="exact"/>
      <w:ind w:firstLine="200" w:firstLineChars="200"/>
    </w:pPr>
    <w:rPr>
      <w:rFonts w:cs="宋体"/>
      <w:sz w:val="24"/>
    </w:rPr>
  </w:style>
  <w:style w:type="paragraph" w:customStyle="1" w:styleId="115">
    <w:name w:val="_Style 114"/>
    <w:unhideWhenUsed/>
    <w:qFormat/>
    <w:uiPriority w:val="99"/>
    <w:rPr>
      <w:rFonts w:ascii="Times New Roman" w:hAnsi="Times New Roman" w:eastAsia="宋体" w:cs="Times New Roman"/>
      <w:kern w:val="2"/>
      <w:sz w:val="21"/>
      <w:szCs w:val="24"/>
      <w:lang w:val="en-US" w:eastAsia="zh-CN" w:bidi="ar-SA"/>
    </w:rPr>
  </w:style>
  <w:style w:type="paragraph" w:customStyle="1" w:styleId="116">
    <w:name w:val="_Style 115"/>
    <w:basedOn w:val="2"/>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117">
    <w:name w:val="列出段落1"/>
    <w:basedOn w:val="1"/>
    <w:qFormat/>
    <w:uiPriority w:val="99"/>
    <w:pPr>
      <w:ind w:firstLine="420" w:firstLineChars="200"/>
    </w:pPr>
    <w:rPr>
      <w:rFonts w:ascii="Calibri" w:hAnsi="Calibri"/>
      <w:szCs w:val="22"/>
    </w:rPr>
  </w:style>
  <w:style w:type="paragraph" w:customStyle="1" w:styleId="118">
    <w:name w:val="缺省文本"/>
    <w:basedOn w:val="1"/>
    <w:qFormat/>
    <w:uiPriority w:val="0"/>
    <w:pPr>
      <w:autoSpaceDE w:val="0"/>
      <w:autoSpaceDN w:val="0"/>
      <w:adjustRightInd w:val="0"/>
      <w:spacing w:line="360" w:lineRule="auto"/>
      <w:jc w:val="left"/>
    </w:pPr>
    <w:rPr>
      <w:kern w:val="0"/>
      <w:sz w:val="24"/>
      <w:szCs w:val="20"/>
    </w:rPr>
  </w:style>
  <w:style w:type="paragraph" w:customStyle="1" w:styleId="119">
    <w:name w:val="Default Paragraph Font Para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20">
    <w:name w:val="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1">
    <w:name w:val="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122">
    <w:name w:val="Char Char Char Char Char Char Char Char Char Char Char Char Char"/>
    <w:basedOn w:val="16"/>
    <w:qFormat/>
    <w:uiPriority w:val="0"/>
    <w:pPr>
      <w:adjustRightInd/>
      <w:spacing w:line="240" w:lineRule="auto"/>
      <w:textAlignment w:val="auto"/>
    </w:pPr>
    <w:rPr>
      <w:rFonts w:ascii="Tahoma" w:hAnsi="Tahoma"/>
      <w:kern w:val="2"/>
      <w:sz w:val="24"/>
      <w:szCs w:val="24"/>
    </w:rPr>
  </w:style>
  <w:style w:type="paragraph" w:customStyle="1" w:styleId="123">
    <w:name w:val="Char1"/>
    <w:basedOn w:val="1"/>
    <w:qFormat/>
    <w:uiPriority w:val="0"/>
    <w:rPr>
      <w:szCs w:val="21"/>
    </w:rPr>
  </w:style>
  <w:style w:type="paragraph" w:customStyle="1" w:styleId="124">
    <w:name w:val="Char Char Char Char Char Char Char Char Char Char Char Char Char Char Char Char11"/>
    <w:basedOn w:val="1"/>
    <w:qFormat/>
    <w:uiPriority w:val="0"/>
    <w:pPr>
      <w:tabs>
        <w:tab w:val="left" w:pos="360"/>
      </w:tabs>
      <w:spacing w:line="360" w:lineRule="auto"/>
      <w:ind w:left="482" w:firstLine="200" w:firstLineChars="200"/>
    </w:pPr>
    <w:rPr>
      <w:rFonts w:ascii="宋体"/>
      <w:sz w:val="24"/>
    </w:rPr>
  </w:style>
  <w:style w:type="paragraph" w:customStyle="1" w:styleId="125">
    <w:name w:val="xl30"/>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kern w:val="0"/>
      <w:szCs w:val="21"/>
    </w:rPr>
  </w:style>
  <w:style w:type="paragraph" w:customStyle="1" w:styleId="126">
    <w:name w:val="正文首行缩进两字符"/>
    <w:basedOn w:val="1"/>
    <w:qFormat/>
    <w:uiPriority w:val="0"/>
    <w:pPr>
      <w:spacing w:line="360" w:lineRule="auto"/>
      <w:ind w:firstLine="200" w:firstLineChars="200"/>
    </w:pPr>
  </w:style>
  <w:style w:type="paragraph" w:customStyle="1" w:styleId="127">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12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29">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130">
    <w:name w:val="Char3"/>
    <w:basedOn w:val="1"/>
    <w:qFormat/>
    <w:uiPriority w:val="0"/>
    <w:pPr>
      <w:widowControl/>
      <w:spacing w:line="500" w:lineRule="exact"/>
      <w:outlineLvl w:val="2"/>
    </w:pPr>
    <w:rPr>
      <w:rFonts w:ascii="黑体" w:hAnsi="Verdana" w:eastAsia="黑体" w:cs="黑体"/>
      <w:kern w:val="0"/>
      <w:sz w:val="28"/>
      <w:szCs w:val="28"/>
      <w:lang w:eastAsia="en-US"/>
    </w:rPr>
  </w:style>
  <w:style w:type="paragraph" w:customStyle="1" w:styleId="131">
    <w:name w:val="Char Char Char"/>
    <w:basedOn w:val="1"/>
    <w:qFormat/>
    <w:uiPriority w:val="0"/>
    <w:rPr>
      <w:rFonts w:ascii="Tahoma" w:hAnsi="Tahoma"/>
      <w:sz w:val="24"/>
      <w:szCs w:val="20"/>
    </w:rPr>
  </w:style>
  <w:style w:type="paragraph" w:customStyle="1" w:styleId="132">
    <w:name w:val="表格"/>
    <w:basedOn w:val="1"/>
    <w:qFormat/>
    <w:uiPriority w:val="0"/>
    <w:pPr>
      <w:spacing w:line="400" w:lineRule="exact"/>
    </w:pPr>
    <w:rPr>
      <w:sz w:val="24"/>
    </w:rPr>
  </w:style>
  <w:style w:type="paragraph" w:customStyle="1" w:styleId="13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34">
    <w:name w:val="Char Char Char Char Char Char Char"/>
    <w:basedOn w:val="1"/>
    <w:qFormat/>
    <w:uiPriority w:val="0"/>
  </w:style>
  <w:style w:type="paragraph" w:customStyle="1" w:styleId="135">
    <w:name w:val="Char41"/>
    <w:basedOn w:val="1"/>
    <w:qFormat/>
    <w:uiPriority w:val="0"/>
    <w:pPr>
      <w:tabs>
        <w:tab w:val="left" w:pos="360"/>
      </w:tabs>
      <w:ind w:left="252" w:hanging="252" w:hangingChars="140"/>
    </w:pPr>
    <w:rPr>
      <w:rFonts w:ascii="宋体"/>
      <w:sz w:val="18"/>
      <w:szCs w:val="18"/>
    </w:rPr>
  </w:style>
  <w:style w:type="paragraph" w:customStyle="1" w:styleId="136">
    <w:name w:val="Char Char Char11"/>
    <w:basedOn w:val="16"/>
    <w:qFormat/>
    <w:uiPriority w:val="0"/>
    <w:pPr>
      <w:adjustRightInd/>
      <w:spacing w:line="240" w:lineRule="auto"/>
      <w:textAlignment w:val="auto"/>
    </w:pPr>
    <w:rPr>
      <w:rFonts w:ascii="Tahoma" w:hAnsi="Tahoma"/>
      <w:kern w:val="2"/>
      <w:sz w:val="24"/>
      <w:szCs w:val="24"/>
    </w:rPr>
  </w:style>
  <w:style w:type="paragraph" w:customStyle="1" w:styleId="137">
    <w:name w:val="样式1"/>
    <w:basedOn w:val="1"/>
    <w:qFormat/>
    <w:uiPriority w:val="0"/>
    <w:pPr>
      <w:spacing w:before="120" w:after="120" w:line="300" w:lineRule="auto"/>
    </w:pPr>
    <w:rPr>
      <w:rFonts w:ascii="宋体" w:hAnsi="宋体"/>
      <w:b/>
      <w:sz w:val="24"/>
      <w:szCs w:val="20"/>
    </w:rPr>
  </w:style>
  <w:style w:type="paragraph" w:customStyle="1" w:styleId="138">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pPr>
    <w:rPr>
      <w:kern w:val="0"/>
      <w:szCs w:val="21"/>
    </w:rPr>
  </w:style>
  <w:style w:type="paragraph" w:customStyle="1" w:styleId="139">
    <w:name w:val="Char Char Char Char Char Char Char11"/>
    <w:basedOn w:val="1"/>
    <w:qFormat/>
    <w:uiPriority w:val="0"/>
  </w:style>
  <w:style w:type="paragraph" w:customStyle="1" w:styleId="140">
    <w:name w:val="xl31"/>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141">
    <w:name w:val="次小点说明 Char"/>
    <w:basedOn w:val="7"/>
    <w:qFormat/>
    <w:uiPriority w:val="0"/>
    <w:pPr>
      <w:ind w:firstLine="0"/>
    </w:pPr>
    <w:rPr>
      <w:sz w:val="24"/>
      <w:szCs w:val="24"/>
    </w:rPr>
  </w:style>
  <w:style w:type="paragraph" w:customStyle="1" w:styleId="142">
    <w:name w:val="五号正文（标准）"/>
    <w:basedOn w:val="1"/>
    <w:qFormat/>
    <w:uiPriority w:val="0"/>
    <w:pPr>
      <w:spacing w:line="360" w:lineRule="auto"/>
      <w:ind w:right="55" w:firstLine="560" w:firstLineChars="200"/>
    </w:pPr>
    <w:rPr>
      <w:rFonts w:eastAsia="仿宋_GB2312"/>
      <w:sz w:val="28"/>
      <w:szCs w:val="20"/>
    </w:rPr>
  </w:style>
  <w:style w:type="paragraph" w:customStyle="1" w:styleId="143">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44">
    <w:name w:val="Char211"/>
    <w:basedOn w:val="1"/>
    <w:qFormat/>
    <w:uiPriority w:val="0"/>
    <w:pPr>
      <w:widowControl/>
      <w:spacing w:after="160" w:line="240" w:lineRule="exact"/>
      <w:jc w:val="left"/>
    </w:pPr>
    <w:rPr>
      <w:rFonts w:ascii="Verdana" w:hAnsi="Verdana"/>
      <w:kern w:val="0"/>
      <w:szCs w:val="20"/>
      <w:lang w:eastAsia="en-US"/>
    </w:rPr>
  </w:style>
  <w:style w:type="paragraph" w:customStyle="1" w:styleId="145">
    <w:name w:val="默认段落字体 Para Char Char Char Char Char Char Char Char Char1 Char Char Char Char"/>
    <w:basedOn w:val="1"/>
    <w:qFormat/>
    <w:uiPriority w:val="0"/>
    <w:rPr>
      <w:rFonts w:ascii="Tahoma" w:hAnsi="Tahoma"/>
      <w:sz w:val="24"/>
      <w:szCs w:val="20"/>
    </w:rPr>
  </w:style>
  <w:style w:type="paragraph" w:customStyle="1" w:styleId="146">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147">
    <w:name w:val="Char Char Char Char1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48">
    <w:name w:val="Char Char Char Char Char Char Char Char Char Char Char Char Char11"/>
    <w:basedOn w:val="16"/>
    <w:qFormat/>
    <w:uiPriority w:val="0"/>
    <w:pPr>
      <w:adjustRightInd/>
      <w:spacing w:line="240" w:lineRule="auto"/>
      <w:textAlignment w:val="auto"/>
    </w:pPr>
    <w:rPr>
      <w:rFonts w:ascii="Tahoma" w:hAnsi="Tahoma"/>
      <w:kern w:val="2"/>
      <w:sz w:val="24"/>
      <w:szCs w:val="24"/>
    </w:rPr>
  </w:style>
  <w:style w:type="paragraph" w:customStyle="1" w:styleId="149">
    <w:name w:val="图"/>
    <w:basedOn w:val="1"/>
    <w:qFormat/>
    <w:uiPriority w:val="0"/>
    <w:pPr>
      <w:keepNext/>
      <w:adjustRightInd w:val="0"/>
      <w:snapToGrid w:val="0"/>
      <w:spacing w:before="60" w:after="60" w:line="300" w:lineRule="auto"/>
      <w:jc w:val="center"/>
    </w:pPr>
    <w:rPr>
      <w:spacing w:val="20"/>
      <w:kern w:val="0"/>
      <w:sz w:val="24"/>
      <w:szCs w:val="20"/>
    </w:rPr>
  </w:style>
  <w:style w:type="paragraph" w:customStyle="1" w:styleId="150">
    <w:name w:val="Char Char Char Char Char Char1 Char11"/>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151">
    <w:name w:val="Char Char Char1"/>
    <w:basedOn w:val="16"/>
    <w:qFormat/>
    <w:uiPriority w:val="0"/>
    <w:pPr>
      <w:adjustRightInd/>
      <w:spacing w:line="240" w:lineRule="auto"/>
      <w:textAlignment w:val="auto"/>
    </w:pPr>
    <w:rPr>
      <w:rFonts w:ascii="Tahoma" w:hAnsi="Tahoma"/>
      <w:kern w:val="2"/>
      <w:sz w:val="24"/>
      <w:szCs w:val="24"/>
    </w:rPr>
  </w:style>
  <w:style w:type="paragraph" w:customStyle="1" w:styleId="152">
    <w:name w:val="F2"/>
    <w:basedOn w:val="1"/>
    <w:qFormat/>
    <w:uiPriority w:val="0"/>
    <w:pPr>
      <w:autoSpaceDE w:val="0"/>
      <w:autoSpaceDN w:val="0"/>
      <w:adjustRightInd w:val="0"/>
      <w:ind w:firstLine="601"/>
      <w:textAlignment w:val="baseline"/>
    </w:pPr>
    <w:rPr>
      <w:kern w:val="0"/>
      <w:sz w:val="24"/>
      <w:szCs w:val="20"/>
    </w:rPr>
  </w:style>
  <w:style w:type="paragraph" w:customStyle="1" w:styleId="153">
    <w:name w:val="xl21"/>
    <w:basedOn w:val="1"/>
    <w:qFormat/>
    <w:uiPriority w:val="0"/>
    <w:pPr>
      <w:widowControl/>
      <w:spacing w:before="100" w:beforeAutospacing="1" w:after="100" w:afterAutospacing="1"/>
      <w:jc w:val="center"/>
    </w:pPr>
    <w:rPr>
      <w:rFonts w:ascii="宋体" w:hAnsi="宋体"/>
      <w:b/>
      <w:bCs/>
      <w:kern w:val="0"/>
      <w:sz w:val="28"/>
      <w:szCs w:val="28"/>
    </w:rPr>
  </w:style>
  <w:style w:type="paragraph" w:customStyle="1" w:styleId="154">
    <w:name w:val="List Paragraph1"/>
    <w:basedOn w:val="1"/>
    <w:qFormat/>
    <w:uiPriority w:val="0"/>
    <w:pPr>
      <w:ind w:firstLine="420" w:firstLineChars="200"/>
    </w:pPr>
    <w:rPr>
      <w:rFonts w:ascii="Calibri" w:hAnsi="Calibri"/>
      <w:szCs w:val="22"/>
    </w:rPr>
  </w:style>
  <w:style w:type="paragraph" w:customStyle="1" w:styleId="155">
    <w:name w:val="普通 (Web)"/>
    <w:basedOn w:val="1"/>
    <w:qFormat/>
    <w:uiPriority w:val="0"/>
    <w:pPr>
      <w:widowControl/>
      <w:spacing w:before="100" w:beforeAutospacing="1" w:after="100" w:afterAutospacing="1"/>
      <w:jc w:val="left"/>
    </w:pPr>
    <w:rPr>
      <w:rFonts w:ascii="宋体" w:hAnsi="宋体"/>
      <w:kern w:val="0"/>
      <w:sz w:val="24"/>
    </w:rPr>
  </w:style>
  <w:style w:type="paragraph" w:customStyle="1" w:styleId="156">
    <w:name w:val="默认段落字体 Para Char"/>
    <w:basedOn w:val="1"/>
    <w:qFormat/>
    <w:uiPriority w:val="0"/>
    <w:pPr>
      <w:adjustRightInd w:val="0"/>
      <w:spacing w:line="360" w:lineRule="auto"/>
    </w:pPr>
    <w:rPr>
      <w:kern w:val="0"/>
      <w:sz w:val="24"/>
      <w:szCs w:val="20"/>
    </w:rPr>
  </w:style>
  <w:style w:type="paragraph" w:customStyle="1" w:styleId="157">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b/>
      <w:bCs/>
      <w:kern w:val="0"/>
      <w:sz w:val="24"/>
    </w:rPr>
  </w:style>
  <w:style w:type="paragraph" w:customStyle="1" w:styleId="15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59">
    <w:name w:val="tgt1"/>
    <w:basedOn w:val="1"/>
    <w:qFormat/>
    <w:uiPriority w:val="0"/>
    <w:pPr>
      <w:widowControl/>
      <w:spacing w:after="150"/>
      <w:jc w:val="left"/>
    </w:pPr>
    <w:rPr>
      <w:rFonts w:ascii="宋体" w:hAnsi="宋体" w:cs="宋体"/>
      <w:kern w:val="0"/>
      <w:sz w:val="24"/>
    </w:rPr>
  </w:style>
  <w:style w:type="paragraph" w:customStyle="1" w:styleId="160">
    <w:name w:val="正文段"/>
    <w:basedOn w:val="1"/>
    <w:qFormat/>
    <w:uiPriority w:val="0"/>
    <w:pPr>
      <w:widowControl/>
      <w:snapToGrid w:val="0"/>
      <w:spacing w:after="156" w:afterLines="50"/>
      <w:ind w:firstLine="200" w:firstLineChars="200"/>
    </w:pPr>
    <w:rPr>
      <w:kern w:val="0"/>
      <w:sz w:val="24"/>
      <w:szCs w:val="20"/>
    </w:rPr>
  </w:style>
  <w:style w:type="paragraph" w:customStyle="1" w:styleId="161">
    <w:name w:val="1"/>
    <w:basedOn w:val="1"/>
    <w:next w:val="26"/>
    <w:qFormat/>
    <w:uiPriority w:val="0"/>
    <w:rPr>
      <w:rFonts w:ascii="宋体" w:hAnsi="Courier New"/>
      <w:szCs w:val="20"/>
    </w:rPr>
  </w:style>
  <w:style w:type="paragraph" w:customStyle="1" w:styleId="162">
    <w:name w:val="2ji"/>
    <w:basedOn w:val="3"/>
    <w:qFormat/>
    <w:uiPriority w:val="0"/>
    <w:pPr>
      <w:adjustRightInd w:val="0"/>
      <w:spacing w:before="0" w:after="0" w:line="360" w:lineRule="auto"/>
      <w:textAlignment w:val="baseline"/>
    </w:pPr>
    <w:rPr>
      <w:rFonts w:ascii="宋体" w:hAnsi="宋体" w:eastAsia="宋体"/>
      <w:kern w:val="0"/>
      <w:sz w:val="21"/>
      <w:szCs w:val="21"/>
    </w:rPr>
  </w:style>
  <w:style w:type="paragraph" w:customStyle="1" w:styleId="163">
    <w:name w:val="2-2ji"/>
    <w:basedOn w:val="3"/>
    <w:qFormat/>
    <w:uiPriority w:val="0"/>
    <w:pPr>
      <w:adjustRightInd w:val="0"/>
      <w:spacing w:before="0" w:after="0" w:line="360" w:lineRule="auto"/>
      <w:jc w:val="center"/>
      <w:textAlignment w:val="baseline"/>
    </w:pPr>
    <w:rPr>
      <w:rFonts w:ascii="宋体" w:hAnsi="宋体" w:eastAsia="宋体"/>
      <w:bCs w:val="0"/>
      <w:kern w:val="0"/>
      <w:sz w:val="36"/>
    </w:rPr>
  </w:style>
  <w:style w:type="paragraph" w:customStyle="1" w:styleId="164">
    <w:name w:val="444"/>
    <w:basedOn w:val="1"/>
    <w:qFormat/>
    <w:uiPriority w:val="0"/>
    <w:pPr>
      <w:adjustRightInd w:val="0"/>
      <w:spacing w:line="312" w:lineRule="atLeast"/>
      <w:jc w:val="center"/>
      <w:textAlignment w:val="baseline"/>
    </w:pPr>
    <w:rPr>
      <w:b/>
      <w:kern w:val="0"/>
      <w:sz w:val="36"/>
      <w:szCs w:val="36"/>
    </w:rPr>
  </w:style>
  <w:style w:type="character" w:customStyle="1" w:styleId="165">
    <w:name w:val="_Style 164"/>
    <w:unhideWhenUsed/>
    <w:qFormat/>
    <w:uiPriority w:val="99"/>
    <w:rPr>
      <w:color w:val="605E5C"/>
      <w:shd w:val="clear" w:color="auto" w:fill="E1DFDD"/>
    </w:rPr>
  </w:style>
  <w:style w:type="character" w:customStyle="1" w:styleId="166">
    <w:name w:val="批注文字 字符1"/>
    <w:qFormat/>
    <w:uiPriority w:val="0"/>
    <w:rPr>
      <w:kern w:val="2"/>
      <w:sz w:val="21"/>
      <w:szCs w:val="24"/>
    </w:rPr>
  </w:style>
  <w:style w:type="character" w:customStyle="1" w:styleId="167">
    <w:name w:val="纯文本 字符1"/>
    <w:qFormat/>
    <w:uiPriority w:val="99"/>
    <w:rPr>
      <w:rFonts w:ascii="宋体" w:hAnsi="Courier New" w:eastAsia="宋体" w:cs="Courier New"/>
      <w:kern w:val="2"/>
      <w:sz w:val="21"/>
      <w:szCs w:val="21"/>
      <w:lang w:val="en-US" w:eastAsia="zh-CN" w:bidi="ar-SA"/>
    </w:rPr>
  </w:style>
  <w:style w:type="character" w:customStyle="1" w:styleId="168">
    <w:name w:val="正文文本 字符1"/>
    <w:qFormat/>
    <w:uiPriority w:val="99"/>
    <w:rPr>
      <w:kern w:val="2"/>
      <w:sz w:val="24"/>
      <w:szCs w:val="24"/>
    </w:rPr>
  </w:style>
  <w:style w:type="paragraph" w:customStyle="1" w:styleId="169">
    <w:name w:val="正文-2字符首行缩进"/>
    <w:basedOn w:val="1"/>
    <w:link w:val="170"/>
    <w:qFormat/>
    <w:uiPriority w:val="0"/>
    <w:pPr>
      <w:widowControl/>
      <w:spacing w:line="360" w:lineRule="auto"/>
      <w:ind w:firstLine="200" w:firstLineChars="200"/>
    </w:pPr>
    <w:rPr>
      <w:rFonts w:ascii="仿宋_GB2312" w:hAnsi="Calibri" w:eastAsia="仿宋_GB2312"/>
      <w:kern w:val="0"/>
      <w:sz w:val="28"/>
      <w:szCs w:val="22"/>
    </w:rPr>
  </w:style>
  <w:style w:type="character" w:customStyle="1" w:styleId="170">
    <w:name w:val="正文-2字符首行缩进 Char"/>
    <w:link w:val="169"/>
    <w:qFormat/>
    <w:uiPriority w:val="0"/>
    <w:rPr>
      <w:rFonts w:ascii="仿宋_GB2312" w:hAnsi="Calibri" w:eastAsia="仿宋_GB2312"/>
      <w:sz w:val="28"/>
      <w:szCs w:val="22"/>
    </w:rPr>
  </w:style>
  <w:style w:type="character" w:customStyle="1" w:styleId="171">
    <w:name w:val="标题 5 字符"/>
    <w:semiHidden/>
    <w:qFormat/>
    <w:uiPriority w:val="9"/>
    <w:rPr>
      <w:b/>
      <w:bCs/>
      <w:kern w:val="2"/>
      <w:sz w:val="28"/>
      <w:szCs w:val="28"/>
    </w:rPr>
  </w:style>
  <w:style w:type="paragraph" w:customStyle="1" w:styleId="172">
    <w:name w:val="列出段落11"/>
    <w:basedOn w:val="1"/>
    <w:qFormat/>
    <w:uiPriority w:val="99"/>
    <w:pPr>
      <w:ind w:firstLine="420" w:firstLineChars="200"/>
    </w:pPr>
    <w:rPr>
      <w:rFonts w:ascii="等线" w:hAnsi="等线" w:eastAsia="等线"/>
    </w:rPr>
  </w:style>
  <w:style w:type="character" w:customStyle="1" w:styleId="173">
    <w:name w:val="标题 3 字符1"/>
    <w:qFormat/>
    <w:uiPriority w:val="0"/>
    <w:rPr>
      <w:b/>
      <w:bCs/>
      <w:kern w:val="2"/>
      <w:sz w:val="32"/>
      <w:szCs w:val="32"/>
    </w:rPr>
  </w:style>
  <w:style w:type="character" w:customStyle="1" w:styleId="174">
    <w:name w:val="正文文本 3 字符1"/>
    <w:qFormat/>
    <w:uiPriority w:val="0"/>
    <w:rPr>
      <w:b/>
      <w:bCs/>
      <w:kern w:val="2"/>
      <w:sz w:val="24"/>
      <w:szCs w:val="24"/>
    </w:rPr>
  </w:style>
  <w:style w:type="character" w:customStyle="1" w:styleId="175">
    <w:name w:val="正文文本缩进 字符1"/>
    <w:qFormat/>
    <w:uiPriority w:val="99"/>
    <w:rPr>
      <w:rFonts w:ascii="仿宋_GB2312" w:eastAsia="仿宋_GB2312"/>
      <w:kern w:val="2"/>
      <w:sz w:val="32"/>
    </w:rPr>
  </w:style>
  <w:style w:type="character" w:customStyle="1" w:styleId="176">
    <w:name w:val="标题 4 字符"/>
    <w:semiHidden/>
    <w:qFormat/>
    <w:uiPriority w:val="9"/>
    <w:rPr>
      <w:rFonts w:ascii="等线 Light" w:hAnsi="等线 Light" w:eastAsia="等线 Light" w:cs="Times New Roman"/>
      <w:b/>
      <w:bCs/>
      <w:kern w:val="2"/>
      <w:sz w:val="28"/>
      <w:szCs w:val="28"/>
    </w:rPr>
  </w:style>
  <w:style w:type="character" w:customStyle="1" w:styleId="177">
    <w:name w:val="HTML 预设格式 字符"/>
    <w:semiHidden/>
    <w:qFormat/>
    <w:uiPriority w:val="99"/>
    <w:rPr>
      <w:rFonts w:ascii="Courier New" w:hAnsi="Courier New" w:cs="Courier New"/>
      <w:kern w:val="2"/>
    </w:rPr>
  </w:style>
  <w:style w:type="character" w:customStyle="1" w:styleId="178">
    <w:name w:val="日期 字符1"/>
    <w:qFormat/>
    <w:uiPriority w:val="0"/>
    <w:rPr>
      <w:rFonts w:ascii="宋体" w:hAnsi="Courier New" w:cs="Courier New"/>
      <w:kern w:val="2"/>
      <w:sz w:val="21"/>
      <w:szCs w:val="21"/>
    </w:rPr>
  </w:style>
  <w:style w:type="character" w:customStyle="1" w:styleId="179">
    <w:name w:val="标题 8 字符1"/>
    <w:qFormat/>
    <w:uiPriority w:val="0"/>
    <w:rPr>
      <w:rFonts w:ascii="Arial" w:hAnsi="Arial" w:eastAsia="黑体"/>
      <w:kern w:val="2"/>
      <w:sz w:val="24"/>
      <w:szCs w:val="24"/>
    </w:rPr>
  </w:style>
  <w:style w:type="character" w:customStyle="1" w:styleId="180">
    <w:name w:val="标题 6 字符"/>
    <w:semiHidden/>
    <w:qFormat/>
    <w:uiPriority w:val="9"/>
    <w:rPr>
      <w:rFonts w:ascii="等线 Light" w:hAnsi="等线 Light" w:eastAsia="等线 Light" w:cs="Times New Roman"/>
      <w:b/>
      <w:bCs/>
      <w:kern w:val="2"/>
      <w:sz w:val="24"/>
      <w:szCs w:val="24"/>
    </w:rPr>
  </w:style>
  <w:style w:type="character" w:customStyle="1" w:styleId="181">
    <w:name w:val="标题 7 字符1"/>
    <w:qFormat/>
    <w:uiPriority w:val="0"/>
    <w:rPr>
      <w:b/>
      <w:kern w:val="2"/>
      <w:sz w:val="24"/>
      <w:szCs w:val="24"/>
    </w:rPr>
  </w:style>
  <w:style w:type="character" w:customStyle="1" w:styleId="182">
    <w:name w:val="标题 4 字符1"/>
    <w:qFormat/>
    <w:uiPriority w:val="0"/>
    <w:rPr>
      <w:rFonts w:ascii="Arial" w:hAnsi="Arial" w:eastAsia="黑体"/>
      <w:sz w:val="28"/>
    </w:rPr>
  </w:style>
  <w:style w:type="character" w:customStyle="1" w:styleId="183">
    <w:name w:val="正文文本首行缩进 2 字符1"/>
    <w:qFormat/>
    <w:uiPriority w:val="0"/>
    <w:rPr>
      <w:kern w:val="2"/>
      <w:sz w:val="21"/>
      <w:szCs w:val="24"/>
    </w:rPr>
  </w:style>
  <w:style w:type="character" w:customStyle="1" w:styleId="184">
    <w:name w:val="标题 7 字符"/>
    <w:semiHidden/>
    <w:qFormat/>
    <w:uiPriority w:val="9"/>
    <w:rPr>
      <w:b/>
      <w:bCs/>
      <w:kern w:val="2"/>
      <w:sz w:val="24"/>
      <w:szCs w:val="24"/>
    </w:rPr>
  </w:style>
  <w:style w:type="character" w:customStyle="1" w:styleId="185">
    <w:name w:val="批注主题 字符"/>
    <w:qFormat/>
    <w:uiPriority w:val="0"/>
    <w:rPr>
      <w:b/>
      <w:bCs/>
      <w:kern w:val="2"/>
      <w:sz w:val="21"/>
      <w:szCs w:val="24"/>
    </w:rPr>
  </w:style>
  <w:style w:type="character" w:customStyle="1" w:styleId="186">
    <w:name w:val="批注主题 字符1"/>
    <w:qFormat/>
    <w:uiPriority w:val="0"/>
    <w:rPr>
      <w:b/>
      <w:bCs/>
      <w:kern w:val="2"/>
      <w:sz w:val="21"/>
      <w:szCs w:val="24"/>
    </w:rPr>
  </w:style>
  <w:style w:type="character" w:customStyle="1" w:styleId="187">
    <w:name w:val="正文文本首行缩进 字符"/>
    <w:semiHidden/>
    <w:qFormat/>
    <w:uiPriority w:val="99"/>
  </w:style>
  <w:style w:type="character" w:customStyle="1" w:styleId="188">
    <w:name w:val="正文文本缩进 字符"/>
    <w:semiHidden/>
    <w:qFormat/>
    <w:uiPriority w:val="99"/>
    <w:rPr>
      <w:kern w:val="2"/>
      <w:sz w:val="21"/>
      <w:szCs w:val="24"/>
    </w:rPr>
  </w:style>
  <w:style w:type="character" w:customStyle="1" w:styleId="189">
    <w:name w:val="页眉 字符"/>
    <w:semiHidden/>
    <w:qFormat/>
    <w:uiPriority w:val="99"/>
    <w:rPr>
      <w:kern w:val="2"/>
      <w:sz w:val="18"/>
      <w:szCs w:val="18"/>
    </w:rPr>
  </w:style>
  <w:style w:type="character" w:customStyle="1" w:styleId="190">
    <w:name w:val="标题 字符"/>
    <w:qFormat/>
    <w:uiPriority w:val="10"/>
    <w:rPr>
      <w:rFonts w:ascii="等线 Light" w:hAnsi="等线 Light" w:eastAsia="等线 Light" w:cs="Times New Roman"/>
      <w:b/>
      <w:bCs/>
      <w:kern w:val="2"/>
      <w:sz w:val="32"/>
      <w:szCs w:val="32"/>
    </w:rPr>
  </w:style>
  <w:style w:type="character" w:customStyle="1" w:styleId="191">
    <w:name w:val="批注框文本 字符1"/>
    <w:qFormat/>
    <w:uiPriority w:val="0"/>
    <w:rPr>
      <w:kern w:val="2"/>
      <w:sz w:val="18"/>
      <w:szCs w:val="18"/>
    </w:rPr>
  </w:style>
  <w:style w:type="character" w:customStyle="1" w:styleId="192">
    <w:name w:val="页脚 字符1"/>
    <w:qFormat/>
    <w:uiPriority w:val="0"/>
    <w:rPr>
      <w:kern w:val="2"/>
      <w:sz w:val="18"/>
      <w:szCs w:val="18"/>
    </w:rPr>
  </w:style>
  <w:style w:type="character" w:customStyle="1" w:styleId="193">
    <w:name w:val="批注文字 字符"/>
    <w:qFormat/>
    <w:uiPriority w:val="0"/>
    <w:rPr>
      <w:kern w:val="2"/>
      <w:sz w:val="21"/>
      <w:szCs w:val="24"/>
    </w:rPr>
  </w:style>
  <w:style w:type="character" w:customStyle="1" w:styleId="194">
    <w:name w:val="标题 2 字符"/>
    <w:semiHidden/>
    <w:qFormat/>
    <w:uiPriority w:val="9"/>
    <w:rPr>
      <w:rFonts w:ascii="等线 Light" w:hAnsi="等线 Light" w:eastAsia="等线 Light" w:cs="Times New Roman"/>
      <w:b/>
      <w:bCs/>
      <w:kern w:val="2"/>
      <w:sz w:val="32"/>
      <w:szCs w:val="32"/>
    </w:rPr>
  </w:style>
  <w:style w:type="character" w:customStyle="1" w:styleId="195">
    <w:name w:val="文档结构图 字符"/>
    <w:semiHidden/>
    <w:qFormat/>
    <w:uiPriority w:val="99"/>
    <w:rPr>
      <w:rFonts w:ascii="Microsoft YaHei UI" w:eastAsia="Microsoft YaHei UI"/>
      <w:kern w:val="2"/>
      <w:sz w:val="18"/>
      <w:szCs w:val="18"/>
    </w:rPr>
  </w:style>
  <w:style w:type="character" w:customStyle="1" w:styleId="196">
    <w:name w:val="z-窗体顶端 字符1"/>
    <w:link w:val="197"/>
    <w:qFormat/>
    <w:uiPriority w:val="0"/>
    <w:rPr>
      <w:rFonts w:ascii="Arial"/>
      <w:vanish/>
      <w:kern w:val="2"/>
      <w:sz w:val="16"/>
      <w:szCs w:val="24"/>
    </w:rPr>
  </w:style>
  <w:style w:type="paragraph" w:customStyle="1" w:styleId="197">
    <w:name w:val="z-窗体顶端1"/>
    <w:basedOn w:val="1"/>
    <w:next w:val="1"/>
    <w:link w:val="196"/>
    <w:qFormat/>
    <w:uiPriority w:val="0"/>
    <w:pPr>
      <w:pBdr>
        <w:bottom w:val="single" w:color="auto" w:sz="6" w:space="1"/>
      </w:pBdr>
      <w:jc w:val="center"/>
    </w:pPr>
    <w:rPr>
      <w:rFonts w:ascii="Arial"/>
      <w:vanish/>
      <w:sz w:val="16"/>
    </w:rPr>
  </w:style>
  <w:style w:type="character" w:customStyle="1" w:styleId="198">
    <w:name w:val="highlight"/>
    <w:qFormat/>
    <w:uiPriority w:val="0"/>
  </w:style>
  <w:style w:type="character" w:customStyle="1" w:styleId="199">
    <w:name w:val="标题 字符1"/>
    <w:qFormat/>
    <w:uiPriority w:val="0"/>
    <w:rPr>
      <w:kern w:val="2"/>
      <w:sz w:val="30"/>
      <w:szCs w:val="24"/>
    </w:rPr>
  </w:style>
  <w:style w:type="character" w:customStyle="1" w:styleId="200">
    <w:name w:val="标题 1 字符1"/>
    <w:qFormat/>
    <w:uiPriority w:val="9"/>
    <w:rPr>
      <w:rFonts w:eastAsia="宋体"/>
      <w:b/>
      <w:bCs/>
      <w:kern w:val="44"/>
      <w:sz w:val="44"/>
      <w:szCs w:val="44"/>
      <w:lang w:val="en-US" w:eastAsia="zh-CN" w:bidi="ar-SA"/>
    </w:rPr>
  </w:style>
  <w:style w:type="character" w:customStyle="1" w:styleId="201">
    <w:name w:val="HTML 预设格式 字符1"/>
    <w:qFormat/>
    <w:uiPriority w:val="0"/>
    <w:rPr>
      <w:rFonts w:ascii="黑体" w:hAnsi="Courier New" w:eastAsia="黑体" w:cs="Courier New"/>
    </w:rPr>
  </w:style>
  <w:style w:type="character" w:customStyle="1" w:styleId="202">
    <w:name w:val="批注框文本 字符"/>
    <w:semiHidden/>
    <w:qFormat/>
    <w:uiPriority w:val="99"/>
    <w:rPr>
      <w:kern w:val="2"/>
      <w:sz w:val="18"/>
      <w:szCs w:val="18"/>
    </w:rPr>
  </w:style>
  <w:style w:type="character" w:customStyle="1" w:styleId="203">
    <w:name w:val="正文文本 3 字符"/>
    <w:semiHidden/>
    <w:qFormat/>
    <w:uiPriority w:val="99"/>
    <w:rPr>
      <w:kern w:val="2"/>
      <w:sz w:val="16"/>
      <w:szCs w:val="16"/>
    </w:rPr>
  </w:style>
  <w:style w:type="character" w:customStyle="1" w:styleId="204">
    <w:name w:val="正文文本缩进 3 字符1"/>
    <w:qFormat/>
    <w:uiPriority w:val="0"/>
    <w:rPr>
      <w:kern w:val="2"/>
      <w:sz w:val="16"/>
      <w:szCs w:val="16"/>
    </w:rPr>
  </w:style>
  <w:style w:type="character" w:customStyle="1" w:styleId="205">
    <w:name w:val="fd"/>
    <w:qFormat/>
    <w:uiPriority w:val="0"/>
  </w:style>
  <w:style w:type="character" w:customStyle="1" w:styleId="206">
    <w:name w:val="标题 9 字符"/>
    <w:semiHidden/>
    <w:qFormat/>
    <w:uiPriority w:val="9"/>
    <w:rPr>
      <w:rFonts w:ascii="等线 Light" w:hAnsi="等线 Light" w:eastAsia="等线 Light" w:cs="Times New Roman"/>
      <w:kern w:val="2"/>
      <w:sz w:val="21"/>
      <w:szCs w:val="21"/>
    </w:rPr>
  </w:style>
  <w:style w:type="character" w:customStyle="1" w:styleId="207">
    <w:name w:val="标题 5 字符1"/>
    <w:qFormat/>
    <w:uiPriority w:val="0"/>
    <w:rPr>
      <w:b/>
      <w:kern w:val="2"/>
      <w:sz w:val="28"/>
      <w:szCs w:val="24"/>
    </w:rPr>
  </w:style>
  <w:style w:type="character" w:customStyle="1" w:styleId="208">
    <w:name w:val="标题 2 字符1"/>
    <w:qFormat/>
    <w:uiPriority w:val="0"/>
    <w:rPr>
      <w:rFonts w:ascii="Arial" w:hAnsi="Arial" w:eastAsia="黑体"/>
      <w:b/>
      <w:bCs/>
      <w:kern w:val="2"/>
      <w:sz w:val="32"/>
      <w:szCs w:val="32"/>
    </w:rPr>
  </w:style>
  <w:style w:type="character" w:customStyle="1" w:styleId="209">
    <w:name w:val="正文文本缩进 2 字符"/>
    <w:semiHidden/>
    <w:qFormat/>
    <w:uiPriority w:val="99"/>
    <w:rPr>
      <w:kern w:val="2"/>
      <w:sz w:val="21"/>
      <w:szCs w:val="24"/>
    </w:rPr>
  </w:style>
  <w:style w:type="character" w:customStyle="1" w:styleId="210">
    <w:name w:val="z-窗体顶端 字符"/>
    <w:semiHidden/>
    <w:qFormat/>
    <w:uiPriority w:val="99"/>
    <w:rPr>
      <w:rFonts w:ascii="Arial" w:hAnsi="Arial" w:cs="Arial"/>
      <w:vanish/>
      <w:kern w:val="2"/>
      <w:sz w:val="16"/>
      <w:szCs w:val="16"/>
    </w:rPr>
  </w:style>
  <w:style w:type="character" w:customStyle="1" w:styleId="211">
    <w:name w:val="标题 6 字符1"/>
    <w:qFormat/>
    <w:uiPriority w:val="0"/>
    <w:rPr>
      <w:rFonts w:ascii="Arial" w:hAnsi="Arial" w:eastAsia="黑体"/>
      <w:b/>
      <w:kern w:val="2"/>
      <w:sz w:val="24"/>
      <w:szCs w:val="24"/>
    </w:rPr>
  </w:style>
  <w:style w:type="character" w:customStyle="1" w:styleId="212">
    <w:name w:val="正文文本 2 字符1"/>
    <w:qFormat/>
    <w:uiPriority w:val="0"/>
    <w:rPr>
      <w:kern w:val="2"/>
      <w:sz w:val="21"/>
      <w:szCs w:val="24"/>
    </w:rPr>
  </w:style>
  <w:style w:type="character" w:customStyle="1" w:styleId="213">
    <w:name w:val="标题 3 字符"/>
    <w:semiHidden/>
    <w:qFormat/>
    <w:uiPriority w:val="9"/>
    <w:rPr>
      <w:b/>
      <w:bCs/>
      <w:kern w:val="2"/>
      <w:sz w:val="32"/>
      <w:szCs w:val="32"/>
    </w:rPr>
  </w:style>
  <w:style w:type="character" w:customStyle="1" w:styleId="214">
    <w:name w:val="正文文本 2 字符"/>
    <w:semiHidden/>
    <w:qFormat/>
    <w:uiPriority w:val="99"/>
    <w:rPr>
      <w:kern w:val="2"/>
      <w:sz w:val="21"/>
      <w:szCs w:val="24"/>
    </w:rPr>
  </w:style>
  <w:style w:type="character" w:customStyle="1" w:styleId="215">
    <w:name w:val="标题 1 字符"/>
    <w:qFormat/>
    <w:uiPriority w:val="9"/>
    <w:rPr>
      <w:b/>
      <w:bCs/>
      <w:kern w:val="44"/>
      <w:sz w:val="44"/>
      <w:szCs w:val="44"/>
    </w:rPr>
  </w:style>
  <w:style w:type="character" w:customStyle="1" w:styleId="216">
    <w:name w:val="页脚 字符"/>
    <w:qFormat/>
    <w:uiPriority w:val="99"/>
    <w:rPr>
      <w:kern w:val="2"/>
      <w:sz w:val="18"/>
      <w:szCs w:val="18"/>
    </w:rPr>
  </w:style>
  <w:style w:type="character" w:customStyle="1" w:styleId="217">
    <w:name w:val="正文文本首行缩进 2 字符"/>
    <w:semiHidden/>
    <w:qFormat/>
    <w:uiPriority w:val="99"/>
  </w:style>
  <w:style w:type="character" w:customStyle="1" w:styleId="218">
    <w:name w:val="文档结构图 字符1"/>
    <w:qFormat/>
    <w:uiPriority w:val="0"/>
    <w:rPr>
      <w:sz w:val="21"/>
      <w:shd w:val="clear" w:color="auto" w:fill="000080"/>
    </w:rPr>
  </w:style>
  <w:style w:type="character" w:customStyle="1" w:styleId="219">
    <w:name w:val="正文文本首行缩进 字符1"/>
    <w:qFormat/>
    <w:uiPriority w:val="0"/>
    <w:rPr>
      <w:kern w:val="2"/>
      <w:sz w:val="21"/>
      <w:szCs w:val="24"/>
    </w:rPr>
  </w:style>
  <w:style w:type="character" w:customStyle="1" w:styleId="220">
    <w:name w:val="日期 字符"/>
    <w:semiHidden/>
    <w:qFormat/>
    <w:uiPriority w:val="99"/>
    <w:rPr>
      <w:kern w:val="2"/>
      <w:sz w:val="21"/>
      <w:szCs w:val="24"/>
    </w:rPr>
  </w:style>
  <w:style w:type="character" w:customStyle="1" w:styleId="221">
    <w:name w:val="纯文本 字符"/>
    <w:qFormat/>
    <w:uiPriority w:val="99"/>
    <w:rPr>
      <w:rFonts w:ascii="等线" w:hAnsi="Courier New" w:eastAsia="等线" w:cs="Courier New"/>
      <w:kern w:val="2"/>
      <w:sz w:val="21"/>
      <w:szCs w:val="24"/>
    </w:rPr>
  </w:style>
  <w:style w:type="character" w:customStyle="1" w:styleId="222">
    <w:name w:val="正文文本缩进 2 字符1"/>
    <w:qFormat/>
    <w:uiPriority w:val="0"/>
    <w:rPr>
      <w:kern w:val="2"/>
      <w:sz w:val="32"/>
    </w:rPr>
  </w:style>
  <w:style w:type="character" w:customStyle="1" w:styleId="223">
    <w:name w:val="标题 9 字符1"/>
    <w:qFormat/>
    <w:uiPriority w:val="0"/>
    <w:rPr>
      <w:rFonts w:ascii="Arial" w:hAnsi="Arial" w:eastAsia="黑体"/>
      <w:kern w:val="2"/>
      <w:sz w:val="21"/>
      <w:szCs w:val="24"/>
    </w:rPr>
  </w:style>
  <w:style w:type="character" w:customStyle="1" w:styleId="224">
    <w:name w:val="页眉 字符1"/>
    <w:qFormat/>
    <w:uiPriority w:val="99"/>
    <w:rPr>
      <w:kern w:val="2"/>
      <w:sz w:val="18"/>
      <w:szCs w:val="18"/>
    </w:rPr>
  </w:style>
  <w:style w:type="character" w:customStyle="1" w:styleId="225">
    <w:name w:val="标题 8 字符"/>
    <w:semiHidden/>
    <w:qFormat/>
    <w:uiPriority w:val="9"/>
    <w:rPr>
      <w:rFonts w:ascii="等线 Light" w:hAnsi="等线 Light" w:eastAsia="等线 Light" w:cs="Times New Roman"/>
      <w:kern w:val="2"/>
      <w:sz w:val="24"/>
      <w:szCs w:val="24"/>
    </w:rPr>
  </w:style>
  <w:style w:type="character" w:customStyle="1" w:styleId="226">
    <w:name w:val="正文文本缩进 3 字符"/>
    <w:semiHidden/>
    <w:qFormat/>
    <w:uiPriority w:val="99"/>
    <w:rPr>
      <w:kern w:val="2"/>
      <w:sz w:val="16"/>
      <w:szCs w:val="16"/>
    </w:rPr>
  </w:style>
  <w:style w:type="character" w:customStyle="1" w:styleId="227">
    <w:name w:val="正文文本 字符"/>
    <w:semiHidden/>
    <w:qFormat/>
    <w:uiPriority w:val="99"/>
    <w:rPr>
      <w:kern w:val="2"/>
      <w:sz w:val="21"/>
      <w:szCs w:val="24"/>
    </w:rPr>
  </w:style>
  <w:style w:type="paragraph" w:customStyle="1" w:styleId="228">
    <w:name w:val="TOC 标题1"/>
    <w:basedOn w:val="2"/>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229">
    <w:name w:val="paragraphindent"/>
    <w:basedOn w:val="1"/>
    <w:qFormat/>
    <w:uiPriority w:val="0"/>
    <w:pPr>
      <w:widowControl/>
      <w:spacing w:before="100" w:beforeAutospacing="1" w:after="100" w:afterAutospacing="1"/>
      <w:jc w:val="left"/>
    </w:pPr>
    <w:rPr>
      <w:rFonts w:ascii="宋体" w:hAnsi="宋体" w:cs="宋体"/>
      <w:kern w:val="0"/>
      <w:sz w:val="24"/>
    </w:rPr>
  </w:style>
  <w:style w:type="paragraph" w:customStyle="1" w:styleId="230">
    <w:name w:val="_Style 109"/>
    <w:basedOn w:val="1"/>
    <w:next w:val="117"/>
    <w:qFormat/>
    <w:uiPriority w:val="34"/>
    <w:pPr>
      <w:ind w:firstLine="420" w:firstLineChars="200"/>
    </w:pPr>
    <w:rPr>
      <w:rFonts w:ascii="Calibri" w:hAnsi="Calibri"/>
      <w:szCs w:val="22"/>
    </w:rPr>
  </w:style>
  <w:style w:type="paragraph" w:customStyle="1" w:styleId="231">
    <w:name w:val="Char Char Char Char Char Char Char1"/>
    <w:basedOn w:val="1"/>
    <w:qFormat/>
    <w:uiPriority w:val="0"/>
  </w:style>
  <w:style w:type="paragraph" w:customStyle="1" w:styleId="232">
    <w:name w:val="Char21"/>
    <w:basedOn w:val="1"/>
    <w:qFormat/>
    <w:uiPriority w:val="0"/>
    <w:pPr>
      <w:widowControl/>
      <w:spacing w:after="160" w:line="240" w:lineRule="exact"/>
      <w:jc w:val="left"/>
    </w:pPr>
    <w:rPr>
      <w:rFonts w:ascii="Verdana" w:hAnsi="Verdana"/>
      <w:kern w:val="0"/>
      <w:szCs w:val="20"/>
      <w:lang w:eastAsia="en-US"/>
    </w:rPr>
  </w:style>
  <w:style w:type="paragraph" w:customStyle="1" w:styleId="233">
    <w:name w:val="Char Char Char Char Char Char Char Char Char Char Char Char Char Char Char Char1"/>
    <w:basedOn w:val="1"/>
    <w:qFormat/>
    <w:uiPriority w:val="0"/>
    <w:pPr>
      <w:tabs>
        <w:tab w:val="left" w:pos="360"/>
      </w:tabs>
      <w:spacing w:line="360" w:lineRule="auto"/>
      <w:ind w:left="482" w:firstLine="200" w:firstLineChars="200"/>
    </w:pPr>
    <w:rPr>
      <w:rFonts w:ascii="宋体"/>
      <w:sz w:val="24"/>
    </w:rPr>
  </w:style>
  <w:style w:type="paragraph" w:customStyle="1" w:styleId="234">
    <w:name w:val="Char Char Char Char Char Char Char Char Char Char Char Char Char1"/>
    <w:basedOn w:val="16"/>
    <w:qFormat/>
    <w:uiPriority w:val="0"/>
    <w:pPr>
      <w:adjustRightInd/>
      <w:spacing w:line="240" w:lineRule="auto"/>
      <w:textAlignment w:val="auto"/>
    </w:pPr>
    <w:rPr>
      <w:rFonts w:ascii="Tahoma" w:hAnsi="Tahoma"/>
      <w:kern w:val="2"/>
      <w:sz w:val="24"/>
      <w:szCs w:val="24"/>
    </w:rPr>
  </w:style>
  <w:style w:type="paragraph" w:customStyle="1" w:styleId="235">
    <w:name w:val="Char4"/>
    <w:basedOn w:val="1"/>
    <w:qFormat/>
    <w:uiPriority w:val="0"/>
    <w:pPr>
      <w:tabs>
        <w:tab w:val="left" w:pos="360"/>
      </w:tabs>
      <w:ind w:left="252" w:hanging="252" w:hangingChars="140"/>
    </w:pPr>
    <w:rPr>
      <w:rFonts w:ascii="宋体"/>
      <w:sz w:val="18"/>
      <w:szCs w:val="18"/>
    </w:rPr>
  </w:style>
  <w:style w:type="paragraph" w:customStyle="1" w:styleId="236">
    <w:name w:val="Char Char Char2"/>
    <w:basedOn w:val="1"/>
    <w:qFormat/>
    <w:uiPriority w:val="0"/>
    <w:rPr>
      <w:rFonts w:ascii="Tahoma" w:hAnsi="Tahoma"/>
      <w:sz w:val="24"/>
      <w:szCs w:val="20"/>
    </w:rPr>
  </w:style>
  <w:style w:type="paragraph" w:customStyle="1" w:styleId="237">
    <w:name w:val="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38">
    <w:name w:val="Char Char Char Char Char Char1 Char1"/>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239">
    <w:name w:val="修订1"/>
    <w:unhideWhenUsed/>
    <w:qFormat/>
    <w:uiPriority w:val="99"/>
    <w:rPr>
      <w:rFonts w:ascii="Times New Roman" w:hAnsi="Times New Roman" w:eastAsia="宋体" w:cs="Times New Roman"/>
      <w:kern w:val="2"/>
      <w:sz w:val="21"/>
      <w:szCs w:val="24"/>
      <w:lang w:val="en-US" w:eastAsia="zh-CN" w:bidi="ar-SA"/>
    </w:rPr>
  </w:style>
  <w:style w:type="character" w:customStyle="1" w:styleId="240">
    <w:name w:val="未处理的提及1"/>
    <w:unhideWhenUsed/>
    <w:qFormat/>
    <w:uiPriority w:val="99"/>
    <w:rPr>
      <w:color w:val="605E5C"/>
      <w:shd w:val="clear" w:color="auto" w:fill="E1DFDD"/>
    </w:rPr>
  </w:style>
  <w:style w:type="character" w:customStyle="1" w:styleId="241">
    <w:name w:val="占位符文本1"/>
    <w:unhideWhenUsed/>
    <w:qFormat/>
    <w:uiPriority w:val="99"/>
    <w:rPr>
      <w:color w:val="808080"/>
    </w:rPr>
  </w:style>
  <w:style w:type="character" w:customStyle="1" w:styleId="242">
    <w:name w:val="未处理的提及2"/>
    <w:unhideWhenUsed/>
    <w:qFormat/>
    <w:uiPriority w:val="99"/>
    <w:rPr>
      <w:color w:val="605E5C"/>
      <w:shd w:val="clear" w:color="auto" w:fill="E1DFDD"/>
    </w:rPr>
  </w:style>
  <w:style w:type="character" w:customStyle="1" w:styleId="243">
    <w:name w:val="15"/>
    <w:qFormat/>
    <w:uiPriority w:val="0"/>
    <w:rPr>
      <w:rFonts w:hint="eastAsia" w:ascii="宋体" w:hAnsi="宋体" w:eastAsia="宋体"/>
      <w:color w:val="000000"/>
      <w:spacing w:val="0"/>
      <w:sz w:val="22"/>
      <w:szCs w:val="22"/>
    </w:rPr>
  </w:style>
  <w:style w:type="character" w:customStyle="1" w:styleId="244">
    <w:name w:val="批注文字 字符2"/>
    <w:qFormat/>
    <w:uiPriority w:val="0"/>
    <w:rPr>
      <w:kern w:val="2"/>
      <w:sz w:val="21"/>
      <w:szCs w:val="24"/>
    </w:rPr>
  </w:style>
  <w:style w:type="paragraph" w:customStyle="1" w:styleId="245">
    <w:name w:val="reader-word-layer"/>
    <w:basedOn w:val="1"/>
    <w:qFormat/>
    <w:uiPriority w:val="0"/>
    <w:pPr>
      <w:widowControl/>
      <w:spacing w:before="100" w:beforeAutospacing="1" w:after="100" w:afterAutospacing="1"/>
      <w:jc w:val="left"/>
    </w:pPr>
    <w:rPr>
      <w:rFonts w:ascii="宋体" w:hAnsi="宋体" w:cs="宋体"/>
      <w:kern w:val="0"/>
      <w:sz w:val="24"/>
    </w:rPr>
  </w:style>
  <w:style w:type="paragraph" w:customStyle="1" w:styleId="246">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247">
    <w:name w:val="目录 53"/>
    <w:next w:val="1"/>
    <w:qFormat/>
    <w:uiPriority w:val="0"/>
    <w:pPr>
      <w:wordWrap w:val="0"/>
      <w:ind w:left="1275"/>
      <w:jc w:val="both"/>
    </w:pPr>
    <w:rPr>
      <w:rFonts w:ascii="Times New Roman" w:hAnsi="Times New Roman" w:eastAsia="宋体" w:cs="Times New Roman"/>
      <w:sz w:val="21"/>
      <w:lang w:val="en-US" w:eastAsia="zh-CN" w:bidi="ar-SA"/>
    </w:rPr>
  </w:style>
  <w:style w:type="paragraph" w:customStyle="1" w:styleId="248">
    <w:name w:val="Table Text"/>
    <w:basedOn w:val="1"/>
    <w:semiHidden/>
    <w:qFormat/>
    <w:uiPriority w:val="0"/>
    <w:rPr>
      <w:rFonts w:ascii="宋体" w:hAnsi="宋体" w:cs="宋体"/>
      <w:sz w:val="18"/>
      <w:szCs w:val="18"/>
      <w:lang w:eastAsia="en-US"/>
    </w:rPr>
  </w:style>
  <w:style w:type="table" w:customStyle="1" w:styleId="249">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3" Type="http://schemas.openxmlformats.org/officeDocument/2006/relationships/fontTable" Target="fontTable.xml"/><Relationship Id="rId22" Type="http://schemas.openxmlformats.org/officeDocument/2006/relationships/numbering" Target="numbering.xml"/><Relationship Id="rId21" Type="http://schemas.openxmlformats.org/officeDocument/2006/relationships/image" Target="media/image3.emf"/><Relationship Id="rId20" Type="http://schemas.openxmlformats.org/officeDocument/2006/relationships/image" Target="media/image2.png"/><Relationship Id="rId2" Type="http://schemas.openxmlformats.org/officeDocument/2006/relationships/settings" Target="settings.xml"/><Relationship Id="rId19" Type="http://schemas.openxmlformats.org/officeDocument/2006/relationships/image" Target="media/image1.png"/><Relationship Id="rId18" Type="http://schemas.openxmlformats.org/officeDocument/2006/relationships/theme" Target="theme/theme1.xml"/><Relationship Id="rId17" Type="http://schemas.openxmlformats.org/officeDocument/2006/relationships/header" Target="header11.xml"/><Relationship Id="rId16" Type="http://schemas.openxmlformats.org/officeDocument/2006/relationships/footer" Target="footer4.xml"/><Relationship Id="rId15" Type="http://schemas.openxmlformats.org/officeDocument/2006/relationships/header" Target="header10.xml"/><Relationship Id="rId14" Type="http://schemas.openxmlformats.org/officeDocument/2006/relationships/header" Target="header9.xml"/><Relationship Id="rId13" Type="http://schemas.openxmlformats.org/officeDocument/2006/relationships/header" Target="header8.xml"/><Relationship Id="rId12" Type="http://schemas.openxmlformats.org/officeDocument/2006/relationships/header" Target="header7.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115</Pages>
  <Words>21113</Words>
  <Characters>23037</Characters>
  <Lines>760</Lines>
  <Paragraphs>213</Paragraphs>
  <TotalTime>16</TotalTime>
  <ScaleCrop>false</ScaleCrop>
  <LinksUpToDate>false</LinksUpToDate>
  <CharactersWithSpaces>23177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2026-07-17T09:39:00Z</dcterms:created>
  <dc:creator>微软用户</dc:creator>
  <cp:lastModifiedBy>CGZXB</cp:lastModifiedBy>
  <cp:lastPrinted>2016-03-22T07:52:00Z</cp:lastPrinted>
  <dcterms:modified xsi:type="dcterms:W3CDTF">2026-08-11T02:29:59Z</dcterms:modified>
  <dc:title>桂财采〔2009〕 号</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Subject">
    <vt:lpwstr/>
  </property>
  <property fmtid="{D5CDD505-2E9C-101B-9397-08002B2CF9AE}" pid="4" name="Keywords">
    <vt:lpwstr/>
  </property>
  <property fmtid="{D5CDD505-2E9C-101B-9397-08002B2CF9AE}" pid="5" name="_Author">
    <vt:lpwstr>微软用户</vt:lpwstr>
  </property>
  <property fmtid="{D5CDD505-2E9C-101B-9397-08002B2CF9AE}" pid="6" name="_Category">
    <vt:lpwstr/>
  </property>
  <property fmtid="{D5CDD505-2E9C-101B-9397-08002B2CF9AE}" pid="7" name="Slides">
    <vt:lpwstr>0</vt:lpwstr>
  </property>
  <property fmtid="{D5CDD505-2E9C-101B-9397-08002B2CF9AE}" pid="8" name="Categories">
    <vt:lpwstr/>
  </property>
  <property fmtid="{D5CDD505-2E9C-101B-9397-08002B2CF9AE}" pid="9" name="Approval Level">
    <vt:lpwstr/>
  </property>
  <property fmtid="{D5CDD505-2E9C-101B-9397-08002B2CF9AE}" pid="10" name="_Comments">
    <vt:lpwstr/>
  </property>
  <property fmtid="{D5CDD505-2E9C-101B-9397-08002B2CF9AE}" pid="11" name="Assigned To">
    <vt:lpwstr/>
  </property>
  <property fmtid="{D5CDD505-2E9C-101B-9397-08002B2CF9AE}" pid="12" name="KSOTemplateDocerSaveRecord">
    <vt:lpwstr>eyJoZGlkIjoiOTcwMzA4MWNkZGIzNWUxYWUyNjIwZTRmNTNmMGY5NGQiLCJ1c2VySWQiOiI0NTM0Njc2NjUifQ==</vt:lpwstr>
  </property>
  <property fmtid="{D5CDD505-2E9C-101B-9397-08002B2CF9AE}" pid="13" name="ICV">
    <vt:lpwstr>900E689B943E49C293AE8B9B8CA7F960_13</vt:lpwstr>
  </property>
</Properties>
</file>