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F56BA4">
      <w:pPr>
        <w:spacing w:before="165" w:beforeLines="50" w:line="360" w:lineRule="auto"/>
        <w:jc w:val="center"/>
        <w:rPr>
          <w:rFonts w:ascii="宋体" w:hAnsi="宋体"/>
          <w:color w:val="000000" w:themeColor="text1"/>
          <w:sz w:val="52"/>
          <w:szCs w:val="52"/>
          <w:highlight w:val="none"/>
          <w14:textFill>
            <w14:solidFill>
              <w14:schemeClr w14:val="tx1"/>
            </w14:solidFill>
          </w14:textFill>
        </w:rPr>
      </w:pPr>
      <w:bookmarkStart w:id="0" w:name="OLE_LINK1"/>
      <w:r>
        <w:rPr>
          <w:rFonts w:hint="eastAsia" w:ascii="宋体" w:hAnsi="宋体"/>
          <w:color w:val="000000" w:themeColor="text1"/>
          <w:sz w:val="52"/>
          <w:szCs w:val="52"/>
          <w:highlight w:val="none"/>
          <w14:textFill>
            <w14:solidFill>
              <w14:schemeClr w14:val="tx1"/>
            </w14:solidFill>
          </w14:textFill>
        </w:rPr>
        <w:t>南宁市政府采购</w:t>
      </w:r>
    </w:p>
    <w:p w14:paraId="745FC94A">
      <w:pPr>
        <w:spacing w:before="165" w:beforeLines="50" w:line="360" w:lineRule="auto"/>
        <w:jc w:val="center"/>
        <w:rPr>
          <w:rFonts w:ascii="宋体" w:hAnsi="宋体"/>
          <w:color w:val="000000" w:themeColor="text1"/>
          <w:sz w:val="36"/>
          <w:szCs w:val="36"/>
          <w:highlight w:val="none"/>
          <w14:textFill>
            <w14:solidFill>
              <w14:schemeClr w14:val="tx1"/>
            </w14:solidFill>
          </w14:textFill>
        </w:rPr>
      </w:pPr>
    </w:p>
    <w:p w14:paraId="2F7B77F6">
      <w:pPr>
        <w:spacing w:before="165" w:beforeLines="50" w:line="360" w:lineRule="auto"/>
        <w:jc w:val="center"/>
        <w:rPr>
          <w:rFonts w:ascii="宋体" w:hAnsi="宋体"/>
          <w:color w:val="000000" w:themeColor="text1"/>
          <w:sz w:val="36"/>
          <w:szCs w:val="36"/>
          <w:highlight w:val="none"/>
          <w14:textFill>
            <w14:solidFill>
              <w14:schemeClr w14:val="tx1"/>
            </w14:solidFill>
          </w14:textFill>
        </w:rPr>
      </w:pPr>
    </w:p>
    <w:p w14:paraId="33804305">
      <w:pPr>
        <w:snapToGrid w:val="0"/>
        <w:spacing w:before="165" w:beforeLines="50" w:line="360" w:lineRule="auto"/>
        <w:jc w:val="center"/>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华文新魏" w:hAnsi="宋体" w:eastAsia="华文新魏"/>
          <w:color w:val="000000" w:themeColor="text1"/>
          <w:sz w:val="72"/>
          <w:szCs w:val="72"/>
          <w:highlight w:val="none"/>
          <w14:textFill>
            <w14:solidFill>
              <w14:schemeClr w14:val="tx1"/>
            </w14:solidFill>
          </w14:textFill>
        </w:rPr>
        <w:t>竞争性磋商文件</w:t>
      </w:r>
    </w:p>
    <w:p w14:paraId="7E9C49B9">
      <w:pPr>
        <w:spacing w:before="331" w:beforeLines="100" w:after="165" w:afterLines="50"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（全流程电子化评标）</w:t>
      </w:r>
    </w:p>
    <w:p w14:paraId="20DA3324">
      <w:pPr>
        <w:spacing w:line="360" w:lineRule="auto"/>
        <w:rPr>
          <w:rFonts w:ascii="宋体" w:hAnsi="宋体"/>
          <w:b/>
          <w:color w:val="000000" w:themeColor="text1"/>
          <w:sz w:val="32"/>
          <w:szCs w:val="32"/>
          <w:highlight w:val="none"/>
          <w14:textFill>
            <w14:solidFill>
              <w14:schemeClr w14:val="tx1"/>
            </w14:solidFill>
          </w14:textFill>
        </w:rPr>
      </w:pPr>
    </w:p>
    <w:p w14:paraId="139A761E">
      <w:pPr>
        <w:spacing w:line="360" w:lineRule="auto"/>
        <w:jc w:val="center"/>
        <w:rPr>
          <w:rFonts w:ascii="宋体" w:hAnsi="宋体"/>
          <w:b/>
          <w:color w:val="000000" w:themeColor="text1"/>
          <w:sz w:val="32"/>
          <w:szCs w:val="32"/>
          <w:highlight w:val="none"/>
          <w14:textFill>
            <w14:solidFill>
              <w14:schemeClr w14:val="tx1"/>
            </w14:solidFill>
          </w14:textFill>
        </w:rPr>
      </w:pPr>
    </w:p>
    <w:p w14:paraId="1EECF65F">
      <w:pPr>
        <w:pStyle w:val="28"/>
        <w:snapToGrid w:val="0"/>
        <w:spacing w:before="50" w:after="120" w:line="360" w:lineRule="auto"/>
        <w:ind w:left="2702" w:leftChars="568" w:hanging="1509" w:hangingChars="501"/>
        <w:rPr>
          <w:rFonts w:hint="eastAsia" w:ascii="仿宋_GB2312" w:hAnsi="宋体" w:eastAsia="仿宋_GB2312"/>
          <w:b/>
          <w:bCs/>
          <w:color w:val="000000" w:themeColor="text1"/>
          <w:sz w:val="30"/>
          <w:szCs w:val="30"/>
          <w:highlight w:val="none"/>
          <w:lang w:eastAsia="zh-CN"/>
          <w14:textFill>
            <w14:solidFill>
              <w14:schemeClr w14:val="tx1"/>
            </w14:solidFill>
          </w14:textFill>
        </w:rPr>
      </w:pPr>
      <w:r>
        <w:rPr>
          <w:rFonts w:hint="eastAsia" w:ascii="仿宋_GB2312" w:hAnsi="宋体" w:eastAsia="仿宋_GB2312"/>
          <w:b/>
          <w:bCs/>
          <w:color w:val="000000" w:themeColor="text1"/>
          <w:sz w:val="30"/>
          <w:szCs w:val="30"/>
          <w:highlight w:val="none"/>
          <w14:textFill>
            <w14:solidFill>
              <w14:schemeClr w14:val="tx1"/>
            </w14:solidFill>
          </w14:textFill>
        </w:rPr>
        <w:t>项目</w:t>
      </w: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名称</w:t>
      </w:r>
      <w:r>
        <w:rPr>
          <w:rFonts w:hint="eastAsia" w:ascii="仿宋_GB2312" w:hAnsi="宋体" w:eastAsia="仿宋_GB2312"/>
          <w:b/>
          <w:bCs/>
          <w:color w:val="000000" w:themeColor="text1"/>
          <w:sz w:val="30"/>
          <w:szCs w:val="30"/>
          <w:highlight w:val="none"/>
          <w14:textFill>
            <w14:solidFill>
              <w14:schemeClr w14:val="tx1"/>
            </w14:solidFill>
          </w14:textFill>
        </w:rPr>
        <w:t>：</w:t>
      </w:r>
      <w:r>
        <w:rPr>
          <w:rFonts w:hint="eastAsia" w:ascii="仿宋_GB2312" w:hAnsi="宋体" w:eastAsia="仿宋_GB2312"/>
          <w:b/>
          <w:bCs/>
          <w:color w:val="000000" w:themeColor="text1"/>
          <w:sz w:val="30"/>
          <w:szCs w:val="30"/>
          <w:highlight w:val="none"/>
          <w:lang w:eastAsia="zh-CN"/>
          <w14:textFill>
            <w14:solidFill>
              <w14:schemeClr w14:val="tx1"/>
            </w14:solidFill>
          </w14:textFill>
        </w:rPr>
        <w:t>横州市横州镇龙池小学聚贤楼维修项目</w:t>
      </w:r>
    </w:p>
    <w:p w14:paraId="3077AFAE">
      <w:pPr>
        <w:snapToGrid w:val="0"/>
        <w:spacing w:before="165" w:beforeLines="50" w:line="360" w:lineRule="auto"/>
        <w:ind w:firstLine="1145" w:firstLineChars="400"/>
        <w:rPr>
          <w:rFonts w:hint="eastAsia" w:ascii="仿宋_GB2312" w:hAnsi="宋体" w:eastAsia="仿宋_GB2312" w:cs="Courier New"/>
          <w:b/>
          <w:bCs/>
          <w:color w:val="000000" w:themeColor="text1"/>
          <w:w w:val="95"/>
          <w:sz w:val="30"/>
          <w:szCs w:val="30"/>
          <w:highlight w:val="none"/>
          <w:lang w:eastAsia="zh-CN"/>
          <w14:textFill>
            <w14:solidFill>
              <w14:schemeClr w14:val="tx1"/>
            </w14:solidFill>
          </w14:textFill>
        </w:rPr>
      </w:pP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项目</w:t>
      </w:r>
      <w:r>
        <w:rPr>
          <w:rFonts w:hint="eastAsia" w:ascii="仿宋_GB2312" w:hAnsi="宋体" w:eastAsia="仿宋_GB2312"/>
          <w:b/>
          <w:bCs/>
          <w:color w:val="000000" w:themeColor="text1"/>
          <w:sz w:val="30"/>
          <w:szCs w:val="30"/>
          <w:highlight w:val="none"/>
          <w14:textFill>
            <w14:solidFill>
              <w14:schemeClr w14:val="tx1"/>
            </w14:solidFill>
          </w14:textFill>
        </w:rPr>
        <w:t>编号</w:t>
      </w: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w:t>
      </w:r>
      <w:r>
        <w:rPr>
          <w:rFonts w:hint="eastAsia" w:ascii="仿宋_GB2312" w:hAnsi="宋体" w:eastAsia="仿宋_GB2312" w:cs="Courier New"/>
          <w:b/>
          <w:bCs/>
          <w:color w:val="000000" w:themeColor="text1"/>
          <w:w w:val="95"/>
          <w:sz w:val="30"/>
          <w:szCs w:val="30"/>
          <w:highlight w:val="none"/>
          <w:lang w:eastAsia="zh-CN"/>
          <w14:textFill>
            <w14:solidFill>
              <w14:schemeClr w14:val="tx1"/>
            </w14:solidFill>
          </w14:textFill>
        </w:rPr>
        <w:t>NNZC2026-C2-270067-YZLZ</w:t>
      </w:r>
    </w:p>
    <w:p w14:paraId="426D0A04">
      <w:pPr>
        <w:snapToGrid w:val="0"/>
        <w:spacing w:before="165" w:beforeLines="50" w:line="360" w:lineRule="auto"/>
        <w:ind w:firstLine="1205" w:firstLineChars="400"/>
        <w:rPr>
          <w:rFonts w:hint="eastAsia" w:ascii="仿宋_GB2312" w:hAnsi="宋体" w:eastAsia="仿宋_GB2312"/>
          <w:b/>
          <w:color w:val="000000" w:themeColor="text1"/>
          <w:sz w:val="30"/>
          <w:szCs w:val="48"/>
          <w:highlight w:val="none"/>
          <w14:textFill>
            <w14:solidFill>
              <w14:schemeClr w14:val="tx1"/>
            </w14:solidFill>
          </w14:textFill>
        </w:rPr>
      </w:pPr>
      <w:r>
        <w:rPr>
          <w:rFonts w:hint="eastAsia" w:ascii="仿宋_GB2312" w:hAnsi="宋体" w:eastAsia="仿宋_GB2312"/>
          <w:b/>
          <w:color w:val="000000" w:themeColor="text1"/>
          <w:sz w:val="30"/>
          <w:szCs w:val="48"/>
          <w:highlight w:val="none"/>
          <w14:textFill>
            <w14:solidFill>
              <w14:schemeClr w14:val="tx1"/>
            </w14:solidFill>
          </w14:textFill>
        </w:rPr>
        <w:t>项目所属区划：横州市</w:t>
      </w:r>
    </w:p>
    <w:p w14:paraId="59761647">
      <w:pPr>
        <w:snapToGrid w:val="0"/>
        <w:spacing w:before="165" w:beforeLines="50" w:line="360" w:lineRule="auto"/>
        <w:ind w:firstLine="1145" w:firstLineChars="400"/>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采</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 xml:space="preserve"> </w:t>
      </w:r>
      <w:r>
        <w:rPr>
          <w:rFonts w:hint="eastAsia" w:ascii="仿宋_GB2312" w:hAnsi="宋体" w:eastAsia="仿宋_GB2312"/>
          <w:b/>
          <w:bCs/>
          <w:color w:val="000000" w:themeColor="text1"/>
          <w:w w:val="95"/>
          <w:sz w:val="30"/>
          <w:szCs w:val="30"/>
          <w:highlight w:val="none"/>
          <w14:textFill>
            <w14:solidFill>
              <w14:schemeClr w14:val="tx1"/>
            </w14:solidFill>
          </w14:textFill>
        </w:rPr>
        <w:t>购</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 xml:space="preserve"> </w:t>
      </w:r>
      <w:r>
        <w:rPr>
          <w:rFonts w:hint="eastAsia" w:ascii="仿宋_GB2312" w:hAnsi="宋体" w:eastAsia="仿宋_GB2312"/>
          <w:b/>
          <w:bCs/>
          <w:color w:val="000000" w:themeColor="text1"/>
          <w:w w:val="95"/>
          <w:sz w:val="30"/>
          <w:szCs w:val="30"/>
          <w:highlight w:val="none"/>
          <w14:textFill>
            <w14:solidFill>
              <w14:schemeClr w14:val="tx1"/>
            </w14:solidFill>
          </w14:textFill>
        </w:rPr>
        <w:t>人</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 xml:space="preserve"> </w:t>
      </w:r>
      <w:r>
        <w:rPr>
          <w:rFonts w:hint="eastAsia" w:ascii="仿宋_GB2312" w:hAnsi="宋体" w:eastAsia="仿宋_GB2312"/>
          <w:b/>
          <w:bCs/>
          <w:color w:val="000000" w:themeColor="text1"/>
          <w:w w:val="95"/>
          <w:sz w:val="30"/>
          <w:szCs w:val="30"/>
          <w:highlight w:val="none"/>
          <w14:textFill>
            <w14:solidFill>
              <w14:schemeClr w14:val="tx1"/>
            </w14:solidFill>
          </w14:textFill>
        </w:rPr>
        <w:t>：</w:t>
      </w:r>
      <w:r>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t>横州市横州镇中心学校（</w:t>
      </w:r>
      <w:r>
        <w:rPr>
          <w:rFonts w:hint="eastAsia" w:ascii="仿宋_GB2312" w:hAnsi="宋体" w:eastAsia="仿宋_GB2312"/>
          <w:b/>
          <w:bCs/>
          <w:color w:val="000000" w:themeColor="text1"/>
          <w:w w:val="95"/>
          <w:sz w:val="30"/>
          <w:szCs w:val="30"/>
          <w:highlight w:val="none"/>
          <w14:textFill>
            <w14:solidFill>
              <w14:schemeClr w14:val="tx1"/>
            </w14:solidFill>
          </w14:textFill>
        </w:rPr>
        <w:t>横州市横州镇龙池小学</w:t>
      </w:r>
      <w:r>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t>）</w:t>
      </w:r>
    </w:p>
    <w:p w14:paraId="48DEF546">
      <w:pPr>
        <w:pStyle w:val="28"/>
        <w:snapToGrid w:val="0"/>
        <w:spacing w:before="50" w:after="120" w:line="360" w:lineRule="auto"/>
        <w:ind w:firstLine="1125" w:firstLineChars="393"/>
        <w:rPr>
          <w:rFonts w:ascii="仿宋_GB2312" w:hAnsi="宋体" w:eastAsia="仿宋_GB2312"/>
          <w:b/>
          <w:bCs/>
          <w:color w:val="000000" w:themeColor="text1"/>
          <w:w w:val="95"/>
          <w:sz w:val="30"/>
          <w:szCs w:val="30"/>
          <w:highlight w:val="none"/>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采购代理机构：云之龙咨询</w:t>
      </w:r>
      <w:r>
        <w:rPr>
          <w:rFonts w:ascii="仿宋_GB2312" w:hAnsi="宋体" w:eastAsia="仿宋_GB2312"/>
          <w:b/>
          <w:bCs/>
          <w:color w:val="000000" w:themeColor="text1"/>
          <w:w w:val="95"/>
          <w:sz w:val="30"/>
          <w:szCs w:val="30"/>
          <w:highlight w:val="none"/>
          <w14:textFill>
            <w14:solidFill>
              <w14:schemeClr w14:val="tx1"/>
            </w14:solidFill>
          </w14:textFill>
        </w:rPr>
        <w:t>集团有限公司</w:t>
      </w:r>
    </w:p>
    <w:p w14:paraId="40679079">
      <w:pPr>
        <w:pStyle w:val="28"/>
        <w:snapToGrid w:val="0"/>
        <w:spacing w:before="50" w:after="120" w:line="360" w:lineRule="auto"/>
        <w:ind w:firstLine="1125" w:firstLineChars="393"/>
        <w:rPr>
          <w:rFonts w:ascii="仿宋_GB2312" w:hAnsi="宋体" w:eastAsia="仿宋_GB2312"/>
          <w:b/>
          <w:bCs/>
          <w:color w:val="000000" w:themeColor="text1"/>
          <w:w w:val="95"/>
          <w:sz w:val="30"/>
          <w:szCs w:val="30"/>
          <w:highlight w:val="none"/>
          <w14:textFill>
            <w14:solidFill>
              <w14:schemeClr w14:val="tx1"/>
            </w14:solidFill>
          </w14:textFill>
        </w:rPr>
      </w:pPr>
    </w:p>
    <w:p w14:paraId="551578CF">
      <w:pPr>
        <w:pStyle w:val="28"/>
        <w:snapToGrid w:val="0"/>
        <w:spacing w:before="50" w:after="120" w:line="360" w:lineRule="auto"/>
        <w:ind w:firstLine="1125" w:firstLineChars="393"/>
        <w:rPr>
          <w:rFonts w:ascii="仿宋_GB2312" w:hAnsi="宋体" w:eastAsia="仿宋_GB2312"/>
          <w:b/>
          <w:bCs/>
          <w:color w:val="000000" w:themeColor="text1"/>
          <w:w w:val="95"/>
          <w:sz w:val="30"/>
          <w:szCs w:val="30"/>
          <w:highlight w:val="none"/>
          <w14:textFill>
            <w14:solidFill>
              <w14:schemeClr w14:val="tx1"/>
            </w14:solidFill>
          </w14:textFill>
        </w:rPr>
      </w:pPr>
    </w:p>
    <w:p w14:paraId="62599994">
      <w:pPr>
        <w:pStyle w:val="28"/>
        <w:snapToGrid w:val="0"/>
        <w:spacing w:before="50" w:after="120" w:line="360" w:lineRule="auto"/>
        <w:ind w:firstLine="2988" w:firstLineChars="1044"/>
        <w:rPr>
          <w:rFonts w:ascii="仿宋_GB2312" w:hAnsi="宋体" w:eastAsia="仿宋_GB2312"/>
          <w:b/>
          <w:bCs/>
          <w:color w:val="000000" w:themeColor="text1"/>
          <w:w w:val="95"/>
          <w:sz w:val="30"/>
          <w:szCs w:val="30"/>
          <w:highlight w:val="none"/>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202</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6</w:t>
      </w:r>
      <w:r>
        <w:rPr>
          <w:rFonts w:hint="eastAsia" w:ascii="仿宋_GB2312" w:hAnsi="宋体" w:eastAsia="仿宋_GB2312"/>
          <w:b/>
          <w:bCs/>
          <w:color w:val="000000" w:themeColor="text1"/>
          <w:w w:val="95"/>
          <w:sz w:val="30"/>
          <w:szCs w:val="30"/>
          <w:highlight w:val="none"/>
          <w14:textFill>
            <w14:solidFill>
              <w14:schemeClr w14:val="tx1"/>
            </w14:solidFill>
          </w14:textFill>
        </w:rPr>
        <w:t>年</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6</w:t>
      </w:r>
      <w:r>
        <w:rPr>
          <w:rFonts w:hint="eastAsia" w:ascii="仿宋_GB2312" w:hAnsi="宋体" w:eastAsia="仿宋_GB2312"/>
          <w:b/>
          <w:bCs/>
          <w:color w:val="000000" w:themeColor="text1"/>
          <w:w w:val="95"/>
          <w:sz w:val="30"/>
          <w:szCs w:val="30"/>
          <w:highlight w:val="none"/>
          <w14:textFill>
            <w14:solidFill>
              <w14:schemeClr w14:val="tx1"/>
            </w14:solidFill>
          </w14:textFill>
        </w:rPr>
        <w:t>月</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10</w:t>
      </w:r>
      <w:r>
        <w:rPr>
          <w:rFonts w:hint="eastAsia" w:ascii="仿宋_GB2312" w:hAnsi="宋体" w:eastAsia="仿宋_GB2312"/>
          <w:b/>
          <w:bCs/>
          <w:color w:val="000000" w:themeColor="text1"/>
          <w:w w:val="95"/>
          <w:sz w:val="30"/>
          <w:szCs w:val="30"/>
          <w:highlight w:val="none"/>
          <w14:textFill>
            <w14:solidFill>
              <w14:schemeClr w14:val="tx1"/>
            </w14:solidFill>
          </w14:textFill>
        </w:rPr>
        <w:t>日</w:t>
      </w:r>
    </w:p>
    <w:p w14:paraId="1B3A289A">
      <w:pPr>
        <w:widowControl/>
        <w:spacing w:line="360" w:lineRule="auto"/>
        <w:jc w:val="left"/>
        <w:rPr>
          <w:rFonts w:ascii="仿宋_GB2312" w:hAnsi="宋体" w:eastAsia="仿宋_GB2312"/>
          <w:b/>
          <w:bCs/>
          <w:color w:val="000000" w:themeColor="text1"/>
          <w:w w:val="95"/>
          <w:kern w:val="0"/>
          <w:sz w:val="30"/>
          <w:szCs w:val="30"/>
          <w:highlight w:val="none"/>
          <w14:textFill>
            <w14:solidFill>
              <w14:schemeClr w14:val="tx1"/>
            </w14:solidFill>
          </w14:textFill>
        </w:rPr>
        <w:sectPr>
          <w:footerReference r:id="rId3" w:type="default"/>
          <w:pgSz w:w="11906" w:h="16838"/>
          <w:pgMar w:top="1134" w:right="1134" w:bottom="1134" w:left="1134" w:header="720" w:footer="720" w:gutter="0"/>
          <w:pgNumType w:start="1"/>
          <w:cols w:space="720" w:num="1"/>
          <w:docGrid w:type="lines" w:linePitch="331" w:charSpace="0"/>
        </w:sectPr>
      </w:pPr>
    </w:p>
    <w:p w14:paraId="057613F2">
      <w:pPr>
        <w:spacing w:line="360" w:lineRule="auto"/>
        <w:jc w:val="center"/>
        <w:rPr>
          <w:rFonts w:ascii="仿宋_GB2312" w:hAnsi="宋体" w:eastAsia="仿宋_GB2312"/>
          <w:b/>
          <w:color w:val="000000" w:themeColor="text1"/>
          <w:sz w:val="32"/>
          <w:szCs w:val="32"/>
          <w:highlight w:val="none"/>
          <w14:textFill>
            <w14:solidFill>
              <w14:schemeClr w14:val="tx1"/>
            </w14:solidFill>
          </w14:textFill>
        </w:rPr>
      </w:pPr>
    </w:p>
    <w:p w14:paraId="34DE1D83">
      <w:pPr>
        <w:spacing w:line="360" w:lineRule="auto"/>
        <w:jc w:val="center"/>
        <w:rPr>
          <w:rFonts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目   录</w:t>
      </w:r>
    </w:p>
    <w:p w14:paraId="71C58821">
      <w:pPr>
        <w:spacing w:line="400" w:lineRule="exact"/>
        <w:jc w:val="center"/>
        <w:rPr>
          <w:rFonts w:ascii="宋体" w:hAnsi="宋体"/>
          <w:b/>
          <w:color w:val="000000" w:themeColor="text1"/>
          <w:sz w:val="44"/>
          <w:szCs w:val="44"/>
          <w:highlight w:val="none"/>
          <w14:textFill>
            <w14:solidFill>
              <w14:schemeClr w14:val="tx1"/>
            </w14:solidFill>
          </w14:textFill>
        </w:rPr>
      </w:pPr>
    </w:p>
    <w:p w14:paraId="4BA16321">
      <w:pPr>
        <w:pStyle w:val="36"/>
        <w:tabs>
          <w:tab w:val="right" w:leader="dot" w:pos="8869"/>
        </w:tabs>
        <w:rPr>
          <w:rFonts w:asciiTheme="minorHAnsi" w:hAnsiTheme="minorHAnsi" w:eastAsiaTheme="minorEastAsia" w:cstheme="minorBidi"/>
          <w:color w:val="000000" w:themeColor="text1"/>
          <w:sz w:val="28"/>
          <w:szCs w:val="32"/>
          <w:highlight w:val="none"/>
          <w14:textFill>
            <w14:solidFill>
              <w14:schemeClr w14:val="tx1"/>
            </w14:solidFill>
          </w14:textFill>
        </w:rPr>
      </w:pPr>
      <w:r>
        <w:rPr>
          <w:rFonts w:hint="eastAsia" w:ascii="宋体" w:hAnsi="宋体"/>
          <w:b/>
          <w:color w:val="000000" w:themeColor="text1"/>
          <w:sz w:val="40"/>
          <w:szCs w:val="40"/>
          <w:highlight w:val="none"/>
          <w14:textFill>
            <w14:solidFill>
              <w14:schemeClr w14:val="tx1"/>
            </w14:solidFill>
          </w14:textFill>
        </w:rPr>
        <w:fldChar w:fldCharType="begin"/>
      </w:r>
      <w:r>
        <w:rPr>
          <w:rFonts w:hint="eastAsia" w:ascii="宋体" w:hAnsi="宋体"/>
          <w:b/>
          <w:color w:val="000000" w:themeColor="text1"/>
          <w:sz w:val="40"/>
          <w:szCs w:val="40"/>
          <w:highlight w:val="none"/>
          <w14:textFill>
            <w14:solidFill>
              <w14:schemeClr w14:val="tx1"/>
            </w14:solidFill>
          </w14:textFill>
        </w:rPr>
        <w:instrText xml:space="preserve"> TOC \o "1-3" \h \z \u </w:instrText>
      </w:r>
      <w:r>
        <w:rPr>
          <w:rFonts w:hint="eastAsia" w:ascii="宋体" w:hAnsi="宋体"/>
          <w:b/>
          <w:color w:val="000000" w:themeColor="text1"/>
          <w:sz w:val="40"/>
          <w:szCs w:val="40"/>
          <w:highlight w:val="none"/>
          <w14:textFill>
            <w14:solidFill>
              <w14:schemeClr w14:val="tx1"/>
            </w14:solidFill>
          </w14:textFill>
        </w:rPr>
        <w:fldChar w:fldCharType="separate"/>
      </w:r>
      <w:r>
        <w:rPr>
          <w:color w:val="000000" w:themeColor="text1"/>
          <w:sz w:val="28"/>
          <w:szCs w:val="36"/>
          <w:highlight w:val="none"/>
          <w14:textFill>
            <w14:solidFill>
              <w14:schemeClr w14:val="tx1"/>
            </w14:solidFill>
          </w14:textFill>
        </w:rPr>
        <w:fldChar w:fldCharType="begin"/>
      </w:r>
      <w:r>
        <w:rPr>
          <w:color w:val="000000" w:themeColor="text1"/>
          <w:sz w:val="28"/>
          <w:szCs w:val="36"/>
          <w:highlight w:val="none"/>
          <w14:textFill>
            <w14:solidFill>
              <w14:schemeClr w14:val="tx1"/>
            </w14:solidFill>
          </w14:textFill>
        </w:rPr>
        <w:instrText xml:space="preserve"> HYPERLINK \l "_Toc213948277" </w:instrText>
      </w:r>
      <w:r>
        <w:rPr>
          <w:color w:val="000000" w:themeColor="text1"/>
          <w:sz w:val="28"/>
          <w:szCs w:val="36"/>
          <w:highlight w:val="none"/>
          <w14:textFill>
            <w14:solidFill>
              <w14:schemeClr w14:val="tx1"/>
            </w14:solidFill>
          </w14:textFill>
        </w:rPr>
        <w:fldChar w:fldCharType="separate"/>
      </w:r>
      <w:r>
        <w:rPr>
          <w:rStyle w:val="63"/>
          <w:rFonts w:hint="eastAsia"/>
          <w:color w:val="000000" w:themeColor="text1"/>
          <w:sz w:val="28"/>
          <w:szCs w:val="36"/>
          <w:highlight w:val="none"/>
          <w14:textFill>
            <w14:solidFill>
              <w14:schemeClr w14:val="tx1"/>
            </w14:solidFill>
          </w14:textFill>
        </w:rPr>
        <w:t>第一章</w:t>
      </w:r>
      <w:r>
        <w:rPr>
          <w:rStyle w:val="63"/>
          <w:rFonts w:hint="eastAsia"/>
          <w:color w:val="000000" w:themeColor="text1"/>
          <w:sz w:val="28"/>
          <w:szCs w:val="36"/>
          <w:highlight w:val="none"/>
          <w:lang w:val="en-US" w:eastAsia="zh-CN"/>
          <w14:textFill>
            <w14:solidFill>
              <w14:schemeClr w14:val="tx1"/>
            </w14:solidFill>
          </w14:textFill>
        </w:rPr>
        <w:t xml:space="preserve"> </w:t>
      </w:r>
      <w:r>
        <w:rPr>
          <w:rStyle w:val="63"/>
          <w:rFonts w:hint="eastAsia"/>
          <w:color w:val="000000" w:themeColor="text1"/>
          <w:sz w:val="28"/>
          <w:szCs w:val="36"/>
          <w:highlight w:val="none"/>
          <w14:textFill>
            <w14:solidFill>
              <w14:schemeClr w14:val="tx1"/>
            </w14:solidFill>
          </w14:textFill>
        </w:rPr>
        <w:t>竞争性磋商公告</w:t>
      </w:r>
      <w:r>
        <w:rPr>
          <w:color w:val="000000" w:themeColor="text1"/>
          <w:sz w:val="28"/>
          <w:szCs w:val="36"/>
          <w:highlight w:val="none"/>
          <w14:textFill>
            <w14:solidFill>
              <w14:schemeClr w14:val="tx1"/>
            </w14:solidFill>
          </w14:textFill>
        </w:rPr>
        <w:tab/>
      </w:r>
      <w:r>
        <w:rPr>
          <w:color w:val="000000" w:themeColor="text1"/>
          <w:sz w:val="28"/>
          <w:szCs w:val="36"/>
          <w:highlight w:val="none"/>
          <w14:textFill>
            <w14:solidFill>
              <w14:schemeClr w14:val="tx1"/>
            </w14:solidFill>
          </w14:textFill>
        </w:rPr>
        <w:fldChar w:fldCharType="begin"/>
      </w:r>
      <w:r>
        <w:rPr>
          <w:color w:val="000000" w:themeColor="text1"/>
          <w:sz w:val="28"/>
          <w:szCs w:val="36"/>
          <w:highlight w:val="none"/>
          <w14:textFill>
            <w14:solidFill>
              <w14:schemeClr w14:val="tx1"/>
            </w14:solidFill>
          </w14:textFill>
        </w:rPr>
        <w:instrText xml:space="preserve"> PAGEREF _Toc213948277 \h </w:instrText>
      </w:r>
      <w:r>
        <w:rPr>
          <w:color w:val="000000" w:themeColor="text1"/>
          <w:sz w:val="28"/>
          <w:szCs w:val="36"/>
          <w:highlight w:val="none"/>
          <w14:textFill>
            <w14:solidFill>
              <w14:schemeClr w14:val="tx1"/>
            </w14:solidFill>
          </w14:textFill>
        </w:rPr>
        <w:fldChar w:fldCharType="separate"/>
      </w:r>
      <w:r>
        <w:rPr>
          <w:color w:val="000000" w:themeColor="text1"/>
          <w:sz w:val="28"/>
          <w:szCs w:val="36"/>
          <w:highlight w:val="none"/>
          <w14:textFill>
            <w14:solidFill>
              <w14:schemeClr w14:val="tx1"/>
            </w14:solidFill>
          </w14:textFill>
        </w:rPr>
        <w:t>1</w:t>
      </w:r>
      <w:r>
        <w:rPr>
          <w:color w:val="000000" w:themeColor="text1"/>
          <w:sz w:val="28"/>
          <w:szCs w:val="36"/>
          <w:highlight w:val="none"/>
          <w14:textFill>
            <w14:solidFill>
              <w14:schemeClr w14:val="tx1"/>
            </w14:solidFill>
          </w14:textFill>
        </w:rPr>
        <w:fldChar w:fldCharType="end"/>
      </w:r>
      <w:r>
        <w:rPr>
          <w:color w:val="000000" w:themeColor="text1"/>
          <w:sz w:val="28"/>
          <w:szCs w:val="36"/>
          <w:highlight w:val="none"/>
          <w14:textFill>
            <w14:solidFill>
              <w14:schemeClr w14:val="tx1"/>
            </w14:solidFill>
          </w14:textFill>
        </w:rPr>
        <w:fldChar w:fldCharType="end"/>
      </w:r>
    </w:p>
    <w:p w14:paraId="464C90D7">
      <w:pPr>
        <w:pStyle w:val="36"/>
        <w:tabs>
          <w:tab w:val="right" w:leader="dot" w:pos="8869"/>
        </w:tabs>
        <w:rPr>
          <w:rFonts w:asciiTheme="minorHAnsi" w:hAnsiTheme="minorHAnsi" w:eastAsiaTheme="minorEastAsia" w:cstheme="minorBidi"/>
          <w:color w:val="000000" w:themeColor="text1"/>
          <w:sz w:val="28"/>
          <w:szCs w:val="32"/>
          <w:highlight w:val="none"/>
          <w14:textFill>
            <w14:solidFill>
              <w14:schemeClr w14:val="tx1"/>
            </w14:solidFill>
          </w14:textFill>
        </w:rPr>
      </w:pPr>
      <w:r>
        <w:rPr>
          <w:color w:val="000000" w:themeColor="text1"/>
          <w:sz w:val="28"/>
          <w:szCs w:val="36"/>
          <w:highlight w:val="none"/>
          <w14:textFill>
            <w14:solidFill>
              <w14:schemeClr w14:val="tx1"/>
            </w14:solidFill>
          </w14:textFill>
        </w:rPr>
        <w:fldChar w:fldCharType="begin"/>
      </w:r>
      <w:r>
        <w:rPr>
          <w:color w:val="000000" w:themeColor="text1"/>
          <w:sz w:val="28"/>
          <w:szCs w:val="36"/>
          <w:highlight w:val="none"/>
          <w14:textFill>
            <w14:solidFill>
              <w14:schemeClr w14:val="tx1"/>
            </w14:solidFill>
          </w14:textFill>
        </w:rPr>
        <w:instrText xml:space="preserve"> HYPERLINK \l "_Toc213948278" </w:instrText>
      </w:r>
      <w:r>
        <w:rPr>
          <w:color w:val="000000" w:themeColor="text1"/>
          <w:sz w:val="28"/>
          <w:szCs w:val="36"/>
          <w:highlight w:val="none"/>
          <w14:textFill>
            <w14:solidFill>
              <w14:schemeClr w14:val="tx1"/>
            </w14:solidFill>
          </w14:textFill>
        </w:rPr>
        <w:fldChar w:fldCharType="separate"/>
      </w:r>
      <w:r>
        <w:rPr>
          <w:rStyle w:val="63"/>
          <w:rFonts w:hint="eastAsia" w:ascii="Cambria" w:hAnsi="Cambria"/>
          <w:color w:val="000000" w:themeColor="text1"/>
          <w:sz w:val="28"/>
          <w:szCs w:val="36"/>
          <w:highlight w:val="none"/>
          <w14:textFill>
            <w14:solidFill>
              <w14:schemeClr w14:val="tx1"/>
            </w14:solidFill>
          </w14:textFill>
        </w:rPr>
        <w:t>第二章</w:t>
      </w:r>
      <w:r>
        <w:rPr>
          <w:rStyle w:val="63"/>
          <w:rFonts w:hint="eastAsia" w:ascii="Cambria" w:hAnsi="Cambria"/>
          <w:color w:val="000000" w:themeColor="text1"/>
          <w:sz w:val="28"/>
          <w:szCs w:val="36"/>
          <w:highlight w:val="none"/>
          <w:lang w:val="en-US" w:eastAsia="zh-CN"/>
          <w14:textFill>
            <w14:solidFill>
              <w14:schemeClr w14:val="tx1"/>
            </w14:solidFill>
          </w14:textFill>
        </w:rPr>
        <w:t xml:space="preserve"> </w:t>
      </w:r>
      <w:r>
        <w:rPr>
          <w:rStyle w:val="63"/>
          <w:rFonts w:hint="eastAsia" w:ascii="Cambria" w:hAnsi="Cambria"/>
          <w:color w:val="000000" w:themeColor="text1"/>
          <w:sz w:val="28"/>
          <w:szCs w:val="36"/>
          <w:highlight w:val="none"/>
          <w14:textFill>
            <w14:solidFill>
              <w14:schemeClr w14:val="tx1"/>
            </w14:solidFill>
          </w14:textFill>
        </w:rPr>
        <w:t>采购需求</w:t>
      </w:r>
      <w:r>
        <w:rPr>
          <w:color w:val="000000" w:themeColor="text1"/>
          <w:sz w:val="28"/>
          <w:szCs w:val="36"/>
          <w:highlight w:val="none"/>
          <w14:textFill>
            <w14:solidFill>
              <w14:schemeClr w14:val="tx1"/>
            </w14:solidFill>
          </w14:textFill>
        </w:rPr>
        <w:tab/>
      </w:r>
      <w:r>
        <w:rPr>
          <w:color w:val="000000" w:themeColor="text1"/>
          <w:sz w:val="28"/>
          <w:szCs w:val="36"/>
          <w:highlight w:val="none"/>
          <w14:textFill>
            <w14:solidFill>
              <w14:schemeClr w14:val="tx1"/>
            </w14:solidFill>
          </w14:textFill>
        </w:rPr>
        <w:fldChar w:fldCharType="begin"/>
      </w:r>
      <w:r>
        <w:rPr>
          <w:color w:val="000000" w:themeColor="text1"/>
          <w:sz w:val="28"/>
          <w:szCs w:val="36"/>
          <w:highlight w:val="none"/>
          <w14:textFill>
            <w14:solidFill>
              <w14:schemeClr w14:val="tx1"/>
            </w14:solidFill>
          </w14:textFill>
        </w:rPr>
        <w:instrText xml:space="preserve"> PAGEREF _Toc213948278 \h </w:instrText>
      </w:r>
      <w:r>
        <w:rPr>
          <w:color w:val="000000" w:themeColor="text1"/>
          <w:sz w:val="28"/>
          <w:szCs w:val="36"/>
          <w:highlight w:val="none"/>
          <w14:textFill>
            <w14:solidFill>
              <w14:schemeClr w14:val="tx1"/>
            </w14:solidFill>
          </w14:textFill>
        </w:rPr>
        <w:fldChar w:fldCharType="separate"/>
      </w:r>
      <w:r>
        <w:rPr>
          <w:color w:val="000000" w:themeColor="text1"/>
          <w:sz w:val="28"/>
          <w:szCs w:val="36"/>
          <w:highlight w:val="none"/>
          <w14:textFill>
            <w14:solidFill>
              <w14:schemeClr w14:val="tx1"/>
            </w14:solidFill>
          </w14:textFill>
        </w:rPr>
        <w:t>5</w:t>
      </w:r>
      <w:r>
        <w:rPr>
          <w:color w:val="000000" w:themeColor="text1"/>
          <w:sz w:val="28"/>
          <w:szCs w:val="36"/>
          <w:highlight w:val="none"/>
          <w14:textFill>
            <w14:solidFill>
              <w14:schemeClr w14:val="tx1"/>
            </w14:solidFill>
          </w14:textFill>
        </w:rPr>
        <w:fldChar w:fldCharType="end"/>
      </w:r>
      <w:r>
        <w:rPr>
          <w:color w:val="000000" w:themeColor="text1"/>
          <w:sz w:val="28"/>
          <w:szCs w:val="36"/>
          <w:highlight w:val="none"/>
          <w14:textFill>
            <w14:solidFill>
              <w14:schemeClr w14:val="tx1"/>
            </w14:solidFill>
          </w14:textFill>
        </w:rPr>
        <w:fldChar w:fldCharType="end"/>
      </w:r>
    </w:p>
    <w:p w14:paraId="205ECAF7">
      <w:pPr>
        <w:pStyle w:val="36"/>
        <w:tabs>
          <w:tab w:val="right" w:leader="dot" w:pos="8869"/>
        </w:tabs>
        <w:rPr>
          <w:rFonts w:asciiTheme="minorHAnsi" w:hAnsiTheme="minorHAnsi" w:eastAsiaTheme="minorEastAsia" w:cstheme="minorBidi"/>
          <w:color w:val="000000" w:themeColor="text1"/>
          <w:sz w:val="28"/>
          <w:szCs w:val="32"/>
          <w:highlight w:val="none"/>
          <w14:textFill>
            <w14:solidFill>
              <w14:schemeClr w14:val="tx1"/>
            </w14:solidFill>
          </w14:textFill>
        </w:rPr>
      </w:pPr>
      <w:r>
        <w:rPr>
          <w:color w:val="000000" w:themeColor="text1"/>
          <w:sz w:val="28"/>
          <w:szCs w:val="36"/>
          <w:highlight w:val="none"/>
          <w14:textFill>
            <w14:solidFill>
              <w14:schemeClr w14:val="tx1"/>
            </w14:solidFill>
          </w14:textFill>
        </w:rPr>
        <w:fldChar w:fldCharType="begin"/>
      </w:r>
      <w:r>
        <w:rPr>
          <w:color w:val="000000" w:themeColor="text1"/>
          <w:sz w:val="28"/>
          <w:szCs w:val="36"/>
          <w:highlight w:val="none"/>
          <w14:textFill>
            <w14:solidFill>
              <w14:schemeClr w14:val="tx1"/>
            </w14:solidFill>
          </w14:textFill>
        </w:rPr>
        <w:instrText xml:space="preserve"> HYPERLINK \l "_Toc213948279" </w:instrText>
      </w:r>
      <w:r>
        <w:rPr>
          <w:color w:val="000000" w:themeColor="text1"/>
          <w:sz w:val="28"/>
          <w:szCs w:val="36"/>
          <w:highlight w:val="none"/>
          <w14:textFill>
            <w14:solidFill>
              <w14:schemeClr w14:val="tx1"/>
            </w14:solidFill>
          </w14:textFill>
        </w:rPr>
        <w:fldChar w:fldCharType="separate"/>
      </w:r>
      <w:r>
        <w:rPr>
          <w:rStyle w:val="63"/>
          <w:rFonts w:hint="eastAsia" w:ascii="Cambria" w:hAnsi="Cambria"/>
          <w:color w:val="000000" w:themeColor="text1"/>
          <w:sz w:val="28"/>
          <w:szCs w:val="36"/>
          <w:highlight w:val="none"/>
          <w14:textFill>
            <w14:solidFill>
              <w14:schemeClr w14:val="tx1"/>
            </w14:solidFill>
          </w14:textFill>
        </w:rPr>
        <w:t>第三章</w:t>
      </w:r>
      <w:r>
        <w:rPr>
          <w:rStyle w:val="63"/>
          <w:rFonts w:hint="eastAsia" w:ascii="Cambria" w:hAnsi="Cambria"/>
          <w:color w:val="000000" w:themeColor="text1"/>
          <w:sz w:val="28"/>
          <w:szCs w:val="36"/>
          <w:highlight w:val="none"/>
          <w:lang w:val="en-US" w:eastAsia="zh-CN"/>
          <w14:textFill>
            <w14:solidFill>
              <w14:schemeClr w14:val="tx1"/>
            </w14:solidFill>
          </w14:textFill>
        </w:rPr>
        <w:t xml:space="preserve"> </w:t>
      </w:r>
      <w:r>
        <w:rPr>
          <w:rStyle w:val="63"/>
          <w:rFonts w:hint="eastAsia" w:ascii="Cambria" w:hAnsi="Cambria"/>
          <w:color w:val="000000" w:themeColor="text1"/>
          <w:sz w:val="28"/>
          <w:szCs w:val="36"/>
          <w:highlight w:val="none"/>
          <w14:textFill>
            <w14:solidFill>
              <w14:schemeClr w14:val="tx1"/>
            </w14:solidFill>
          </w14:textFill>
        </w:rPr>
        <w:t>供应商须知</w:t>
      </w:r>
      <w:r>
        <w:rPr>
          <w:color w:val="000000" w:themeColor="text1"/>
          <w:sz w:val="28"/>
          <w:szCs w:val="36"/>
          <w:highlight w:val="none"/>
          <w14:textFill>
            <w14:solidFill>
              <w14:schemeClr w14:val="tx1"/>
            </w14:solidFill>
          </w14:textFill>
        </w:rPr>
        <w:tab/>
      </w:r>
      <w:r>
        <w:rPr>
          <w:color w:val="000000" w:themeColor="text1"/>
          <w:sz w:val="28"/>
          <w:szCs w:val="36"/>
          <w:highlight w:val="none"/>
          <w14:textFill>
            <w14:solidFill>
              <w14:schemeClr w14:val="tx1"/>
            </w14:solidFill>
          </w14:textFill>
        </w:rPr>
        <w:fldChar w:fldCharType="begin"/>
      </w:r>
      <w:r>
        <w:rPr>
          <w:color w:val="000000" w:themeColor="text1"/>
          <w:sz w:val="28"/>
          <w:szCs w:val="36"/>
          <w:highlight w:val="none"/>
          <w14:textFill>
            <w14:solidFill>
              <w14:schemeClr w14:val="tx1"/>
            </w14:solidFill>
          </w14:textFill>
        </w:rPr>
        <w:instrText xml:space="preserve"> PAGEREF _Toc213948279 \h </w:instrText>
      </w:r>
      <w:r>
        <w:rPr>
          <w:color w:val="000000" w:themeColor="text1"/>
          <w:sz w:val="28"/>
          <w:szCs w:val="36"/>
          <w:highlight w:val="none"/>
          <w14:textFill>
            <w14:solidFill>
              <w14:schemeClr w14:val="tx1"/>
            </w14:solidFill>
          </w14:textFill>
        </w:rPr>
        <w:fldChar w:fldCharType="separate"/>
      </w:r>
      <w:r>
        <w:rPr>
          <w:color w:val="000000" w:themeColor="text1"/>
          <w:sz w:val="28"/>
          <w:szCs w:val="36"/>
          <w:highlight w:val="none"/>
          <w14:textFill>
            <w14:solidFill>
              <w14:schemeClr w14:val="tx1"/>
            </w14:solidFill>
          </w14:textFill>
        </w:rPr>
        <w:t>11</w:t>
      </w:r>
      <w:r>
        <w:rPr>
          <w:color w:val="000000" w:themeColor="text1"/>
          <w:sz w:val="28"/>
          <w:szCs w:val="36"/>
          <w:highlight w:val="none"/>
          <w14:textFill>
            <w14:solidFill>
              <w14:schemeClr w14:val="tx1"/>
            </w14:solidFill>
          </w14:textFill>
        </w:rPr>
        <w:fldChar w:fldCharType="end"/>
      </w:r>
      <w:r>
        <w:rPr>
          <w:color w:val="000000" w:themeColor="text1"/>
          <w:sz w:val="28"/>
          <w:szCs w:val="36"/>
          <w:highlight w:val="none"/>
          <w14:textFill>
            <w14:solidFill>
              <w14:schemeClr w14:val="tx1"/>
            </w14:solidFill>
          </w14:textFill>
        </w:rPr>
        <w:fldChar w:fldCharType="end"/>
      </w:r>
    </w:p>
    <w:p w14:paraId="67D8EBA7">
      <w:pPr>
        <w:pStyle w:val="36"/>
        <w:tabs>
          <w:tab w:val="right" w:leader="dot" w:pos="8869"/>
        </w:tabs>
        <w:rPr>
          <w:rFonts w:asciiTheme="minorHAnsi" w:hAnsiTheme="minorHAnsi" w:eastAsiaTheme="minorEastAsia" w:cstheme="minorBidi"/>
          <w:color w:val="000000" w:themeColor="text1"/>
          <w:sz w:val="28"/>
          <w:szCs w:val="32"/>
          <w:highlight w:val="none"/>
          <w14:textFill>
            <w14:solidFill>
              <w14:schemeClr w14:val="tx1"/>
            </w14:solidFill>
          </w14:textFill>
        </w:rPr>
      </w:pPr>
      <w:r>
        <w:rPr>
          <w:color w:val="000000" w:themeColor="text1"/>
          <w:sz w:val="28"/>
          <w:szCs w:val="36"/>
          <w:highlight w:val="none"/>
          <w14:textFill>
            <w14:solidFill>
              <w14:schemeClr w14:val="tx1"/>
            </w14:solidFill>
          </w14:textFill>
        </w:rPr>
        <w:fldChar w:fldCharType="begin"/>
      </w:r>
      <w:r>
        <w:rPr>
          <w:color w:val="000000" w:themeColor="text1"/>
          <w:sz w:val="28"/>
          <w:szCs w:val="36"/>
          <w:highlight w:val="none"/>
          <w14:textFill>
            <w14:solidFill>
              <w14:schemeClr w14:val="tx1"/>
            </w14:solidFill>
          </w14:textFill>
        </w:rPr>
        <w:instrText xml:space="preserve"> HYPERLINK \l "_Toc213948289" </w:instrText>
      </w:r>
      <w:r>
        <w:rPr>
          <w:color w:val="000000" w:themeColor="text1"/>
          <w:sz w:val="28"/>
          <w:szCs w:val="36"/>
          <w:highlight w:val="none"/>
          <w14:textFill>
            <w14:solidFill>
              <w14:schemeClr w14:val="tx1"/>
            </w14:solidFill>
          </w14:textFill>
        </w:rPr>
        <w:fldChar w:fldCharType="separate"/>
      </w:r>
      <w:r>
        <w:rPr>
          <w:rStyle w:val="63"/>
          <w:rFonts w:hint="eastAsia"/>
          <w:color w:val="000000" w:themeColor="text1"/>
          <w:sz w:val="28"/>
          <w:szCs w:val="36"/>
          <w:highlight w:val="none"/>
          <w14:textFill>
            <w14:solidFill>
              <w14:schemeClr w14:val="tx1"/>
            </w14:solidFill>
          </w14:textFill>
        </w:rPr>
        <w:t>第四章</w:t>
      </w:r>
      <w:r>
        <w:rPr>
          <w:rStyle w:val="63"/>
          <w:rFonts w:hint="eastAsia"/>
          <w:color w:val="000000" w:themeColor="text1"/>
          <w:sz w:val="28"/>
          <w:szCs w:val="36"/>
          <w:highlight w:val="none"/>
          <w:lang w:val="en-US" w:eastAsia="zh-CN"/>
          <w14:textFill>
            <w14:solidFill>
              <w14:schemeClr w14:val="tx1"/>
            </w14:solidFill>
          </w14:textFill>
        </w:rPr>
        <w:t xml:space="preserve"> </w:t>
      </w:r>
      <w:r>
        <w:rPr>
          <w:rStyle w:val="63"/>
          <w:rFonts w:hint="eastAsia"/>
          <w:color w:val="000000" w:themeColor="text1"/>
          <w:sz w:val="28"/>
          <w:szCs w:val="36"/>
          <w:highlight w:val="none"/>
          <w14:textFill>
            <w14:solidFill>
              <w14:schemeClr w14:val="tx1"/>
            </w14:solidFill>
          </w14:textFill>
        </w:rPr>
        <w:t>评审程序、评审方法和评审标准</w:t>
      </w:r>
      <w:r>
        <w:rPr>
          <w:color w:val="000000" w:themeColor="text1"/>
          <w:sz w:val="28"/>
          <w:szCs w:val="36"/>
          <w:highlight w:val="none"/>
          <w14:textFill>
            <w14:solidFill>
              <w14:schemeClr w14:val="tx1"/>
            </w14:solidFill>
          </w14:textFill>
        </w:rPr>
        <w:tab/>
      </w:r>
      <w:r>
        <w:rPr>
          <w:color w:val="000000" w:themeColor="text1"/>
          <w:sz w:val="28"/>
          <w:szCs w:val="36"/>
          <w:highlight w:val="none"/>
          <w14:textFill>
            <w14:solidFill>
              <w14:schemeClr w14:val="tx1"/>
            </w14:solidFill>
          </w14:textFill>
        </w:rPr>
        <w:fldChar w:fldCharType="begin"/>
      </w:r>
      <w:r>
        <w:rPr>
          <w:color w:val="000000" w:themeColor="text1"/>
          <w:sz w:val="28"/>
          <w:szCs w:val="36"/>
          <w:highlight w:val="none"/>
          <w14:textFill>
            <w14:solidFill>
              <w14:schemeClr w14:val="tx1"/>
            </w14:solidFill>
          </w14:textFill>
        </w:rPr>
        <w:instrText xml:space="preserve"> PAGEREF _Toc213948289 \h </w:instrText>
      </w:r>
      <w:r>
        <w:rPr>
          <w:color w:val="000000" w:themeColor="text1"/>
          <w:sz w:val="28"/>
          <w:szCs w:val="36"/>
          <w:highlight w:val="none"/>
          <w14:textFill>
            <w14:solidFill>
              <w14:schemeClr w14:val="tx1"/>
            </w14:solidFill>
          </w14:textFill>
        </w:rPr>
        <w:fldChar w:fldCharType="separate"/>
      </w:r>
      <w:r>
        <w:rPr>
          <w:color w:val="000000" w:themeColor="text1"/>
          <w:sz w:val="28"/>
          <w:szCs w:val="36"/>
          <w:highlight w:val="none"/>
          <w14:textFill>
            <w14:solidFill>
              <w14:schemeClr w14:val="tx1"/>
            </w14:solidFill>
          </w14:textFill>
        </w:rPr>
        <w:t>28</w:t>
      </w:r>
      <w:r>
        <w:rPr>
          <w:color w:val="000000" w:themeColor="text1"/>
          <w:sz w:val="28"/>
          <w:szCs w:val="36"/>
          <w:highlight w:val="none"/>
          <w14:textFill>
            <w14:solidFill>
              <w14:schemeClr w14:val="tx1"/>
            </w14:solidFill>
          </w14:textFill>
        </w:rPr>
        <w:fldChar w:fldCharType="end"/>
      </w:r>
      <w:r>
        <w:rPr>
          <w:color w:val="000000" w:themeColor="text1"/>
          <w:sz w:val="28"/>
          <w:szCs w:val="36"/>
          <w:highlight w:val="none"/>
          <w14:textFill>
            <w14:solidFill>
              <w14:schemeClr w14:val="tx1"/>
            </w14:solidFill>
          </w14:textFill>
        </w:rPr>
        <w:fldChar w:fldCharType="end"/>
      </w:r>
    </w:p>
    <w:p w14:paraId="4DCA92E4">
      <w:pPr>
        <w:pStyle w:val="36"/>
        <w:tabs>
          <w:tab w:val="right" w:leader="dot" w:pos="8869"/>
        </w:tabs>
        <w:rPr>
          <w:rFonts w:asciiTheme="minorHAnsi" w:hAnsiTheme="minorHAnsi" w:eastAsiaTheme="minorEastAsia" w:cstheme="minorBidi"/>
          <w:color w:val="000000" w:themeColor="text1"/>
          <w:sz w:val="28"/>
          <w:szCs w:val="32"/>
          <w:highlight w:val="none"/>
          <w14:textFill>
            <w14:solidFill>
              <w14:schemeClr w14:val="tx1"/>
            </w14:solidFill>
          </w14:textFill>
        </w:rPr>
      </w:pPr>
      <w:r>
        <w:rPr>
          <w:color w:val="000000" w:themeColor="text1"/>
          <w:sz w:val="28"/>
          <w:szCs w:val="36"/>
          <w:highlight w:val="none"/>
          <w14:textFill>
            <w14:solidFill>
              <w14:schemeClr w14:val="tx1"/>
            </w14:solidFill>
          </w14:textFill>
        </w:rPr>
        <w:fldChar w:fldCharType="begin"/>
      </w:r>
      <w:r>
        <w:rPr>
          <w:color w:val="000000" w:themeColor="text1"/>
          <w:sz w:val="28"/>
          <w:szCs w:val="36"/>
          <w:highlight w:val="none"/>
          <w14:textFill>
            <w14:solidFill>
              <w14:schemeClr w14:val="tx1"/>
            </w14:solidFill>
          </w14:textFill>
        </w:rPr>
        <w:instrText xml:space="preserve"> HYPERLINK \l "_Toc213948293" </w:instrText>
      </w:r>
      <w:r>
        <w:rPr>
          <w:color w:val="000000" w:themeColor="text1"/>
          <w:sz w:val="28"/>
          <w:szCs w:val="36"/>
          <w:highlight w:val="none"/>
          <w14:textFill>
            <w14:solidFill>
              <w14:schemeClr w14:val="tx1"/>
            </w14:solidFill>
          </w14:textFill>
        </w:rPr>
        <w:fldChar w:fldCharType="separate"/>
      </w:r>
      <w:r>
        <w:rPr>
          <w:rStyle w:val="63"/>
          <w:rFonts w:hint="eastAsia"/>
          <w:color w:val="000000" w:themeColor="text1"/>
          <w:sz w:val="28"/>
          <w:szCs w:val="36"/>
          <w:highlight w:val="none"/>
          <w14:textFill>
            <w14:solidFill>
              <w14:schemeClr w14:val="tx1"/>
            </w14:solidFill>
          </w14:textFill>
        </w:rPr>
        <w:t>第五章</w:t>
      </w:r>
      <w:r>
        <w:rPr>
          <w:rStyle w:val="63"/>
          <w:rFonts w:hint="eastAsia"/>
          <w:color w:val="000000" w:themeColor="text1"/>
          <w:sz w:val="28"/>
          <w:szCs w:val="36"/>
          <w:highlight w:val="none"/>
          <w:lang w:val="en-US" w:eastAsia="zh-CN"/>
          <w14:textFill>
            <w14:solidFill>
              <w14:schemeClr w14:val="tx1"/>
            </w14:solidFill>
          </w14:textFill>
        </w:rPr>
        <w:t xml:space="preserve"> </w:t>
      </w:r>
      <w:r>
        <w:rPr>
          <w:rStyle w:val="63"/>
          <w:rFonts w:hint="eastAsia"/>
          <w:color w:val="000000" w:themeColor="text1"/>
          <w:sz w:val="28"/>
          <w:szCs w:val="36"/>
          <w:highlight w:val="none"/>
          <w14:textFill>
            <w14:solidFill>
              <w14:schemeClr w14:val="tx1"/>
            </w14:solidFill>
          </w14:textFill>
        </w:rPr>
        <w:t>响应文件格式</w:t>
      </w:r>
      <w:r>
        <w:rPr>
          <w:color w:val="000000" w:themeColor="text1"/>
          <w:sz w:val="28"/>
          <w:szCs w:val="36"/>
          <w:highlight w:val="none"/>
          <w14:textFill>
            <w14:solidFill>
              <w14:schemeClr w14:val="tx1"/>
            </w14:solidFill>
          </w14:textFill>
        </w:rPr>
        <w:tab/>
      </w:r>
      <w:r>
        <w:rPr>
          <w:color w:val="000000" w:themeColor="text1"/>
          <w:sz w:val="28"/>
          <w:szCs w:val="36"/>
          <w:highlight w:val="none"/>
          <w14:textFill>
            <w14:solidFill>
              <w14:schemeClr w14:val="tx1"/>
            </w14:solidFill>
          </w14:textFill>
        </w:rPr>
        <w:fldChar w:fldCharType="begin"/>
      </w:r>
      <w:r>
        <w:rPr>
          <w:color w:val="000000" w:themeColor="text1"/>
          <w:sz w:val="28"/>
          <w:szCs w:val="36"/>
          <w:highlight w:val="none"/>
          <w14:textFill>
            <w14:solidFill>
              <w14:schemeClr w14:val="tx1"/>
            </w14:solidFill>
          </w14:textFill>
        </w:rPr>
        <w:instrText xml:space="preserve"> PAGEREF _Toc213948293 \h </w:instrText>
      </w:r>
      <w:r>
        <w:rPr>
          <w:color w:val="000000" w:themeColor="text1"/>
          <w:sz w:val="28"/>
          <w:szCs w:val="36"/>
          <w:highlight w:val="none"/>
          <w14:textFill>
            <w14:solidFill>
              <w14:schemeClr w14:val="tx1"/>
            </w14:solidFill>
          </w14:textFill>
        </w:rPr>
        <w:fldChar w:fldCharType="separate"/>
      </w:r>
      <w:r>
        <w:rPr>
          <w:color w:val="000000" w:themeColor="text1"/>
          <w:sz w:val="28"/>
          <w:szCs w:val="36"/>
          <w:highlight w:val="none"/>
          <w14:textFill>
            <w14:solidFill>
              <w14:schemeClr w14:val="tx1"/>
            </w14:solidFill>
          </w14:textFill>
        </w:rPr>
        <w:t>38</w:t>
      </w:r>
      <w:r>
        <w:rPr>
          <w:color w:val="000000" w:themeColor="text1"/>
          <w:sz w:val="28"/>
          <w:szCs w:val="36"/>
          <w:highlight w:val="none"/>
          <w14:textFill>
            <w14:solidFill>
              <w14:schemeClr w14:val="tx1"/>
            </w14:solidFill>
          </w14:textFill>
        </w:rPr>
        <w:fldChar w:fldCharType="end"/>
      </w:r>
      <w:r>
        <w:rPr>
          <w:color w:val="000000" w:themeColor="text1"/>
          <w:sz w:val="28"/>
          <w:szCs w:val="36"/>
          <w:highlight w:val="none"/>
          <w14:textFill>
            <w14:solidFill>
              <w14:schemeClr w14:val="tx1"/>
            </w14:solidFill>
          </w14:textFill>
        </w:rPr>
        <w:fldChar w:fldCharType="end"/>
      </w:r>
    </w:p>
    <w:p w14:paraId="3187C9E1">
      <w:pPr>
        <w:pStyle w:val="36"/>
        <w:tabs>
          <w:tab w:val="right" w:leader="dot" w:pos="8869"/>
        </w:tabs>
        <w:rPr>
          <w:rFonts w:asciiTheme="minorHAnsi" w:hAnsiTheme="minorHAnsi" w:eastAsiaTheme="minorEastAsia" w:cstheme="minorBidi"/>
          <w:color w:val="000000" w:themeColor="text1"/>
          <w:sz w:val="28"/>
          <w:szCs w:val="32"/>
          <w:highlight w:val="none"/>
          <w14:textFill>
            <w14:solidFill>
              <w14:schemeClr w14:val="tx1"/>
            </w14:solidFill>
          </w14:textFill>
        </w:rPr>
      </w:pPr>
      <w:r>
        <w:rPr>
          <w:color w:val="000000" w:themeColor="text1"/>
          <w:sz w:val="28"/>
          <w:szCs w:val="36"/>
          <w:highlight w:val="none"/>
          <w14:textFill>
            <w14:solidFill>
              <w14:schemeClr w14:val="tx1"/>
            </w14:solidFill>
          </w14:textFill>
        </w:rPr>
        <w:fldChar w:fldCharType="begin"/>
      </w:r>
      <w:r>
        <w:rPr>
          <w:color w:val="000000" w:themeColor="text1"/>
          <w:sz w:val="28"/>
          <w:szCs w:val="36"/>
          <w:highlight w:val="none"/>
          <w14:textFill>
            <w14:solidFill>
              <w14:schemeClr w14:val="tx1"/>
            </w14:solidFill>
          </w14:textFill>
        </w:rPr>
        <w:instrText xml:space="preserve"> HYPERLINK \l "_Toc213948299" </w:instrText>
      </w:r>
      <w:r>
        <w:rPr>
          <w:color w:val="000000" w:themeColor="text1"/>
          <w:sz w:val="28"/>
          <w:szCs w:val="36"/>
          <w:highlight w:val="none"/>
          <w14:textFill>
            <w14:solidFill>
              <w14:schemeClr w14:val="tx1"/>
            </w14:solidFill>
          </w14:textFill>
        </w:rPr>
        <w:fldChar w:fldCharType="separate"/>
      </w:r>
      <w:r>
        <w:rPr>
          <w:rStyle w:val="63"/>
          <w:rFonts w:hint="eastAsia" w:ascii="宋体" w:hAnsi="宋体"/>
          <w:color w:val="000000" w:themeColor="text1"/>
          <w:sz w:val="28"/>
          <w:szCs w:val="36"/>
          <w:highlight w:val="none"/>
          <w14:textFill>
            <w14:solidFill>
              <w14:schemeClr w14:val="tx1"/>
            </w14:solidFill>
          </w14:textFill>
        </w:rPr>
        <w:t>第六章</w:t>
      </w:r>
      <w:r>
        <w:rPr>
          <w:rStyle w:val="63"/>
          <w:rFonts w:ascii="宋体" w:hAnsi="宋体"/>
          <w:color w:val="000000" w:themeColor="text1"/>
          <w:sz w:val="28"/>
          <w:szCs w:val="36"/>
          <w:highlight w:val="none"/>
          <w14:textFill>
            <w14:solidFill>
              <w14:schemeClr w14:val="tx1"/>
            </w14:solidFill>
          </w14:textFill>
        </w:rPr>
        <w:t xml:space="preserve"> </w:t>
      </w:r>
      <w:r>
        <w:rPr>
          <w:rStyle w:val="63"/>
          <w:rFonts w:hint="eastAsia" w:ascii="宋体" w:hAnsi="宋体"/>
          <w:color w:val="000000" w:themeColor="text1"/>
          <w:sz w:val="28"/>
          <w:szCs w:val="36"/>
          <w:highlight w:val="none"/>
          <w14:textFill>
            <w14:solidFill>
              <w14:schemeClr w14:val="tx1"/>
            </w14:solidFill>
          </w14:textFill>
        </w:rPr>
        <w:t>合同文本</w:t>
      </w:r>
      <w:r>
        <w:rPr>
          <w:color w:val="000000" w:themeColor="text1"/>
          <w:sz w:val="28"/>
          <w:szCs w:val="36"/>
          <w:highlight w:val="none"/>
          <w14:textFill>
            <w14:solidFill>
              <w14:schemeClr w14:val="tx1"/>
            </w14:solidFill>
          </w14:textFill>
        </w:rPr>
        <w:tab/>
      </w:r>
      <w:r>
        <w:rPr>
          <w:color w:val="000000" w:themeColor="text1"/>
          <w:sz w:val="28"/>
          <w:szCs w:val="36"/>
          <w:highlight w:val="none"/>
          <w14:textFill>
            <w14:solidFill>
              <w14:schemeClr w14:val="tx1"/>
            </w14:solidFill>
          </w14:textFill>
        </w:rPr>
        <w:fldChar w:fldCharType="begin"/>
      </w:r>
      <w:r>
        <w:rPr>
          <w:color w:val="000000" w:themeColor="text1"/>
          <w:sz w:val="28"/>
          <w:szCs w:val="36"/>
          <w:highlight w:val="none"/>
          <w14:textFill>
            <w14:solidFill>
              <w14:schemeClr w14:val="tx1"/>
            </w14:solidFill>
          </w14:textFill>
        </w:rPr>
        <w:instrText xml:space="preserve"> PAGEREF _Toc213948299 \h </w:instrText>
      </w:r>
      <w:r>
        <w:rPr>
          <w:color w:val="000000" w:themeColor="text1"/>
          <w:sz w:val="28"/>
          <w:szCs w:val="36"/>
          <w:highlight w:val="none"/>
          <w14:textFill>
            <w14:solidFill>
              <w14:schemeClr w14:val="tx1"/>
            </w14:solidFill>
          </w14:textFill>
        </w:rPr>
        <w:fldChar w:fldCharType="separate"/>
      </w:r>
      <w:r>
        <w:rPr>
          <w:color w:val="000000" w:themeColor="text1"/>
          <w:sz w:val="28"/>
          <w:szCs w:val="36"/>
          <w:highlight w:val="none"/>
          <w14:textFill>
            <w14:solidFill>
              <w14:schemeClr w14:val="tx1"/>
            </w14:solidFill>
          </w14:textFill>
        </w:rPr>
        <w:t>72</w:t>
      </w:r>
      <w:r>
        <w:rPr>
          <w:color w:val="000000" w:themeColor="text1"/>
          <w:sz w:val="28"/>
          <w:szCs w:val="36"/>
          <w:highlight w:val="none"/>
          <w14:textFill>
            <w14:solidFill>
              <w14:schemeClr w14:val="tx1"/>
            </w14:solidFill>
          </w14:textFill>
        </w:rPr>
        <w:fldChar w:fldCharType="end"/>
      </w:r>
      <w:r>
        <w:rPr>
          <w:color w:val="000000" w:themeColor="text1"/>
          <w:sz w:val="28"/>
          <w:szCs w:val="36"/>
          <w:highlight w:val="none"/>
          <w14:textFill>
            <w14:solidFill>
              <w14:schemeClr w14:val="tx1"/>
            </w14:solidFill>
          </w14:textFill>
        </w:rPr>
        <w:fldChar w:fldCharType="end"/>
      </w:r>
    </w:p>
    <w:p w14:paraId="0C14C856">
      <w:pPr>
        <w:pStyle w:val="36"/>
        <w:tabs>
          <w:tab w:val="right" w:leader="dot" w:pos="8869"/>
        </w:tabs>
        <w:rPr>
          <w:rFonts w:asciiTheme="minorHAnsi" w:hAnsiTheme="minorHAnsi" w:eastAsiaTheme="minorEastAsia" w:cstheme="minorBidi"/>
          <w:color w:val="000000" w:themeColor="text1"/>
          <w:sz w:val="28"/>
          <w:szCs w:val="32"/>
          <w:highlight w:val="none"/>
          <w14:textFill>
            <w14:solidFill>
              <w14:schemeClr w14:val="tx1"/>
            </w14:solidFill>
          </w14:textFill>
        </w:rPr>
      </w:pPr>
      <w:r>
        <w:rPr>
          <w:color w:val="000000" w:themeColor="text1"/>
          <w:sz w:val="28"/>
          <w:szCs w:val="36"/>
          <w:highlight w:val="none"/>
          <w14:textFill>
            <w14:solidFill>
              <w14:schemeClr w14:val="tx1"/>
            </w14:solidFill>
          </w14:textFill>
        </w:rPr>
        <w:fldChar w:fldCharType="begin"/>
      </w:r>
      <w:r>
        <w:rPr>
          <w:color w:val="000000" w:themeColor="text1"/>
          <w:sz w:val="28"/>
          <w:szCs w:val="36"/>
          <w:highlight w:val="none"/>
          <w14:textFill>
            <w14:solidFill>
              <w14:schemeClr w14:val="tx1"/>
            </w14:solidFill>
          </w14:textFill>
        </w:rPr>
        <w:instrText xml:space="preserve"> HYPERLINK \l "_Toc213948322" </w:instrText>
      </w:r>
      <w:r>
        <w:rPr>
          <w:color w:val="000000" w:themeColor="text1"/>
          <w:sz w:val="28"/>
          <w:szCs w:val="36"/>
          <w:highlight w:val="none"/>
          <w14:textFill>
            <w14:solidFill>
              <w14:schemeClr w14:val="tx1"/>
            </w14:solidFill>
          </w14:textFill>
        </w:rPr>
        <w:fldChar w:fldCharType="separate"/>
      </w:r>
      <w:r>
        <w:rPr>
          <w:rStyle w:val="63"/>
          <w:rFonts w:hint="eastAsia" w:ascii="宋体" w:hAnsi="宋体" w:cs="仿宋_GB2312"/>
          <w:color w:val="000000" w:themeColor="text1"/>
          <w:sz w:val="28"/>
          <w:szCs w:val="36"/>
          <w:highlight w:val="none"/>
          <w14:textFill>
            <w14:solidFill>
              <w14:schemeClr w14:val="tx1"/>
            </w14:solidFill>
          </w14:textFill>
        </w:rPr>
        <w:t>第七章</w:t>
      </w:r>
      <w:r>
        <w:rPr>
          <w:rStyle w:val="63"/>
          <w:rFonts w:ascii="宋体" w:hAnsi="宋体" w:cs="仿宋_GB2312"/>
          <w:color w:val="000000" w:themeColor="text1"/>
          <w:sz w:val="28"/>
          <w:szCs w:val="36"/>
          <w:highlight w:val="none"/>
          <w14:textFill>
            <w14:solidFill>
              <w14:schemeClr w14:val="tx1"/>
            </w14:solidFill>
          </w14:textFill>
        </w:rPr>
        <w:t xml:space="preserve"> </w:t>
      </w:r>
      <w:r>
        <w:rPr>
          <w:rStyle w:val="63"/>
          <w:rFonts w:hint="eastAsia" w:ascii="宋体" w:hAnsi="宋体" w:cs="仿宋_GB2312"/>
          <w:color w:val="000000" w:themeColor="text1"/>
          <w:sz w:val="28"/>
          <w:szCs w:val="36"/>
          <w:highlight w:val="none"/>
          <w14:textFill>
            <w14:solidFill>
              <w14:schemeClr w14:val="tx1"/>
            </w14:solidFill>
          </w14:textFill>
        </w:rPr>
        <w:t>质疑、投诉材料格式</w:t>
      </w:r>
      <w:r>
        <w:rPr>
          <w:color w:val="000000" w:themeColor="text1"/>
          <w:sz w:val="28"/>
          <w:szCs w:val="36"/>
          <w:highlight w:val="none"/>
          <w14:textFill>
            <w14:solidFill>
              <w14:schemeClr w14:val="tx1"/>
            </w14:solidFill>
          </w14:textFill>
        </w:rPr>
        <w:tab/>
      </w:r>
      <w:r>
        <w:rPr>
          <w:color w:val="000000" w:themeColor="text1"/>
          <w:sz w:val="28"/>
          <w:szCs w:val="36"/>
          <w:highlight w:val="none"/>
          <w14:textFill>
            <w14:solidFill>
              <w14:schemeClr w14:val="tx1"/>
            </w14:solidFill>
          </w14:textFill>
        </w:rPr>
        <w:fldChar w:fldCharType="begin"/>
      </w:r>
      <w:r>
        <w:rPr>
          <w:color w:val="000000" w:themeColor="text1"/>
          <w:sz w:val="28"/>
          <w:szCs w:val="36"/>
          <w:highlight w:val="none"/>
          <w14:textFill>
            <w14:solidFill>
              <w14:schemeClr w14:val="tx1"/>
            </w14:solidFill>
          </w14:textFill>
        </w:rPr>
        <w:instrText xml:space="preserve"> PAGEREF _Toc213948322 \h </w:instrText>
      </w:r>
      <w:r>
        <w:rPr>
          <w:color w:val="000000" w:themeColor="text1"/>
          <w:sz w:val="28"/>
          <w:szCs w:val="36"/>
          <w:highlight w:val="none"/>
          <w14:textFill>
            <w14:solidFill>
              <w14:schemeClr w14:val="tx1"/>
            </w14:solidFill>
          </w14:textFill>
        </w:rPr>
        <w:fldChar w:fldCharType="separate"/>
      </w:r>
      <w:r>
        <w:rPr>
          <w:color w:val="000000" w:themeColor="text1"/>
          <w:sz w:val="28"/>
          <w:szCs w:val="36"/>
          <w:highlight w:val="none"/>
          <w14:textFill>
            <w14:solidFill>
              <w14:schemeClr w14:val="tx1"/>
            </w14:solidFill>
          </w14:textFill>
        </w:rPr>
        <w:t>187</w:t>
      </w:r>
      <w:r>
        <w:rPr>
          <w:color w:val="000000" w:themeColor="text1"/>
          <w:sz w:val="28"/>
          <w:szCs w:val="36"/>
          <w:highlight w:val="none"/>
          <w14:textFill>
            <w14:solidFill>
              <w14:schemeClr w14:val="tx1"/>
            </w14:solidFill>
          </w14:textFill>
        </w:rPr>
        <w:fldChar w:fldCharType="end"/>
      </w:r>
      <w:r>
        <w:rPr>
          <w:color w:val="000000" w:themeColor="text1"/>
          <w:sz w:val="28"/>
          <w:szCs w:val="36"/>
          <w:highlight w:val="none"/>
          <w14:textFill>
            <w14:solidFill>
              <w14:schemeClr w14:val="tx1"/>
            </w14:solidFill>
          </w14:textFill>
        </w:rPr>
        <w:fldChar w:fldCharType="end"/>
      </w:r>
    </w:p>
    <w:p w14:paraId="6BEABDE4">
      <w:pPr>
        <w:pStyle w:val="36"/>
        <w:tabs>
          <w:tab w:val="right" w:leader="dot" w:pos="8869"/>
        </w:tabs>
        <w:rPr>
          <w:rFonts w:asciiTheme="minorHAnsi" w:hAnsiTheme="minorHAnsi" w:eastAsiaTheme="minorEastAsia" w:cstheme="minorBidi"/>
          <w:color w:val="000000" w:themeColor="text1"/>
          <w:sz w:val="28"/>
          <w:szCs w:val="32"/>
          <w:highlight w:val="none"/>
          <w14:textFill>
            <w14:solidFill>
              <w14:schemeClr w14:val="tx1"/>
            </w14:solidFill>
          </w14:textFill>
        </w:rPr>
      </w:pPr>
      <w:r>
        <w:rPr>
          <w:color w:val="000000" w:themeColor="text1"/>
          <w:sz w:val="28"/>
          <w:szCs w:val="36"/>
          <w:highlight w:val="none"/>
          <w14:textFill>
            <w14:solidFill>
              <w14:schemeClr w14:val="tx1"/>
            </w14:solidFill>
          </w14:textFill>
        </w:rPr>
        <w:fldChar w:fldCharType="begin"/>
      </w:r>
      <w:r>
        <w:rPr>
          <w:color w:val="000000" w:themeColor="text1"/>
          <w:sz w:val="28"/>
          <w:szCs w:val="36"/>
          <w:highlight w:val="none"/>
          <w14:textFill>
            <w14:solidFill>
              <w14:schemeClr w14:val="tx1"/>
            </w14:solidFill>
          </w14:textFill>
        </w:rPr>
        <w:instrText xml:space="preserve"> HYPERLINK \l "_Toc213948323" </w:instrText>
      </w:r>
      <w:r>
        <w:rPr>
          <w:color w:val="000000" w:themeColor="text1"/>
          <w:sz w:val="28"/>
          <w:szCs w:val="36"/>
          <w:highlight w:val="none"/>
          <w14:textFill>
            <w14:solidFill>
              <w14:schemeClr w14:val="tx1"/>
            </w14:solidFill>
          </w14:textFill>
        </w:rPr>
        <w:fldChar w:fldCharType="separate"/>
      </w:r>
      <w:r>
        <w:rPr>
          <w:rStyle w:val="63"/>
          <w:rFonts w:hint="eastAsia" w:ascii="宋体" w:hAnsi="宋体"/>
          <w:color w:val="000000" w:themeColor="text1"/>
          <w:kern w:val="44"/>
          <w:sz w:val="28"/>
          <w:szCs w:val="36"/>
          <w:highlight w:val="none"/>
          <w14:textFill>
            <w14:solidFill>
              <w14:schemeClr w14:val="tx1"/>
            </w14:solidFill>
          </w14:textFill>
        </w:rPr>
        <w:t>第八章</w:t>
      </w:r>
      <w:r>
        <w:rPr>
          <w:rStyle w:val="63"/>
          <w:rFonts w:ascii="宋体" w:hAnsi="宋体"/>
          <w:color w:val="000000" w:themeColor="text1"/>
          <w:kern w:val="44"/>
          <w:sz w:val="28"/>
          <w:szCs w:val="36"/>
          <w:highlight w:val="none"/>
          <w14:textFill>
            <w14:solidFill>
              <w14:schemeClr w14:val="tx1"/>
            </w14:solidFill>
          </w14:textFill>
        </w:rPr>
        <w:t xml:space="preserve"> </w:t>
      </w:r>
      <w:r>
        <w:rPr>
          <w:rStyle w:val="63"/>
          <w:rFonts w:hint="eastAsia" w:ascii="宋体" w:hAnsi="宋体"/>
          <w:color w:val="000000" w:themeColor="text1"/>
          <w:kern w:val="44"/>
          <w:sz w:val="28"/>
          <w:szCs w:val="36"/>
          <w:highlight w:val="none"/>
          <w14:textFill>
            <w14:solidFill>
              <w14:schemeClr w14:val="tx1"/>
            </w14:solidFill>
          </w14:textFill>
        </w:rPr>
        <w:t>工程量清单及图纸</w:t>
      </w:r>
      <w:r>
        <w:rPr>
          <w:color w:val="000000" w:themeColor="text1"/>
          <w:sz w:val="28"/>
          <w:szCs w:val="36"/>
          <w:highlight w:val="none"/>
          <w14:textFill>
            <w14:solidFill>
              <w14:schemeClr w14:val="tx1"/>
            </w14:solidFill>
          </w14:textFill>
        </w:rPr>
        <w:tab/>
      </w:r>
      <w:r>
        <w:rPr>
          <w:color w:val="000000" w:themeColor="text1"/>
          <w:sz w:val="28"/>
          <w:szCs w:val="36"/>
          <w:highlight w:val="none"/>
          <w14:textFill>
            <w14:solidFill>
              <w14:schemeClr w14:val="tx1"/>
            </w14:solidFill>
          </w14:textFill>
        </w:rPr>
        <w:fldChar w:fldCharType="begin"/>
      </w:r>
      <w:r>
        <w:rPr>
          <w:color w:val="000000" w:themeColor="text1"/>
          <w:sz w:val="28"/>
          <w:szCs w:val="36"/>
          <w:highlight w:val="none"/>
          <w14:textFill>
            <w14:solidFill>
              <w14:schemeClr w14:val="tx1"/>
            </w14:solidFill>
          </w14:textFill>
        </w:rPr>
        <w:instrText xml:space="preserve"> PAGEREF _Toc213948323 \h </w:instrText>
      </w:r>
      <w:r>
        <w:rPr>
          <w:color w:val="000000" w:themeColor="text1"/>
          <w:sz w:val="28"/>
          <w:szCs w:val="36"/>
          <w:highlight w:val="none"/>
          <w14:textFill>
            <w14:solidFill>
              <w14:schemeClr w14:val="tx1"/>
            </w14:solidFill>
          </w14:textFill>
        </w:rPr>
        <w:fldChar w:fldCharType="separate"/>
      </w:r>
      <w:r>
        <w:rPr>
          <w:color w:val="000000" w:themeColor="text1"/>
          <w:sz w:val="28"/>
          <w:szCs w:val="36"/>
          <w:highlight w:val="none"/>
          <w14:textFill>
            <w14:solidFill>
              <w14:schemeClr w14:val="tx1"/>
            </w14:solidFill>
          </w14:textFill>
        </w:rPr>
        <w:t>192</w:t>
      </w:r>
      <w:r>
        <w:rPr>
          <w:color w:val="000000" w:themeColor="text1"/>
          <w:sz w:val="28"/>
          <w:szCs w:val="36"/>
          <w:highlight w:val="none"/>
          <w14:textFill>
            <w14:solidFill>
              <w14:schemeClr w14:val="tx1"/>
            </w14:solidFill>
          </w14:textFill>
        </w:rPr>
        <w:fldChar w:fldCharType="end"/>
      </w:r>
      <w:r>
        <w:rPr>
          <w:color w:val="000000" w:themeColor="text1"/>
          <w:sz w:val="28"/>
          <w:szCs w:val="36"/>
          <w:highlight w:val="none"/>
          <w14:textFill>
            <w14:solidFill>
              <w14:schemeClr w14:val="tx1"/>
            </w14:solidFill>
          </w14:textFill>
        </w:rPr>
        <w:fldChar w:fldCharType="end"/>
      </w:r>
    </w:p>
    <w:p w14:paraId="7E58C050">
      <w:pPr>
        <w:pStyle w:val="44"/>
        <w:rPr>
          <w:color w:val="000000" w:themeColor="text1"/>
          <w:sz w:val="40"/>
          <w:szCs w:val="40"/>
          <w:highlight w:val="none"/>
          <w14:textFill>
            <w14:solidFill>
              <w14:schemeClr w14:val="tx1"/>
            </w14:solidFill>
          </w14:textFill>
        </w:rPr>
      </w:pPr>
      <w:r>
        <w:rPr>
          <w:rFonts w:hint="eastAsia" w:ascii="宋体" w:hAnsi="宋体"/>
          <w:b/>
          <w:color w:val="000000" w:themeColor="text1"/>
          <w:sz w:val="40"/>
          <w:szCs w:val="40"/>
          <w:highlight w:val="none"/>
          <w14:textFill>
            <w14:solidFill>
              <w14:schemeClr w14:val="tx1"/>
            </w14:solidFill>
          </w14:textFill>
        </w:rPr>
        <w:fldChar w:fldCharType="end"/>
      </w:r>
    </w:p>
    <w:p w14:paraId="25465F1B">
      <w:pPr>
        <w:tabs>
          <w:tab w:val="left" w:pos="7470"/>
        </w:tabs>
        <w:spacing w:line="400" w:lineRule="exact"/>
        <w:jc w:val="left"/>
        <w:rPr>
          <w:rFonts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ab/>
      </w:r>
    </w:p>
    <w:p w14:paraId="3B8A3BA2">
      <w:pPr>
        <w:spacing w:line="400" w:lineRule="exact"/>
        <w:jc w:val="center"/>
        <w:rPr>
          <w:rFonts w:ascii="宋体" w:hAnsi="宋体"/>
          <w:b/>
          <w:color w:val="000000" w:themeColor="text1"/>
          <w:sz w:val="32"/>
          <w:szCs w:val="32"/>
          <w:highlight w:val="none"/>
          <w14:textFill>
            <w14:solidFill>
              <w14:schemeClr w14:val="tx1"/>
            </w14:solidFill>
          </w14:textFill>
        </w:rPr>
      </w:pPr>
    </w:p>
    <w:p w14:paraId="48CDF3EB">
      <w:pPr>
        <w:spacing w:line="400" w:lineRule="exact"/>
        <w:jc w:val="center"/>
        <w:rPr>
          <w:rFonts w:ascii="宋体" w:hAnsi="宋体"/>
          <w:b/>
          <w:color w:val="000000" w:themeColor="text1"/>
          <w:sz w:val="32"/>
          <w:szCs w:val="32"/>
          <w:highlight w:val="none"/>
          <w14:textFill>
            <w14:solidFill>
              <w14:schemeClr w14:val="tx1"/>
            </w14:solidFill>
          </w14:textFill>
        </w:rPr>
      </w:pPr>
    </w:p>
    <w:p w14:paraId="6FD6C996">
      <w:pPr>
        <w:spacing w:line="400" w:lineRule="exact"/>
        <w:jc w:val="center"/>
        <w:rPr>
          <w:rFonts w:ascii="宋体" w:hAnsi="宋体"/>
          <w:b/>
          <w:color w:val="000000" w:themeColor="text1"/>
          <w:sz w:val="32"/>
          <w:szCs w:val="32"/>
          <w:highlight w:val="none"/>
          <w14:textFill>
            <w14:solidFill>
              <w14:schemeClr w14:val="tx1"/>
            </w14:solidFill>
          </w14:textFill>
        </w:rPr>
      </w:pPr>
    </w:p>
    <w:p w14:paraId="23E90821">
      <w:pPr>
        <w:spacing w:line="400" w:lineRule="exact"/>
        <w:jc w:val="center"/>
        <w:rPr>
          <w:rFonts w:ascii="宋体" w:hAnsi="宋体"/>
          <w:b/>
          <w:color w:val="000000" w:themeColor="text1"/>
          <w:sz w:val="32"/>
          <w:szCs w:val="32"/>
          <w:highlight w:val="none"/>
          <w14:textFill>
            <w14:solidFill>
              <w14:schemeClr w14:val="tx1"/>
            </w14:solidFill>
          </w14:textFill>
        </w:rPr>
      </w:pPr>
    </w:p>
    <w:p w14:paraId="260B6A12">
      <w:pPr>
        <w:widowControl/>
        <w:jc w:val="left"/>
        <w:rPr>
          <w:rFonts w:ascii="宋体" w:hAnsi="宋体"/>
          <w:b/>
          <w:color w:val="000000" w:themeColor="text1"/>
          <w:sz w:val="32"/>
          <w:szCs w:val="32"/>
          <w:highlight w:val="none"/>
          <w14:textFill>
            <w14:solidFill>
              <w14:schemeClr w14:val="tx1"/>
            </w14:solidFill>
          </w14:textFill>
        </w:rPr>
        <w:sectPr>
          <w:pgSz w:w="11906" w:h="16838"/>
          <w:pgMar w:top="1440" w:right="1440" w:bottom="1440" w:left="1587" w:header="851" w:footer="992" w:gutter="0"/>
          <w:pgNumType w:start="0"/>
          <w:cols w:space="720" w:num="1"/>
          <w:docGrid w:type="lines" w:linePitch="312" w:charSpace="0"/>
        </w:sectPr>
      </w:pPr>
    </w:p>
    <w:p w14:paraId="0A473550">
      <w:pPr>
        <w:pStyle w:val="4"/>
        <w:spacing w:before="0" w:line="240" w:lineRule="auto"/>
        <w:jc w:val="center"/>
        <w:rPr>
          <w:color w:val="000000" w:themeColor="text1"/>
          <w:highlight w:val="none"/>
          <w14:textFill>
            <w14:solidFill>
              <w14:schemeClr w14:val="tx1"/>
            </w14:solidFill>
          </w14:textFill>
        </w:rPr>
      </w:pPr>
      <w:bookmarkStart w:id="1" w:name="_Toc213948277"/>
      <w:r>
        <w:rPr>
          <w:color w:val="000000" w:themeColor="text1"/>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-229235</wp:posOffset>
                </wp:positionH>
                <wp:positionV relativeFrom="paragraph">
                  <wp:posOffset>621030</wp:posOffset>
                </wp:positionV>
                <wp:extent cx="5970270" cy="1278255"/>
                <wp:effectExtent l="0" t="0" r="0" b="0"/>
                <wp:wrapNone/>
                <wp:docPr id="4" name="文本框 101"/>
                <wp:cNvGraphicFramePr/>
                <a:graphic xmlns:a="http://schemas.openxmlformats.org/drawingml/2006/main">
                  <a:graphicData uri="http://schemas.microsoft.com/office/word/2010/wordprocessingShape">
                    <wps:wsp>
                      <wps:cNvSpPr txBox="1"/>
                      <wps:spPr>
                        <a:xfrm>
                          <a:off x="0" y="0"/>
                          <a:ext cx="5970270" cy="1277957"/>
                        </a:xfrm>
                        <a:prstGeom prst="rect">
                          <a:avLst/>
                        </a:prstGeom>
                        <a:solidFill>
                          <a:srgbClr val="FFFFFF"/>
                        </a:solidFill>
                        <a:ln>
                          <a:noFill/>
                        </a:ln>
                        <a:effectLst/>
                      </wps:spPr>
                      <wps:txbx>
                        <w:txbxContent>
                          <w:p w14:paraId="1087A458">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rPr>
                              <w:t>项目概况</w:t>
                            </w:r>
                          </w:p>
                          <w:p w14:paraId="23B4ECDF">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u w:val="single"/>
                                <w:lang w:eastAsia="zh-CN"/>
                              </w:rPr>
                              <w:t>横州市横州镇龙池小学聚贤楼维修项目</w:t>
                            </w:r>
                            <w:r>
                              <w:rPr>
                                <w:rFonts w:hint="eastAsia" w:ascii="宋体" w:hAnsi="宋体"/>
                                <w:color w:val="000000"/>
                                <w:szCs w:val="21"/>
                              </w:rPr>
                              <w:t>采购项目的潜在供应商应在</w:t>
                            </w:r>
                            <w:r>
                              <w:rPr>
                                <w:rFonts w:ascii="宋体" w:hAnsi="宋体"/>
                                <w:szCs w:val="21"/>
                              </w:rPr>
                              <w:t>广西政府采购云平台</w:t>
                            </w:r>
                            <w:r>
                              <w:rPr>
                                <w:rFonts w:hint="eastAsia" w:ascii="宋体" w:hAnsi="宋体"/>
                                <w:szCs w:val="21"/>
                              </w:rPr>
                              <w:t>（</w:t>
                            </w:r>
                            <w:r>
                              <w:rPr>
                                <w:rFonts w:ascii="宋体" w:hAnsi="宋体"/>
                                <w:bCs/>
                                <w:szCs w:val="21"/>
                              </w:rPr>
                              <w:t>https://www.gcy.zfcg.gxzf.gov.cn/</w:t>
                            </w:r>
                            <w:r>
                              <w:rPr>
                                <w:rFonts w:hint="eastAsia" w:ascii="宋体" w:hAnsi="宋体"/>
                                <w:szCs w:val="21"/>
                              </w:rPr>
                              <w:t>）</w:t>
                            </w:r>
                            <w:r>
                              <w:rPr>
                                <w:rFonts w:hint="eastAsia" w:ascii="仿宋_GB2312" w:hAnsi="仿宋" w:eastAsia="仿宋_GB2312"/>
                                <w:snapToGrid w:val="0"/>
                              </w:rPr>
                              <w:t>获取（下载）</w:t>
                            </w:r>
                            <w:r>
                              <w:rPr>
                                <w:rFonts w:hint="eastAsia" w:ascii="宋体" w:hAnsi="宋体"/>
                                <w:szCs w:val="21"/>
                              </w:rPr>
                              <w:t>获取竞争性磋商文件，并于</w:t>
                            </w:r>
                            <w:r>
                              <w:rPr>
                                <w:rFonts w:ascii="宋体" w:hAnsi="宋体"/>
                                <w:szCs w:val="21"/>
                                <w:u w:val="single"/>
                              </w:rPr>
                              <w:t>20</w:t>
                            </w:r>
                            <w:r>
                              <w:rPr>
                                <w:rFonts w:hint="eastAsia" w:ascii="宋体" w:hAnsi="宋体"/>
                                <w:szCs w:val="21"/>
                                <w:u w:val="single"/>
                              </w:rPr>
                              <w:t>2</w:t>
                            </w:r>
                            <w:r>
                              <w:rPr>
                                <w:rFonts w:hint="eastAsia" w:ascii="宋体" w:hAnsi="宋体"/>
                                <w:szCs w:val="21"/>
                                <w:u w:val="single"/>
                                <w:lang w:val="en-US" w:eastAsia="zh-CN"/>
                              </w:rPr>
                              <w:t>6</w:t>
                            </w:r>
                            <w:r>
                              <w:rPr>
                                <w:rFonts w:hint="eastAsia" w:ascii="宋体" w:hAnsi="宋体"/>
                                <w:szCs w:val="21"/>
                                <w:u w:val="single"/>
                              </w:rPr>
                              <w:t>年</w:t>
                            </w:r>
                            <w:r>
                              <w:rPr>
                                <w:rFonts w:hint="eastAsia" w:ascii="宋体" w:hAnsi="宋体"/>
                                <w:color w:val="000000"/>
                                <w:szCs w:val="21"/>
                                <w:u w:val="single"/>
                                <w:lang w:val="en-US" w:eastAsia="zh-CN"/>
                              </w:rPr>
                              <w:t>6</w:t>
                            </w:r>
                            <w:r>
                              <w:rPr>
                                <w:rFonts w:hint="eastAsia" w:ascii="宋体" w:hAnsi="宋体"/>
                                <w:color w:val="000000"/>
                                <w:szCs w:val="21"/>
                                <w:u w:val="single"/>
                              </w:rPr>
                              <w:t>月</w:t>
                            </w:r>
                            <w:r>
                              <w:rPr>
                                <w:rFonts w:hint="eastAsia" w:ascii="宋体" w:hAnsi="宋体"/>
                                <w:color w:val="000000"/>
                                <w:szCs w:val="21"/>
                                <w:u w:val="single"/>
                                <w:lang w:val="en-US" w:eastAsia="zh-CN"/>
                              </w:rPr>
                              <w:t>22</w:t>
                            </w:r>
                            <w:r>
                              <w:rPr>
                                <w:rFonts w:hint="eastAsia" w:ascii="宋体" w:hAnsi="宋体"/>
                                <w:color w:val="000000"/>
                                <w:szCs w:val="21"/>
                                <w:u w:val="single"/>
                              </w:rPr>
                              <w:t>日13时00</w:t>
                            </w:r>
                            <w:r>
                              <w:rPr>
                                <w:rFonts w:hint="eastAsia" w:ascii="宋体" w:hAnsi="宋体"/>
                                <w:color w:val="000000"/>
                                <w:szCs w:val="21"/>
                                <w:u w:val="single"/>
                                <w:lang w:val="en-US" w:eastAsia="zh-CN"/>
                              </w:rPr>
                              <w:t>分</w:t>
                            </w:r>
                            <w:r>
                              <w:rPr>
                                <w:rFonts w:hint="eastAsia" w:ascii="宋体" w:hAnsi="宋体"/>
                                <w:bCs/>
                                <w:color w:val="000000"/>
                                <w:szCs w:val="21"/>
                              </w:rPr>
                              <w:t>（北京时间）前提交响应文件</w:t>
                            </w:r>
                            <w:r>
                              <w:rPr>
                                <w:rFonts w:hint="eastAsia" w:ascii="宋体" w:hAnsi="宋体"/>
                                <w:color w:val="000000"/>
                                <w:szCs w:val="21"/>
                              </w:rPr>
                              <w:t>。</w:t>
                            </w:r>
                          </w:p>
                          <w:p w14:paraId="0881B504"/>
                        </w:txbxContent>
                      </wps:txbx>
                      <wps:bodyPr wrap="square" upright="1">
                        <a:noAutofit/>
                      </wps:bodyPr>
                    </wps:wsp>
                  </a:graphicData>
                </a:graphic>
              </wp:anchor>
            </w:drawing>
          </mc:Choice>
          <mc:Fallback>
            <w:pict>
              <v:shape id="文本框 101" o:spid="_x0000_s1026" o:spt="202" type="#_x0000_t202" style="position:absolute;left:0pt;margin-left:-18.05pt;margin-top:48.9pt;height:100.65pt;width:470.1pt;z-index:251663360;mso-width-relative:page;mso-height-relative:page;" fillcolor="#FFFFFF" filled="t" stroked="f" coordsize="21600,21600" o:gfxdata="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evGi9gAAAAKAQAADwAA&#10;AAAAAAABACAAAAAiAAAAZHJzL2Rvd25yZXYueG1sUEsBAhQAFAAAAAgAh07iQKce1SvdAQAAsAMA&#10;AA4AAAAAAAAAAQAgAAAAJwEAAGRycy9lMm9Eb2MueG1sUEsFBgAAAAAGAAYAWQEAAHYFAAAAAA==&#10;">
                <v:fill on="t" focussize="0,0"/>
                <v:stroke on="f"/>
                <v:imagedata o:title=""/>
                <o:lock v:ext="edit" aspectratio="f"/>
                <v:textbox>
                  <w:txbxContent>
                    <w:p w14:paraId="1087A458">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rPr>
                        <w:t>项目概况</w:t>
                      </w:r>
                    </w:p>
                    <w:p w14:paraId="23B4ECDF">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u w:val="single"/>
                          <w:lang w:eastAsia="zh-CN"/>
                        </w:rPr>
                        <w:t>横州市横州镇龙池小学聚贤楼维修项目</w:t>
                      </w:r>
                      <w:r>
                        <w:rPr>
                          <w:rFonts w:hint="eastAsia" w:ascii="宋体" w:hAnsi="宋体"/>
                          <w:color w:val="000000"/>
                          <w:szCs w:val="21"/>
                        </w:rPr>
                        <w:t>采购项目的潜在供应商应在</w:t>
                      </w:r>
                      <w:r>
                        <w:rPr>
                          <w:rFonts w:ascii="宋体" w:hAnsi="宋体"/>
                          <w:szCs w:val="21"/>
                        </w:rPr>
                        <w:t>广西政府采购云平台</w:t>
                      </w:r>
                      <w:r>
                        <w:rPr>
                          <w:rFonts w:hint="eastAsia" w:ascii="宋体" w:hAnsi="宋体"/>
                          <w:szCs w:val="21"/>
                        </w:rPr>
                        <w:t>（</w:t>
                      </w:r>
                      <w:r>
                        <w:rPr>
                          <w:rFonts w:ascii="宋体" w:hAnsi="宋体"/>
                          <w:bCs/>
                          <w:szCs w:val="21"/>
                        </w:rPr>
                        <w:t>https://www.gcy.zfcg.gxzf.gov.cn/</w:t>
                      </w:r>
                      <w:r>
                        <w:rPr>
                          <w:rFonts w:hint="eastAsia" w:ascii="宋体" w:hAnsi="宋体"/>
                          <w:szCs w:val="21"/>
                        </w:rPr>
                        <w:t>）</w:t>
                      </w:r>
                      <w:r>
                        <w:rPr>
                          <w:rFonts w:hint="eastAsia" w:ascii="仿宋_GB2312" w:hAnsi="仿宋" w:eastAsia="仿宋_GB2312"/>
                          <w:snapToGrid w:val="0"/>
                        </w:rPr>
                        <w:t>获取（下载）</w:t>
                      </w:r>
                      <w:r>
                        <w:rPr>
                          <w:rFonts w:hint="eastAsia" w:ascii="宋体" w:hAnsi="宋体"/>
                          <w:szCs w:val="21"/>
                        </w:rPr>
                        <w:t>获取竞争性磋商文件，并于</w:t>
                      </w:r>
                      <w:r>
                        <w:rPr>
                          <w:rFonts w:ascii="宋体" w:hAnsi="宋体"/>
                          <w:szCs w:val="21"/>
                          <w:u w:val="single"/>
                        </w:rPr>
                        <w:t>20</w:t>
                      </w:r>
                      <w:r>
                        <w:rPr>
                          <w:rFonts w:hint="eastAsia" w:ascii="宋体" w:hAnsi="宋体"/>
                          <w:szCs w:val="21"/>
                          <w:u w:val="single"/>
                        </w:rPr>
                        <w:t>2</w:t>
                      </w:r>
                      <w:r>
                        <w:rPr>
                          <w:rFonts w:hint="eastAsia" w:ascii="宋体" w:hAnsi="宋体"/>
                          <w:szCs w:val="21"/>
                          <w:u w:val="single"/>
                          <w:lang w:val="en-US" w:eastAsia="zh-CN"/>
                        </w:rPr>
                        <w:t>6</w:t>
                      </w:r>
                      <w:r>
                        <w:rPr>
                          <w:rFonts w:hint="eastAsia" w:ascii="宋体" w:hAnsi="宋体"/>
                          <w:szCs w:val="21"/>
                          <w:u w:val="single"/>
                        </w:rPr>
                        <w:t>年</w:t>
                      </w:r>
                      <w:r>
                        <w:rPr>
                          <w:rFonts w:hint="eastAsia" w:ascii="宋体" w:hAnsi="宋体"/>
                          <w:color w:val="000000"/>
                          <w:szCs w:val="21"/>
                          <w:u w:val="single"/>
                          <w:lang w:val="en-US" w:eastAsia="zh-CN"/>
                        </w:rPr>
                        <w:t>6</w:t>
                      </w:r>
                      <w:r>
                        <w:rPr>
                          <w:rFonts w:hint="eastAsia" w:ascii="宋体" w:hAnsi="宋体"/>
                          <w:color w:val="000000"/>
                          <w:szCs w:val="21"/>
                          <w:u w:val="single"/>
                        </w:rPr>
                        <w:t>月</w:t>
                      </w:r>
                      <w:r>
                        <w:rPr>
                          <w:rFonts w:hint="eastAsia" w:ascii="宋体" w:hAnsi="宋体"/>
                          <w:color w:val="000000"/>
                          <w:szCs w:val="21"/>
                          <w:u w:val="single"/>
                          <w:lang w:val="en-US" w:eastAsia="zh-CN"/>
                        </w:rPr>
                        <w:t>22</w:t>
                      </w:r>
                      <w:r>
                        <w:rPr>
                          <w:rFonts w:hint="eastAsia" w:ascii="宋体" w:hAnsi="宋体"/>
                          <w:color w:val="000000"/>
                          <w:szCs w:val="21"/>
                          <w:u w:val="single"/>
                        </w:rPr>
                        <w:t>日13时00</w:t>
                      </w:r>
                      <w:r>
                        <w:rPr>
                          <w:rFonts w:hint="eastAsia" w:ascii="宋体" w:hAnsi="宋体"/>
                          <w:color w:val="000000"/>
                          <w:szCs w:val="21"/>
                          <w:u w:val="single"/>
                          <w:lang w:val="en-US" w:eastAsia="zh-CN"/>
                        </w:rPr>
                        <w:t>分</w:t>
                      </w:r>
                      <w:r>
                        <w:rPr>
                          <w:rFonts w:hint="eastAsia" w:ascii="宋体" w:hAnsi="宋体"/>
                          <w:bCs/>
                          <w:color w:val="000000"/>
                          <w:szCs w:val="21"/>
                        </w:rPr>
                        <w:t>（北京时间）前提交响应文件</w:t>
                      </w:r>
                      <w:r>
                        <w:rPr>
                          <w:rFonts w:hint="eastAsia" w:ascii="宋体" w:hAnsi="宋体"/>
                          <w:color w:val="000000"/>
                          <w:szCs w:val="21"/>
                        </w:rPr>
                        <w:t>。</w:t>
                      </w:r>
                    </w:p>
                    <w:p w14:paraId="0881B504"/>
                  </w:txbxContent>
                </v:textbox>
              </v:shape>
            </w:pict>
          </mc:Fallback>
        </mc:AlternateContent>
      </w:r>
      <w:r>
        <w:rPr>
          <w:rFonts w:hint="eastAsia"/>
          <w:color w:val="000000" w:themeColor="text1"/>
          <w:highlight w:val="none"/>
          <w14:textFill>
            <w14:solidFill>
              <w14:schemeClr w14:val="tx1"/>
            </w14:solidFill>
          </w14:textFill>
        </w:rPr>
        <w:t>第一章竞争性磋商公告</w:t>
      </w:r>
      <w:bookmarkEnd w:id="1"/>
      <w:bookmarkStart w:id="2" w:name="_Toc28359089"/>
      <w:bookmarkStart w:id="3" w:name="_Toc44229878"/>
      <w:bookmarkStart w:id="4" w:name="_Toc35393798"/>
      <w:bookmarkStart w:id="5" w:name="_Toc35393629"/>
      <w:bookmarkStart w:id="6" w:name="_Toc28359012"/>
      <w:bookmarkStart w:id="7" w:name="_Toc35393623"/>
      <w:bookmarkStart w:id="8" w:name="_Toc28359081"/>
      <w:bookmarkStart w:id="9" w:name="_Toc28359004"/>
      <w:bookmarkStart w:id="10" w:name="_Toc35393792"/>
    </w:p>
    <w:p w14:paraId="3B8E1378">
      <w:pPr>
        <w:pStyle w:val="4"/>
        <w:spacing w:line="400" w:lineRule="exact"/>
        <w:ind w:firstLine="482" w:firstLineChars="200"/>
        <w:rPr>
          <w:rFonts w:ascii="黑体" w:hAnsi="黑体" w:eastAsia="黑体" w:cs="宋体"/>
          <w:bCs w:val="0"/>
          <w:color w:val="000000" w:themeColor="text1"/>
          <w:sz w:val="24"/>
          <w:szCs w:val="24"/>
          <w:highlight w:val="none"/>
          <w14:textFill>
            <w14:solidFill>
              <w14:schemeClr w14:val="tx1"/>
            </w14:solidFill>
          </w14:textFill>
        </w:rPr>
      </w:pPr>
    </w:p>
    <w:p w14:paraId="43B421BF">
      <w:pPr>
        <w:pStyle w:val="4"/>
        <w:spacing w:line="400" w:lineRule="exact"/>
        <w:ind w:firstLine="482" w:firstLineChars="200"/>
        <w:rPr>
          <w:rFonts w:ascii="黑体" w:hAnsi="黑体" w:eastAsia="黑体" w:cs="宋体"/>
          <w:bCs w:val="0"/>
          <w:color w:val="000000" w:themeColor="text1"/>
          <w:sz w:val="24"/>
          <w:szCs w:val="24"/>
          <w:highlight w:val="none"/>
          <w14:textFill>
            <w14:solidFill>
              <w14:schemeClr w14:val="tx1"/>
            </w14:solidFill>
          </w14:textFill>
        </w:rPr>
      </w:pPr>
    </w:p>
    <w:p w14:paraId="2416FCF3">
      <w:pPr>
        <w:pStyle w:val="4"/>
        <w:spacing w:line="400" w:lineRule="exact"/>
        <w:rPr>
          <w:rFonts w:ascii="黑体" w:hAnsi="黑体" w:eastAsia="黑体" w:cs="宋体"/>
          <w:bCs w:val="0"/>
          <w:color w:val="000000" w:themeColor="text1"/>
          <w:sz w:val="24"/>
          <w:szCs w:val="24"/>
          <w:highlight w:val="none"/>
          <w14:textFill>
            <w14:solidFill>
              <w14:schemeClr w14:val="tx1"/>
            </w14:solidFill>
          </w14:textFill>
        </w:rPr>
      </w:pPr>
    </w:p>
    <w:p w14:paraId="4B5001FE">
      <w:pPr>
        <w:spacing w:line="360" w:lineRule="auto"/>
        <w:ind w:firstLine="480" w:firstLineChars="200"/>
        <w:rPr>
          <w:color w:val="000000" w:themeColor="text1"/>
          <w:highlight w:val="none"/>
          <w14:textFill>
            <w14:solidFill>
              <w14:schemeClr w14:val="tx1"/>
            </w14:solidFill>
          </w14:textFill>
        </w:rPr>
      </w:pPr>
      <w:r>
        <w:rPr>
          <w:rFonts w:hint="eastAsia" w:ascii="黑体" w:hAnsi="黑体" w:eastAsia="黑体" w:cs="宋体"/>
          <w:bCs/>
          <w:color w:val="000000" w:themeColor="text1"/>
          <w:sz w:val="24"/>
          <w:highlight w:val="none"/>
          <w14:textFill>
            <w14:solidFill>
              <w14:schemeClr w14:val="tx1"/>
            </w14:solidFill>
          </w14:textFill>
        </w:rPr>
        <w:t>一、项目基本情况</w:t>
      </w:r>
      <w:bookmarkEnd w:id="2"/>
      <w:bookmarkEnd w:id="3"/>
      <w:bookmarkEnd w:id="4"/>
      <w:bookmarkEnd w:id="5"/>
      <w:bookmarkEnd w:id="6"/>
    </w:p>
    <w:p w14:paraId="3E5B839D">
      <w:pPr>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1.项目编号：</w:t>
      </w:r>
      <w:r>
        <w:rPr>
          <w:rFonts w:hint="eastAsia" w:ascii="宋体" w:hAnsi="宋体"/>
          <w:color w:val="000000" w:themeColor="text1"/>
          <w:szCs w:val="21"/>
          <w:highlight w:val="none"/>
          <w:lang w:eastAsia="zh-CN"/>
          <w14:textFill>
            <w14:solidFill>
              <w14:schemeClr w14:val="tx1"/>
            </w14:solidFill>
          </w14:textFill>
        </w:rPr>
        <w:t>NNZC2026-C2-270067-YZLZ</w:t>
      </w:r>
    </w:p>
    <w:p w14:paraId="142E709A">
      <w:pPr>
        <w:spacing w:line="360" w:lineRule="auto"/>
        <w:ind w:firstLine="420" w:firstLineChars="200"/>
        <w:rPr>
          <w:rFonts w:hint="eastAsia" w:ascii="宋体" w:hAnsi="宋体" w:eastAsia="宋体"/>
          <w:color w:val="000000" w:themeColor="text1"/>
          <w:szCs w:val="21"/>
          <w:highlight w:val="none"/>
          <w:u w:val="singl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2.项目名称：</w:t>
      </w:r>
      <w:r>
        <w:rPr>
          <w:rFonts w:hint="eastAsia" w:ascii="宋体" w:hAnsi="宋体"/>
          <w:color w:val="000000" w:themeColor="text1"/>
          <w:szCs w:val="21"/>
          <w:highlight w:val="none"/>
          <w:lang w:eastAsia="zh-CN"/>
          <w14:textFill>
            <w14:solidFill>
              <w14:schemeClr w14:val="tx1"/>
            </w14:solidFill>
          </w14:textFill>
        </w:rPr>
        <w:t>横州市横州镇龙池小学聚贤楼维修项目</w:t>
      </w:r>
    </w:p>
    <w:p w14:paraId="09DD3FE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3.采购方式：竞争性磋商</w:t>
      </w:r>
    </w:p>
    <w:p w14:paraId="363E71C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4.预算金额：</w:t>
      </w:r>
      <w:r>
        <w:rPr>
          <w:rFonts w:hint="eastAsia" w:ascii="宋体" w:hAnsi="宋体"/>
          <w:color w:val="000000" w:themeColor="text1"/>
          <w:szCs w:val="21"/>
          <w:highlight w:val="none"/>
          <w:lang w:eastAsia="zh-CN"/>
          <w14:textFill>
            <w14:solidFill>
              <w14:schemeClr w14:val="tx1"/>
            </w14:solidFill>
          </w14:textFill>
        </w:rPr>
        <w:t>612388.77</w:t>
      </w:r>
      <w:r>
        <w:rPr>
          <w:rFonts w:hint="eastAsia" w:ascii="宋体" w:hAnsi="宋体"/>
          <w:color w:val="000000" w:themeColor="text1"/>
          <w:szCs w:val="21"/>
          <w:highlight w:val="none"/>
          <w14:textFill>
            <w14:solidFill>
              <w14:schemeClr w14:val="tx1"/>
            </w14:solidFill>
          </w14:textFill>
        </w:rPr>
        <w:t>元</w:t>
      </w:r>
    </w:p>
    <w:p w14:paraId="7C087E2A">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5.最高限价：</w:t>
      </w:r>
      <w:r>
        <w:rPr>
          <w:rFonts w:hint="eastAsia" w:ascii="宋体" w:hAnsi="宋体"/>
          <w:color w:val="000000" w:themeColor="text1"/>
          <w:szCs w:val="21"/>
          <w:highlight w:val="none"/>
          <w:lang w:eastAsia="zh-CN"/>
          <w14:textFill>
            <w14:solidFill>
              <w14:schemeClr w14:val="tx1"/>
            </w14:solidFill>
          </w14:textFill>
        </w:rPr>
        <w:t>612388.77</w:t>
      </w:r>
      <w:r>
        <w:rPr>
          <w:rFonts w:hint="eastAsia" w:ascii="宋体" w:hAnsi="宋体"/>
          <w:color w:val="000000" w:themeColor="text1"/>
          <w:szCs w:val="21"/>
          <w:highlight w:val="none"/>
          <w14:textFill>
            <w14:solidFill>
              <w14:schemeClr w14:val="tx1"/>
            </w14:solidFill>
          </w14:textFill>
        </w:rPr>
        <w:t>元</w:t>
      </w:r>
    </w:p>
    <w:p w14:paraId="33B8164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6.采购需求：</w:t>
      </w:r>
    </w:p>
    <w:tbl>
      <w:tblPr>
        <w:tblStyle w:val="53"/>
        <w:tblW w:w="93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2031"/>
        <w:gridCol w:w="850"/>
        <w:gridCol w:w="851"/>
        <w:gridCol w:w="4773"/>
      </w:tblGrid>
      <w:tr w14:paraId="51B2BA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14:paraId="56B166A8">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2031" w:type="dxa"/>
            <w:tcBorders>
              <w:top w:val="single" w:color="auto" w:sz="4" w:space="0"/>
              <w:left w:val="single" w:color="auto" w:sz="4" w:space="0"/>
              <w:bottom w:val="single" w:color="auto" w:sz="4" w:space="0"/>
              <w:right w:val="single" w:color="auto" w:sz="4" w:space="0"/>
            </w:tcBorders>
            <w:vAlign w:val="center"/>
          </w:tcPr>
          <w:p w14:paraId="311A6121">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标的的名称</w:t>
            </w:r>
          </w:p>
        </w:tc>
        <w:tc>
          <w:tcPr>
            <w:tcW w:w="850" w:type="dxa"/>
            <w:tcBorders>
              <w:top w:val="single" w:color="auto" w:sz="4" w:space="0"/>
              <w:left w:val="single" w:color="auto" w:sz="4" w:space="0"/>
              <w:bottom w:val="single" w:color="auto" w:sz="4" w:space="0"/>
              <w:right w:val="single" w:color="auto" w:sz="4" w:space="0"/>
            </w:tcBorders>
            <w:vAlign w:val="center"/>
          </w:tcPr>
          <w:p w14:paraId="586CB8AE">
            <w:pPr>
              <w:keepNext w:val="0"/>
              <w:keepLines w:val="0"/>
              <w:suppressLineNumbers w:val="0"/>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w:t>
            </w:r>
          </w:p>
        </w:tc>
        <w:tc>
          <w:tcPr>
            <w:tcW w:w="851" w:type="dxa"/>
            <w:tcBorders>
              <w:top w:val="single" w:color="auto" w:sz="4" w:space="0"/>
              <w:left w:val="single" w:color="auto" w:sz="4" w:space="0"/>
              <w:bottom w:val="single" w:color="auto" w:sz="4" w:space="0"/>
              <w:right w:val="single" w:color="auto" w:sz="4" w:space="0"/>
            </w:tcBorders>
            <w:vAlign w:val="center"/>
          </w:tcPr>
          <w:p w14:paraId="173CE3BF">
            <w:pPr>
              <w:keepNext w:val="0"/>
              <w:keepLines w:val="0"/>
              <w:suppressLineNumbers w:val="0"/>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w:t>
            </w:r>
          </w:p>
        </w:tc>
        <w:tc>
          <w:tcPr>
            <w:tcW w:w="4773" w:type="dxa"/>
            <w:tcBorders>
              <w:top w:val="single" w:color="auto" w:sz="4" w:space="0"/>
              <w:left w:val="single" w:color="auto" w:sz="4" w:space="0"/>
              <w:bottom w:val="single" w:color="auto" w:sz="4" w:space="0"/>
              <w:right w:val="single" w:color="auto" w:sz="4" w:space="0"/>
            </w:tcBorders>
            <w:vAlign w:val="center"/>
          </w:tcPr>
          <w:p w14:paraId="131FD284">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采购范围</w:t>
            </w:r>
          </w:p>
        </w:tc>
      </w:tr>
      <w:tr w14:paraId="07F8FC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14:paraId="5E82C509">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2031" w:type="dxa"/>
            <w:tcBorders>
              <w:top w:val="single" w:color="auto" w:sz="4" w:space="0"/>
              <w:left w:val="single" w:color="auto" w:sz="4" w:space="0"/>
              <w:bottom w:val="single" w:color="auto" w:sz="4" w:space="0"/>
              <w:right w:val="single" w:color="auto" w:sz="4" w:space="0"/>
            </w:tcBorders>
            <w:vAlign w:val="center"/>
          </w:tcPr>
          <w:p w14:paraId="1DABB729">
            <w:pPr>
              <w:keepNext w:val="0"/>
              <w:keepLines w:val="0"/>
              <w:suppressLineNumbers w:val="0"/>
              <w:snapToGrid w:val="0"/>
              <w:spacing w:before="0" w:beforeAutospacing="0" w:after="0" w:afterAutospacing="0" w:line="360" w:lineRule="auto"/>
              <w:ind w:left="0" w:right="0"/>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横州市横州镇龙池小学聚贤楼维修项目</w:t>
            </w:r>
          </w:p>
        </w:tc>
        <w:tc>
          <w:tcPr>
            <w:tcW w:w="850" w:type="dxa"/>
            <w:tcBorders>
              <w:top w:val="single" w:color="auto" w:sz="4" w:space="0"/>
              <w:left w:val="single" w:color="auto" w:sz="4" w:space="0"/>
              <w:bottom w:val="single" w:color="auto" w:sz="4" w:space="0"/>
              <w:right w:val="single" w:color="auto" w:sz="4" w:space="0"/>
            </w:tcBorders>
            <w:vAlign w:val="center"/>
          </w:tcPr>
          <w:p w14:paraId="0A2A5A18">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851" w:type="dxa"/>
            <w:tcBorders>
              <w:top w:val="single" w:color="auto" w:sz="4" w:space="0"/>
              <w:left w:val="single" w:color="auto" w:sz="4" w:space="0"/>
              <w:bottom w:val="single" w:color="auto" w:sz="4" w:space="0"/>
              <w:right w:val="single" w:color="auto" w:sz="4" w:space="0"/>
            </w:tcBorders>
            <w:vAlign w:val="center"/>
          </w:tcPr>
          <w:p w14:paraId="6566450F">
            <w:pPr>
              <w:keepNext w:val="0"/>
              <w:keepLines w:val="0"/>
              <w:suppressLineNumbers w:val="0"/>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w:t>
            </w:r>
          </w:p>
        </w:tc>
        <w:tc>
          <w:tcPr>
            <w:tcW w:w="4773" w:type="dxa"/>
            <w:tcBorders>
              <w:top w:val="single" w:color="auto" w:sz="4" w:space="0"/>
              <w:left w:val="single" w:color="auto" w:sz="4" w:space="0"/>
              <w:bottom w:val="single" w:color="auto" w:sz="4" w:space="0"/>
              <w:right w:val="single" w:color="auto" w:sz="4" w:space="0"/>
            </w:tcBorders>
            <w:vAlign w:val="center"/>
          </w:tcPr>
          <w:p w14:paraId="0A38F89D">
            <w:pPr>
              <w:keepNext w:val="0"/>
              <w:keepLines w:val="0"/>
              <w:suppressLineNumbers w:val="0"/>
              <w:snapToGrid w:val="0"/>
              <w:spacing w:before="0" w:beforeAutospacing="0" w:after="0" w:afterAutospacing="0" w:line="360" w:lineRule="auto"/>
              <w:ind w:left="0" w:right="0"/>
              <w:rPr>
                <w:rFonts w:hint="default"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1.项目概况</w:t>
            </w:r>
          </w:p>
          <w:p w14:paraId="4B3863D5">
            <w:pPr>
              <w:keepNext w:val="0"/>
              <w:keepLines w:val="0"/>
              <w:suppressLineNumbers w:val="0"/>
              <w:snapToGrid w:val="0"/>
              <w:spacing w:before="0" w:beforeAutospacing="0" w:after="0" w:afterAutospacing="0" w:line="360" w:lineRule="auto"/>
              <w:ind w:left="0" w:right="0"/>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项目建设地点:横州市横州镇。</w:t>
            </w:r>
          </w:p>
          <w:p w14:paraId="46B3C41B">
            <w:pPr>
              <w:keepNext w:val="0"/>
              <w:keepLines w:val="0"/>
              <w:suppressLineNumbers w:val="0"/>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2.本工程包含范围：主要包含铲除正面瓷砖、刷外墙涂料、教室外走廊面重新粉刷、走廊天面、栏板内侧维修、厕所改造等，维修面积5186平方米。</w:t>
            </w:r>
            <w:r>
              <w:rPr>
                <w:rFonts w:hint="default" w:ascii="宋体" w:hAnsi="宋体" w:eastAsia="宋体" w:cs="Times New Roman"/>
                <w:color w:val="000000" w:themeColor="text1"/>
                <w:szCs w:val="21"/>
                <w:highlight w:val="none"/>
                <w14:textFill>
                  <w14:solidFill>
                    <w14:schemeClr w14:val="tx1"/>
                  </w14:solidFill>
                </w14:textFill>
              </w:rPr>
              <w:t>具体详见工程量清单及施工图纸</w:t>
            </w:r>
            <w:r>
              <w:rPr>
                <w:rFonts w:hint="eastAsia" w:ascii="宋体" w:hAnsi="宋体" w:eastAsia="宋体" w:cs="Times New Roman"/>
                <w:color w:val="000000" w:themeColor="text1"/>
                <w:szCs w:val="21"/>
                <w:highlight w:val="none"/>
                <w:lang w:eastAsia="zh-CN"/>
                <w14:textFill>
                  <w14:solidFill>
                    <w14:schemeClr w14:val="tx1"/>
                  </w14:solidFill>
                </w14:textFill>
              </w:rPr>
              <w:t>。</w:t>
            </w:r>
          </w:p>
        </w:tc>
      </w:tr>
    </w:tbl>
    <w:p w14:paraId="6203900C">
      <w:pPr>
        <w:spacing w:line="360" w:lineRule="auto"/>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7.合同履行期限：签订合同之日起</w:t>
      </w:r>
      <w:r>
        <w:rPr>
          <w:rFonts w:hint="eastAsia" w:ascii="宋体" w:hAnsi="宋体"/>
          <w:color w:val="000000" w:themeColor="text1"/>
          <w:szCs w:val="21"/>
          <w:highlight w:val="none"/>
          <w:lang w:val="en-US" w:eastAsia="zh-CN"/>
          <w14:textFill>
            <w14:solidFill>
              <w14:schemeClr w14:val="tx1"/>
            </w14:solidFill>
          </w14:textFill>
        </w:rPr>
        <w:t>60</w:t>
      </w:r>
      <w:r>
        <w:rPr>
          <w:rFonts w:hint="eastAsia" w:ascii="宋体" w:hAnsi="宋体"/>
          <w:color w:val="000000" w:themeColor="text1"/>
          <w:szCs w:val="21"/>
          <w:highlight w:val="none"/>
          <w14:textFill>
            <w14:solidFill>
              <w14:schemeClr w14:val="tx1"/>
            </w14:solidFill>
          </w14:textFill>
        </w:rPr>
        <w:t>日历天。</w:t>
      </w:r>
    </w:p>
    <w:p w14:paraId="798C31D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8.本项目是否接受联合体：□是，√否</w:t>
      </w:r>
    </w:p>
    <w:p w14:paraId="02C82CC4">
      <w:pPr>
        <w:spacing w:line="360" w:lineRule="auto"/>
        <w:ind w:firstLine="482" w:firstLineChars="200"/>
        <w:rPr>
          <w:rFonts w:ascii="黑体" w:hAnsi="黑体" w:eastAsia="黑体" w:cs="宋体"/>
          <w:bCs/>
          <w:color w:val="000000" w:themeColor="text1"/>
          <w:sz w:val="24"/>
          <w:highlight w:val="none"/>
          <w14:textFill>
            <w14:solidFill>
              <w14:schemeClr w14:val="tx1"/>
            </w14:solidFill>
          </w14:textFill>
        </w:rPr>
      </w:pPr>
      <w:bookmarkStart w:id="11" w:name="_Toc35393630"/>
      <w:bookmarkStart w:id="12" w:name="_Toc28359013"/>
      <w:bookmarkStart w:id="13" w:name="_Toc35393799"/>
      <w:bookmarkStart w:id="14" w:name="_Toc44229879"/>
      <w:bookmarkStart w:id="15" w:name="_Toc28359090"/>
      <w:r>
        <w:rPr>
          <w:rFonts w:hint="eastAsia" w:ascii="黑体" w:hAnsi="黑体" w:eastAsia="黑体" w:cs="宋体"/>
          <w:b/>
          <w:color w:val="000000" w:themeColor="text1"/>
          <w:kern w:val="44"/>
          <w:sz w:val="24"/>
          <w:highlight w:val="none"/>
          <w14:textFill>
            <w14:solidFill>
              <w14:schemeClr w14:val="tx1"/>
            </w14:solidFill>
          </w14:textFill>
        </w:rPr>
        <w:t>二、供应商的资格条件</w:t>
      </w:r>
      <w:bookmarkEnd w:id="11"/>
      <w:bookmarkEnd w:id="12"/>
      <w:bookmarkEnd w:id="13"/>
      <w:bookmarkEnd w:id="14"/>
      <w:bookmarkEnd w:id="15"/>
    </w:p>
    <w:p w14:paraId="31380CB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1.满足《中华人民共和国政府采购法》第二十二条规定；</w:t>
      </w:r>
    </w:p>
    <w:p w14:paraId="3FC80C7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2.落实政府采购政策需满足的资格要求：</w:t>
      </w:r>
    </w:p>
    <w:p w14:paraId="0D8E9822">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√专门面向</w:t>
      </w:r>
      <w:r>
        <w:rPr>
          <w:rFonts w:hint="eastAsia" w:ascii="宋体" w:hAnsi="宋体"/>
          <w:b/>
          <w:bCs/>
          <w:color w:val="000000" w:themeColor="text1"/>
          <w:szCs w:val="21"/>
          <w:highlight w:val="none"/>
          <w:lang w:val="en-US" w:eastAsia="zh-CN"/>
          <w14:textFill>
            <w14:solidFill>
              <w14:schemeClr w14:val="tx1"/>
            </w14:solidFill>
          </w14:textFill>
        </w:rPr>
        <w:t>小微</w:t>
      </w:r>
      <w:r>
        <w:rPr>
          <w:rFonts w:hint="eastAsia" w:ascii="宋体" w:hAnsi="宋体"/>
          <w:b/>
          <w:bCs/>
          <w:color w:val="000000" w:themeColor="text1"/>
          <w:szCs w:val="21"/>
          <w:highlight w:val="none"/>
          <w14:textFill>
            <w14:solidFill>
              <w14:schemeClr w14:val="tx1"/>
            </w14:solidFill>
          </w14:textFill>
        </w:rPr>
        <w:t>企业采购的项目（供应商应为</w:t>
      </w:r>
      <w:r>
        <w:rPr>
          <w:rFonts w:hint="eastAsia" w:ascii="宋体" w:hAnsi="宋体"/>
          <w:b/>
          <w:bCs/>
          <w:color w:val="000000" w:themeColor="text1"/>
          <w:szCs w:val="21"/>
          <w:highlight w:val="none"/>
          <w:lang w:val="en-US" w:eastAsia="zh-CN"/>
          <w14:textFill>
            <w14:solidFill>
              <w14:schemeClr w14:val="tx1"/>
            </w14:solidFill>
          </w14:textFill>
        </w:rPr>
        <w:t>小微</w:t>
      </w:r>
      <w:r>
        <w:rPr>
          <w:rFonts w:hint="eastAsia" w:ascii="宋体" w:hAnsi="宋体"/>
          <w:b/>
          <w:bCs/>
          <w:color w:val="000000" w:themeColor="text1"/>
          <w:szCs w:val="21"/>
          <w:highlight w:val="none"/>
          <w14:textFill>
            <w14:solidFill>
              <w14:schemeClr w14:val="tx1"/>
            </w14:solidFill>
          </w14:textFill>
        </w:rPr>
        <w:t>企业、监狱企业、残疾人福利性单位)</w:t>
      </w:r>
    </w:p>
    <w:p w14:paraId="1B5A907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□非专门面向中小企业采购的项目</w:t>
      </w:r>
    </w:p>
    <w:p w14:paraId="023C7B2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3.本项目的特定资格要求：</w:t>
      </w:r>
    </w:p>
    <w:p w14:paraId="3FE44C02">
      <w:pPr>
        <w:spacing w:line="360" w:lineRule="auto"/>
        <w:ind w:firstLine="420" w:firstLineChars="200"/>
        <w:rPr>
          <w:rFonts w:hint="eastAsia" w:ascii="宋体" w:hAnsi="宋体" w:eastAsia="宋体"/>
          <w:color w:val="000000" w:themeColor="text1"/>
          <w:szCs w:val="21"/>
          <w:highlight w:val="none"/>
          <w:u w:val="single"/>
          <w:lang w:eastAsia="zh-CN"/>
          <w14:textFill>
            <w14:solidFill>
              <w14:schemeClr w14:val="tx1"/>
            </w14:solidFill>
          </w14:textFill>
        </w:rPr>
      </w:pPr>
      <w:r>
        <w:rPr>
          <w:rFonts w:hint="eastAsia" w:ascii="宋体" w:hAnsi="宋体" w:eastAsia="宋体"/>
          <w:color w:val="000000" w:themeColor="text1"/>
          <w:szCs w:val="21"/>
          <w:highlight w:val="none"/>
          <w:u w:val="single"/>
          <w14:textFill>
            <w14:solidFill>
              <w14:schemeClr w14:val="tx1"/>
            </w14:solidFill>
          </w14:textFill>
        </w:rPr>
        <w:t>（1）</w:t>
      </w:r>
      <w:r>
        <w:rPr>
          <w:rFonts w:hint="eastAsia" w:ascii="宋体" w:hAnsi="宋体" w:eastAsia="宋体"/>
          <w:color w:val="000000" w:themeColor="text1"/>
          <w:szCs w:val="21"/>
          <w:highlight w:val="none"/>
          <w:u w:val="single"/>
          <w:lang w:eastAsia="zh-CN"/>
          <w14:textFill>
            <w14:solidFill>
              <w14:schemeClr w14:val="tx1"/>
            </w14:solidFill>
          </w14:textFill>
        </w:rPr>
        <w:t>磋商供应商</w:t>
      </w:r>
      <w:r>
        <w:rPr>
          <w:rFonts w:ascii="宋体" w:hAnsi="宋体" w:eastAsia="宋体"/>
          <w:color w:val="000000" w:themeColor="text1"/>
          <w:szCs w:val="21"/>
          <w:highlight w:val="none"/>
          <w14:textFill>
            <w14:solidFill>
              <w14:schemeClr w14:val="tx1"/>
            </w14:solidFill>
          </w14:textFill>
        </w:rPr>
        <w:t>须具备建筑工程施工总承包三级以上（含三级）资质，具有有效的</w:t>
      </w:r>
      <w:r>
        <w:rPr>
          <w:rFonts w:hint="eastAsia" w:ascii="宋体" w:hAnsi="宋体" w:eastAsia="宋体"/>
          <w:color w:val="000000" w:themeColor="text1"/>
          <w:szCs w:val="21"/>
          <w:highlight w:val="none"/>
          <w:u w:val="single"/>
          <w:lang w:eastAsia="zh-CN"/>
          <w14:textFill>
            <w14:solidFill>
              <w14:schemeClr w14:val="tx1"/>
            </w14:solidFill>
          </w14:textFill>
        </w:rPr>
        <w:t>建设行政主管部门</w:t>
      </w:r>
      <w:r>
        <w:rPr>
          <w:rFonts w:hint="eastAsia" w:ascii="宋体" w:hAnsi="宋体"/>
          <w:color w:val="000000" w:themeColor="text1"/>
          <w:szCs w:val="21"/>
          <w:highlight w:val="none"/>
          <w:u w:val="single"/>
          <w:lang w:val="en-US" w:eastAsia="zh-CN"/>
          <w14:textFill>
            <w14:solidFill>
              <w14:schemeClr w14:val="tx1"/>
            </w14:solidFill>
          </w14:textFill>
        </w:rPr>
        <w:t>颁发的</w:t>
      </w:r>
      <w:r>
        <w:rPr>
          <w:rFonts w:hint="eastAsia" w:ascii="宋体" w:hAnsi="宋体" w:eastAsia="宋体"/>
          <w:color w:val="000000" w:themeColor="text1"/>
          <w:szCs w:val="21"/>
          <w:highlight w:val="none"/>
          <w:u w:val="single"/>
          <w:lang w:eastAsia="zh-CN"/>
          <w14:textFill>
            <w14:solidFill>
              <w14:schemeClr w14:val="tx1"/>
            </w14:solidFill>
          </w14:textFill>
        </w:rPr>
        <w:t>，并在人员、设备、资金等方面具备相应的施工能力。</w:t>
      </w:r>
    </w:p>
    <w:p w14:paraId="22562DCD">
      <w:pPr>
        <w:spacing w:line="360" w:lineRule="auto"/>
        <w:ind w:firstLine="420" w:firstLineChars="200"/>
        <w:rPr>
          <w:rFonts w:hint="eastAsia" w:ascii="宋体" w:hAnsi="宋体" w:eastAsia="宋体"/>
          <w:color w:val="000000" w:themeColor="text1"/>
          <w:szCs w:val="21"/>
          <w:highlight w:val="none"/>
          <w:u w:val="single"/>
          <w14:textFill>
            <w14:solidFill>
              <w14:schemeClr w14:val="tx1"/>
            </w14:solidFill>
          </w14:textFill>
        </w:rPr>
      </w:pPr>
      <w:r>
        <w:rPr>
          <w:rFonts w:hint="eastAsia" w:ascii="宋体" w:hAnsi="宋体" w:eastAsia="宋体"/>
          <w:color w:val="000000" w:themeColor="text1"/>
          <w:szCs w:val="21"/>
          <w:highlight w:val="none"/>
          <w:u w:val="single"/>
          <w14:textFill>
            <w14:solidFill>
              <w14:schemeClr w14:val="tx1"/>
            </w14:solidFill>
          </w14:textFill>
        </w:rPr>
        <w:t>（2）供应商拟派的项目经理须具备建筑工程专业贰级(含)以上注册建造师执业资格及有效的安全生产考核合格证书（B类），本项目不接受在建、已中标未开工或已列为其他项目</w:t>
      </w:r>
      <w:r>
        <w:rPr>
          <w:rFonts w:hint="eastAsia" w:ascii="宋体" w:hAnsi="宋体"/>
          <w:color w:val="000000" w:themeColor="text1"/>
          <w:szCs w:val="21"/>
          <w:highlight w:val="none"/>
          <w:u w:val="single"/>
          <w:lang w:eastAsia="zh-CN"/>
          <w14:textFill>
            <w14:solidFill>
              <w14:schemeClr w14:val="tx1"/>
            </w14:solidFill>
          </w14:textFill>
        </w:rPr>
        <w:t>成交候选人</w:t>
      </w:r>
      <w:r>
        <w:rPr>
          <w:rFonts w:hint="eastAsia" w:ascii="宋体" w:hAnsi="宋体" w:eastAsia="宋体"/>
          <w:color w:val="000000" w:themeColor="text1"/>
          <w:szCs w:val="21"/>
          <w:highlight w:val="none"/>
          <w:u w:val="single"/>
          <w14:textFill>
            <w14:solidFill>
              <w14:schemeClr w14:val="tx1"/>
            </w14:solidFill>
          </w14:textFill>
        </w:rPr>
        <w:t>第一名的建造师作为项目经理。</w:t>
      </w:r>
      <w:r>
        <w:rPr>
          <w:rFonts w:hint="eastAsia" w:ascii="Times New Roman" w:hAnsi="Times New Roman" w:eastAsia="宋体" w:cs="Times New Roman"/>
          <w:color w:val="000000" w:themeColor="text1"/>
          <w:kern w:val="2"/>
          <w:sz w:val="21"/>
          <w:szCs w:val="24"/>
          <w:highlight w:val="none"/>
          <w:u w:val="single"/>
          <w:lang w:val="en-US" w:eastAsia="zh-CN" w:bidi="ar"/>
          <w14:textFill>
            <w14:solidFill>
              <w14:schemeClr w14:val="tx1"/>
            </w14:solidFill>
          </w14:textFill>
        </w:rPr>
        <w:t>符合《广西壮族自治区建筑市场诚信卡管理暂行办法》第十六条第一款及桂建管﹝</w:t>
      </w:r>
      <w:r>
        <w:rPr>
          <w:rFonts w:hint="default" w:ascii="Times New Roman" w:hAnsi="Times New Roman" w:eastAsia="宋体" w:cs="Times New Roman"/>
          <w:color w:val="000000" w:themeColor="text1"/>
          <w:kern w:val="2"/>
          <w:sz w:val="21"/>
          <w:szCs w:val="24"/>
          <w:highlight w:val="none"/>
          <w:u w:val="single"/>
          <w:lang w:val="en-US" w:eastAsia="zh-CN" w:bidi="ar"/>
          <w14:textFill>
            <w14:solidFill>
              <w14:schemeClr w14:val="tx1"/>
            </w14:solidFill>
          </w14:textFill>
        </w:rPr>
        <w:t>2016</w:t>
      </w:r>
      <w:r>
        <w:rPr>
          <w:rFonts w:hint="eastAsia" w:ascii="Times New Roman" w:hAnsi="Times New Roman" w:eastAsia="宋体" w:cs="Times New Roman"/>
          <w:color w:val="000000" w:themeColor="text1"/>
          <w:kern w:val="2"/>
          <w:sz w:val="21"/>
          <w:szCs w:val="24"/>
          <w:highlight w:val="none"/>
          <w:u w:val="single"/>
          <w:lang w:val="en-US" w:eastAsia="zh-CN" w:bidi="ar"/>
          <w14:textFill>
            <w14:solidFill>
              <w14:schemeClr w14:val="tx1"/>
            </w14:solidFill>
          </w14:textFill>
        </w:rPr>
        <w:t>﹞</w:t>
      </w:r>
      <w:r>
        <w:rPr>
          <w:rFonts w:hint="default" w:ascii="Times New Roman" w:hAnsi="Times New Roman" w:eastAsia="宋体" w:cs="Times New Roman"/>
          <w:color w:val="000000" w:themeColor="text1"/>
          <w:kern w:val="2"/>
          <w:sz w:val="21"/>
          <w:szCs w:val="24"/>
          <w:highlight w:val="none"/>
          <w:u w:val="single"/>
          <w:lang w:val="en-US" w:eastAsia="zh-CN" w:bidi="ar"/>
          <w14:textFill>
            <w14:solidFill>
              <w14:schemeClr w14:val="tx1"/>
            </w14:solidFill>
          </w14:textFill>
        </w:rPr>
        <w:t>70</w:t>
      </w:r>
      <w:r>
        <w:rPr>
          <w:rFonts w:hint="eastAsia" w:ascii="Times New Roman" w:hAnsi="Times New Roman" w:eastAsia="宋体" w:cs="Times New Roman"/>
          <w:color w:val="000000" w:themeColor="text1"/>
          <w:kern w:val="2"/>
          <w:sz w:val="21"/>
          <w:szCs w:val="24"/>
          <w:highlight w:val="none"/>
          <w:u w:val="single"/>
          <w:lang w:val="en-US" w:eastAsia="zh-CN" w:bidi="ar"/>
          <w14:textFill>
            <w14:solidFill>
              <w14:schemeClr w14:val="tx1"/>
            </w14:solidFill>
          </w14:textFill>
        </w:rPr>
        <w:t>号文除外</w:t>
      </w:r>
      <w:r>
        <w:rPr>
          <w:rFonts w:hint="eastAsia" w:cs="Times New Roman"/>
          <w:color w:val="000000" w:themeColor="text1"/>
          <w:kern w:val="2"/>
          <w:sz w:val="21"/>
          <w:szCs w:val="24"/>
          <w:highlight w:val="none"/>
          <w:u w:val="single"/>
          <w:lang w:val="en-US" w:eastAsia="zh-CN" w:bidi="ar"/>
          <w14:textFill>
            <w14:solidFill>
              <w14:schemeClr w14:val="tx1"/>
            </w14:solidFill>
          </w14:textFill>
        </w:rPr>
        <w:t>。</w:t>
      </w:r>
    </w:p>
    <w:p w14:paraId="432E3903">
      <w:pPr>
        <w:spacing w:line="360" w:lineRule="auto"/>
        <w:ind w:firstLine="420" w:firstLineChars="200"/>
        <w:rPr>
          <w:rFonts w:hint="eastAsia" w:ascii="宋体" w:hAnsi="宋体" w:eastAsia="宋体"/>
          <w:color w:val="000000" w:themeColor="text1"/>
          <w:szCs w:val="21"/>
          <w:highlight w:val="none"/>
          <w:u w:val="single"/>
          <w14:textFill>
            <w14:solidFill>
              <w14:schemeClr w14:val="tx1"/>
            </w14:solidFill>
          </w14:textFill>
        </w:rPr>
      </w:pPr>
      <w:r>
        <w:rPr>
          <w:rFonts w:hint="eastAsia" w:ascii="宋体" w:hAnsi="宋体" w:eastAsia="宋体"/>
          <w:color w:val="000000" w:themeColor="text1"/>
          <w:szCs w:val="21"/>
          <w:highlight w:val="none"/>
          <w:u w:val="single"/>
          <w14:textFill>
            <w14:solidFill>
              <w14:schemeClr w14:val="tx1"/>
            </w14:solidFill>
          </w14:textFill>
        </w:rPr>
        <w:t>（3）拟投入本工程至少1名专职安全生产管理人员且具有有效的安全生产考核合格证书（C类）。</w:t>
      </w:r>
    </w:p>
    <w:p w14:paraId="6BF1388A">
      <w:pPr>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 本项目的特定条件：无</w:t>
      </w:r>
      <w:r>
        <w:rPr>
          <w:rFonts w:hint="eastAsia" w:ascii="宋体" w:hAnsi="宋体"/>
          <w:color w:val="000000" w:themeColor="text1"/>
          <w:szCs w:val="21"/>
          <w:highlight w:val="none"/>
          <w:lang w:eastAsia="zh-CN"/>
          <w14:textFill>
            <w14:solidFill>
              <w14:schemeClr w14:val="tx1"/>
            </w14:solidFill>
          </w14:textFill>
        </w:rPr>
        <w:t>。</w:t>
      </w:r>
    </w:p>
    <w:p w14:paraId="1CF0B053">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41EA99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7CB455C6">
      <w:pPr>
        <w:spacing w:line="360" w:lineRule="auto"/>
        <w:ind w:firstLine="482" w:firstLineChars="200"/>
        <w:rPr>
          <w:rFonts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三、获取竞争性磋商文件</w:t>
      </w:r>
      <w:bookmarkEnd w:id="7"/>
      <w:bookmarkEnd w:id="8"/>
      <w:bookmarkEnd w:id="9"/>
      <w:bookmarkEnd w:id="10"/>
    </w:p>
    <w:p w14:paraId="6DB75D1C">
      <w:pPr>
        <w:spacing w:line="360" w:lineRule="auto"/>
        <w:ind w:firstLine="420" w:firstLineChars="200"/>
        <w:rPr>
          <w:rFonts w:ascii="宋体" w:hAnsi="宋体"/>
          <w:color w:val="000000" w:themeColor="text1"/>
          <w:szCs w:val="21"/>
          <w:highlight w:val="none"/>
          <w14:textFill>
            <w14:solidFill>
              <w14:schemeClr w14:val="tx1"/>
            </w14:solidFill>
          </w14:textFill>
        </w:rPr>
      </w:pPr>
      <w:bookmarkStart w:id="16" w:name="_Toc28359005"/>
      <w:bookmarkStart w:id="17" w:name="_Toc35393793"/>
      <w:bookmarkStart w:id="18" w:name="_Toc35393624"/>
      <w:bookmarkStart w:id="19" w:name="_Toc28359082"/>
      <w:r>
        <w:rPr>
          <w:rFonts w:hint="eastAsia" w:ascii="宋体" w:hAnsi="宋体"/>
          <w:color w:val="000000" w:themeColor="text1"/>
          <w:szCs w:val="21"/>
          <w:highlight w:val="none"/>
          <w14:textFill>
            <w14:solidFill>
              <w14:schemeClr w14:val="tx1"/>
            </w14:solidFill>
          </w14:textFill>
        </w:rPr>
        <w:t>时间：自公告发布之日起。</w:t>
      </w:r>
    </w:p>
    <w:p w14:paraId="161E1DCC">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获取方式:网上下载。本项目不发放纸质采购文件，供应商可自行在广西政府采购云平台（https://www.gcy.zfcg.gxzf.gov.cn/）下载采购文件（操作路径：登录广西政府采购云平台-项目采购-获取采购文件-找到本项目-点击“申请获取采购文件”），电子响应文件制作需要基于广西政府采购云平台（https://www.gcy.zfcg.gxzf.gov.cn/）获取的采购文件编制。售价：0元。</w:t>
      </w:r>
    </w:p>
    <w:p w14:paraId="674F3D73">
      <w:pPr>
        <w:spacing w:line="360" w:lineRule="auto"/>
        <w:ind w:firstLine="482" w:firstLineChars="200"/>
        <w:rPr>
          <w:rFonts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四、</w:t>
      </w:r>
      <w:bookmarkEnd w:id="16"/>
      <w:bookmarkEnd w:id="17"/>
      <w:bookmarkEnd w:id="18"/>
      <w:bookmarkEnd w:id="19"/>
      <w:r>
        <w:rPr>
          <w:rFonts w:hint="eastAsia" w:ascii="黑体" w:hAnsi="黑体" w:eastAsia="黑体"/>
          <w:b/>
          <w:bCs/>
          <w:color w:val="000000" w:themeColor="text1"/>
          <w:sz w:val="24"/>
          <w:highlight w:val="none"/>
          <w14:textFill>
            <w14:solidFill>
              <w14:schemeClr w14:val="tx1"/>
            </w14:solidFill>
          </w14:textFill>
        </w:rPr>
        <w:t>响应文件提交</w:t>
      </w:r>
    </w:p>
    <w:p w14:paraId="3329985A">
      <w:pPr>
        <w:spacing w:line="360" w:lineRule="auto"/>
        <w:ind w:firstLine="420" w:firstLineChars="200"/>
        <w:rPr>
          <w:rFonts w:ascii="宋体" w:hAnsi="宋体" w:cs="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1、首次响应文件提交截止时间</w:t>
      </w:r>
      <w:r>
        <w:rPr>
          <w:rFonts w:hint="eastAsia" w:ascii="宋体" w:hAnsi="宋体"/>
          <w:bCs/>
          <w:color w:val="000000" w:themeColor="text1"/>
          <w:szCs w:val="21"/>
          <w:highlight w:val="none"/>
          <w14:textFill>
            <w14:solidFill>
              <w14:schemeClr w14:val="tx1"/>
            </w14:solidFill>
          </w14:textFill>
        </w:rPr>
        <w:t>（北京时间）：</w:t>
      </w:r>
      <w:r>
        <w:rPr>
          <w:rFonts w:ascii="宋体" w:hAnsi="宋体"/>
          <w:color w:val="000000" w:themeColor="text1"/>
          <w:szCs w:val="21"/>
          <w:highlight w:val="none"/>
          <w:u w:val="single"/>
          <w14:textFill>
            <w14:solidFill>
              <w14:schemeClr w14:val="tx1"/>
            </w14:solidFill>
          </w14:textFill>
        </w:rPr>
        <w:t>20</w:t>
      </w:r>
      <w:r>
        <w:rPr>
          <w:rFonts w:hint="eastAsia" w:ascii="宋体" w:hAnsi="宋体"/>
          <w:color w:val="000000" w:themeColor="text1"/>
          <w:szCs w:val="21"/>
          <w:highlight w:val="none"/>
          <w:u w:val="single"/>
          <w14:textFill>
            <w14:solidFill>
              <w14:schemeClr w14:val="tx1"/>
            </w14:solidFill>
          </w14:textFill>
        </w:rPr>
        <w:t>2</w:t>
      </w:r>
      <w:r>
        <w:rPr>
          <w:rFonts w:hint="eastAsia" w:ascii="宋体" w:hAnsi="宋体"/>
          <w:color w:val="000000" w:themeColor="text1"/>
          <w:szCs w:val="21"/>
          <w:highlight w:val="none"/>
          <w:u w:val="single"/>
          <w:lang w:val="en-US" w:eastAsia="zh-CN"/>
          <w14:textFill>
            <w14:solidFill>
              <w14:schemeClr w14:val="tx1"/>
            </w14:solidFill>
          </w14:textFill>
        </w:rPr>
        <w:t>6</w:t>
      </w:r>
      <w:r>
        <w:rPr>
          <w:rFonts w:hint="eastAsia" w:ascii="宋体" w:hAnsi="宋体"/>
          <w:color w:val="000000" w:themeColor="text1"/>
          <w:szCs w:val="21"/>
          <w:highlight w:val="none"/>
          <w:u w:val="single"/>
          <w14:textFill>
            <w14:solidFill>
              <w14:schemeClr w14:val="tx1"/>
            </w14:solidFill>
          </w14:textFill>
        </w:rPr>
        <w:t>年</w:t>
      </w:r>
      <w:r>
        <w:rPr>
          <w:rFonts w:hint="eastAsia" w:ascii="宋体" w:hAnsi="宋体"/>
          <w:color w:val="000000" w:themeColor="text1"/>
          <w:szCs w:val="21"/>
          <w:highlight w:val="none"/>
          <w:u w:val="single"/>
          <w:lang w:val="en-US" w:eastAsia="zh-CN"/>
          <w14:textFill>
            <w14:solidFill>
              <w14:schemeClr w14:val="tx1"/>
            </w14:solidFill>
          </w14:textFill>
        </w:rPr>
        <w:t>6</w:t>
      </w:r>
      <w:r>
        <w:rPr>
          <w:rFonts w:hint="eastAsia" w:ascii="宋体" w:hAnsi="宋体"/>
          <w:color w:val="000000" w:themeColor="text1"/>
          <w:szCs w:val="21"/>
          <w:highlight w:val="none"/>
          <w:u w:val="single"/>
          <w14:textFill>
            <w14:solidFill>
              <w14:schemeClr w14:val="tx1"/>
            </w14:solidFill>
          </w14:textFill>
        </w:rPr>
        <w:t>月</w:t>
      </w:r>
      <w:r>
        <w:rPr>
          <w:rFonts w:hint="eastAsia" w:ascii="宋体" w:hAnsi="宋体"/>
          <w:color w:val="000000" w:themeColor="text1"/>
          <w:szCs w:val="21"/>
          <w:highlight w:val="none"/>
          <w:u w:val="single"/>
          <w:lang w:val="en-US" w:eastAsia="zh-CN"/>
          <w14:textFill>
            <w14:solidFill>
              <w14:schemeClr w14:val="tx1"/>
            </w14:solidFill>
          </w14:textFill>
        </w:rPr>
        <w:t>22</w:t>
      </w:r>
      <w:r>
        <w:rPr>
          <w:rFonts w:hint="eastAsia" w:ascii="宋体" w:hAnsi="宋体"/>
          <w:color w:val="000000" w:themeColor="text1"/>
          <w:szCs w:val="21"/>
          <w:highlight w:val="none"/>
          <w:u w:val="single"/>
          <w14:textFill>
            <w14:solidFill>
              <w14:schemeClr w14:val="tx1"/>
            </w14:solidFill>
          </w14:textFill>
        </w:rPr>
        <w:t>日</w:t>
      </w:r>
      <w:r>
        <w:rPr>
          <w:rFonts w:hint="eastAsia" w:ascii="宋体" w:hAnsi="宋体"/>
          <w:bCs/>
          <w:color w:val="000000" w:themeColor="text1"/>
          <w:szCs w:val="21"/>
          <w:highlight w:val="none"/>
          <w:u w:val="single"/>
          <w14:textFill>
            <w14:solidFill>
              <w14:schemeClr w14:val="tx1"/>
            </w14:solidFill>
          </w14:textFill>
        </w:rPr>
        <w:t>13时00分。</w:t>
      </w:r>
    </w:p>
    <w:p w14:paraId="55362925">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2、首次响应文件提交地点：</w:t>
      </w:r>
    </w:p>
    <w:p w14:paraId="1D93C294">
      <w:pPr>
        <w:spacing w:line="360" w:lineRule="auto"/>
        <w:ind w:firstLine="54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（1）响应文件提交方式：本项目为南宁市全流程电子化项目，通过广西政府采购云平台（</w:t>
      </w:r>
      <w:r>
        <w:rPr>
          <w:rFonts w:hint="eastAsia" w:ascii="宋体" w:hAnsi="宋体"/>
          <w:bCs/>
          <w:color w:val="000000" w:themeColor="text1"/>
          <w:szCs w:val="21"/>
          <w:highlight w:val="none"/>
          <w14:textFill>
            <w14:solidFill>
              <w14:schemeClr w14:val="tx1"/>
            </w14:solidFill>
          </w14:textFill>
        </w:rPr>
        <w:t>https://www.gcy.zfcg.gxzf.gov.cn/</w:t>
      </w:r>
      <w:r>
        <w:rPr>
          <w:rFonts w:hint="eastAsia" w:ascii="宋体" w:hAnsi="宋体"/>
          <w:color w:val="000000" w:themeColor="text1"/>
          <w:szCs w:val="21"/>
          <w:highlight w:val="none"/>
          <w14:textFill>
            <w14:solidFill>
              <w14:schemeClr w14:val="tx1"/>
            </w14:solidFill>
          </w14:textFill>
        </w:rPr>
        <w:t>）实行在线电子响应，并按照本项目采购文件和</w:t>
      </w:r>
      <w:r>
        <w:rPr>
          <w:rFonts w:ascii="宋体" w:hAnsi="宋体"/>
          <w:color w:val="000000" w:themeColor="text1"/>
          <w:szCs w:val="2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的要求编制、加密后在响应文件</w:t>
      </w:r>
      <w:r>
        <w:rPr>
          <w:rFonts w:ascii="宋体" w:hAnsi="宋体"/>
          <w:color w:val="000000" w:themeColor="text1"/>
          <w:szCs w:val="21"/>
          <w:highlight w:val="none"/>
          <w14:textFill>
            <w14:solidFill>
              <w14:schemeClr w14:val="tx1"/>
            </w14:solidFill>
          </w14:textFill>
        </w:rPr>
        <w:t>递交</w:t>
      </w:r>
      <w:r>
        <w:rPr>
          <w:rFonts w:hint="eastAsia" w:ascii="宋体" w:hAnsi="宋体"/>
          <w:color w:val="000000" w:themeColor="text1"/>
          <w:szCs w:val="21"/>
          <w:highlight w:val="none"/>
          <w14:textFill>
            <w14:solidFill>
              <w14:schemeClr w14:val="tx1"/>
            </w14:solidFill>
          </w14:textFill>
        </w:rPr>
        <w:t>截止时间前通过网络上传至</w:t>
      </w:r>
      <w:r>
        <w:rPr>
          <w:rFonts w:ascii="宋体" w:hAnsi="宋体"/>
          <w:color w:val="000000" w:themeColor="text1"/>
          <w:szCs w:val="21"/>
          <w:highlight w:val="none"/>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供应商在</w:t>
      </w:r>
      <w:r>
        <w:rPr>
          <w:rFonts w:ascii="宋体" w:hAnsi="宋体"/>
          <w:color w:val="000000" w:themeColor="text1"/>
          <w:szCs w:val="21"/>
          <w:highlight w:val="none"/>
          <w14:textFill>
            <w14:solidFill>
              <w14:schemeClr w14:val="tx1"/>
            </w14:solidFill>
          </w14:textFill>
        </w:rPr>
        <w:t>广西政府采购云平台</w:t>
      </w:r>
      <w:r>
        <w:rPr>
          <w:rFonts w:hint="eastAsia" w:ascii="宋体" w:hAnsi="宋体"/>
          <w:b/>
          <w:color w:val="000000" w:themeColor="text1"/>
          <w:szCs w:val="21"/>
          <w:highlight w:val="none"/>
          <w14:textFill>
            <w14:solidFill>
              <w14:schemeClr w14:val="tx1"/>
            </w14:solidFill>
          </w14:textFill>
        </w:rPr>
        <w:t>提交电子版响应文件时，请填写参加远程采购活动经办人联系方式，</w:t>
      </w:r>
      <w:r>
        <w:rPr>
          <w:rFonts w:hint="eastAsia" w:ascii="宋体" w:hAnsi="宋体"/>
          <w:color w:val="000000" w:themeColor="text1"/>
          <w:szCs w:val="21"/>
          <w:highlight w:val="none"/>
          <w14:textFill>
            <w14:solidFill>
              <w14:schemeClr w14:val="tx1"/>
            </w14:solidFill>
          </w14:textFill>
        </w:rPr>
        <w:t>电子响应文件具体操作流程详见本公告附件</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w:t>
      </w:r>
    </w:p>
    <w:p w14:paraId="3CF114DB">
      <w:pPr>
        <w:widowControl/>
        <w:spacing w:line="44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（2）未进行网上注册并办理数字证书（CA认证）的供应商将无法参与本项目政府采购活动，潜在供应商应当在响应文件</w:t>
      </w:r>
      <w:r>
        <w:rPr>
          <w:rFonts w:ascii="宋体" w:hAnsi="宋体"/>
          <w:color w:val="000000" w:themeColor="text1"/>
          <w:szCs w:val="21"/>
          <w:highlight w:val="none"/>
          <w14:textFill>
            <w14:solidFill>
              <w14:schemeClr w14:val="tx1"/>
            </w14:solidFill>
          </w14:textFill>
        </w:rPr>
        <w:t>递交</w:t>
      </w:r>
      <w:r>
        <w:rPr>
          <w:rFonts w:hint="eastAsia" w:ascii="宋体" w:hAnsi="宋体"/>
          <w:color w:val="000000" w:themeColor="text1"/>
          <w:szCs w:val="21"/>
          <w:highlight w:val="none"/>
          <w14:textFill>
            <w14:solidFill>
              <w14:schemeClr w14:val="tx1"/>
            </w14:solidFill>
          </w14:textFill>
        </w:rPr>
        <w:t>截止时间前，完成电子交易平台上的CA数字证书办理（申领流程见本公告附件2）及响应文件的提交。完成CA数字证书办理预计7日左右，</w:t>
      </w:r>
      <w:r>
        <w:rPr>
          <w:rFonts w:hint="eastAsia" w:ascii="宋体" w:hAnsi="宋体" w:cs="宋体"/>
          <w:color w:val="000000" w:themeColor="text1"/>
          <w:szCs w:val="21"/>
          <w:highlight w:val="none"/>
          <w14:textFill>
            <w14:solidFill>
              <w14:schemeClr w14:val="tx1"/>
            </w14:solidFill>
          </w14:textFill>
        </w:rPr>
        <w:t>供应商只需办理其中一家CA数字证书及签章</w:t>
      </w:r>
      <w:r>
        <w:rPr>
          <w:rFonts w:hint="eastAsia" w:ascii="宋体" w:hAnsi="宋体"/>
          <w:color w:val="000000" w:themeColor="text1"/>
          <w:szCs w:val="21"/>
          <w:highlight w:val="none"/>
          <w14:textFill>
            <w14:solidFill>
              <w14:schemeClr w14:val="tx1"/>
            </w14:solidFill>
          </w14:textFill>
        </w:rPr>
        <w:t>。</w:t>
      </w:r>
    </w:p>
    <w:p w14:paraId="4B26F91A">
      <w:pPr>
        <w:widowControl/>
        <w:spacing w:line="44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（3）为确保网上操作合法、有效和安全，请供应商确保在电子响应过程中能够对相关数据电文进行加密和使用电子签章，妥善保管CA数字证书并使用有效的CA数字证书参与整个采购活动。</w:t>
      </w:r>
    </w:p>
    <w:p w14:paraId="1292FD16">
      <w:pPr>
        <w:spacing w:line="440" w:lineRule="exact"/>
        <w:ind w:firstLine="420" w:firstLineChars="200"/>
        <w:rPr>
          <w:rFonts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u w:val="single"/>
          <w14:textFill>
            <w14:solidFill>
              <w14:schemeClr w14:val="tx1"/>
            </w14:solidFill>
          </w14:textFill>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府采购云平台将予以拒收。</w:t>
      </w:r>
    </w:p>
    <w:p w14:paraId="5F862906">
      <w:pPr>
        <w:snapToGrid w:val="0"/>
        <w:spacing w:line="44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3、CA证书在线解密：首次响应文件开启时，</w:t>
      </w:r>
      <w:r>
        <w:rPr>
          <w:rFonts w:hint="eastAsia" w:ascii="宋体" w:hAnsi="宋体" w:cs="宋体"/>
          <w:b/>
          <w:color w:val="000000" w:themeColor="text1"/>
          <w:kern w:val="0"/>
          <w:szCs w:val="21"/>
          <w:highlight w:val="none"/>
          <w14:textFill>
            <w14:solidFill>
              <w14:schemeClr w14:val="tx1"/>
            </w14:solidFill>
          </w14:textFill>
        </w:rPr>
        <w:t>须要供应商携带制作响应文件时用来加密的有效数字证书（CA认证）</w:t>
      </w:r>
      <w:r>
        <w:rPr>
          <w:rFonts w:hint="eastAsia" w:ascii="宋体" w:hAnsi="宋体" w:cs="宋体"/>
          <w:color w:val="000000" w:themeColor="text1"/>
          <w:kern w:val="0"/>
          <w:szCs w:val="21"/>
          <w:highlight w:val="none"/>
          <w14:textFill>
            <w14:solidFill>
              <w14:schemeClr w14:val="tx1"/>
            </w14:solidFill>
          </w14:textFill>
        </w:rPr>
        <w:t>登录</w:t>
      </w:r>
      <w:r>
        <w:rPr>
          <w:rFonts w:ascii="宋体" w:hAnsi="宋体"/>
          <w:color w:val="000000" w:themeColor="text1"/>
          <w:szCs w:val="21"/>
          <w:highlight w:val="none"/>
          <w14:textFill>
            <w14:solidFill>
              <w14:schemeClr w14:val="tx1"/>
            </w14:solidFill>
          </w14:textFill>
        </w:rPr>
        <w:t>广西政府采购云平台</w:t>
      </w:r>
      <w:r>
        <w:rPr>
          <w:rFonts w:hint="eastAsia" w:ascii="宋体" w:hAnsi="宋体" w:cs="宋体"/>
          <w:color w:val="000000" w:themeColor="text1"/>
          <w:kern w:val="0"/>
          <w:szCs w:val="21"/>
          <w:highlight w:val="none"/>
          <w14:textFill>
            <w14:solidFill>
              <w14:schemeClr w14:val="tx1"/>
            </w14:solidFill>
          </w14:textFill>
        </w:rPr>
        <w:t>电子开标大厅现场按规定时间对加密的响应文件进行解密，未能按要求进行解密的，由此产生的后果由供应商自行承担。</w:t>
      </w:r>
    </w:p>
    <w:p w14:paraId="60189631">
      <w:pPr>
        <w:snapToGrid w:val="0"/>
        <w:spacing w:line="44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4、供应商需要在具备有摄像头及语音功能且互联网网络状况良好的电脑登录</w:t>
      </w:r>
      <w:r>
        <w:rPr>
          <w:rFonts w:ascii="宋体" w:hAnsi="宋体"/>
          <w:color w:val="000000" w:themeColor="text1"/>
          <w:szCs w:val="21"/>
          <w:highlight w:val="none"/>
          <w14:textFill>
            <w14:solidFill>
              <w14:schemeClr w14:val="tx1"/>
            </w14:solidFill>
          </w14:textFill>
        </w:rPr>
        <w:t>广西政府采购云平台</w:t>
      </w:r>
      <w:r>
        <w:rPr>
          <w:rFonts w:hint="eastAsia" w:ascii="宋体" w:hAnsi="宋体" w:cs="宋体"/>
          <w:color w:val="000000" w:themeColor="text1"/>
          <w:kern w:val="0"/>
          <w:szCs w:val="21"/>
          <w:highlight w:val="none"/>
          <w14:textFill>
            <w14:solidFill>
              <w14:schemeClr w14:val="tx1"/>
            </w14:solidFill>
          </w14:textFill>
        </w:rPr>
        <w:t>远程开标大厅参与本次磋商，否则后果自负。</w:t>
      </w:r>
    </w:p>
    <w:p w14:paraId="324513ED">
      <w:pPr>
        <w:spacing w:line="360" w:lineRule="auto"/>
        <w:ind w:firstLine="482" w:firstLineChars="200"/>
        <w:rPr>
          <w:rFonts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五、开启（首次响应文件开启时间）</w:t>
      </w:r>
    </w:p>
    <w:p w14:paraId="3BBB884E">
      <w:pPr>
        <w:spacing w:line="360" w:lineRule="auto"/>
        <w:ind w:firstLine="420" w:firstLineChars="200"/>
        <w:rPr>
          <w:rFonts w:ascii="宋体" w:hAnsi="宋体"/>
          <w:bCs/>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1.时间</w:t>
      </w:r>
      <w:r>
        <w:rPr>
          <w:rFonts w:hint="eastAsia" w:ascii="宋体" w:hAnsi="宋体"/>
          <w:bCs/>
          <w:color w:val="000000" w:themeColor="text1"/>
          <w:szCs w:val="21"/>
          <w:highlight w:val="none"/>
          <w14:textFill>
            <w14:solidFill>
              <w14:schemeClr w14:val="tx1"/>
            </w14:solidFill>
          </w14:textFill>
        </w:rPr>
        <w:t>（北京时间）</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u w:val="single"/>
          <w14:textFill>
            <w14:solidFill>
              <w14:schemeClr w14:val="tx1"/>
            </w14:solidFill>
          </w14:textFill>
        </w:rPr>
        <w:t>20</w:t>
      </w:r>
      <w:r>
        <w:rPr>
          <w:rFonts w:hint="eastAsia" w:ascii="宋体" w:hAnsi="宋体"/>
          <w:color w:val="000000" w:themeColor="text1"/>
          <w:szCs w:val="21"/>
          <w:highlight w:val="none"/>
          <w:u w:val="single"/>
          <w14:textFill>
            <w14:solidFill>
              <w14:schemeClr w14:val="tx1"/>
            </w14:solidFill>
          </w14:textFill>
        </w:rPr>
        <w:t>2</w:t>
      </w:r>
      <w:r>
        <w:rPr>
          <w:rFonts w:hint="eastAsia" w:ascii="宋体" w:hAnsi="宋体"/>
          <w:color w:val="000000" w:themeColor="text1"/>
          <w:szCs w:val="21"/>
          <w:highlight w:val="none"/>
          <w:u w:val="single"/>
          <w:lang w:val="en-US" w:eastAsia="zh-CN"/>
          <w14:textFill>
            <w14:solidFill>
              <w14:schemeClr w14:val="tx1"/>
            </w14:solidFill>
          </w14:textFill>
        </w:rPr>
        <w:t>6</w:t>
      </w:r>
      <w:r>
        <w:rPr>
          <w:rFonts w:hint="eastAsia" w:ascii="宋体" w:hAnsi="宋体"/>
          <w:color w:val="000000" w:themeColor="text1"/>
          <w:szCs w:val="21"/>
          <w:highlight w:val="none"/>
          <w:u w:val="single"/>
          <w14:textFill>
            <w14:solidFill>
              <w14:schemeClr w14:val="tx1"/>
            </w14:solidFill>
          </w14:textFill>
        </w:rPr>
        <w:t>年</w:t>
      </w:r>
      <w:r>
        <w:rPr>
          <w:rFonts w:hint="eastAsia" w:ascii="宋体" w:hAnsi="宋体"/>
          <w:color w:val="000000" w:themeColor="text1"/>
          <w:szCs w:val="21"/>
          <w:highlight w:val="none"/>
          <w:u w:val="single"/>
          <w:lang w:val="en-US" w:eastAsia="zh-CN"/>
          <w14:textFill>
            <w14:solidFill>
              <w14:schemeClr w14:val="tx1"/>
            </w14:solidFill>
          </w14:textFill>
        </w:rPr>
        <w:t>6</w:t>
      </w:r>
      <w:r>
        <w:rPr>
          <w:rFonts w:hint="eastAsia" w:ascii="宋体" w:hAnsi="宋体"/>
          <w:color w:val="000000" w:themeColor="text1"/>
          <w:szCs w:val="21"/>
          <w:highlight w:val="none"/>
          <w:u w:val="single"/>
          <w14:textFill>
            <w14:solidFill>
              <w14:schemeClr w14:val="tx1"/>
            </w14:solidFill>
          </w14:textFill>
        </w:rPr>
        <w:t>月</w:t>
      </w:r>
      <w:r>
        <w:rPr>
          <w:rFonts w:hint="eastAsia" w:ascii="宋体" w:hAnsi="宋体"/>
          <w:color w:val="000000" w:themeColor="text1"/>
          <w:szCs w:val="21"/>
          <w:highlight w:val="none"/>
          <w:u w:val="single"/>
          <w:lang w:val="en-US" w:eastAsia="zh-CN"/>
          <w14:textFill>
            <w14:solidFill>
              <w14:schemeClr w14:val="tx1"/>
            </w14:solidFill>
          </w14:textFill>
        </w:rPr>
        <w:t>22</w:t>
      </w:r>
      <w:r>
        <w:rPr>
          <w:rFonts w:hint="eastAsia" w:ascii="宋体" w:hAnsi="宋体"/>
          <w:color w:val="000000" w:themeColor="text1"/>
          <w:szCs w:val="21"/>
          <w:highlight w:val="none"/>
          <w:u w:val="single"/>
          <w14:textFill>
            <w14:solidFill>
              <w14:schemeClr w14:val="tx1"/>
            </w14:solidFill>
          </w14:textFill>
        </w:rPr>
        <w:t>日</w:t>
      </w:r>
      <w:r>
        <w:rPr>
          <w:rFonts w:hint="eastAsia" w:ascii="宋体" w:hAnsi="宋体"/>
          <w:bCs/>
          <w:color w:val="000000" w:themeColor="text1"/>
          <w:szCs w:val="21"/>
          <w:highlight w:val="none"/>
          <w:u w:val="single"/>
          <w14:textFill>
            <w14:solidFill>
              <w14:schemeClr w14:val="tx1"/>
            </w14:solidFill>
          </w14:textFill>
        </w:rPr>
        <w:t>13时00分</w:t>
      </w:r>
      <w:r>
        <w:rPr>
          <w:rFonts w:hint="eastAsia" w:ascii="宋体" w:hAnsi="宋体"/>
          <w:color w:val="000000" w:themeColor="text1"/>
          <w:szCs w:val="21"/>
          <w:highlight w:val="none"/>
          <w14:textFill>
            <w14:solidFill>
              <w14:schemeClr w14:val="tx1"/>
            </w14:solidFill>
          </w14:textFill>
        </w:rPr>
        <w:t>后</w:t>
      </w:r>
    </w:p>
    <w:p w14:paraId="2B6D91AE">
      <w:pPr>
        <w:spacing w:line="360" w:lineRule="auto"/>
        <w:ind w:firstLine="420" w:firstLineChars="200"/>
        <w:rPr>
          <w:rFonts w:ascii="宋体" w:hAnsi="宋体"/>
          <w:bCs/>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2.地点：</w:t>
      </w:r>
      <w:r>
        <w:rPr>
          <w:rFonts w:hint="eastAsia" w:ascii="宋体" w:hAnsi="宋体"/>
          <w:color w:val="000000" w:themeColor="text1"/>
          <w:szCs w:val="21"/>
          <w:highlight w:val="none"/>
          <w:u w:val="single"/>
          <w14:textFill>
            <w14:solidFill>
              <w14:schemeClr w14:val="tx1"/>
            </w14:solidFill>
          </w14:textFill>
        </w:rPr>
        <w:t>广西政府采购云平台开标大厅</w:t>
      </w:r>
    </w:p>
    <w:p w14:paraId="0502113C">
      <w:pPr>
        <w:spacing w:line="360" w:lineRule="auto"/>
        <w:ind w:firstLine="482" w:firstLineChars="200"/>
        <w:rPr>
          <w:rFonts w:ascii="黑体" w:hAnsi="黑体" w:eastAsia="黑体"/>
          <w:b/>
          <w:bCs/>
          <w:color w:val="000000" w:themeColor="text1"/>
          <w:sz w:val="24"/>
          <w:highlight w:val="none"/>
          <w14:textFill>
            <w14:solidFill>
              <w14:schemeClr w14:val="tx1"/>
            </w14:solidFill>
          </w14:textFill>
        </w:rPr>
      </w:pPr>
      <w:bookmarkStart w:id="20" w:name="_Toc28359007"/>
      <w:bookmarkStart w:id="21" w:name="_Toc35393625"/>
      <w:bookmarkStart w:id="22" w:name="_Toc35393794"/>
      <w:bookmarkStart w:id="23" w:name="_Toc28359084"/>
      <w:r>
        <w:rPr>
          <w:rFonts w:hint="eastAsia" w:ascii="黑体" w:hAnsi="黑体" w:eastAsia="黑体"/>
          <w:b/>
          <w:bCs/>
          <w:color w:val="000000" w:themeColor="text1"/>
          <w:sz w:val="24"/>
          <w:highlight w:val="none"/>
          <w14:textFill>
            <w14:solidFill>
              <w14:schemeClr w14:val="tx1"/>
            </w14:solidFill>
          </w14:textFill>
        </w:rPr>
        <w:t>六、公告期限</w:t>
      </w:r>
      <w:bookmarkEnd w:id="20"/>
      <w:bookmarkEnd w:id="21"/>
      <w:bookmarkEnd w:id="22"/>
      <w:bookmarkEnd w:id="23"/>
    </w:p>
    <w:p w14:paraId="159947CF">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自本公告发布之日起3个工作日。</w:t>
      </w:r>
    </w:p>
    <w:p w14:paraId="1D0A422B">
      <w:pPr>
        <w:spacing w:line="360" w:lineRule="auto"/>
        <w:ind w:firstLine="482" w:firstLineChars="200"/>
        <w:rPr>
          <w:rFonts w:ascii="黑体" w:hAnsi="黑体" w:eastAsia="黑体"/>
          <w:b/>
          <w:bCs/>
          <w:color w:val="000000" w:themeColor="text1"/>
          <w:sz w:val="24"/>
          <w:highlight w:val="none"/>
          <w14:textFill>
            <w14:solidFill>
              <w14:schemeClr w14:val="tx1"/>
            </w14:solidFill>
          </w14:textFill>
        </w:rPr>
      </w:pPr>
      <w:bookmarkStart w:id="24" w:name="_Toc35393795"/>
      <w:bookmarkStart w:id="25" w:name="_Toc35393626"/>
      <w:r>
        <w:rPr>
          <w:rFonts w:hint="eastAsia" w:ascii="黑体" w:hAnsi="黑体" w:eastAsia="黑体"/>
          <w:b/>
          <w:bCs/>
          <w:color w:val="000000" w:themeColor="text1"/>
          <w:sz w:val="24"/>
          <w:highlight w:val="none"/>
          <w14:textFill>
            <w14:solidFill>
              <w14:schemeClr w14:val="tx1"/>
            </w14:solidFill>
          </w14:textFill>
        </w:rPr>
        <w:t>七、其他补充事宜</w:t>
      </w:r>
      <w:bookmarkEnd w:id="24"/>
      <w:bookmarkEnd w:id="25"/>
    </w:p>
    <w:p w14:paraId="0370E9A8">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1.磋商保证金：本项目不收取磋商保证金</w:t>
      </w:r>
    </w:p>
    <w:p w14:paraId="4F8A728E">
      <w:pPr>
        <w:wordWrap w:val="0"/>
        <w:spacing w:line="360" w:lineRule="auto"/>
        <w:ind w:firstLine="420" w:firstLineChars="200"/>
        <w:rPr>
          <w:rFonts w:ascii="宋体" w:hAnsi="宋体" w:cs="宋体"/>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2.采购意向公开链接：https://zfcg.gxzf.gov.cn/site/detail?categoryCode=ZcyAnnouncement&amp;parentId=66485&amp;articleId=YYCEVYjfxoj5S6BwTXRtBw==</w:t>
      </w:r>
    </w:p>
    <w:p w14:paraId="189F6323">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bookmarkStart w:id="26" w:name="_Hlk37429585"/>
      <w:r>
        <w:rPr>
          <w:rFonts w:hint="eastAsia" w:ascii="宋体" w:hAnsi="宋体" w:cs="宋体"/>
          <w:color w:val="000000" w:themeColor="text1"/>
          <w:kern w:val="0"/>
          <w:szCs w:val="21"/>
          <w:highlight w:val="none"/>
          <w14:textFill>
            <w14:solidFill>
              <w14:schemeClr w14:val="tx1"/>
            </w14:solidFill>
          </w14:textFill>
        </w:rPr>
        <w:t>3.</w:t>
      </w:r>
      <w:bookmarkStart w:id="27" w:name="_Hlk37429595"/>
      <w:r>
        <w:rPr>
          <w:rFonts w:hint="eastAsia" w:ascii="宋体" w:hAnsi="宋体" w:cs="宋体"/>
          <w:color w:val="000000" w:themeColor="text1"/>
          <w:kern w:val="0"/>
          <w:szCs w:val="21"/>
          <w:highlight w:val="none"/>
          <w14:textFill>
            <w14:solidFill>
              <w14:schemeClr w14:val="tx1"/>
            </w14:solidFill>
          </w14:textFill>
        </w:rPr>
        <w:t>网上查询地址</w:t>
      </w:r>
    </w:p>
    <w:bookmarkEnd w:id="26"/>
    <w:bookmarkEnd w:id="27"/>
    <w:p w14:paraId="301A143A">
      <w:pPr>
        <w:spacing w:line="360" w:lineRule="auto"/>
        <w:ind w:firstLine="420" w:firstLineChars="200"/>
        <w:rPr>
          <w:rFonts w:hint="eastAsia" w:ascii="宋体" w:hAnsi="宋体" w:eastAsia="宋体" w:cs="宋体"/>
          <w:color w:val="000000" w:themeColor="text1"/>
          <w:kern w:val="0"/>
          <w:szCs w:val="21"/>
          <w:highlight w:val="none"/>
          <w:lang w:eastAsia="zh-CN"/>
          <w14:textFill>
            <w14:solidFill>
              <w14:schemeClr w14:val="tx1"/>
            </w14:solidFill>
          </w14:textFill>
        </w:rPr>
      </w:pPr>
      <w:bookmarkStart w:id="28" w:name="_Hlk37429674"/>
      <w:r>
        <w:rPr>
          <w:rFonts w:hint="eastAsia" w:ascii="宋体" w:hAnsi="宋体" w:cs="宋体"/>
          <w:color w:val="000000" w:themeColor="text1"/>
          <w:kern w:val="0"/>
          <w:szCs w:val="21"/>
          <w:highlight w:val="none"/>
          <w14:textFill>
            <w14:solidFill>
              <w14:schemeClr w14:val="tx1"/>
            </w14:solidFill>
          </w14:textFill>
        </w:rPr>
        <w:t xml:space="preserve">http://www.ccgp.gov.cn (中国政府采购网),http://zfcg.gxzf.gov.cn (广西政府采购网) , </w:t>
      </w:r>
      <w:r>
        <w:rPr>
          <w:rFonts w:ascii="宋体" w:hAnsi="宋体" w:cs="宋体"/>
          <w:color w:val="000000" w:themeColor="text1"/>
          <w:kern w:val="0"/>
          <w:szCs w:val="21"/>
          <w:highlight w:val="none"/>
          <w14:textFill>
            <w14:solidFill>
              <w14:schemeClr w14:val="tx1"/>
            </w14:solidFill>
          </w14:textFill>
        </w:rPr>
        <w:t>http://ggzy.jgswj.gxzf.gov.cn/nnggzy/</w:t>
      </w:r>
      <w:r>
        <w:rPr>
          <w:rFonts w:hint="eastAsia" w:ascii="宋体" w:hAnsi="宋体" w:cs="宋体"/>
          <w:color w:val="000000" w:themeColor="text1"/>
          <w:kern w:val="0"/>
          <w:szCs w:val="21"/>
          <w:highlight w:val="none"/>
          <w:lang w:val="en-US" w:eastAsia="zh-CN"/>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全国公共资源交易平台（广西•南宁）</w:t>
      </w:r>
      <w:r>
        <w:rPr>
          <w:rFonts w:hint="eastAsia" w:ascii="宋体" w:hAnsi="宋体" w:cs="宋体"/>
          <w:color w:val="000000" w:themeColor="text1"/>
          <w:kern w:val="0"/>
          <w:szCs w:val="21"/>
          <w:highlight w:val="none"/>
          <w:lang w:val="en-US" w:eastAsia="zh-CN"/>
          <w14:textFill>
            <w14:solidFill>
              <w14:schemeClr w14:val="tx1"/>
            </w14:solidFill>
          </w14:textFill>
        </w:rPr>
        <w:t>]</w:t>
      </w:r>
    </w:p>
    <w:p w14:paraId="39BE97A1">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本项目需要落实的政府采购政策</w:t>
      </w:r>
    </w:p>
    <w:bookmarkEnd w:id="28"/>
    <w:p w14:paraId="0D0BE78C">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（1）政府采购促进中小企业发展。</w:t>
      </w:r>
    </w:p>
    <w:p w14:paraId="0436FEB6">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（2）政府采购支持采用本国产品的政策。</w:t>
      </w:r>
    </w:p>
    <w:p w14:paraId="5313C149">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（3）强制采购节能产品；优先采购节能产品、环境标志产品。</w:t>
      </w:r>
    </w:p>
    <w:p w14:paraId="233C3623">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（4）政府采购促进残疾人就业政策。</w:t>
      </w:r>
    </w:p>
    <w:p w14:paraId="5FDD64AB">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（5）政府采购支持监狱企业发展。</w:t>
      </w:r>
    </w:p>
    <w:p w14:paraId="1812868A">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6CD66B1">
      <w:pPr>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 若对项目采购电子交易系统操作有疑问，可登录广西政府采购云平台（https://www.gcy.zfcg.gxzf.gov.cn/），点击右侧咨询小采，获取采小蜜智能服务管家帮助，或拨打服务热线95763获取热线服务帮助。</w:t>
      </w:r>
    </w:p>
    <w:p w14:paraId="2F203819">
      <w:pPr>
        <w:pStyle w:val="18"/>
        <w:spacing w:line="360" w:lineRule="auto"/>
        <w:ind w:firstLine="420" w:firstLineChars="200"/>
        <w:rPr>
          <w:rFonts w:hint="default" w:eastAsia="宋体"/>
          <w:lang w:val="en-US" w:eastAsia="zh-CN"/>
        </w:rPr>
      </w:pPr>
      <w:r>
        <w:rPr>
          <w:rFonts w:hint="eastAsia" w:ascii="宋体" w:hAnsi="宋体" w:cs="宋体"/>
          <w:color w:val="000000" w:themeColor="text1"/>
          <w:kern w:val="0"/>
          <w:szCs w:val="21"/>
          <w:highlight w:val="none"/>
          <w:lang w:val="en-US" w:eastAsia="zh-CN"/>
          <w14:textFill>
            <w14:solidFill>
              <w14:schemeClr w14:val="tx1"/>
            </w14:solidFill>
          </w14:textFill>
        </w:rPr>
        <w:t>7.</w:t>
      </w:r>
      <w:r>
        <w:rPr>
          <w:rFonts w:hint="eastAsia" w:ascii="宋体" w:hAnsi="宋体"/>
          <w:color w:val="000000" w:themeColor="text1"/>
          <w:szCs w:val="21"/>
          <w:highlight w:val="none"/>
          <w:lang w:val="en-US" w:eastAsia="zh-CN"/>
          <w14:textFill>
            <w14:solidFill>
              <w14:schemeClr w14:val="tx1"/>
            </w14:solidFill>
          </w14:textFill>
        </w:rPr>
        <w:t>因横州镇龙池小学为非独立部门预算的单位，在申请采购备案时无法以横州镇龙池小学的名义申请采购备案，经向市财政局采购办咨询，预算主管单位可以授权下级部门预算单位进行采购，结合财务管理有关规定，横州镇龙池小学申请线上采购备案时，由横州镇中心学校作为采购单位，市财政局已审批同意备案。供应商在响应文件中进行响应时，采购人信息均以“横州市横州镇中心学校（横州市横州镇龙池小学）”进行填写，成交后由“横州市横州镇龙池小学”与成交供应商签订合同。</w:t>
      </w:r>
    </w:p>
    <w:p w14:paraId="2F04BB27">
      <w:pPr>
        <w:spacing w:line="360" w:lineRule="auto"/>
        <w:ind w:firstLine="482" w:firstLineChars="200"/>
        <w:rPr>
          <w:rFonts w:ascii="黑体" w:hAnsi="黑体" w:eastAsia="黑体" w:cs="宋体"/>
          <w:bCs/>
          <w:color w:val="000000" w:themeColor="text1"/>
          <w:sz w:val="24"/>
          <w:highlight w:val="none"/>
          <w14:textFill>
            <w14:solidFill>
              <w14:schemeClr w14:val="tx1"/>
            </w14:solidFill>
          </w14:textFill>
        </w:rPr>
      </w:pPr>
      <w:r>
        <w:rPr>
          <w:rFonts w:hint="eastAsia" w:ascii="黑体" w:hAnsi="黑体" w:eastAsia="黑体" w:cs="宋体"/>
          <w:b/>
          <w:color w:val="000000" w:themeColor="text1"/>
          <w:kern w:val="44"/>
          <w:sz w:val="24"/>
          <w:highlight w:val="none"/>
          <w14:textFill>
            <w14:solidFill>
              <w14:schemeClr w14:val="tx1"/>
            </w14:solidFill>
          </w14:textFill>
        </w:rPr>
        <w:t>八、凡对本次采购提出询问，请按以下方式联系</w:t>
      </w:r>
    </w:p>
    <w:p w14:paraId="177A3BF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1.采购人信息</w:t>
      </w:r>
    </w:p>
    <w:p w14:paraId="29999E22">
      <w:pPr>
        <w:spacing w:line="360" w:lineRule="auto"/>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称：横州市横州镇中心学校（横州市横州镇龙池小学）</w:t>
      </w:r>
    </w:p>
    <w:p w14:paraId="7CA734C6">
      <w:pPr>
        <w:spacing w:line="360" w:lineRule="auto"/>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址：广西壮族自治区横州市</w:t>
      </w:r>
      <w:r>
        <w:rPr>
          <w:rFonts w:hint="eastAsia" w:ascii="宋体" w:hAnsi="宋体" w:cs="宋体"/>
          <w:color w:val="000000" w:themeColor="text1"/>
          <w:szCs w:val="21"/>
          <w:highlight w:val="none"/>
          <w:lang w:eastAsia="zh-CN"/>
          <w14:textFill>
            <w14:solidFill>
              <w14:schemeClr w14:val="tx1"/>
            </w14:solidFill>
          </w14:textFill>
        </w:rPr>
        <w:t>江北路292号</w:t>
      </w:r>
      <w:bookmarkStart w:id="1726" w:name="_GoBack"/>
      <w:bookmarkEnd w:id="1726"/>
    </w:p>
    <w:p w14:paraId="402BA61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项目联系人：朱远平</w:t>
      </w:r>
    </w:p>
    <w:p w14:paraId="3A7E8E1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联系电话：0771-7221920</w:t>
      </w:r>
    </w:p>
    <w:p w14:paraId="22C744B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2.采购代理机构信息</w:t>
      </w:r>
    </w:p>
    <w:p w14:paraId="1A9B5CF7">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称：云之龙咨询集团有限公司</w:t>
      </w:r>
    </w:p>
    <w:p w14:paraId="3448DCA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址：南宁市良庆区云英路15号3号楼云之龙咨询集团大厦6楼</w:t>
      </w:r>
    </w:p>
    <w:p w14:paraId="410D60A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联系电话：0771-2618118、2618199</w:t>
      </w:r>
    </w:p>
    <w:p w14:paraId="43D436F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3.项目联系方式</w:t>
      </w:r>
    </w:p>
    <w:p w14:paraId="098FA604">
      <w:pPr>
        <w:spacing w:line="360" w:lineRule="auto"/>
        <w:ind w:firstLine="420" w:firstLineChars="200"/>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项目联系人：</w:t>
      </w:r>
      <w:r>
        <w:rPr>
          <w:rFonts w:hint="eastAsia" w:ascii="宋体" w:hAnsi="宋体" w:cs="宋体"/>
          <w:color w:val="000000" w:themeColor="text1"/>
          <w:szCs w:val="21"/>
          <w:highlight w:val="none"/>
          <w:lang w:eastAsia="zh-CN"/>
          <w14:textFill>
            <w14:solidFill>
              <w14:schemeClr w14:val="tx1"/>
            </w14:solidFill>
          </w14:textFill>
        </w:rPr>
        <w:t>吴俞瑶、</w:t>
      </w:r>
      <w:r>
        <w:rPr>
          <w:rFonts w:hint="eastAsia" w:ascii="宋体" w:hAnsi="宋体" w:cs="宋体"/>
          <w:color w:val="000000" w:themeColor="text1"/>
          <w:szCs w:val="21"/>
          <w:highlight w:val="none"/>
          <w:lang w:val="en-US" w:eastAsia="zh-CN"/>
          <w14:textFill>
            <w14:solidFill>
              <w14:schemeClr w14:val="tx1"/>
            </w14:solidFill>
          </w14:textFill>
        </w:rPr>
        <w:t>李嘉俊</w:t>
      </w:r>
    </w:p>
    <w:p w14:paraId="07B901C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    话：0771-2618118、2618199</w:t>
      </w:r>
    </w:p>
    <w:p w14:paraId="1EC8DF6A">
      <w:pPr>
        <w:spacing w:line="360" w:lineRule="auto"/>
        <w:ind w:firstLine="420" w:firstLineChars="200"/>
        <w:rPr>
          <w:rFonts w:ascii="宋体" w:hAnsi="宋体"/>
          <w:color w:val="000000" w:themeColor="text1"/>
          <w:szCs w:val="21"/>
          <w:highlight w:val="none"/>
          <w14:textFill>
            <w14:solidFill>
              <w14:schemeClr w14:val="tx1"/>
            </w14:solidFill>
          </w14:textFill>
        </w:rPr>
      </w:pPr>
    </w:p>
    <w:p w14:paraId="599CE2EE">
      <w:pPr>
        <w:pStyle w:val="18"/>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附件： </w:t>
      </w:r>
    </w:p>
    <w:p w14:paraId="20D0D74A">
      <w:pPr>
        <w:pStyle w:val="18"/>
        <w:spacing w:line="360" w:lineRule="auto"/>
        <w:ind w:firstLine="420" w:firstLineChars="200"/>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1.CA证书申请方式及操作指南下载地址（现场申请方式见网址：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"http://www.ccgp-guangxi.gov.cn/OfficeService/DownloadArea/8354055.html?utm=a0003.39a112b4.cmp001.d0002.f0464b20ff2a11eb873141bf9e381949" </w:instrText>
      </w:r>
      <w:r>
        <w:rPr>
          <w:color w:val="000000" w:themeColor="text1"/>
          <w:highlight w:val="none"/>
          <w14:textFill>
            <w14:solidFill>
              <w14:schemeClr w14:val="tx1"/>
            </w14:solidFill>
          </w14:textFill>
        </w:rPr>
        <w:fldChar w:fldCharType="separate"/>
      </w:r>
      <w:r>
        <w:rPr>
          <w:rStyle w:val="63"/>
          <w:color w:val="000000" w:themeColor="text1"/>
          <w:highlight w:val="none"/>
          <w14:textFill>
            <w14:solidFill>
              <w14:schemeClr w14:val="tx1"/>
            </w14:solidFill>
          </w14:textFill>
        </w:rPr>
        <w:t>http://www.ccgp-guangxi.gov.cn/OfficeService/DownloadArea/8354055.html?utm=a0003.39a112b4.cmp001.d0002.f0464b20ff2a11eb873141bf9e381949</w:t>
      </w:r>
      <w:r>
        <w:rPr>
          <w:rStyle w:val="63"/>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（广西政府采购网）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网上申请方式见网址：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"http://nncz.nanning.gov.cn/" </w:instrText>
      </w:r>
      <w:r>
        <w:rPr>
          <w:color w:val="000000" w:themeColor="text1"/>
          <w:highlight w:val="none"/>
          <w14:textFill>
            <w14:solidFill>
              <w14:schemeClr w14:val="tx1"/>
            </w14:solidFill>
          </w14:textFill>
        </w:rPr>
        <w:fldChar w:fldCharType="separate"/>
      </w:r>
      <w:r>
        <w:rPr>
          <w:rStyle w:val="63"/>
          <w:color w:val="000000" w:themeColor="text1"/>
          <w:highlight w:val="none"/>
          <w14:textFill>
            <w14:solidFill>
              <w14:schemeClr w14:val="tx1"/>
            </w14:solidFill>
          </w14:textFill>
        </w:rPr>
        <w:t>http://nncz.nanning.gov.cn/</w:t>
      </w:r>
      <w:r>
        <w:rPr>
          <w:rStyle w:val="63"/>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下载专区</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“广西政采云西部</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办理方式”或“南宁市政采云</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证书办理操作指南”</w:t>
      </w:r>
      <w:r>
        <w:rPr>
          <w:rFonts w:hint="eastAsia" w:ascii="宋体" w:hAnsi="宋体"/>
          <w:color w:val="000000" w:themeColor="text1"/>
          <w:szCs w:val="21"/>
          <w:highlight w:val="none"/>
          <w14:textFill>
            <w14:solidFill>
              <w14:schemeClr w14:val="tx1"/>
            </w14:solidFill>
          </w14:textFill>
        </w:rPr>
        <w:t>）</w:t>
      </w:r>
    </w:p>
    <w:p w14:paraId="411F62FB">
      <w:pPr>
        <w:pStyle w:val="18"/>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2.电子投标文件制作与投送教程（在此网址下载：</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"http://nncz.nanning.gov.cn/" </w:instrText>
      </w:r>
      <w:r>
        <w:rPr>
          <w:color w:val="000000" w:themeColor="text1"/>
          <w:highlight w:val="none"/>
          <w14:textFill>
            <w14:solidFill>
              <w14:schemeClr w14:val="tx1"/>
            </w14:solidFill>
          </w14:textFill>
        </w:rPr>
        <w:fldChar w:fldCharType="separate"/>
      </w:r>
      <w:r>
        <w:rPr>
          <w:rStyle w:val="63"/>
          <w:color w:val="000000" w:themeColor="text1"/>
          <w:highlight w:val="none"/>
          <w14:textFill>
            <w14:solidFill>
              <w14:schemeClr w14:val="tx1"/>
            </w14:solidFill>
          </w14:textFill>
        </w:rPr>
        <w:t>http://nncz.nanning.gov.cn/</w:t>
      </w:r>
      <w:r>
        <w:rPr>
          <w:rStyle w:val="63"/>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下载专区</w:t>
      </w:r>
      <w:r>
        <w:rPr>
          <w:rFonts w:hint="eastAsia" w:ascii="宋体" w:hAnsi="宋体"/>
          <w:color w:val="000000" w:themeColor="text1"/>
          <w:szCs w:val="21"/>
          <w:highlight w:val="none"/>
          <w14:textFill>
            <w14:solidFill>
              <w14:schemeClr w14:val="tx1"/>
            </w14:solidFill>
          </w14:textFill>
        </w:rPr>
        <w:t>）</w:t>
      </w:r>
    </w:p>
    <w:p w14:paraId="5F268ACD">
      <w:pPr>
        <w:pStyle w:val="18"/>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3.工程量</w:t>
      </w:r>
      <w:r>
        <w:rPr>
          <w:rFonts w:ascii="宋体" w:hAnsi="宋体"/>
          <w:color w:val="000000" w:themeColor="text1"/>
          <w:szCs w:val="21"/>
          <w:highlight w:val="none"/>
          <w14:textFill>
            <w14:solidFill>
              <w14:schemeClr w14:val="tx1"/>
            </w14:solidFill>
          </w14:textFill>
        </w:rPr>
        <w:t>清单</w:t>
      </w:r>
    </w:p>
    <w:p w14:paraId="168CD4D5">
      <w:pPr>
        <w:pStyle w:val="18"/>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4.图纸</w:t>
      </w:r>
    </w:p>
    <w:p w14:paraId="44F7B6F7">
      <w:pPr>
        <w:pStyle w:val="18"/>
        <w:spacing w:line="360" w:lineRule="auto"/>
        <w:ind w:firstLine="420" w:firstLineChars="200"/>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云之龙咨询</w:t>
      </w:r>
      <w:r>
        <w:rPr>
          <w:rFonts w:ascii="宋体" w:hAnsi="宋体"/>
          <w:color w:val="000000" w:themeColor="text1"/>
          <w:szCs w:val="21"/>
          <w:highlight w:val="none"/>
          <w14:textFill>
            <w14:solidFill>
              <w14:schemeClr w14:val="tx1"/>
            </w14:solidFill>
          </w14:textFill>
        </w:rPr>
        <w:t>集团有限公司</w:t>
      </w:r>
    </w:p>
    <w:p w14:paraId="474E843E">
      <w:pPr>
        <w:spacing w:line="360" w:lineRule="auto"/>
        <w:ind w:firstLine="420" w:firstLineChars="200"/>
        <w:jc w:val="right"/>
        <w:rPr>
          <w:rFonts w:ascii="宋体" w:hAnsi="宋体"/>
          <w:color w:val="000000" w:themeColor="text1"/>
          <w:sz w:val="32"/>
          <w:szCs w:val="32"/>
          <w:highlight w:val="none"/>
          <w14:textFill>
            <w14:solidFill>
              <w14:schemeClr w14:val="tx1"/>
            </w14:solidFill>
          </w14:textFill>
        </w:rPr>
      </w:pPr>
      <w:r>
        <w:rPr>
          <w:rFonts w:ascii="宋体" w:hAnsi="宋体"/>
          <w:color w:val="000000" w:themeColor="text1"/>
          <w:szCs w:val="21"/>
          <w:highlight w:val="none"/>
          <w:u w:val="single"/>
          <w14:textFill>
            <w14:solidFill>
              <w14:schemeClr w14:val="tx1"/>
            </w14:solidFill>
          </w14:textFill>
        </w:rPr>
        <w:t>20</w:t>
      </w:r>
      <w:r>
        <w:rPr>
          <w:rFonts w:hint="eastAsia" w:ascii="宋体" w:hAnsi="宋体"/>
          <w:color w:val="000000" w:themeColor="text1"/>
          <w:szCs w:val="21"/>
          <w:highlight w:val="none"/>
          <w:u w:val="single"/>
          <w14:textFill>
            <w14:solidFill>
              <w14:schemeClr w14:val="tx1"/>
            </w14:solidFill>
          </w14:textFill>
        </w:rPr>
        <w:t>2</w:t>
      </w:r>
      <w:r>
        <w:rPr>
          <w:rFonts w:hint="eastAsia" w:ascii="宋体" w:hAnsi="宋体"/>
          <w:color w:val="000000" w:themeColor="text1"/>
          <w:szCs w:val="21"/>
          <w:highlight w:val="none"/>
          <w:u w:val="single"/>
          <w:lang w:val="en-US" w:eastAsia="zh-CN"/>
          <w14:textFill>
            <w14:solidFill>
              <w14:schemeClr w14:val="tx1"/>
            </w14:solidFill>
          </w14:textFill>
        </w:rPr>
        <w:t>6</w:t>
      </w:r>
      <w:r>
        <w:rPr>
          <w:rFonts w:hint="eastAsia" w:ascii="宋体" w:hAnsi="宋体"/>
          <w:color w:val="000000" w:themeColor="text1"/>
          <w:szCs w:val="21"/>
          <w:highlight w:val="none"/>
          <w:u w:val="single"/>
          <w14:textFill>
            <w14:solidFill>
              <w14:schemeClr w14:val="tx1"/>
            </w14:solidFill>
          </w14:textFill>
        </w:rPr>
        <w:t>年</w:t>
      </w:r>
      <w:r>
        <w:rPr>
          <w:rFonts w:hint="eastAsia" w:ascii="宋体" w:hAnsi="宋体"/>
          <w:color w:val="000000" w:themeColor="text1"/>
          <w:szCs w:val="21"/>
          <w:highlight w:val="none"/>
          <w:u w:val="single"/>
          <w:lang w:val="en-US" w:eastAsia="zh-CN"/>
          <w14:textFill>
            <w14:solidFill>
              <w14:schemeClr w14:val="tx1"/>
            </w14:solidFill>
          </w14:textFill>
        </w:rPr>
        <w:t>6</w:t>
      </w:r>
      <w:r>
        <w:rPr>
          <w:rFonts w:hint="eastAsia" w:ascii="宋体" w:hAnsi="宋体"/>
          <w:color w:val="000000" w:themeColor="text1"/>
          <w:szCs w:val="21"/>
          <w:highlight w:val="none"/>
          <w:u w:val="single"/>
          <w14:textFill>
            <w14:solidFill>
              <w14:schemeClr w14:val="tx1"/>
            </w14:solidFill>
          </w14:textFill>
        </w:rPr>
        <w:t>月</w:t>
      </w:r>
      <w:r>
        <w:rPr>
          <w:rFonts w:hint="eastAsia" w:ascii="宋体" w:hAnsi="宋体"/>
          <w:color w:val="000000" w:themeColor="text1"/>
          <w:szCs w:val="21"/>
          <w:highlight w:val="none"/>
          <w:u w:val="single"/>
          <w:lang w:val="en-US" w:eastAsia="zh-CN"/>
          <w14:textFill>
            <w14:solidFill>
              <w14:schemeClr w14:val="tx1"/>
            </w14:solidFill>
          </w14:textFill>
        </w:rPr>
        <w:t>10</w:t>
      </w:r>
      <w:r>
        <w:rPr>
          <w:rFonts w:hint="eastAsia" w:ascii="宋体" w:hAnsi="宋体"/>
          <w:color w:val="000000" w:themeColor="text1"/>
          <w:szCs w:val="21"/>
          <w:highlight w:val="none"/>
          <w:u w:val="single"/>
          <w14:textFill>
            <w14:solidFill>
              <w14:schemeClr w14:val="tx1"/>
            </w14:solidFill>
          </w14:textFill>
        </w:rPr>
        <w:t>日</w:t>
      </w:r>
      <w:r>
        <w:rPr>
          <w:rFonts w:hint="eastAsia" w:ascii="宋体" w:hAnsi="宋体"/>
          <w:color w:val="000000" w:themeColor="text1"/>
          <w:sz w:val="32"/>
          <w:szCs w:val="32"/>
          <w:highlight w:val="none"/>
          <w14:textFill>
            <w14:solidFill>
              <w14:schemeClr w14:val="tx1"/>
            </w14:solidFill>
          </w14:textFill>
        </w:rPr>
        <w:br w:type="page"/>
      </w:r>
    </w:p>
    <w:p w14:paraId="57BBE2B6">
      <w:pPr>
        <w:pStyle w:val="4"/>
        <w:jc w:val="center"/>
        <w:rPr>
          <w:color w:val="000000" w:themeColor="text1"/>
          <w:highlight w:val="none"/>
          <w14:textFill>
            <w14:solidFill>
              <w14:schemeClr w14:val="tx1"/>
            </w14:solidFill>
          </w14:textFill>
        </w:rPr>
      </w:pPr>
      <w:bookmarkStart w:id="29" w:name="_Toc213948278"/>
      <w:r>
        <w:rPr>
          <w:rFonts w:hint="eastAsia" w:ascii="Cambria" w:hAnsi="Cambria"/>
          <w:bCs w:val="0"/>
          <w:color w:val="000000" w:themeColor="text1"/>
          <w:sz w:val="32"/>
          <w:szCs w:val="32"/>
          <w:highlight w:val="none"/>
          <w14:textFill>
            <w14:solidFill>
              <w14:schemeClr w14:val="tx1"/>
            </w14:solidFill>
          </w14:textFill>
        </w:rPr>
        <w:t>第二章采购需求</w:t>
      </w:r>
      <w:bookmarkEnd w:id="29"/>
    </w:p>
    <w:p w14:paraId="3147ED7D">
      <w:pPr>
        <w:spacing w:line="42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说明：</w:t>
      </w:r>
    </w:p>
    <w:p w14:paraId="66A7AC71">
      <w:pPr>
        <w:spacing w:line="48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为落实政府采购政策需满足的要求</w:t>
      </w:r>
    </w:p>
    <w:p w14:paraId="4C521EFB">
      <w:pPr>
        <w:spacing w:line="48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（1）本竞争性磋商采购文件所称中小企业必须符合《政府采购促进中小企业发展管理办法》（财库〔2020〕46号）的规定。</w:t>
      </w:r>
    </w:p>
    <w:p w14:paraId="46E06601">
      <w:pPr>
        <w:tabs>
          <w:tab w:val="left" w:pos="180"/>
          <w:tab w:val="left" w:pos="1620"/>
        </w:tabs>
        <w:spacing w:line="480" w:lineRule="auto"/>
        <w:ind w:firstLine="420"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（2）工程项目中包含货物的，根据《财政部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7F2C83D1">
      <w:pPr>
        <w:spacing w:line="480" w:lineRule="auto"/>
        <w:ind w:firstLine="426" w:firstLineChars="202"/>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2.“实质性要求”是指采购需求中带“▲”的条款或者不能负偏离的条款或者已经指明不满足按响应文件作无效处理的条款。</w:t>
      </w:r>
    </w:p>
    <w:p w14:paraId="036E0367">
      <w:pPr>
        <w:spacing w:line="480" w:lineRule="auto"/>
        <w:ind w:firstLine="424" w:firstLineChars="202"/>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 不需要供应商对采购需求响应为具体数值的，此采购需求的数值后将以◆号标注。</w:t>
      </w:r>
    </w:p>
    <w:tbl>
      <w:tblPr>
        <w:tblStyle w:val="53"/>
        <w:tblpPr w:leftFromText="180" w:rightFromText="180" w:vertAnchor="text" w:tblpXSpec="center" w:tblpY="1"/>
        <w:tblOverlap w:val="never"/>
        <w:tblW w:w="94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6"/>
        <w:gridCol w:w="1397"/>
        <w:gridCol w:w="850"/>
        <w:gridCol w:w="4290"/>
        <w:gridCol w:w="1008"/>
        <w:gridCol w:w="1223"/>
      </w:tblGrid>
      <w:tr w14:paraId="72731A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696" w:type="dxa"/>
            <w:tcBorders>
              <w:top w:val="single" w:color="auto" w:sz="4" w:space="0"/>
              <w:left w:val="single" w:color="auto" w:sz="4" w:space="0"/>
              <w:bottom w:val="single" w:color="auto" w:sz="4" w:space="0"/>
              <w:right w:val="single" w:color="auto" w:sz="4" w:space="0"/>
            </w:tcBorders>
            <w:vAlign w:val="center"/>
          </w:tcPr>
          <w:p w14:paraId="717D2769">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397" w:type="dxa"/>
            <w:tcBorders>
              <w:top w:val="single" w:color="auto" w:sz="4" w:space="0"/>
              <w:left w:val="single" w:color="auto" w:sz="4" w:space="0"/>
              <w:bottom w:val="single" w:color="auto" w:sz="4" w:space="0"/>
              <w:right w:val="single" w:color="auto" w:sz="4" w:space="0"/>
            </w:tcBorders>
            <w:vAlign w:val="center"/>
          </w:tcPr>
          <w:p w14:paraId="78D3FFE0">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标的的名称</w:t>
            </w:r>
          </w:p>
        </w:tc>
        <w:tc>
          <w:tcPr>
            <w:tcW w:w="850" w:type="dxa"/>
            <w:tcBorders>
              <w:top w:val="single" w:color="auto" w:sz="4" w:space="0"/>
              <w:left w:val="single" w:color="auto" w:sz="4" w:space="0"/>
              <w:bottom w:val="single" w:color="auto" w:sz="4" w:space="0"/>
              <w:right w:val="single" w:color="auto" w:sz="4" w:space="0"/>
            </w:tcBorders>
            <w:vAlign w:val="center"/>
          </w:tcPr>
          <w:p w14:paraId="3A142EB0">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数量</w:t>
            </w:r>
            <w:r>
              <w:rPr>
                <w:rFonts w:hint="default" w:ascii="宋体" w:hAnsi="宋体" w:cs="宋体"/>
                <w:color w:val="000000" w:themeColor="text1"/>
                <w:szCs w:val="21"/>
                <w:highlight w:val="none"/>
                <w14:textFill>
                  <w14:solidFill>
                    <w14:schemeClr w14:val="tx1"/>
                  </w14:solidFill>
                </w14:textFill>
              </w:rPr>
              <w:t>及单位</w:t>
            </w:r>
          </w:p>
        </w:tc>
        <w:tc>
          <w:tcPr>
            <w:tcW w:w="4290" w:type="dxa"/>
            <w:tcBorders>
              <w:top w:val="single" w:color="auto" w:sz="4" w:space="0"/>
              <w:left w:val="single" w:color="auto" w:sz="4" w:space="0"/>
              <w:bottom w:val="single" w:color="auto" w:sz="4" w:space="0"/>
              <w:right w:val="single" w:color="auto" w:sz="4" w:space="0"/>
            </w:tcBorders>
            <w:vAlign w:val="center"/>
          </w:tcPr>
          <w:p w14:paraId="65C969A5">
            <w:pPr>
              <w:keepNext w:val="0"/>
              <w:keepLines w:val="0"/>
              <w:suppressLineNumbers w:val="0"/>
              <w:spacing w:before="0" w:beforeAutospacing="0" w:after="0" w:afterAutospacing="0"/>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工程概况及采购范围</w:t>
            </w:r>
          </w:p>
        </w:tc>
        <w:tc>
          <w:tcPr>
            <w:tcW w:w="1008" w:type="dxa"/>
            <w:tcBorders>
              <w:top w:val="single" w:color="auto" w:sz="4" w:space="0"/>
              <w:left w:val="single" w:color="auto" w:sz="4" w:space="0"/>
              <w:bottom w:val="single" w:color="auto" w:sz="4" w:space="0"/>
              <w:right w:val="single" w:color="auto" w:sz="4" w:space="0"/>
            </w:tcBorders>
            <w:vAlign w:val="center"/>
          </w:tcPr>
          <w:p w14:paraId="1D20BBAF">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分项预算合计（元）</w:t>
            </w:r>
          </w:p>
        </w:tc>
        <w:tc>
          <w:tcPr>
            <w:tcW w:w="1223" w:type="dxa"/>
            <w:tcBorders>
              <w:top w:val="single" w:color="auto" w:sz="4" w:space="0"/>
              <w:left w:val="single" w:color="auto" w:sz="4" w:space="0"/>
              <w:bottom w:val="single" w:color="auto" w:sz="4" w:space="0"/>
              <w:right w:val="single" w:color="auto" w:sz="4" w:space="0"/>
            </w:tcBorders>
          </w:tcPr>
          <w:p w14:paraId="0BC04E16">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中小企业划分标准所属行业名称（行业名称及划分见本章附件）</w:t>
            </w:r>
          </w:p>
        </w:tc>
      </w:tr>
      <w:tr w14:paraId="467F59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7" w:hRule="atLeast"/>
        </w:trPr>
        <w:tc>
          <w:tcPr>
            <w:tcW w:w="696" w:type="dxa"/>
            <w:tcBorders>
              <w:top w:val="single" w:color="auto" w:sz="4" w:space="0"/>
              <w:left w:val="single" w:color="auto" w:sz="4" w:space="0"/>
              <w:bottom w:val="single" w:color="auto" w:sz="4" w:space="0"/>
              <w:right w:val="single" w:color="auto" w:sz="4" w:space="0"/>
            </w:tcBorders>
            <w:vAlign w:val="center"/>
          </w:tcPr>
          <w:p w14:paraId="35ED38DD">
            <w:pPr>
              <w:keepNext w:val="0"/>
              <w:keepLines w:val="0"/>
              <w:suppressLineNumbers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397" w:type="dxa"/>
            <w:tcBorders>
              <w:top w:val="single" w:color="auto" w:sz="4" w:space="0"/>
              <w:left w:val="single" w:color="auto" w:sz="4" w:space="0"/>
              <w:bottom w:val="single" w:color="auto" w:sz="4" w:space="0"/>
              <w:right w:val="single" w:color="auto" w:sz="4" w:space="0"/>
            </w:tcBorders>
            <w:vAlign w:val="center"/>
          </w:tcPr>
          <w:p w14:paraId="3ED318D4">
            <w:pPr>
              <w:keepNext w:val="0"/>
              <w:keepLines w:val="0"/>
              <w:suppressLineNumbers w:val="0"/>
              <w:spacing w:before="0" w:beforeAutospacing="0" w:after="0" w:afterAutospacing="0" w:line="360" w:lineRule="auto"/>
              <w:ind w:left="0" w:right="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横州市横州镇龙池小学聚贤楼维修项目</w:t>
            </w:r>
          </w:p>
        </w:tc>
        <w:tc>
          <w:tcPr>
            <w:tcW w:w="850" w:type="dxa"/>
            <w:tcBorders>
              <w:top w:val="single" w:color="auto" w:sz="4" w:space="0"/>
              <w:left w:val="single" w:color="auto" w:sz="4" w:space="0"/>
              <w:bottom w:val="single" w:color="auto" w:sz="4" w:space="0"/>
              <w:right w:val="single" w:color="auto" w:sz="4" w:space="0"/>
            </w:tcBorders>
            <w:vAlign w:val="center"/>
          </w:tcPr>
          <w:p w14:paraId="1F3F96D4">
            <w:pPr>
              <w:keepNext w:val="0"/>
              <w:keepLines w:val="0"/>
              <w:suppressLineNumbers w:val="0"/>
              <w:snapToGrid w:val="0"/>
              <w:spacing w:before="0" w:beforeAutospacing="0" w:after="0" w:afterAutospacing="0" w:line="360" w:lineRule="auto"/>
              <w:ind w:left="0" w:right="0" w:firstLine="4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1项</w:t>
            </w:r>
          </w:p>
        </w:tc>
        <w:tc>
          <w:tcPr>
            <w:tcW w:w="4290" w:type="dxa"/>
            <w:tcBorders>
              <w:top w:val="single" w:color="auto" w:sz="4" w:space="0"/>
              <w:left w:val="single" w:color="auto" w:sz="4" w:space="0"/>
              <w:bottom w:val="single" w:color="auto" w:sz="4" w:space="0"/>
              <w:right w:val="single" w:color="auto" w:sz="4" w:space="0"/>
            </w:tcBorders>
            <w:vAlign w:val="center"/>
          </w:tcPr>
          <w:p w14:paraId="3E5AF52D">
            <w:pPr>
              <w:keepNext w:val="0"/>
              <w:keepLines w:val="0"/>
              <w:suppressLineNumbers w:val="0"/>
              <w:snapToGrid w:val="0"/>
              <w:spacing w:before="0" w:beforeAutospacing="0" w:after="0" w:afterAutospacing="0" w:line="360" w:lineRule="auto"/>
              <w:ind w:left="0" w:right="0"/>
              <w:rPr>
                <w:rFonts w:hint="default"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1.项目概况</w:t>
            </w:r>
          </w:p>
          <w:p w14:paraId="5A6A43E1">
            <w:pPr>
              <w:keepNext w:val="0"/>
              <w:keepLines w:val="0"/>
              <w:suppressLineNumbers w:val="0"/>
              <w:snapToGrid w:val="0"/>
              <w:spacing w:before="0" w:beforeAutospacing="0" w:after="0" w:afterAutospacing="0" w:line="360" w:lineRule="auto"/>
              <w:ind w:left="0" w:right="0"/>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项目建设地点:横州市横州镇。</w:t>
            </w:r>
          </w:p>
          <w:p w14:paraId="71E8F96A">
            <w:pPr>
              <w:keepNext w:val="0"/>
              <w:keepLines w:val="0"/>
              <w:suppressLineNumbers w:val="0"/>
              <w:snapToGrid w:val="0"/>
              <w:spacing w:before="0" w:beforeAutospacing="0" w:after="0" w:afterAutospacing="0" w:line="360" w:lineRule="auto"/>
              <w:ind w:left="0" w:right="0"/>
              <w:rPr>
                <w:rFonts w:hint="eastAsia" w:ascii="宋体" w:hAnsi="宋体" w:eastAsia="宋体" w:cs="Times New Roman"/>
                <w:color w:val="000000" w:themeColor="text1"/>
                <w:szCs w:val="21"/>
                <w:highlight w:val="none"/>
                <w:lang w:eastAsia="zh-CN"/>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2.本工程包含范围：主要包含铲除正面瓷砖、刷外墙涂料、教室外走廊面重新粉刷、走廊天面、栏板内侧维修、厕所改造等，维修面积5186平方米。</w:t>
            </w:r>
            <w:r>
              <w:rPr>
                <w:rFonts w:hint="default" w:ascii="宋体" w:hAnsi="宋体" w:eastAsia="宋体" w:cs="Times New Roman"/>
                <w:color w:val="000000" w:themeColor="text1"/>
                <w:szCs w:val="21"/>
                <w:highlight w:val="none"/>
                <w14:textFill>
                  <w14:solidFill>
                    <w14:schemeClr w14:val="tx1"/>
                  </w14:solidFill>
                </w14:textFill>
              </w:rPr>
              <w:t>具体详见工程量清单及施工图纸</w:t>
            </w:r>
            <w:r>
              <w:rPr>
                <w:rFonts w:hint="eastAsia" w:ascii="宋体" w:hAnsi="宋体" w:eastAsia="宋体" w:cs="Times New Roman"/>
                <w:color w:val="000000" w:themeColor="text1"/>
                <w:szCs w:val="21"/>
                <w:highlight w:val="none"/>
                <w:lang w:eastAsia="zh-CN"/>
                <w14:textFill>
                  <w14:solidFill>
                    <w14:schemeClr w14:val="tx1"/>
                  </w14:solidFill>
                </w14:textFill>
              </w:rPr>
              <w:t>。</w:t>
            </w:r>
          </w:p>
          <w:p w14:paraId="3926B8F0">
            <w:pPr>
              <w:keepNext w:val="0"/>
              <w:keepLines w:val="0"/>
              <w:suppressLineNumbers w:val="0"/>
              <w:spacing w:before="0" w:beforeAutospacing="0" w:after="0" w:afterAutospacing="0" w:line="360" w:lineRule="auto"/>
              <w:ind w:left="0" w:right="0"/>
              <w:rPr>
                <w:rFonts w:hint="default"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3.人员要求：</w:t>
            </w:r>
            <w:r>
              <w:rPr>
                <w:rFonts w:hint="default" w:ascii="宋体" w:hAnsi="宋体" w:eastAsia="宋体" w:cs="Times New Roman"/>
                <w:color w:val="000000" w:themeColor="text1"/>
                <w:szCs w:val="21"/>
                <w:highlight w:val="none"/>
                <w:lang w:val="en-US" w:eastAsia="zh-CN"/>
                <w14:textFill>
                  <w14:solidFill>
                    <w14:schemeClr w14:val="tx1"/>
                  </w14:solidFill>
                </w14:textFill>
              </w:rPr>
              <w:t>本项目必须配置项目经理、技术负责人、专职安全员、施工员、质量员、材料员；</w:t>
            </w:r>
          </w:p>
          <w:p w14:paraId="585930F2">
            <w:pPr>
              <w:keepNext w:val="0"/>
              <w:keepLines w:val="0"/>
              <w:suppressLineNumbers w:val="0"/>
              <w:spacing w:before="0" w:beforeAutospacing="0" w:after="0" w:afterAutospacing="0" w:line="360" w:lineRule="auto"/>
              <w:ind w:left="0" w:right="0"/>
              <w:rPr>
                <w:rFonts w:hint="default"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（1）项目经理：持有</w:t>
            </w:r>
            <w:r>
              <w:rPr>
                <w:rFonts w:hint="eastAsia" w:ascii="宋体" w:hAnsi="宋体" w:eastAsia="宋体" w:cs="Times New Roman"/>
                <w:color w:val="000000" w:themeColor="text1"/>
                <w:szCs w:val="21"/>
                <w:highlight w:val="none"/>
                <w:lang w:eastAsia="zh-CN"/>
                <w14:textFill>
                  <w14:solidFill>
                    <w14:schemeClr w14:val="tx1"/>
                  </w14:solidFill>
                </w14:textFill>
              </w:rPr>
              <w:t>建筑工程专业</w:t>
            </w:r>
            <w:r>
              <w:rPr>
                <w:rFonts w:hint="eastAsia" w:ascii="宋体" w:hAnsi="宋体" w:eastAsia="宋体" w:cs="Times New Roman"/>
                <w:color w:val="000000" w:themeColor="text1"/>
                <w:szCs w:val="21"/>
                <w:highlight w:val="none"/>
                <w14:textFill>
                  <w14:solidFill>
                    <w14:schemeClr w14:val="tx1"/>
                  </w14:solidFill>
                </w14:textFill>
              </w:rPr>
              <w:t>贰级或贰级以上建造师注册证书；且具备有效的安全生产考核合格证书（B类）。本项目不接受有在建、己中标未开工或已列为其他项目</w:t>
            </w:r>
            <w:r>
              <w:rPr>
                <w:rFonts w:hint="eastAsia" w:ascii="宋体" w:hAnsi="宋体" w:eastAsia="宋体" w:cs="Times New Roman"/>
                <w:color w:val="000000" w:themeColor="text1"/>
                <w:szCs w:val="21"/>
                <w:highlight w:val="none"/>
                <w:lang w:eastAsia="zh-CN"/>
                <w14:textFill>
                  <w14:solidFill>
                    <w14:schemeClr w14:val="tx1"/>
                  </w14:solidFill>
                </w14:textFill>
              </w:rPr>
              <w:t>成交候选人</w:t>
            </w:r>
            <w:r>
              <w:rPr>
                <w:rFonts w:hint="eastAsia" w:ascii="宋体" w:hAnsi="宋体" w:eastAsia="宋体" w:cs="Times New Roman"/>
                <w:color w:val="000000" w:themeColor="text1"/>
                <w:szCs w:val="21"/>
                <w:highlight w:val="none"/>
                <w14:textFill>
                  <w14:solidFill>
                    <w14:schemeClr w14:val="tx1"/>
                  </w14:solidFill>
                </w14:textFill>
              </w:rPr>
              <w:t>第一名的建造师作为项目经理。</w:t>
            </w:r>
          </w:p>
          <w:p w14:paraId="0994818E">
            <w:pPr>
              <w:keepNext w:val="0"/>
              <w:keepLines w:val="0"/>
              <w:suppressLineNumbers w:val="0"/>
              <w:spacing w:before="0" w:beforeAutospacing="0" w:after="0" w:afterAutospacing="0" w:line="360" w:lineRule="auto"/>
              <w:ind w:left="0" w:right="0"/>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val="en-US" w:eastAsia="zh-CN"/>
                <w14:textFill>
                  <w14:solidFill>
                    <w14:schemeClr w14:val="tx1"/>
                  </w14:solidFill>
                </w14:textFill>
              </w:rPr>
              <w:t>2</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default" w:ascii="宋体" w:hAnsi="宋体" w:eastAsia="宋体" w:cs="Times New Roman"/>
                <w:color w:val="000000" w:themeColor="text1"/>
                <w:szCs w:val="21"/>
                <w:highlight w:val="none"/>
                <w:lang w:val="en-US" w:eastAsia="zh-CN"/>
                <w14:textFill>
                  <w14:solidFill>
                    <w14:schemeClr w14:val="tx1"/>
                  </w14:solidFill>
                </w14:textFill>
              </w:rPr>
              <w:t>专职安全员</w:t>
            </w:r>
            <w:r>
              <w:rPr>
                <w:rFonts w:hint="eastAsia" w:ascii="宋体" w:hAnsi="宋体" w:eastAsia="宋体" w:cs="Times New Roman"/>
                <w:color w:val="000000" w:themeColor="text1"/>
                <w:szCs w:val="21"/>
                <w:highlight w:val="none"/>
                <w14:textFill>
                  <w14:solidFill>
                    <w14:schemeClr w14:val="tx1"/>
                  </w14:solidFill>
                </w14:textFill>
              </w:rPr>
              <w:t>：不少于1名专职安全员，具备有效的安</w:t>
            </w:r>
            <w:r>
              <w:rPr>
                <w:rFonts w:hint="eastAsia" w:ascii="宋体" w:hAnsi="宋体" w:eastAsia="宋体" w:cs="Times New Roman"/>
                <w:color w:val="000000" w:themeColor="text1"/>
                <w:szCs w:val="21"/>
                <w:highlight w:val="none"/>
                <w:lang w:val="en-US" w:eastAsia="zh-CN"/>
                <w14:textFill>
                  <w14:solidFill>
                    <w14:schemeClr w14:val="tx1"/>
                  </w14:solidFill>
                </w14:textFill>
              </w:rPr>
              <w:t>全生产考核合格证书（C类）。</w:t>
            </w:r>
          </w:p>
          <w:p w14:paraId="6135B4C5">
            <w:pPr>
              <w:keepNext w:val="0"/>
              <w:keepLines w:val="0"/>
              <w:suppressLineNumbers w:val="0"/>
              <w:snapToGrid w:val="0"/>
              <w:spacing w:before="0" w:beforeAutospacing="0" w:after="0" w:afterAutospacing="0" w:line="360" w:lineRule="auto"/>
              <w:ind w:left="0" w:right="0"/>
              <w:rPr>
                <w:rFonts w:hint="default"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（3）</w:t>
            </w:r>
            <w:r>
              <w:rPr>
                <w:rFonts w:hint="default" w:ascii="宋体" w:hAnsi="宋体" w:eastAsia="宋体" w:cs="Times New Roman"/>
                <w:color w:val="000000" w:themeColor="text1"/>
                <w:szCs w:val="21"/>
                <w:highlight w:val="none"/>
                <w:lang w:val="en-US" w:eastAsia="zh-CN"/>
                <w14:textFill>
                  <w14:solidFill>
                    <w14:schemeClr w14:val="tx1"/>
                  </w14:solidFill>
                </w14:textFill>
              </w:rPr>
              <w:t>施工员、质量员、材料员</w:t>
            </w:r>
            <w:r>
              <w:rPr>
                <w:rFonts w:hint="eastAsia" w:ascii="宋体" w:hAnsi="宋体" w:eastAsia="宋体" w:cs="Times New Roman"/>
                <w:color w:val="000000" w:themeColor="text1"/>
                <w:szCs w:val="21"/>
                <w:highlight w:val="none"/>
                <w:lang w:val="en-US" w:eastAsia="zh-CN"/>
                <w14:textFill>
                  <w14:solidFill>
                    <w14:schemeClr w14:val="tx1"/>
                  </w14:solidFill>
                </w14:textFill>
              </w:rPr>
              <w:t>：</w:t>
            </w:r>
            <w:r>
              <w:rPr>
                <w:rFonts w:hint="default" w:ascii="宋体" w:hAnsi="宋体" w:eastAsia="宋体" w:cs="Times New Roman"/>
                <w:color w:val="000000" w:themeColor="text1"/>
                <w:szCs w:val="21"/>
                <w:highlight w:val="none"/>
                <w:lang w:val="en-US" w:eastAsia="zh-CN"/>
                <w14:textFill>
                  <w14:solidFill>
                    <w14:schemeClr w14:val="tx1"/>
                  </w14:solidFill>
                </w14:textFill>
              </w:rPr>
              <w:t>须具备相应施工现场专业人员职业培训合格证书并在有效期内。</w:t>
            </w:r>
          </w:p>
          <w:p w14:paraId="7BCF280B">
            <w:pPr>
              <w:pStyle w:val="18"/>
              <w:keepNext w:val="0"/>
              <w:keepLines w:val="0"/>
              <w:suppressLineNumbers w:val="0"/>
              <w:snapToGrid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p>
        </w:tc>
        <w:tc>
          <w:tcPr>
            <w:tcW w:w="1008" w:type="dxa"/>
            <w:tcBorders>
              <w:top w:val="single" w:color="auto" w:sz="4" w:space="0"/>
              <w:left w:val="single" w:color="auto" w:sz="4" w:space="0"/>
              <w:bottom w:val="single" w:color="auto" w:sz="4" w:space="0"/>
              <w:right w:val="single" w:color="auto" w:sz="4" w:space="0"/>
            </w:tcBorders>
            <w:vAlign w:val="center"/>
          </w:tcPr>
          <w:p w14:paraId="73455170">
            <w:pPr>
              <w:keepNext w:val="0"/>
              <w:keepLines w:val="0"/>
              <w:suppressLineNumbers w:val="0"/>
              <w:snapToGrid w:val="0"/>
              <w:spacing w:before="0" w:beforeAutospacing="0" w:after="0" w:afterAutospacing="0" w:line="360" w:lineRule="auto"/>
              <w:ind w:left="0" w:right="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612388.77</w:t>
            </w:r>
          </w:p>
        </w:tc>
        <w:tc>
          <w:tcPr>
            <w:tcW w:w="1223" w:type="dxa"/>
            <w:tcBorders>
              <w:top w:val="single" w:color="auto" w:sz="4" w:space="0"/>
              <w:left w:val="single" w:color="auto" w:sz="4" w:space="0"/>
              <w:bottom w:val="single" w:color="auto" w:sz="4" w:space="0"/>
              <w:right w:val="single" w:color="auto" w:sz="4" w:space="0"/>
            </w:tcBorders>
            <w:vAlign w:val="center"/>
          </w:tcPr>
          <w:p w14:paraId="50E15D26">
            <w:pPr>
              <w:keepNext w:val="0"/>
              <w:keepLines w:val="0"/>
              <w:suppressLineNumbers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建筑业</w:t>
            </w:r>
          </w:p>
        </w:tc>
      </w:tr>
      <w:tr w14:paraId="40489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8" w:hRule="atLeast"/>
        </w:trPr>
        <w:tc>
          <w:tcPr>
            <w:tcW w:w="696" w:type="dxa"/>
            <w:tcBorders>
              <w:top w:val="single" w:color="auto" w:sz="4" w:space="0"/>
              <w:left w:val="single" w:color="auto" w:sz="4" w:space="0"/>
              <w:bottom w:val="single" w:color="auto" w:sz="4" w:space="0"/>
              <w:right w:val="single" w:color="auto" w:sz="4" w:space="0"/>
            </w:tcBorders>
            <w:vAlign w:val="center"/>
          </w:tcPr>
          <w:p w14:paraId="1F64D4FE">
            <w:pPr>
              <w:keepNext w:val="0"/>
              <w:keepLines w:val="0"/>
              <w:suppressLineNumbers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商务条款</w:t>
            </w:r>
          </w:p>
        </w:tc>
        <w:tc>
          <w:tcPr>
            <w:tcW w:w="8768" w:type="dxa"/>
            <w:gridSpan w:val="5"/>
            <w:tcBorders>
              <w:top w:val="single" w:color="auto" w:sz="4" w:space="0"/>
              <w:left w:val="single" w:color="auto" w:sz="4" w:space="0"/>
              <w:bottom w:val="single" w:color="auto" w:sz="4" w:space="0"/>
              <w:right w:val="single" w:color="auto" w:sz="4" w:space="0"/>
            </w:tcBorders>
            <w:vAlign w:val="center"/>
          </w:tcPr>
          <w:p w14:paraId="5D58E64D">
            <w:pPr>
              <w:keepNext w:val="0"/>
              <w:keepLines w:val="0"/>
              <w:suppressLineNumbers w:val="0"/>
              <w:spacing w:before="0" w:beforeAutospacing="0" w:after="0" w:afterAutospacing="0" w:line="360" w:lineRule="auto"/>
              <w:ind w:left="0" w:right="0"/>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1、合同签订期：自成交通知书发出之日起25 日内。</w:t>
            </w:r>
          </w:p>
          <w:p w14:paraId="65B3A84D">
            <w:pPr>
              <w:keepNext w:val="0"/>
              <w:keepLines w:val="0"/>
              <w:suppressLineNumbers w:val="0"/>
              <w:spacing w:before="0" w:beforeAutospacing="0" w:after="0" w:afterAutospacing="0" w:line="360" w:lineRule="auto"/>
              <w:ind w:left="0" w:right="0"/>
              <w:rPr>
                <w:rFonts w:hint="eastAsia"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合同履行期限（工期）</w:t>
            </w:r>
            <w:r>
              <w:rPr>
                <w:rFonts w:hint="eastAsia" w:ascii="宋体" w:hAnsi="宋体"/>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签订合同之日起</w:t>
            </w:r>
            <w:r>
              <w:rPr>
                <w:rFonts w:hint="eastAsia" w:ascii="宋体" w:hAnsi="宋体"/>
                <w:color w:val="000000" w:themeColor="text1"/>
                <w:highlight w:val="none"/>
                <w:lang w:val="en-US" w:eastAsia="zh-CN"/>
                <w14:textFill>
                  <w14:solidFill>
                    <w14:schemeClr w14:val="tx1"/>
                  </w14:solidFill>
                </w14:textFill>
              </w:rPr>
              <w:t>60</w:t>
            </w:r>
            <w:r>
              <w:rPr>
                <w:rFonts w:hint="eastAsia" w:ascii="宋体" w:hAnsi="宋体"/>
                <w:color w:val="000000" w:themeColor="text1"/>
                <w:highlight w:val="none"/>
                <w14:textFill>
                  <w14:solidFill>
                    <w14:schemeClr w14:val="tx1"/>
                  </w14:solidFill>
                </w14:textFill>
              </w:rPr>
              <w:t>日历天</w:t>
            </w:r>
            <w:r>
              <w:rPr>
                <w:rFonts w:hint="eastAsia" w:ascii="宋体" w:hAnsi="宋体"/>
                <w:color w:val="000000" w:themeColor="text1"/>
                <w:highlight w:val="none"/>
                <w:lang w:eastAsia="zh-CN"/>
                <w14:textFill>
                  <w14:solidFill>
                    <w14:schemeClr w14:val="tx1"/>
                  </w14:solidFill>
                </w14:textFill>
              </w:rPr>
              <w:t>。</w:t>
            </w:r>
          </w:p>
          <w:p w14:paraId="05F3E1A0">
            <w:pPr>
              <w:keepNext w:val="0"/>
              <w:keepLines w:val="0"/>
              <w:suppressLineNumbers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3、开工时间：具体以采购人（监理）开工令为准。</w:t>
            </w:r>
          </w:p>
          <w:p w14:paraId="170D7455">
            <w:pPr>
              <w:keepNext w:val="0"/>
              <w:keepLines w:val="0"/>
              <w:suppressLineNumbers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4、工程质量要求：达到国家施工验收规范合格标准。</w:t>
            </w:r>
          </w:p>
          <w:p w14:paraId="2ADA2C1C">
            <w:pPr>
              <w:keepNext w:val="0"/>
              <w:keepLines w:val="0"/>
              <w:suppressLineNumbers w:val="0"/>
              <w:spacing w:before="0" w:beforeAutospacing="0" w:after="0" w:afterAutospacing="0" w:line="360" w:lineRule="auto"/>
              <w:ind w:left="0" w:right="0"/>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5、售后服务承诺：</w:t>
            </w:r>
          </w:p>
          <w:p w14:paraId="62B250A3">
            <w:pPr>
              <w:keepNext w:val="0"/>
              <w:keepLines w:val="0"/>
              <w:suppressLineNumbers w:val="0"/>
              <w:spacing w:before="0" w:beforeAutospacing="0" w:after="0" w:afterAutospacing="0" w:line="360" w:lineRule="auto"/>
              <w:ind w:left="0" w:right="0"/>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（1）使用年限应符合国家建设相关要求。</w:t>
            </w:r>
          </w:p>
          <w:p w14:paraId="2E069B7B">
            <w:pPr>
              <w:keepNext w:val="0"/>
              <w:keepLines w:val="0"/>
              <w:suppressLineNumbers w:val="0"/>
              <w:spacing w:before="0" w:beforeAutospacing="0" w:after="0" w:afterAutospacing="0" w:line="360" w:lineRule="auto"/>
              <w:ind w:left="0" w:right="0"/>
              <w:rPr>
                <w:rFonts w:hint="default"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（2）响应时间：接到采购人处理问题通知后 4 小时内到达采购人指定现场，8 小时内提出解决方案。在工程质量保修期期限内发生质量问题，必须在收到质保通知后的3个日历天内整改完毕。</w:t>
            </w:r>
          </w:p>
          <w:p w14:paraId="292BF15C">
            <w:pPr>
              <w:keepNext w:val="0"/>
              <w:keepLines w:val="0"/>
              <w:suppressLineNumbers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6、付款方式及条件：</w:t>
            </w:r>
          </w:p>
          <w:p w14:paraId="252846DC">
            <w:pPr>
              <w:keepNext w:val="0"/>
              <w:keepLines w:val="0"/>
              <w:suppressLineNumbers w:val="0"/>
              <w:spacing w:before="0" w:beforeAutospacing="0" w:after="0" w:afterAutospacing="0" w:line="360" w:lineRule="auto"/>
              <w:ind w:left="0" w:right="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（1）预付款支付比例或金额：合同价款扣除暂列金额后的30%。</w:t>
            </w:r>
          </w:p>
          <w:p w14:paraId="7764A008">
            <w:pPr>
              <w:keepNext w:val="0"/>
              <w:keepLines w:val="0"/>
              <w:suppressLineNumbers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工程进度款支付：工程款按进度支付，合同内进度款支付限额为已完成工程价款的80%，工程变更部分进度款支付限额为已完成工程价款的60%；工程完工验收达到质量要求，结算经审计后并向发包人提交完整的竣工资料，工程款支付至结算总价的97%（含已支付的）；发包人按工程价款结算总额的3%预留</w:t>
            </w:r>
            <w:r>
              <w:rPr>
                <w:rFonts w:hint="eastAsia" w:ascii="宋体" w:hAnsi="宋体"/>
                <w:color w:val="000000" w:themeColor="text1"/>
                <w:szCs w:val="21"/>
                <w:highlight w:val="none"/>
                <w:lang w:eastAsia="zh-CN"/>
                <w14:textFill>
                  <w14:solidFill>
                    <w14:schemeClr w14:val="tx1"/>
                  </w14:solidFill>
                </w14:textFill>
              </w:rPr>
              <w:t>工程质量保证金</w:t>
            </w:r>
            <w:r>
              <w:rPr>
                <w:rFonts w:hint="eastAsia" w:ascii="宋体" w:hAnsi="宋体"/>
                <w:color w:val="000000" w:themeColor="text1"/>
                <w:szCs w:val="21"/>
                <w:highlight w:val="none"/>
                <w14:textFill>
                  <w14:solidFill>
                    <w14:schemeClr w14:val="tx1"/>
                  </w14:solidFill>
                </w14:textFill>
              </w:rPr>
              <w:t>，待工程质量保修期满后返还，工程保修期满后退还给承包人（无息）。</w:t>
            </w:r>
          </w:p>
        </w:tc>
      </w:tr>
    </w:tbl>
    <w:p w14:paraId="12F9C3D6">
      <w:pPr>
        <w:widowControl/>
        <w:spacing w:line="360" w:lineRule="auto"/>
        <w:jc w:val="left"/>
        <w:rPr>
          <w:rFonts w:ascii="宋体" w:hAnsi="宋体" w:cs="宋体"/>
          <w:b/>
          <w:bCs/>
          <w:color w:val="000000" w:themeColor="text1"/>
          <w:szCs w:val="21"/>
          <w:highlight w:val="none"/>
          <w14:textFill>
            <w14:solidFill>
              <w14:schemeClr w14:val="tx1"/>
            </w14:solidFill>
          </w14:textFill>
        </w:rPr>
        <w:sectPr>
          <w:pgSz w:w="11910" w:h="16840"/>
          <w:pgMar w:top="1520" w:right="1500" w:bottom="280" w:left="1680" w:header="720" w:footer="720" w:gutter="0"/>
          <w:cols w:space="720" w:num="1"/>
        </w:sectPr>
      </w:pPr>
    </w:p>
    <w:p w14:paraId="7075D304">
      <w:pPr>
        <w:tabs>
          <w:tab w:val="left" w:pos="180"/>
          <w:tab w:val="left" w:pos="1620"/>
        </w:tabs>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p>
    <w:p w14:paraId="2D4AA50B">
      <w:pPr>
        <w:spacing w:line="428" w:lineRule="exact"/>
        <w:ind w:left="119"/>
        <w:rPr>
          <w:rFonts w:ascii="Arial Unicode MS" w:hAnsi="Arial Unicode MS" w:eastAsia="Arial Unicode MS" w:cs="Arial Unicode MS"/>
          <w:color w:val="000000" w:themeColor="text1"/>
          <w:sz w:val="17"/>
          <w:szCs w:val="17"/>
          <w:highlight w:val="none"/>
          <w14:textFill>
            <w14:solidFill>
              <w14:schemeClr w14:val="tx1"/>
            </w14:solidFill>
          </w14:textFill>
        </w:rPr>
      </w:pP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p>
    <w:p w14:paraId="35FE7D0F">
      <w:pPr>
        <w:spacing w:line="528" w:lineRule="exact"/>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节能产品政府采购品目清单</w:t>
      </w:r>
    </w:p>
    <w:tbl>
      <w:tblPr>
        <w:tblStyle w:val="53"/>
        <w:tblW w:w="9220" w:type="dxa"/>
        <w:tblInd w:w="93" w:type="dxa"/>
        <w:tblLayout w:type="autofit"/>
        <w:tblCellMar>
          <w:top w:w="0" w:type="dxa"/>
          <w:left w:w="108" w:type="dxa"/>
          <w:bottom w:w="0" w:type="dxa"/>
          <w:right w:w="108" w:type="dxa"/>
        </w:tblCellMar>
      </w:tblPr>
      <w:tblGrid>
        <w:gridCol w:w="660"/>
        <w:gridCol w:w="1116"/>
        <w:gridCol w:w="1516"/>
        <w:gridCol w:w="1620"/>
        <w:gridCol w:w="4540"/>
      </w:tblGrid>
      <w:tr w14:paraId="73C77349">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noWrap/>
          </w:tcPr>
          <w:p w14:paraId="7573F622">
            <w:pPr>
              <w:keepNext w:val="0"/>
              <w:keepLines w:val="0"/>
              <w:widowControl/>
              <w:suppressLineNumbers w:val="0"/>
              <w:spacing w:before="0" w:beforeAutospacing="0" w:after="0" w:afterAutospacing="0"/>
              <w:ind w:left="0" w:right="0"/>
              <w:jc w:val="center"/>
              <w:rPr>
                <w:rFonts w:hint="default"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品目序号</w:t>
            </w:r>
          </w:p>
        </w:tc>
        <w:tc>
          <w:tcPr>
            <w:tcW w:w="4020" w:type="dxa"/>
            <w:gridSpan w:val="3"/>
            <w:tcBorders>
              <w:top w:val="single" w:color="000000" w:sz="8" w:space="0"/>
              <w:left w:val="nil"/>
              <w:bottom w:val="single" w:color="000000" w:sz="8" w:space="0"/>
              <w:right w:val="single" w:color="000000" w:sz="8" w:space="0"/>
            </w:tcBorders>
            <w:noWrap/>
            <w:vAlign w:val="center"/>
          </w:tcPr>
          <w:p w14:paraId="2135C33B">
            <w:pPr>
              <w:keepNext w:val="0"/>
              <w:keepLines w:val="0"/>
              <w:widowControl/>
              <w:suppressLineNumbers w:val="0"/>
              <w:spacing w:before="0" w:beforeAutospacing="0" w:after="0" w:afterAutospacing="0"/>
              <w:ind w:left="0" w:right="0"/>
              <w:jc w:val="center"/>
              <w:rPr>
                <w:rFonts w:hint="default"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名称</w:t>
            </w:r>
          </w:p>
        </w:tc>
        <w:tc>
          <w:tcPr>
            <w:tcW w:w="4540" w:type="dxa"/>
            <w:tcBorders>
              <w:top w:val="single" w:color="000000" w:sz="8" w:space="0"/>
              <w:left w:val="nil"/>
              <w:bottom w:val="single" w:color="000000" w:sz="8" w:space="0"/>
              <w:right w:val="single" w:color="000000" w:sz="8" w:space="0"/>
            </w:tcBorders>
            <w:noWrap/>
            <w:vAlign w:val="center"/>
          </w:tcPr>
          <w:p w14:paraId="2DEB1D78">
            <w:pPr>
              <w:keepNext w:val="0"/>
              <w:keepLines w:val="0"/>
              <w:widowControl/>
              <w:suppressLineNumbers w:val="0"/>
              <w:spacing w:before="0" w:beforeAutospacing="0" w:after="0" w:afterAutospacing="0"/>
              <w:ind w:left="0" w:right="0"/>
              <w:jc w:val="center"/>
              <w:rPr>
                <w:rFonts w:hint="default"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依据的标准</w:t>
            </w:r>
          </w:p>
        </w:tc>
      </w:tr>
      <w:tr w14:paraId="02C6B89F">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4E580651">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c>
          <w:tcPr>
            <w:tcW w:w="1080" w:type="dxa"/>
            <w:vMerge w:val="restart"/>
            <w:tcBorders>
              <w:top w:val="nil"/>
              <w:left w:val="single" w:color="000000" w:sz="8" w:space="0"/>
              <w:bottom w:val="single" w:color="000000" w:sz="8" w:space="0"/>
              <w:right w:val="single" w:color="000000" w:sz="8" w:space="0"/>
            </w:tcBorders>
            <w:noWrap/>
            <w:vAlign w:val="center"/>
          </w:tcPr>
          <w:p w14:paraId="1AF32052">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A020101计算机设备</w:t>
            </w:r>
          </w:p>
        </w:tc>
        <w:tc>
          <w:tcPr>
            <w:tcW w:w="1320" w:type="dxa"/>
            <w:tcBorders>
              <w:top w:val="nil"/>
              <w:left w:val="nil"/>
              <w:bottom w:val="single" w:color="000000" w:sz="8" w:space="0"/>
              <w:right w:val="single" w:color="000000" w:sz="8" w:space="0"/>
            </w:tcBorders>
            <w:noWrap/>
            <w:vAlign w:val="center"/>
          </w:tcPr>
          <w:p w14:paraId="55CD1527">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★A02010104台式计算机</w:t>
            </w:r>
          </w:p>
        </w:tc>
        <w:tc>
          <w:tcPr>
            <w:tcW w:w="1620" w:type="dxa"/>
            <w:tcBorders>
              <w:top w:val="nil"/>
              <w:left w:val="nil"/>
              <w:bottom w:val="single" w:color="000000" w:sz="8" w:space="0"/>
              <w:right w:val="single" w:color="000000" w:sz="8" w:space="0"/>
            </w:tcBorders>
            <w:noWrap/>
            <w:vAlign w:val="center"/>
          </w:tcPr>
          <w:p w14:paraId="49A836D0">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75259938">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035FA4BE">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2DD8C805">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2409A71F">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ign w:val="center"/>
          </w:tcPr>
          <w:p w14:paraId="1961DFC1">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★A02010105便携式计算机</w:t>
            </w:r>
          </w:p>
        </w:tc>
        <w:tc>
          <w:tcPr>
            <w:tcW w:w="1620" w:type="dxa"/>
            <w:tcBorders>
              <w:top w:val="nil"/>
              <w:left w:val="nil"/>
              <w:bottom w:val="single" w:color="000000" w:sz="8" w:space="0"/>
              <w:right w:val="single" w:color="000000" w:sz="8" w:space="0"/>
            </w:tcBorders>
            <w:noWrap/>
            <w:vAlign w:val="center"/>
          </w:tcPr>
          <w:p w14:paraId="4652C050">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17AFAA70">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36E317B9">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22733338">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7F26A15B">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ign w:val="center"/>
          </w:tcPr>
          <w:p w14:paraId="16254F6A">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★A02010107平板式微型计算机</w:t>
            </w:r>
          </w:p>
        </w:tc>
        <w:tc>
          <w:tcPr>
            <w:tcW w:w="1620" w:type="dxa"/>
            <w:tcBorders>
              <w:top w:val="nil"/>
              <w:left w:val="nil"/>
              <w:bottom w:val="single" w:color="000000" w:sz="8" w:space="0"/>
              <w:right w:val="single" w:color="000000" w:sz="8" w:space="0"/>
            </w:tcBorders>
            <w:noWrap/>
            <w:vAlign w:val="center"/>
          </w:tcPr>
          <w:p w14:paraId="3B4B241D">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28046345">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11B967A5">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6174E4A1">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w:t>
            </w:r>
          </w:p>
        </w:tc>
        <w:tc>
          <w:tcPr>
            <w:tcW w:w="1080" w:type="dxa"/>
            <w:vMerge w:val="restart"/>
            <w:tcBorders>
              <w:top w:val="nil"/>
              <w:left w:val="single" w:color="000000" w:sz="8" w:space="0"/>
              <w:bottom w:val="single" w:color="000000" w:sz="8" w:space="0"/>
              <w:right w:val="single" w:color="000000" w:sz="8" w:space="0"/>
            </w:tcBorders>
            <w:noWrap/>
            <w:vAlign w:val="center"/>
          </w:tcPr>
          <w:p w14:paraId="7BEEA376">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A020106输入输出设备</w:t>
            </w:r>
          </w:p>
        </w:tc>
        <w:tc>
          <w:tcPr>
            <w:tcW w:w="1320" w:type="dxa"/>
            <w:vMerge w:val="restart"/>
            <w:tcBorders>
              <w:top w:val="nil"/>
              <w:left w:val="single" w:color="000000" w:sz="8" w:space="0"/>
              <w:bottom w:val="single" w:color="000000" w:sz="8" w:space="0"/>
              <w:right w:val="single" w:color="000000" w:sz="8" w:space="0"/>
            </w:tcBorders>
            <w:noWrap/>
            <w:vAlign w:val="center"/>
          </w:tcPr>
          <w:p w14:paraId="1525F3B9">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A02010601打印设备</w:t>
            </w:r>
          </w:p>
        </w:tc>
        <w:tc>
          <w:tcPr>
            <w:tcW w:w="1620" w:type="dxa"/>
            <w:tcBorders>
              <w:top w:val="nil"/>
              <w:left w:val="nil"/>
              <w:bottom w:val="single" w:color="000000" w:sz="8" w:space="0"/>
              <w:right w:val="single" w:color="000000" w:sz="8" w:space="0"/>
            </w:tcBorders>
            <w:noWrap/>
            <w:vAlign w:val="center"/>
          </w:tcPr>
          <w:p w14:paraId="0A42F7B1">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A0201060101喷墨打印机</w:t>
            </w:r>
          </w:p>
        </w:tc>
        <w:tc>
          <w:tcPr>
            <w:tcW w:w="4540" w:type="dxa"/>
            <w:tcBorders>
              <w:top w:val="nil"/>
              <w:left w:val="nil"/>
              <w:bottom w:val="single" w:color="000000" w:sz="8" w:space="0"/>
              <w:right w:val="single" w:color="000000" w:sz="8" w:space="0"/>
            </w:tcBorders>
            <w:noWrap/>
            <w:vAlign w:val="center"/>
          </w:tcPr>
          <w:p w14:paraId="17A5DC23">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1CD999D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1B10B4DE">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7210A53C">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58F9A678">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ign w:val="center"/>
          </w:tcPr>
          <w:p w14:paraId="05CEBC27">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★A0201060102激光打印机</w:t>
            </w:r>
          </w:p>
        </w:tc>
        <w:tc>
          <w:tcPr>
            <w:tcW w:w="4540" w:type="dxa"/>
            <w:tcBorders>
              <w:top w:val="nil"/>
              <w:left w:val="nil"/>
              <w:bottom w:val="single" w:color="000000" w:sz="8" w:space="0"/>
              <w:right w:val="single" w:color="000000" w:sz="8" w:space="0"/>
            </w:tcBorders>
            <w:noWrap/>
            <w:vAlign w:val="center"/>
          </w:tcPr>
          <w:p w14:paraId="2F26A01F">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3F7FBA81">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73C66226">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310CE4C2">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71C3CEEB">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ign w:val="center"/>
          </w:tcPr>
          <w:p w14:paraId="70C8CB6A">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★A0201060104针式打印机</w:t>
            </w:r>
          </w:p>
        </w:tc>
        <w:tc>
          <w:tcPr>
            <w:tcW w:w="4540" w:type="dxa"/>
            <w:tcBorders>
              <w:top w:val="nil"/>
              <w:left w:val="nil"/>
              <w:bottom w:val="single" w:color="000000" w:sz="8" w:space="0"/>
              <w:right w:val="single" w:color="000000" w:sz="8" w:space="0"/>
            </w:tcBorders>
            <w:noWrap/>
            <w:vAlign w:val="center"/>
          </w:tcPr>
          <w:p w14:paraId="036C139B">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02E7C300">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70F7B16D">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626548DE">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ign w:val="center"/>
          </w:tcPr>
          <w:p w14:paraId="39431894">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A02010604显示设备</w:t>
            </w:r>
          </w:p>
        </w:tc>
        <w:tc>
          <w:tcPr>
            <w:tcW w:w="1620" w:type="dxa"/>
            <w:tcBorders>
              <w:top w:val="nil"/>
              <w:left w:val="nil"/>
              <w:bottom w:val="single" w:color="000000" w:sz="8" w:space="0"/>
              <w:right w:val="single" w:color="000000" w:sz="8" w:space="0"/>
            </w:tcBorders>
            <w:noWrap/>
            <w:vAlign w:val="center"/>
          </w:tcPr>
          <w:p w14:paraId="77E990B5">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★A0201060401液晶显示器</w:t>
            </w:r>
          </w:p>
        </w:tc>
        <w:tc>
          <w:tcPr>
            <w:tcW w:w="4540" w:type="dxa"/>
            <w:tcBorders>
              <w:top w:val="nil"/>
              <w:left w:val="nil"/>
              <w:bottom w:val="single" w:color="000000" w:sz="8" w:space="0"/>
              <w:right w:val="single" w:color="000000" w:sz="8" w:space="0"/>
            </w:tcBorders>
            <w:noWrap/>
            <w:vAlign w:val="center"/>
          </w:tcPr>
          <w:p w14:paraId="0618780F">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《计算机显示器能效限定值及能效等级》（GB21520）</w:t>
            </w:r>
          </w:p>
        </w:tc>
      </w:tr>
      <w:tr w14:paraId="74422522">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353FBE81">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75EF58ED">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ign w:val="center"/>
          </w:tcPr>
          <w:p w14:paraId="611CA52D">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A02010609图形图像输入设备</w:t>
            </w:r>
          </w:p>
        </w:tc>
        <w:tc>
          <w:tcPr>
            <w:tcW w:w="1620" w:type="dxa"/>
            <w:tcBorders>
              <w:top w:val="nil"/>
              <w:left w:val="nil"/>
              <w:bottom w:val="single" w:color="000000" w:sz="8" w:space="0"/>
              <w:right w:val="single" w:color="000000" w:sz="8" w:space="0"/>
            </w:tcBorders>
            <w:noWrap/>
            <w:vAlign w:val="center"/>
          </w:tcPr>
          <w:p w14:paraId="14ECAFD6">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A0201060901扫描仪</w:t>
            </w:r>
          </w:p>
        </w:tc>
        <w:tc>
          <w:tcPr>
            <w:tcW w:w="4540" w:type="dxa"/>
            <w:tcBorders>
              <w:top w:val="nil"/>
              <w:left w:val="nil"/>
              <w:bottom w:val="single" w:color="000000" w:sz="8" w:space="0"/>
              <w:right w:val="single" w:color="000000" w:sz="8" w:space="0"/>
            </w:tcBorders>
            <w:noWrap/>
            <w:vAlign w:val="center"/>
          </w:tcPr>
          <w:p w14:paraId="653E7C16">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参照《复印机、打印机和传真机能效限定值及能效等级》（GB21521中打印速度为15页/分的针式打印机相关要求中打印速度为15页/分的针式打印机相关要求</w:t>
            </w:r>
          </w:p>
        </w:tc>
      </w:tr>
      <w:tr w14:paraId="4A826F13">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28AB75A4">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w:t>
            </w:r>
          </w:p>
        </w:tc>
        <w:tc>
          <w:tcPr>
            <w:tcW w:w="1080" w:type="dxa"/>
            <w:tcBorders>
              <w:top w:val="nil"/>
              <w:left w:val="nil"/>
              <w:bottom w:val="single" w:color="000000" w:sz="8" w:space="0"/>
              <w:right w:val="single" w:color="000000" w:sz="8" w:space="0"/>
            </w:tcBorders>
            <w:noWrap/>
            <w:vAlign w:val="center"/>
          </w:tcPr>
          <w:p w14:paraId="32930747">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A020202投影仪</w:t>
            </w:r>
          </w:p>
        </w:tc>
        <w:tc>
          <w:tcPr>
            <w:tcW w:w="1320" w:type="dxa"/>
            <w:tcBorders>
              <w:top w:val="nil"/>
              <w:left w:val="nil"/>
              <w:bottom w:val="single" w:color="000000" w:sz="8" w:space="0"/>
              <w:right w:val="single" w:color="000000" w:sz="8" w:space="0"/>
            </w:tcBorders>
            <w:noWrap/>
            <w:vAlign w:val="center"/>
          </w:tcPr>
          <w:p w14:paraId="30ECBD9A">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ign w:val="center"/>
          </w:tcPr>
          <w:p w14:paraId="6EA912DF">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2A1AFE15">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《投影机能效限定值及能效等级》（GB32028）</w:t>
            </w:r>
          </w:p>
        </w:tc>
      </w:tr>
      <w:tr w14:paraId="715033B8">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6FF0D2B9">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w:t>
            </w:r>
          </w:p>
        </w:tc>
        <w:tc>
          <w:tcPr>
            <w:tcW w:w="1080" w:type="dxa"/>
            <w:tcBorders>
              <w:top w:val="nil"/>
              <w:left w:val="nil"/>
              <w:bottom w:val="single" w:color="000000" w:sz="8" w:space="0"/>
              <w:right w:val="single" w:color="000000" w:sz="8" w:space="0"/>
            </w:tcBorders>
            <w:noWrap/>
            <w:vAlign w:val="center"/>
          </w:tcPr>
          <w:p w14:paraId="112C9144">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A020204多功能一体机</w:t>
            </w:r>
          </w:p>
        </w:tc>
        <w:tc>
          <w:tcPr>
            <w:tcW w:w="1320" w:type="dxa"/>
            <w:tcBorders>
              <w:top w:val="nil"/>
              <w:left w:val="nil"/>
              <w:bottom w:val="single" w:color="000000" w:sz="8" w:space="0"/>
              <w:right w:val="single" w:color="000000" w:sz="8" w:space="0"/>
            </w:tcBorders>
            <w:noWrap/>
            <w:vAlign w:val="center"/>
          </w:tcPr>
          <w:p w14:paraId="47725B09">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ign w:val="center"/>
          </w:tcPr>
          <w:p w14:paraId="7BE517D5">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216CBE2D">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206A2A4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493704C6">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w:t>
            </w:r>
          </w:p>
        </w:tc>
        <w:tc>
          <w:tcPr>
            <w:tcW w:w="1080" w:type="dxa"/>
            <w:tcBorders>
              <w:top w:val="nil"/>
              <w:left w:val="nil"/>
              <w:bottom w:val="single" w:color="000000" w:sz="8" w:space="0"/>
              <w:right w:val="single" w:color="000000" w:sz="8" w:space="0"/>
            </w:tcBorders>
            <w:noWrap/>
            <w:vAlign w:val="center"/>
          </w:tcPr>
          <w:p w14:paraId="21C86863">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A020519泵</w:t>
            </w:r>
          </w:p>
        </w:tc>
        <w:tc>
          <w:tcPr>
            <w:tcW w:w="1320" w:type="dxa"/>
            <w:tcBorders>
              <w:top w:val="nil"/>
              <w:left w:val="nil"/>
              <w:bottom w:val="single" w:color="000000" w:sz="8" w:space="0"/>
              <w:right w:val="single" w:color="000000" w:sz="8" w:space="0"/>
            </w:tcBorders>
            <w:noWrap/>
            <w:vAlign w:val="center"/>
          </w:tcPr>
          <w:p w14:paraId="050C73C2">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A02051901离心泵</w:t>
            </w:r>
          </w:p>
        </w:tc>
        <w:tc>
          <w:tcPr>
            <w:tcW w:w="1620" w:type="dxa"/>
            <w:tcBorders>
              <w:top w:val="nil"/>
              <w:left w:val="nil"/>
              <w:bottom w:val="single" w:color="000000" w:sz="8" w:space="0"/>
              <w:right w:val="single" w:color="000000" w:sz="8" w:space="0"/>
            </w:tcBorders>
            <w:noWrap/>
            <w:vAlign w:val="center"/>
          </w:tcPr>
          <w:p w14:paraId="3D474B0B">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5CDE565A">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《清水离心泵能效限定值及节能评价值》（GB19762）</w:t>
            </w:r>
          </w:p>
        </w:tc>
      </w:tr>
      <w:tr w14:paraId="4965F209">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76441A79">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1080" w:type="dxa"/>
            <w:vMerge w:val="restart"/>
            <w:tcBorders>
              <w:top w:val="nil"/>
              <w:left w:val="single" w:color="000000" w:sz="8" w:space="0"/>
              <w:bottom w:val="single" w:color="000000" w:sz="8" w:space="0"/>
              <w:right w:val="single" w:color="000000" w:sz="8" w:space="0"/>
            </w:tcBorders>
            <w:noWrap/>
            <w:vAlign w:val="center"/>
          </w:tcPr>
          <w:p w14:paraId="270EE02E">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A020523制冷空调设备</w:t>
            </w:r>
          </w:p>
        </w:tc>
        <w:tc>
          <w:tcPr>
            <w:tcW w:w="1320" w:type="dxa"/>
            <w:vMerge w:val="restart"/>
            <w:tcBorders>
              <w:top w:val="nil"/>
              <w:left w:val="single" w:color="000000" w:sz="8" w:space="0"/>
              <w:bottom w:val="single" w:color="000000" w:sz="8" w:space="0"/>
              <w:right w:val="single" w:color="000000" w:sz="8" w:space="0"/>
            </w:tcBorders>
            <w:noWrap/>
            <w:vAlign w:val="center"/>
          </w:tcPr>
          <w:p w14:paraId="11973727">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★A02052301制冷压缩机</w:t>
            </w:r>
          </w:p>
        </w:tc>
        <w:tc>
          <w:tcPr>
            <w:tcW w:w="1620" w:type="dxa"/>
            <w:tcBorders>
              <w:top w:val="nil"/>
              <w:left w:val="nil"/>
              <w:bottom w:val="single" w:color="000000" w:sz="8" w:space="0"/>
              <w:right w:val="single" w:color="000000" w:sz="8" w:space="0"/>
            </w:tcBorders>
            <w:noWrap/>
            <w:vAlign w:val="center"/>
          </w:tcPr>
          <w:p w14:paraId="207BB4B7">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冷水机组</w:t>
            </w:r>
          </w:p>
        </w:tc>
        <w:tc>
          <w:tcPr>
            <w:tcW w:w="4540" w:type="dxa"/>
            <w:tcBorders>
              <w:top w:val="nil"/>
              <w:left w:val="nil"/>
              <w:bottom w:val="single" w:color="000000" w:sz="8" w:space="0"/>
              <w:right w:val="single" w:color="000000" w:sz="8" w:space="0"/>
            </w:tcBorders>
            <w:noWrap/>
            <w:vAlign w:val="center"/>
          </w:tcPr>
          <w:p w14:paraId="01121389">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《冷水机组能效限定值及能效等级》（GB19577），《低环境温度空气源热泵（冷水）机组能效限定值及能效等级》（GB37480）</w:t>
            </w:r>
          </w:p>
        </w:tc>
      </w:tr>
      <w:tr w14:paraId="3605EA8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1EB04257">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504BFC1D">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7B9D61E1">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ign w:val="center"/>
          </w:tcPr>
          <w:p w14:paraId="61DB3EBF">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水源热泵机组</w:t>
            </w:r>
          </w:p>
        </w:tc>
        <w:tc>
          <w:tcPr>
            <w:tcW w:w="4540" w:type="dxa"/>
            <w:tcBorders>
              <w:top w:val="nil"/>
              <w:left w:val="nil"/>
              <w:bottom w:val="single" w:color="000000" w:sz="8" w:space="0"/>
              <w:right w:val="single" w:color="000000" w:sz="8" w:space="0"/>
            </w:tcBorders>
            <w:noWrap/>
            <w:vAlign w:val="center"/>
          </w:tcPr>
          <w:p w14:paraId="36EB2906">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《水（地）源热泵机组能效限定值及能效等级》（GB30721）</w:t>
            </w:r>
          </w:p>
        </w:tc>
      </w:tr>
      <w:tr w14:paraId="053A1AB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033A6C55">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6B58FA63">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32F919EB">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ign w:val="center"/>
          </w:tcPr>
          <w:p w14:paraId="09C20033">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溴化锂吸收式冷水机组</w:t>
            </w:r>
          </w:p>
        </w:tc>
        <w:tc>
          <w:tcPr>
            <w:tcW w:w="4540" w:type="dxa"/>
            <w:tcBorders>
              <w:top w:val="nil"/>
              <w:left w:val="nil"/>
              <w:bottom w:val="single" w:color="000000" w:sz="8" w:space="0"/>
              <w:right w:val="single" w:color="000000" w:sz="8" w:space="0"/>
            </w:tcBorders>
            <w:noWrap/>
            <w:vAlign w:val="center"/>
          </w:tcPr>
          <w:p w14:paraId="7914B66D">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《溴化锂吸收式冷水机组能效限定值及能效等级》（GB29540）</w:t>
            </w:r>
          </w:p>
        </w:tc>
      </w:tr>
      <w:tr w14:paraId="48AE424D">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452299F6">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3018EB87">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ign w:val="center"/>
          </w:tcPr>
          <w:p w14:paraId="6652BD0B">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★A02052305空调机组</w:t>
            </w:r>
          </w:p>
        </w:tc>
        <w:tc>
          <w:tcPr>
            <w:tcW w:w="1620" w:type="dxa"/>
            <w:tcBorders>
              <w:top w:val="nil"/>
              <w:left w:val="nil"/>
              <w:bottom w:val="single" w:color="000000" w:sz="8" w:space="0"/>
              <w:right w:val="single" w:color="000000" w:sz="8" w:space="0"/>
            </w:tcBorders>
            <w:noWrap/>
            <w:vAlign w:val="center"/>
          </w:tcPr>
          <w:p w14:paraId="5B2722AB">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多联式空调（热泵）机组(制冷量&gt;14000W)</w:t>
            </w:r>
          </w:p>
        </w:tc>
        <w:tc>
          <w:tcPr>
            <w:tcW w:w="4540" w:type="dxa"/>
            <w:tcBorders>
              <w:top w:val="nil"/>
              <w:left w:val="nil"/>
              <w:bottom w:val="single" w:color="000000" w:sz="8" w:space="0"/>
              <w:right w:val="single" w:color="000000" w:sz="8" w:space="0"/>
            </w:tcBorders>
            <w:noWrap/>
            <w:vAlign w:val="center"/>
          </w:tcPr>
          <w:p w14:paraId="3FACAF1E">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《多联式空调（热泵）机组能效限定值及能源效率等级》（GB21454）</w:t>
            </w:r>
          </w:p>
        </w:tc>
      </w:tr>
      <w:tr w14:paraId="054F9D84">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359C906D">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266D3BD1">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41A6531A">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ign w:val="center"/>
          </w:tcPr>
          <w:p w14:paraId="2CB3F193">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单元式空气调节机(制冷量&gt;14000W</w:t>
            </w:r>
          </w:p>
        </w:tc>
        <w:tc>
          <w:tcPr>
            <w:tcW w:w="4540" w:type="dxa"/>
            <w:tcBorders>
              <w:top w:val="nil"/>
              <w:left w:val="nil"/>
              <w:bottom w:val="single" w:color="000000" w:sz="8" w:space="0"/>
              <w:right w:val="single" w:color="000000" w:sz="8" w:space="0"/>
            </w:tcBorders>
            <w:noWrap/>
            <w:vAlign w:val="center"/>
          </w:tcPr>
          <w:p w14:paraId="7D44A4DC">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《单元式空气调节机能效限定值及能效等级》（GB19576）《风管送风式空调机组能效限定值及能效等级》（GB37479）</w:t>
            </w:r>
          </w:p>
        </w:tc>
      </w:tr>
      <w:tr w14:paraId="02A1FF7E">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2FAB460E">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356FBA80">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ign w:val="center"/>
          </w:tcPr>
          <w:p w14:paraId="54C5FBA1">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★A02052309专用制冷、空调设备</w:t>
            </w:r>
          </w:p>
        </w:tc>
        <w:tc>
          <w:tcPr>
            <w:tcW w:w="1620" w:type="dxa"/>
            <w:tcBorders>
              <w:top w:val="nil"/>
              <w:left w:val="nil"/>
              <w:bottom w:val="single" w:color="000000" w:sz="8" w:space="0"/>
              <w:right w:val="single" w:color="000000" w:sz="8" w:space="0"/>
            </w:tcBorders>
            <w:noWrap/>
            <w:vAlign w:val="center"/>
          </w:tcPr>
          <w:p w14:paraId="31910509">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机房空调</w:t>
            </w:r>
          </w:p>
        </w:tc>
        <w:tc>
          <w:tcPr>
            <w:tcW w:w="4540" w:type="dxa"/>
            <w:tcBorders>
              <w:top w:val="nil"/>
              <w:left w:val="nil"/>
              <w:bottom w:val="single" w:color="000000" w:sz="8" w:space="0"/>
              <w:right w:val="single" w:color="000000" w:sz="8" w:space="0"/>
            </w:tcBorders>
            <w:noWrap/>
            <w:vAlign w:val="center"/>
          </w:tcPr>
          <w:p w14:paraId="27E5035D">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《单元式空气调节机能效限定值及能效等级》（GB19576）</w:t>
            </w:r>
          </w:p>
        </w:tc>
      </w:tr>
      <w:tr w14:paraId="02B3B36D">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516A7A98">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00F9A1EB">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ign w:val="center"/>
          </w:tcPr>
          <w:p w14:paraId="40420571">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A02052399其他制冷空调设备</w:t>
            </w:r>
          </w:p>
        </w:tc>
        <w:tc>
          <w:tcPr>
            <w:tcW w:w="1620" w:type="dxa"/>
            <w:tcBorders>
              <w:top w:val="nil"/>
              <w:left w:val="nil"/>
              <w:bottom w:val="single" w:color="000000" w:sz="8" w:space="0"/>
              <w:right w:val="single" w:color="000000" w:sz="8" w:space="0"/>
            </w:tcBorders>
            <w:noWrap/>
            <w:vAlign w:val="center"/>
          </w:tcPr>
          <w:p w14:paraId="6D891B33">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冷却塔</w:t>
            </w:r>
          </w:p>
        </w:tc>
        <w:tc>
          <w:tcPr>
            <w:tcW w:w="4540" w:type="dxa"/>
            <w:tcBorders>
              <w:top w:val="nil"/>
              <w:left w:val="nil"/>
              <w:bottom w:val="single" w:color="000000" w:sz="8" w:space="0"/>
              <w:right w:val="single" w:color="000000" w:sz="8" w:space="0"/>
            </w:tcBorders>
            <w:noWrap/>
            <w:vAlign w:val="center"/>
          </w:tcPr>
          <w:p w14:paraId="3220A979">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《机械通风冷却塔第1部分：中小型开式冷却塔》（GB/T7190.1）；《机械通风冷却塔第2部分：大型开式冷却塔》（GB/T7190.2）</w:t>
            </w:r>
          </w:p>
        </w:tc>
      </w:tr>
      <w:tr w14:paraId="7CC76B1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5B3F2D0E">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w:t>
            </w:r>
          </w:p>
        </w:tc>
        <w:tc>
          <w:tcPr>
            <w:tcW w:w="1080" w:type="dxa"/>
            <w:tcBorders>
              <w:top w:val="nil"/>
              <w:left w:val="nil"/>
              <w:bottom w:val="single" w:color="000000" w:sz="8" w:space="0"/>
              <w:right w:val="single" w:color="000000" w:sz="8" w:space="0"/>
            </w:tcBorders>
            <w:noWrap/>
            <w:vAlign w:val="center"/>
          </w:tcPr>
          <w:p w14:paraId="0EA2BF25">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A020601电机</w:t>
            </w:r>
          </w:p>
        </w:tc>
        <w:tc>
          <w:tcPr>
            <w:tcW w:w="1320" w:type="dxa"/>
            <w:tcBorders>
              <w:top w:val="nil"/>
              <w:left w:val="nil"/>
              <w:bottom w:val="single" w:color="000000" w:sz="8" w:space="0"/>
              <w:right w:val="single" w:color="000000" w:sz="8" w:space="0"/>
            </w:tcBorders>
            <w:noWrap/>
            <w:vAlign w:val="center"/>
          </w:tcPr>
          <w:p w14:paraId="3064BF42">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ign w:val="center"/>
          </w:tcPr>
          <w:p w14:paraId="7E2B2BA6">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351F591A">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《中小型三相异步电动机能效限定值及能效等级》（GB18613）</w:t>
            </w:r>
          </w:p>
        </w:tc>
      </w:tr>
      <w:tr w14:paraId="25DE636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21175502">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w:t>
            </w:r>
          </w:p>
        </w:tc>
        <w:tc>
          <w:tcPr>
            <w:tcW w:w="1080" w:type="dxa"/>
            <w:tcBorders>
              <w:top w:val="nil"/>
              <w:left w:val="nil"/>
              <w:bottom w:val="single" w:color="000000" w:sz="8" w:space="0"/>
              <w:right w:val="single" w:color="000000" w:sz="8" w:space="0"/>
            </w:tcBorders>
            <w:noWrap/>
            <w:vAlign w:val="center"/>
          </w:tcPr>
          <w:p w14:paraId="65EA269F">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A020602变压器</w:t>
            </w:r>
          </w:p>
        </w:tc>
        <w:tc>
          <w:tcPr>
            <w:tcW w:w="1320" w:type="dxa"/>
            <w:tcBorders>
              <w:top w:val="nil"/>
              <w:left w:val="nil"/>
              <w:bottom w:val="single" w:color="000000" w:sz="8" w:space="0"/>
              <w:right w:val="single" w:color="000000" w:sz="8" w:space="0"/>
            </w:tcBorders>
            <w:noWrap/>
            <w:vAlign w:val="center"/>
          </w:tcPr>
          <w:p w14:paraId="06C668EB">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配电变压器</w:t>
            </w:r>
          </w:p>
        </w:tc>
        <w:tc>
          <w:tcPr>
            <w:tcW w:w="1620" w:type="dxa"/>
            <w:tcBorders>
              <w:top w:val="nil"/>
              <w:left w:val="nil"/>
              <w:bottom w:val="single" w:color="000000" w:sz="8" w:space="0"/>
              <w:right w:val="single" w:color="000000" w:sz="8" w:space="0"/>
            </w:tcBorders>
            <w:noWrap/>
            <w:vAlign w:val="center"/>
          </w:tcPr>
          <w:p w14:paraId="4B4418FA">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6855387F">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《三相配电变压器能效限定值及能效等级》（GB20052）</w:t>
            </w:r>
          </w:p>
        </w:tc>
      </w:tr>
      <w:tr w14:paraId="4819812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43ECFF04">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w:t>
            </w:r>
          </w:p>
        </w:tc>
        <w:tc>
          <w:tcPr>
            <w:tcW w:w="1080" w:type="dxa"/>
            <w:tcBorders>
              <w:top w:val="nil"/>
              <w:left w:val="nil"/>
              <w:bottom w:val="single" w:color="000000" w:sz="8" w:space="0"/>
              <w:right w:val="single" w:color="000000" w:sz="8" w:space="0"/>
            </w:tcBorders>
            <w:noWrap/>
            <w:vAlign w:val="center"/>
          </w:tcPr>
          <w:p w14:paraId="0EF324BE">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★A020609镇流器</w:t>
            </w:r>
          </w:p>
        </w:tc>
        <w:tc>
          <w:tcPr>
            <w:tcW w:w="1320" w:type="dxa"/>
            <w:tcBorders>
              <w:top w:val="nil"/>
              <w:left w:val="nil"/>
              <w:bottom w:val="single" w:color="000000" w:sz="8" w:space="0"/>
              <w:right w:val="single" w:color="000000" w:sz="8" w:space="0"/>
            </w:tcBorders>
            <w:noWrap/>
            <w:vAlign w:val="center"/>
          </w:tcPr>
          <w:p w14:paraId="7CBF9528">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管型荧光灯镇流器</w:t>
            </w:r>
          </w:p>
        </w:tc>
        <w:tc>
          <w:tcPr>
            <w:tcW w:w="1620" w:type="dxa"/>
            <w:tcBorders>
              <w:top w:val="nil"/>
              <w:left w:val="nil"/>
              <w:bottom w:val="single" w:color="000000" w:sz="8" w:space="0"/>
              <w:right w:val="single" w:color="000000" w:sz="8" w:space="0"/>
            </w:tcBorders>
            <w:noWrap/>
            <w:vAlign w:val="center"/>
          </w:tcPr>
          <w:p w14:paraId="6C896FF2">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6D1E2EA9">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《管形荧光灯镇流器能效限定值及能效等级》（GB17896）</w:t>
            </w:r>
          </w:p>
        </w:tc>
      </w:tr>
      <w:tr w14:paraId="35671EA0">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7F86DB18">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w:t>
            </w:r>
          </w:p>
        </w:tc>
        <w:tc>
          <w:tcPr>
            <w:tcW w:w="1080" w:type="dxa"/>
            <w:vMerge w:val="restart"/>
            <w:tcBorders>
              <w:top w:val="nil"/>
              <w:left w:val="single" w:color="000000" w:sz="8" w:space="0"/>
              <w:bottom w:val="single" w:color="000000" w:sz="8" w:space="0"/>
              <w:right w:val="single" w:color="000000" w:sz="8" w:space="0"/>
            </w:tcBorders>
            <w:noWrap/>
            <w:vAlign w:val="center"/>
          </w:tcPr>
          <w:p w14:paraId="78434201">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A020618生活用电器</w:t>
            </w:r>
          </w:p>
        </w:tc>
        <w:tc>
          <w:tcPr>
            <w:tcW w:w="1320" w:type="dxa"/>
            <w:tcBorders>
              <w:top w:val="nil"/>
              <w:left w:val="nil"/>
              <w:bottom w:val="single" w:color="000000" w:sz="8" w:space="0"/>
              <w:right w:val="single" w:color="000000" w:sz="8" w:space="0"/>
            </w:tcBorders>
            <w:noWrap/>
            <w:vAlign w:val="center"/>
          </w:tcPr>
          <w:p w14:paraId="69D5FA8D">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A0206180101电冰箱</w:t>
            </w:r>
          </w:p>
        </w:tc>
        <w:tc>
          <w:tcPr>
            <w:tcW w:w="1620" w:type="dxa"/>
            <w:tcBorders>
              <w:top w:val="nil"/>
              <w:left w:val="nil"/>
              <w:bottom w:val="single" w:color="000000" w:sz="8" w:space="0"/>
              <w:right w:val="single" w:color="000000" w:sz="8" w:space="0"/>
            </w:tcBorders>
            <w:noWrap/>
            <w:vAlign w:val="center"/>
          </w:tcPr>
          <w:p w14:paraId="5C2C19ED">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2E04BD1C">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《家用电冰箱耗电量限定值及能效等级》（GB 12021.2）</w:t>
            </w:r>
          </w:p>
        </w:tc>
      </w:tr>
      <w:tr w14:paraId="54639E80">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13B11566">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62093037">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ign w:val="center"/>
          </w:tcPr>
          <w:p w14:paraId="6250DC03">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★A0206180203空调机</w:t>
            </w:r>
          </w:p>
        </w:tc>
        <w:tc>
          <w:tcPr>
            <w:tcW w:w="1620" w:type="dxa"/>
            <w:tcBorders>
              <w:top w:val="nil"/>
              <w:left w:val="nil"/>
              <w:bottom w:val="single" w:color="000000" w:sz="8" w:space="0"/>
              <w:right w:val="single" w:color="000000" w:sz="8" w:space="0"/>
            </w:tcBorders>
            <w:noWrap/>
            <w:vAlign w:val="center"/>
          </w:tcPr>
          <w:p w14:paraId="442861A5">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房间空气调节器</w:t>
            </w:r>
          </w:p>
        </w:tc>
        <w:tc>
          <w:tcPr>
            <w:tcW w:w="4540" w:type="dxa"/>
            <w:tcBorders>
              <w:top w:val="nil"/>
              <w:left w:val="nil"/>
              <w:bottom w:val="single" w:color="000000" w:sz="8" w:space="0"/>
              <w:right w:val="single" w:color="000000" w:sz="8" w:space="0"/>
            </w:tcBorders>
            <w:noWrap/>
            <w:vAlign w:val="center"/>
          </w:tcPr>
          <w:p w14:paraId="50AFA58A">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《转速可控型房间空气调节器能效限定值及能效等级》（GB21455-2013），待2019年修订发布后，按《房间空气调节器能效限定值及能效等级》（GB21455-2019实施。</w:t>
            </w:r>
          </w:p>
        </w:tc>
      </w:tr>
      <w:tr w14:paraId="53B06DA1">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1BE200A3">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375295F6">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2476BDC">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ign w:val="center"/>
          </w:tcPr>
          <w:p w14:paraId="17AC2E7D">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多联式空调（热泵）机组（制冷量≤ 14000W）</w:t>
            </w:r>
          </w:p>
        </w:tc>
        <w:tc>
          <w:tcPr>
            <w:tcW w:w="4540" w:type="dxa"/>
            <w:tcBorders>
              <w:top w:val="nil"/>
              <w:left w:val="nil"/>
              <w:bottom w:val="single" w:color="000000" w:sz="8" w:space="0"/>
              <w:right w:val="single" w:color="000000" w:sz="8" w:space="0"/>
            </w:tcBorders>
            <w:noWrap/>
            <w:vAlign w:val="center"/>
          </w:tcPr>
          <w:p w14:paraId="1CC9A611">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《多联式空调（热泵）机组能效限定值及能源效率等级》（GB21454）</w:t>
            </w:r>
          </w:p>
        </w:tc>
      </w:tr>
      <w:tr w14:paraId="6EE9AC01">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1DA9A9BF">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0ADFE9BF">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0BF2A6FC">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ign w:val="center"/>
          </w:tcPr>
          <w:p w14:paraId="13E5AC24">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单元式空气调节机(制冷量≤14000W)</w:t>
            </w:r>
          </w:p>
        </w:tc>
        <w:tc>
          <w:tcPr>
            <w:tcW w:w="4540" w:type="dxa"/>
            <w:tcBorders>
              <w:top w:val="nil"/>
              <w:left w:val="nil"/>
              <w:bottom w:val="single" w:color="000000" w:sz="8" w:space="0"/>
              <w:right w:val="single" w:color="000000" w:sz="8" w:space="0"/>
            </w:tcBorders>
            <w:noWrap/>
            <w:vAlign w:val="center"/>
          </w:tcPr>
          <w:p w14:paraId="71E4BDA3">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《单元式空气调节机能效限定值及能源效率等级》（GB19576）《风管送风式空调机组能效限定值及能效等级》（GB37479）</w:t>
            </w:r>
          </w:p>
        </w:tc>
      </w:tr>
      <w:tr w14:paraId="3A6A4E3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121AAF96">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59ECC7E4">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ign w:val="center"/>
          </w:tcPr>
          <w:p w14:paraId="7EACBCD7">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A0206180301洗衣机</w:t>
            </w:r>
          </w:p>
        </w:tc>
        <w:tc>
          <w:tcPr>
            <w:tcW w:w="1620" w:type="dxa"/>
            <w:tcBorders>
              <w:top w:val="nil"/>
              <w:left w:val="nil"/>
              <w:bottom w:val="single" w:color="000000" w:sz="8" w:space="0"/>
              <w:right w:val="single" w:color="000000" w:sz="8" w:space="0"/>
            </w:tcBorders>
            <w:noWrap/>
            <w:vAlign w:val="center"/>
          </w:tcPr>
          <w:p w14:paraId="5870276F">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46EA80D8">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《电动洗衣机能效水效限定值及等级》（GB12021.4）</w:t>
            </w:r>
          </w:p>
        </w:tc>
      </w:tr>
      <w:tr w14:paraId="2650D2B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66FF20F4">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3A1D9FA7">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noWrap/>
            <w:vAlign w:val="center"/>
          </w:tcPr>
          <w:p w14:paraId="0E100CA6">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A02061808热水器</w:t>
            </w:r>
          </w:p>
        </w:tc>
        <w:tc>
          <w:tcPr>
            <w:tcW w:w="1620" w:type="dxa"/>
            <w:tcBorders>
              <w:top w:val="nil"/>
              <w:left w:val="nil"/>
              <w:bottom w:val="single" w:color="000000" w:sz="8" w:space="0"/>
              <w:right w:val="single" w:color="000000" w:sz="8" w:space="0"/>
            </w:tcBorders>
            <w:noWrap/>
            <w:vAlign w:val="center"/>
          </w:tcPr>
          <w:p w14:paraId="0228040E">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★电热水器</w:t>
            </w:r>
          </w:p>
        </w:tc>
        <w:tc>
          <w:tcPr>
            <w:tcW w:w="4540" w:type="dxa"/>
            <w:tcBorders>
              <w:top w:val="nil"/>
              <w:left w:val="nil"/>
              <w:bottom w:val="single" w:color="000000" w:sz="8" w:space="0"/>
              <w:right w:val="single" w:color="000000" w:sz="8" w:space="0"/>
            </w:tcBorders>
            <w:noWrap/>
            <w:vAlign w:val="center"/>
          </w:tcPr>
          <w:p w14:paraId="445E4656">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《储水式电热水器能效限定值及能效等级》（GB21519）</w:t>
            </w:r>
          </w:p>
        </w:tc>
      </w:tr>
      <w:tr w14:paraId="34E518F4">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3A3FE159">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0A4A392B">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584828B4">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ign w:val="center"/>
          </w:tcPr>
          <w:p w14:paraId="46C43FAC">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燃气热水器</w:t>
            </w:r>
          </w:p>
        </w:tc>
        <w:tc>
          <w:tcPr>
            <w:tcW w:w="4540" w:type="dxa"/>
            <w:tcBorders>
              <w:top w:val="nil"/>
              <w:left w:val="nil"/>
              <w:bottom w:val="single" w:color="000000" w:sz="8" w:space="0"/>
              <w:right w:val="single" w:color="000000" w:sz="8" w:space="0"/>
            </w:tcBorders>
            <w:noWrap/>
            <w:vAlign w:val="center"/>
          </w:tcPr>
          <w:p w14:paraId="6AD1F785">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《家用燃气快速热水器和燃气采暖热水炉能效限定值及能效等级》（GB20665）</w:t>
            </w:r>
          </w:p>
        </w:tc>
      </w:tr>
      <w:tr w14:paraId="0B62F8B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308F37CB">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0EDFFDCA">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7CCD52E5">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ign w:val="center"/>
          </w:tcPr>
          <w:p w14:paraId="4454CE59">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热泵热水器</w:t>
            </w:r>
          </w:p>
        </w:tc>
        <w:tc>
          <w:tcPr>
            <w:tcW w:w="4540" w:type="dxa"/>
            <w:tcBorders>
              <w:top w:val="nil"/>
              <w:left w:val="nil"/>
              <w:bottom w:val="single" w:color="000000" w:sz="8" w:space="0"/>
              <w:right w:val="single" w:color="000000" w:sz="8" w:space="0"/>
            </w:tcBorders>
            <w:noWrap/>
            <w:vAlign w:val="center"/>
          </w:tcPr>
          <w:p w14:paraId="5AAAA370">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《热泵热水机（器）能效限定值及能效等级》（GB29541）</w:t>
            </w:r>
          </w:p>
        </w:tc>
      </w:tr>
      <w:tr w14:paraId="6F2FC23E">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20646675">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479032C7">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3C18C6D8">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noWrap/>
            <w:vAlign w:val="center"/>
          </w:tcPr>
          <w:p w14:paraId="12EFF737">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太阳能热水系统</w:t>
            </w:r>
          </w:p>
        </w:tc>
        <w:tc>
          <w:tcPr>
            <w:tcW w:w="4540" w:type="dxa"/>
            <w:tcBorders>
              <w:top w:val="nil"/>
              <w:left w:val="nil"/>
              <w:bottom w:val="single" w:color="000000" w:sz="8" w:space="0"/>
              <w:right w:val="single" w:color="000000" w:sz="8" w:space="0"/>
            </w:tcBorders>
            <w:noWrap/>
            <w:vAlign w:val="center"/>
          </w:tcPr>
          <w:p w14:paraId="4EA709E0">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《家用太阳能热水系统能效限定值及能效等级》（GB26969）</w:t>
            </w:r>
          </w:p>
        </w:tc>
      </w:tr>
      <w:tr w14:paraId="11ECB62B">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157311BA">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w:t>
            </w:r>
          </w:p>
        </w:tc>
        <w:tc>
          <w:tcPr>
            <w:tcW w:w="1080" w:type="dxa"/>
            <w:vMerge w:val="restart"/>
            <w:tcBorders>
              <w:top w:val="nil"/>
              <w:left w:val="single" w:color="000000" w:sz="8" w:space="0"/>
              <w:bottom w:val="single" w:color="000000" w:sz="8" w:space="0"/>
              <w:right w:val="single" w:color="000000" w:sz="8" w:space="0"/>
            </w:tcBorders>
            <w:noWrap/>
            <w:vAlign w:val="center"/>
          </w:tcPr>
          <w:p w14:paraId="76B814F6">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A020619照明设备</w:t>
            </w:r>
          </w:p>
        </w:tc>
        <w:tc>
          <w:tcPr>
            <w:tcW w:w="1320" w:type="dxa"/>
            <w:tcBorders>
              <w:top w:val="nil"/>
              <w:left w:val="nil"/>
              <w:bottom w:val="single" w:color="000000" w:sz="8" w:space="0"/>
              <w:right w:val="single" w:color="000000" w:sz="8" w:space="0"/>
            </w:tcBorders>
            <w:noWrap/>
            <w:vAlign w:val="center"/>
          </w:tcPr>
          <w:p w14:paraId="08987656">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★普通照明用双端荧光灯</w:t>
            </w:r>
          </w:p>
        </w:tc>
        <w:tc>
          <w:tcPr>
            <w:tcW w:w="1620" w:type="dxa"/>
            <w:tcBorders>
              <w:top w:val="nil"/>
              <w:left w:val="nil"/>
              <w:bottom w:val="single" w:color="000000" w:sz="8" w:space="0"/>
              <w:right w:val="single" w:color="000000" w:sz="8" w:space="0"/>
            </w:tcBorders>
            <w:noWrap/>
            <w:vAlign w:val="center"/>
          </w:tcPr>
          <w:p w14:paraId="43411C8A">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40A3FF37">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《普通照明用双端荧光灯能效限定值及能效等级》（GB19043）</w:t>
            </w:r>
          </w:p>
        </w:tc>
      </w:tr>
      <w:tr w14:paraId="28FCF15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11B0FD73">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8601167">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ign w:val="center"/>
          </w:tcPr>
          <w:p w14:paraId="1EBDD389">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LED道路/隧道照明产品</w:t>
            </w:r>
          </w:p>
        </w:tc>
        <w:tc>
          <w:tcPr>
            <w:tcW w:w="1620" w:type="dxa"/>
            <w:tcBorders>
              <w:top w:val="nil"/>
              <w:left w:val="nil"/>
              <w:bottom w:val="single" w:color="000000" w:sz="8" w:space="0"/>
              <w:right w:val="single" w:color="000000" w:sz="8" w:space="0"/>
            </w:tcBorders>
            <w:noWrap/>
            <w:vAlign w:val="center"/>
          </w:tcPr>
          <w:p w14:paraId="2F0724D4">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68048D4B">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《道路和隧道照明用LED灯具能效限定值及能效等级》（GB37478）</w:t>
            </w:r>
          </w:p>
        </w:tc>
      </w:tr>
      <w:tr w14:paraId="0D5F087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3C3E8FC6">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35E9EAE9">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ign w:val="center"/>
          </w:tcPr>
          <w:p w14:paraId="416E451F">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LED筒灯</w:t>
            </w:r>
          </w:p>
        </w:tc>
        <w:tc>
          <w:tcPr>
            <w:tcW w:w="1620" w:type="dxa"/>
            <w:tcBorders>
              <w:top w:val="nil"/>
              <w:left w:val="nil"/>
              <w:bottom w:val="single" w:color="000000" w:sz="8" w:space="0"/>
              <w:right w:val="single" w:color="000000" w:sz="8" w:space="0"/>
            </w:tcBorders>
            <w:noWrap/>
            <w:vAlign w:val="center"/>
          </w:tcPr>
          <w:p w14:paraId="40E3DF16">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0D7BF027">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《室内照明用LED产品能效限定值及能效等级》（GB30255）</w:t>
            </w:r>
          </w:p>
        </w:tc>
      </w:tr>
      <w:tr w14:paraId="58DEE603">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1265D4EA">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718C2D06">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ign w:val="center"/>
          </w:tcPr>
          <w:p w14:paraId="135DBF4A">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普通照明用非定向自镇流LED灯</w:t>
            </w:r>
          </w:p>
        </w:tc>
        <w:tc>
          <w:tcPr>
            <w:tcW w:w="1620" w:type="dxa"/>
            <w:tcBorders>
              <w:top w:val="nil"/>
              <w:left w:val="nil"/>
              <w:bottom w:val="single" w:color="000000" w:sz="8" w:space="0"/>
              <w:right w:val="single" w:color="000000" w:sz="8" w:space="0"/>
            </w:tcBorders>
            <w:noWrap/>
            <w:vAlign w:val="center"/>
          </w:tcPr>
          <w:p w14:paraId="7BF29F11">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68BC1083">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《室内照明用LED产品能效限定值及能效等级》（GB30255）</w:t>
            </w:r>
          </w:p>
        </w:tc>
      </w:tr>
      <w:tr w14:paraId="19C6F1B6">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noWrap/>
            <w:vAlign w:val="center"/>
          </w:tcPr>
          <w:p w14:paraId="41B7D1E3">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1080" w:type="dxa"/>
            <w:tcBorders>
              <w:top w:val="nil"/>
              <w:left w:val="nil"/>
              <w:bottom w:val="single" w:color="000000" w:sz="8" w:space="0"/>
              <w:right w:val="single" w:color="000000" w:sz="8" w:space="0"/>
            </w:tcBorders>
            <w:noWrap/>
            <w:vAlign w:val="center"/>
          </w:tcPr>
          <w:p w14:paraId="681CE4E1">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★A020910电视设备</w:t>
            </w:r>
          </w:p>
        </w:tc>
        <w:tc>
          <w:tcPr>
            <w:tcW w:w="1320" w:type="dxa"/>
            <w:tcBorders>
              <w:top w:val="nil"/>
              <w:left w:val="nil"/>
              <w:bottom w:val="single" w:color="000000" w:sz="8" w:space="0"/>
              <w:right w:val="single" w:color="000000" w:sz="8" w:space="0"/>
            </w:tcBorders>
            <w:noWrap/>
            <w:vAlign w:val="center"/>
          </w:tcPr>
          <w:p w14:paraId="5AC220A2">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A02091001普通电视设备（电视机）</w:t>
            </w:r>
          </w:p>
        </w:tc>
        <w:tc>
          <w:tcPr>
            <w:tcW w:w="1620" w:type="dxa"/>
            <w:tcBorders>
              <w:top w:val="nil"/>
              <w:left w:val="nil"/>
              <w:bottom w:val="single" w:color="000000" w:sz="8" w:space="0"/>
              <w:right w:val="single" w:color="000000" w:sz="8" w:space="0"/>
            </w:tcBorders>
            <w:noWrap/>
            <w:vAlign w:val="center"/>
          </w:tcPr>
          <w:p w14:paraId="004BB079">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1DD6A489">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《平板电视能效限定值及能效等级》（GB24850）</w:t>
            </w:r>
          </w:p>
        </w:tc>
      </w:tr>
      <w:tr w14:paraId="6EEA7569">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noWrap/>
            <w:vAlign w:val="center"/>
          </w:tcPr>
          <w:p w14:paraId="5B19B598">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w:t>
            </w:r>
          </w:p>
        </w:tc>
        <w:tc>
          <w:tcPr>
            <w:tcW w:w="1080" w:type="dxa"/>
            <w:tcBorders>
              <w:top w:val="nil"/>
              <w:left w:val="nil"/>
              <w:bottom w:val="single" w:color="000000" w:sz="8" w:space="0"/>
              <w:right w:val="single" w:color="000000" w:sz="8" w:space="0"/>
            </w:tcBorders>
            <w:noWrap/>
            <w:vAlign w:val="center"/>
          </w:tcPr>
          <w:p w14:paraId="606FADD8">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★A020911视频设备</w:t>
            </w:r>
          </w:p>
        </w:tc>
        <w:tc>
          <w:tcPr>
            <w:tcW w:w="1320" w:type="dxa"/>
            <w:tcBorders>
              <w:top w:val="nil"/>
              <w:left w:val="nil"/>
              <w:bottom w:val="single" w:color="000000" w:sz="8" w:space="0"/>
              <w:right w:val="single" w:color="000000" w:sz="8" w:space="0"/>
            </w:tcBorders>
            <w:noWrap/>
            <w:vAlign w:val="center"/>
          </w:tcPr>
          <w:p w14:paraId="3474E1DE">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A02091107视频监控设备</w:t>
            </w:r>
          </w:p>
        </w:tc>
        <w:tc>
          <w:tcPr>
            <w:tcW w:w="1620" w:type="dxa"/>
            <w:tcBorders>
              <w:top w:val="nil"/>
              <w:left w:val="nil"/>
              <w:bottom w:val="single" w:color="000000" w:sz="8" w:space="0"/>
              <w:right w:val="single" w:color="000000" w:sz="8" w:space="0"/>
            </w:tcBorders>
            <w:noWrap/>
            <w:vAlign w:val="center"/>
          </w:tcPr>
          <w:p w14:paraId="4534422C">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监视器</w:t>
            </w:r>
          </w:p>
        </w:tc>
        <w:tc>
          <w:tcPr>
            <w:tcW w:w="4540" w:type="dxa"/>
            <w:tcBorders>
              <w:top w:val="nil"/>
              <w:left w:val="nil"/>
              <w:bottom w:val="single" w:color="000000" w:sz="8" w:space="0"/>
              <w:right w:val="single" w:color="000000" w:sz="8" w:space="0"/>
            </w:tcBorders>
            <w:noWrap/>
            <w:vAlign w:val="center"/>
          </w:tcPr>
          <w:p w14:paraId="4880AE0A">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以射频信号为主要信号输入的监视器应符合《平板电视能效限定值及能效等级》（GB24850），以数字信号为主要信号输入的监视器应符合《计算机显示器能效限定值及能效等级》（GB21520）</w:t>
            </w:r>
          </w:p>
        </w:tc>
      </w:tr>
      <w:tr w14:paraId="5B92929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4728948F">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w:t>
            </w:r>
          </w:p>
        </w:tc>
        <w:tc>
          <w:tcPr>
            <w:tcW w:w="1080" w:type="dxa"/>
            <w:tcBorders>
              <w:top w:val="nil"/>
              <w:left w:val="nil"/>
              <w:bottom w:val="single" w:color="000000" w:sz="8" w:space="0"/>
              <w:right w:val="single" w:color="000000" w:sz="8" w:space="0"/>
            </w:tcBorders>
            <w:noWrap/>
            <w:vAlign w:val="center"/>
          </w:tcPr>
          <w:p w14:paraId="5748FC95">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A031210饮食炊事机械</w:t>
            </w:r>
          </w:p>
        </w:tc>
        <w:tc>
          <w:tcPr>
            <w:tcW w:w="1320" w:type="dxa"/>
            <w:tcBorders>
              <w:top w:val="nil"/>
              <w:left w:val="nil"/>
              <w:bottom w:val="single" w:color="000000" w:sz="8" w:space="0"/>
              <w:right w:val="single" w:color="000000" w:sz="8" w:space="0"/>
            </w:tcBorders>
            <w:noWrap/>
            <w:vAlign w:val="center"/>
          </w:tcPr>
          <w:p w14:paraId="66DCD936">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商用燃气灶具</w:t>
            </w:r>
          </w:p>
        </w:tc>
        <w:tc>
          <w:tcPr>
            <w:tcW w:w="1620" w:type="dxa"/>
            <w:tcBorders>
              <w:top w:val="nil"/>
              <w:left w:val="nil"/>
              <w:bottom w:val="single" w:color="000000" w:sz="8" w:space="0"/>
              <w:right w:val="single" w:color="000000" w:sz="8" w:space="0"/>
            </w:tcBorders>
            <w:noWrap/>
            <w:vAlign w:val="center"/>
          </w:tcPr>
          <w:p w14:paraId="571160B3">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68969C72">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《商用燃气灶具能效限定值及能效等级》（GB30531）</w:t>
            </w:r>
          </w:p>
        </w:tc>
      </w:tr>
      <w:tr w14:paraId="3C05DC51">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4F9AB865">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w:t>
            </w:r>
          </w:p>
        </w:tc>
        <w:tc>
          <w:tcPr>
            <w:tcW w:w="1080" w:type="dxa"/>
            <w:vMerge w:val="restart"/>
            <w:tcBorders>
              <w:top w:val="nil"/>
              <w:left w:val="single" w:color="000000" w:sz="8" w:space="0"/>
              <w:bottom w:val="single" w:color="000000" w:sz="8" w:space="0"/>
              <w:right w:val="single" w:color="000000" w:sz="8" w:space="0"/>
            </w:tcBorders>
            <w:noWrap/>
            <w:vAlign w:val="center"/>
          </w:tcPr>
          <w:p w14:paraId="1348E928">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★A060805便器</w:t>
            </w:r>
          </w:p>
        </w:tc>
        <w:tc>
          <w:tcPr>
            <w:tcW w:w="1320" w:type="dxa"/>
            <w:tcBorders>
              <w:top w:val="nil"/>
              <w:left w:val="nil"/>
              <w:bottom w:val="single" w:color="000000" w:sz="8" w:space="0"/>
              <w:right w:val="single" w:color="000000" w:sz="8" w:space="0"/>
            </w:tcBorders>
            <w:noWrap/>
            <w:vAlign w:val="center"/>
          </w:tcPr>
          <w:p w14:paraId="087F83BB">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坐便器</w:t>
            </w:r>
          </w:p>
        </w:tc>
        <w:tc>
          <w:tcPr>
            <w:tcW w:w="1620" w:type="dxa"/>
            <w:tcBorders>
              <w:top w:val="nil"/>
              <w:left w:val="nil"/>
              <w:bottom w:val="single" w:color="000000" w:sz="8" w:space="0"/>
              <w:right w:val="single" w:color="000000" w:sz="8" w:space="0"/>
            </w:tcBorders>
            <w:noWrap/>
            <w:vAlign w:val="center"/>
          </w:tcPr>
          <w:p w14:paraId="54E15E95">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0B598CB3">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《坐便器水效限定值及水效等级》（GB25502）</w:t>
            </w:r>
          </w:p>
        </w:tc>
      </w:tr>
      <w:tr w14:paraId="6C1D9C8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5232211C">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095912DA">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ign w:val="center"/>
          </w:tcPr>
          <w:p w14:paraId="7B2C52E2">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蹲便器</w:t>
            </w:r>
          </w:p>
        </w:tc>
        <w:tc>
          <w:tcPr>
            <w:tcW w:w="1620" w:type="dxa"/>
            <w:tcBorders>
              <w:top w:val="nil"/>
              <w:left w:val="nil"/>
              <w:bottom w:val="single" w:color="000000" w:sz="8" w:space="0"/>
              <w:right w:val="single" w:color="000000" w:sz="8" w:space="0"/>
            </w:tcBorders>
            <w:noWrap/>
            <w:vAlign w:val="center"/>
          </w:tcPr>
          <w:p w14:paraId="5C8FE5D7">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3E45AA18">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《蹲便器用水效率限定值及用水效率等级》（GB30717）</w:t>
            </w:r>
          </w:p>
        </w:tc>
      </w:tr>
      <w:tr w14:paraId="4E0E6BF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0D2536EF">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0925E84D">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noWrap/>
            <w:vAlign w:val="center"/>
          </w:tcPr>
          <w:p w14:paraId="15F3BEA0">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小便器</w:t>
            </w:r>
          </w:p>
        </w:tc>
        <w:tc>
          <w:tcPr>
            <w:tcW w:w="1620" w:type="dxa"/>
            <w:tcBorders>
              <w:top w:val="nil"/>
              <w:left w:val="nil"/>
              <w:bottom w:val="single" w:color="000000" w:sz="8" w:space="0"/>
              <w:right w:val="single" w:color="000000" w:sz="8" w:space="0"/>
            </w:tcBorders>
            <w:noWrap/>
            <w:vAlign w:val="center"/>
          </w:tcPr>
          <w:p w14:paraId="2C0084EF">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6D50A69F">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《小便器用水效率限定值及用水效率等级》（GB28377）</w:t>
            </w:r>
          </w:p>
        </w:tc>
      </w:tr>
      <w:tr w14:paraId="2F52070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0F071D95">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w:t>
            </w:r>
          </w:p>
        </w:tc>
        <w:tc>
          <w:tcPr>
            <w:tcW w:w="1080" w:type="dxa"/>
            <w:tcBorders>
              <w:top w:val="nil"/>
              <w:left w:val="nil"/>
              <w:bottom w:val="single" w:color="000000" w:sz="8" w:space="0"/>
              <w:right w:val="single" w:color="000000" w:sz="8" w:space="0"/>
            </w:tcBorders>
            <w:noWrap/>
            <w:vAlign w:val="center"/>
          </w:tcPr>
          <w:p w14:paraId="3EBB66F5">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★A060806水嘴</w:t>
            </w:r>
          </w:p>
        </w:tc>
        <w:tc>
          <w:tcPr>
            <w:tcW w:w="1320" w:type="dxa"/>
            <w:tcBorders>
              <w:top w:val="nil"/>
              <w:left w:val="nil"/>
              <w:bottom w:val="single" w:color="000000" w:sz="8" w:space="0"/>
              <w:right w:val="single" w:color="000000" w:sz="8" w:space="0"/>
            </w:tcBorders>
            <w:noWrap/>
            <w:vAlign w:val="center"/>
          </w:tcPr>
          <w:p w14:paraId="2B8337A0">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ign w:val="center"/>
          </w:tcPr>
          <w:p w14:paraId="7D39789B">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52556A2C">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《水嘴用水效率限定值及用水效率等级》（GB 25501）</w:t>
            </w:r>
          </w:p>
        </w:tc>
      </w:tr>
      <w:tr w14:paraId="60A4E9F8">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18138EAB">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w:t>
            </w:r>
          </w:p>
        </w:tc>
        <w:tc>
          <w:tcPr>
            <w:tcW w:w="1080" w:type="dxa"/>
            <w:tcBorders>
              <w:top w:val="nil"/>
              <w:left w:val="nil"/>
              <w:bottom w:val="single" w:color="000000" w:sz="8" w:space="0"/>
              <w:right w:val="single" w:color="000000" w:sz="8" w:space="0"/>
            </w:tcBorders>
            <w:noWrap/>
            <w:vAlign w:val="center"/>
          </w:tcPr>
          <w:p w14:paraId="02C02B6C">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A060807便器冲洗阀</w:t>
            </w:r>
          </w:p>
        </w:tc>
        <w:tc>
          <w:tcPr>
            <w:tcW w:w="1320" w:type="dxa"/>
            <w:tcBorders>
              <w:top w:val="nil"/>
              <w:left w:val="nil"/>
              <w:bottom w:val="single" w:color="000000" w:sz="8" w:space="0"/>
              <w:right w:val="single" w:color="000000" w:sz="8" w:space="0"/>
            </w:tcBorders>
            <w:noWrap/>
            <w:vAlign w:val="center"/>
          </w:tcPr>
          <w:p w14:paraId="7B65E6B5">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ign w:val="center"/>
          </w:tcPr>
          <w:p w14:paraId="7AECAA39">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62D3C84D">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《便器冲洗阀用水效率限定值及用水效率等级》（GB28379）</w:t>
            </w:r>
          </w:p>
        </w:tc>
      </w:tr>
      <w:tr w14:paraId="0EEE6EA8">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4BABD349">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w:t>
            </w:r>
          </w:p>
        </w:tc>
        <w:tc>
          <w:tcPr>
            <w:tcW w:w="1080" w:type="dxa"/>
            <w:tcBorders>
              <w:top w:val="nil"/>
              <w:left w:val="nil"/>
              <w:bottom w:val="single" w:color="000000" w:sz="8" w:space="0"/>
              <w:right w:val="single" w:color="000000" w:sz="8" w:space="0"/>
            </w:tcBorders>
            <w:noWrap/>
            <w:vAlign w:val="center"/>
          </w:tcPr>
          <w:p w14:paraId="1423BBEB">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A060810淋浴器</w:t>
            </w:r>
          </w:p>
        </w:tc>
        <w:tc>
          <w:tcPr>
            <w:tcW w:w="1320" w:type="dxa"/>
            <w:tcBorders>
              <w:top w:val="nil"/>
              <w:left w:val="nil"/>
              <w:bottom w:val="single" w:color="000000" w:sz="8" w:space="0"/>
              <w:right w:val="single" w:color="000000" w:sz="8" w:space="0"/>
            </w:tcBorders>
            <w:noWrap/>
            <w:vAlign w:val="center"/>
          </w:tcPr>
          <w:p w14:paraId="23E5BADB">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noWrap/>
            <w:vAlign w:val="center"/>
          </w:tcPr>
          <w:p w14:paraId="3EE3583A">
            <w:pPr>
              <w:keepNext w:val="0"/>
              <w:keepLines w:val="0"/>
              <w:widowControl/>
              <w:suppressLineNumbers w:val="0"/>
              <w:spacing w:before="0" w:beforeAutospacing="0" w:after="0" w:afterAutospacing="0"/>
              <w:ind w:left="0" w:right="0"/>
              <w:jc w:val="center"/>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noWrap/>
            <w:vAlign w:val="center"/>
          </w:tcPr>
          <w:p w14:paraId="5D85DDDC">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《淋浴器用水效率限定值及用水效率等级》（GB28378）</w:t>
            </w:r>
          </w:p>
        </w:tc>
      </w:tr>
    </w:tbl>
    <w:p w14:paraId="47C9643E">
      <w:pPr>
        <w:pStyle w:val="3"/>
        <w:spacing w:line="360" w:lineRule="auto"/>
        <w:rPr>
          <w:rFonts w:ascii="宋体" w:hAnsi="宋体"/>
          <w:color w:val="000000" w:themeColor="text1"/>
          <w:szCs w:val="21"/>
          <w:highlight w:val="none"/>
          <w14:textFill>
            <w14:solidFill>
              <w14:schemeClr w14:val="tx1"/>
            </w14:solidFill>
          </w14:textFill>
        </w:rPr>
      </w:pPr>
      <w:r>
        <w:rPr>
          <w:rFonts w:hint="eastAsia"/>
          <w:color w:val="000000" w:themeColor="text1"/>
          <w:spacing w:val="-3"/>
          <w:szCs w:val="21"/>
          <w:highlight w:val="none"/>
          <w14:textFill>
            <w14:solidFill>
              <w14:schemeClr w14:val="tx1"/>
            </w14:solidFill>
          </w14:textFill>
        </w:rPr>
        <w:t>注：</w:t>
      </w:r>
      <w:r>
        <w:rPr>
          <w:color w:val="000000" w:themeColor="text1"/>
          <w:spacing w:val="-3"/>
          <w:szCs w:val="21"/>
          <w:highlight w:val="none"/>
          <w14:textFill>
            <w14:solidFill>
              <w14:schemeClr w14:val="tx1"/>
            </w14:solidFill>
          </w14:textFill>
        </w:rPr>
        <w:t>1.</w:t>
      </w:r>
      <w:r>
        <w:rPr>
          <w:rFonts w:hint="eastAsia"/>
          <w:color w:val="000000" w:themeColor="text1"/>
          <w:spacing w:val="-3"/>
          <w:szCs w:val="21"/>
          <w:highlight w:val="none"/>
          <w14:textFill>
            <w14:solidFill>
              <w14:schemeClr w14:val="tx1"/>
            </w14:solidFill>
          </w14:textFill>
        </w:rPr>
        <w:t>节能产品认证应依据相关国家标准的最新版本，依据国家标准中二级能效（水效）</w:t>
      </w:r>
      <w:r>
        <w:rPr>
          <w:rFonts w:hint="eastAsia"/>
          <w:color w:val="000000" w:themeColor="text1"/>
          <w:szCs w:val="21"/>
          <w:highlight w:val="none"/>
          <w14:textFill>
            <w14:solidFill>
              <w14:schemeClr w14:val="tx1"/>
            </w14:solidFill>
          </w14:textFill>
        </w:rPr>
        <w:t>指标。</w:t>
      </w:r>
    </w:p>
    <w:p w14:paraId="03C792BC">
      <w:pPr>
        <w:pStyle w:val="28"/>
        <w:jc w:val="left"/>
        <w:rPr>
          <w:rFonts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color w:val="000000" w:themeColor="text1"/>
          <w:highlight w:val="none"/>
          <w14:textFill>
            <w14:solidFill>
              <w14:schemeClr w14:val="tx1"/>
            </w14:solidFill>
          </w14:textFill>
        </w:rPr>
        <w:t>2.以</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标注的为政府强制采购产品。</w:t>
      </w:r>
      <w:r>
        <w:rPr>
          <w:rFonts w:hint="eastAsia"/>
          <w:color w:val="000000" w:themeColor="text1"/>
          <w:highlight w:val="none"/>
          <w14:textFill>
            <w14:solidFill>
              <w14:schemeClr w14:val="tx1"/>
            </w14:solidFill>
          </w14:textFill>
        </w:rPr>
        <w:br w:type="page"/>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2</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42F5DB71">
      <w:pPr>
        <w:spacing w:line="528" w:lineRule="exact"/>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中小微企业划型标准</w:t>
      </w:r>
    </w:p>
    <w:tbl>
      <w:tblPr>
        <w:tblStyle w:val="53"/>
        <w:tblW w:w="9500" w:type="dxa"/>
        <w:tblInd w:w="250" w:type="dxa"/>
        <w:tblLayout w:type="fixed"/>
        <w:tblCellMar>
          <w:top w:w="0" w:type="dxa"/>
          <w:left w:w="108" w:type="dxa"/>
          <w:bottom w:w="0" w:type="dxa"/>
          <w:right w:w="108" w:type="dxa"/>
        </w:tblCellMar>
      </w:tblPr>
      <w:tblGrid>
        <w:gridCol w:w="1985"/>
        <w:gridCol w:w="1985"/>
        <w:gridCol w:w="851"/>
        <w:gridCol w:w="1843"/>
        <w:gridCol w:w="1702"/>
        <w:gridCol w:w="1134"/>
      </w:tblGrid>
      <w:tr w14:paraId="23825E0B">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ign w:val="center"/>
          </w:tcPr>
          <w:p w14:paraId="76F3F370">
            <w:pPr>
              <w:keepNext w:val="0"/>
              <w:keepLines w:val="0"/>
              <w:widowControl/>
              <w:suppressLineNumbers w:val="0"/>
              <w:spacing w:before="0" w:beforeAutospacing="0" w:after="0" w:afterAutospacing="0"/>
              <w:ind w:left="0" w:right="0"/>
              <w:jc w:val="left"/>
              <w:rPr>
                <w:rFonts w:hint="default"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行业名称</w:t>
            </w:r>
          </w:p>
        </w:tc>
        <w:tc>
          <w:tcPr>
            <w:tcW w:w="1984" w:type="dxa"/>
            <w:tcBorders>
              <w:top w:val="single" w:color="auto" w:sz="4" w:space="0"/>
              <w:left w:val="nil"/>
              <w:bottom w:val="single" w:color="auto" w:sz="4" w:space="0"/>
              <w:right w:val="single" w:color="auto" w:sz="4" w:space="0"/>
            </w:tcBorders>
            <w:noWrap/>
            <w:vAlign w:val="center"/>
          </w:tcPr>
          <w:p w14:paraId="67DB929D">
            <w:pPr>
              <w:keepNext w:val="0"/>
              <w:keepLines w:val="0"/>
              <w:widowControl/>
              <w:suppressLineNumbers w:val="0"/>
              <w:spacing w:before="0" w:beforeAutospacing="0" w:after="0" w:afterAutospacing="0"/>
              <w:ind w:left="0" w:right="0"/>
              <w:jc w:val="left"/>
              <w:rPr>
                <w:rFonts w:hint="default"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指标名称</w:t>
            </w:r>
          </w:p>
        </w:tc>
        <w:tc>
          <w:tcPr>
            <w:tcW w:w="851" w:type="dxa"/>
            <w:tcBorders>
              <w:top w:val="single" w:color="auto" w:sz="4" w:space="0"/>
              <w:left w:val="nil"/>
              <w:bottom w:val="single" w:color="auto" w:sz="4" w:space="0"/>
              <w:right w:val="single" w:color="auto" w:sz="4" w:space="0"/>
            </w:tcBorders>
            <w:noWrap/>
            <w:vAlign w:val="center"/>
          </w:tcPr>
          <w:p w14:paraId="71A439A1">
            <w:pPr>
              <w:keepNext w:val="0"/>
              <w:keepLines w:val="0"/>
              <w:widowControl/>
              <w:suppressLineNumbers w:val="0"/>
              <w:spacing w:before="0" w:beforeAutospacing="0" w:after="0" w:afterAutospacing="0"/>
              <w:ind w:left="0" w:right="0"/>
              <w:jc w:val="left"/>
              <w:rPr>
                <w:rFonts w:hint="default"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计量单位</w:t>
            </w:r>
          </w:p>
        </w:tc>
        <w:tc>
          <w:tcPr>
            <w:tcW w:w="1842" w:type="dxa"/>
            <w:tcBorders>
              <w:top w:val="single" w:color="auto" w:sz="4" w:space="0"/>
              <w:left w:val="nil"/>
              <w:bottom w:val="single" w:color="auto" w:sz="4" w:space="0"/>
              <w:right w:val="single" w:color="auto" w:sz="4" w:space="0"/>
            </w:tcBorders>
            <w:noWrap/>
            <w:vAlign w:val="center"/>
          </w:tcPr>
          <w:p w14:paraId="22FAFF24">
            <w:pPr>
              <w:keepNext w:val="0"/>
              <w:keepLines w:val="0"/>
              <w:widowControl/>
              <w:suppressLineNumbers w:val="0"/>
              <w:spacing w:before="0" w:beforeAutospacing="0" w:after="0" w:afterAutospacing="0"/>
              <w:ind w:left="0" w:right="0"/>
              <w:jc w:val="left"/>
              <w:rPr>
                <w:rFonts w:hint="default"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中型</w:t>
            </w:r>
          </w:p>
        </w:tc>
        <w:tc>
          <w:tcPr>
            <w:tcW w:w="1701" w:type="dxa"/>
            <w:tcBorders>
              <w:top w:val="single" w:color="auto" w:sz="4" w:space="0"/>
              <w:left w:val="nil"/>
              <w:bottom w:val="single" w:color="auto" w:sz="4" w:space="0"/>
              <w:right w:val="single" w:color="auto" w:sz="4" w:space="0"/>
            </w:tcBorders>
            <w:noWrap/>
            <w:vAlign w:val="center"/>
          </w:tcPr>
          <w:p w14:paraId="19CBC368">
            <w:pPr>
              <w:keepNext w:val="0"/>
              <w:keepLines w:val="0"/>
              <w:widowControl/>
              <w:suppressLineNumbers w:val="0"/>
              <w:spacing w:before="0" w:beforeAutospacing="0" w:after="0" w:afterAutospacing="0"/>
              <w:ind w:left="0" w:right="0"/>
              <w:jc w:val="left"/>
              <w:rPr>
                <w:rFonts w:hint="default"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小型</w:t>
            </w:r>
          </w:p>
        </w:tc>
        <w:tc>
          <w:tcPr>
            <w:tcW w:w="1134" w:type="dxa"/>
            <w:tcBorders>
              <w:top w:val="single" w:color="auto" w:sz="4" w:space="0"/>
              <w:left w:val="nil"/>
              <w:bottom w:val="single" w:color="auto" w:sz="4" w:space="0"/>
              <w:right w:val="single" w:color="auto" w:sz="4" w:space="0"/>
            </w:tcBorders>
            <w:noWrap/>
            <w:vAlign w:val="center"/>
          </w:tcPr>
          <w:p w14:paraId="0B1FDB65">
            <w:pPr>
              <w:keepNext w:val="0"/>
              <w:keepLines w:val="0"/>
              <w:widowControl/>
              <w:suppressLineNumbers w:val="0"/>
              <w:spacing w:before="0" w:beforeAutospacing="0" w:after="0" w:afterAutospacing="0"/>
              <w:ind w:left="0" w:right="0"/>
              <w:jc w:val="left"/>
              <w:rPr>
                <w:rFonts w:hint="default"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微型</w:t>
            </w:r>
          </w:p>
        </w:tc>
      </w:tr>
      <w:tr w14:paraId="4E871033">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ign w:val="bottom"/>
          </w:tcPr>
          <w:p w14:paraId="6F3ABEE4">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农、林、牧、渔</w:t>
            </w:r>
          </w:p>
        </w:tc>
        <w:tc>
          <w:tcPr>
            <w:tcW w:w="1984" w:type="dxa"/>
            <w:tcBorders>
              <w:top w:val="nil"/>
              <w:left w:val="nil"/>
              <w:bottom w:val="single" w:color="auto" w:sz="4" w:space="0"/>
              <w:right w:val="single" w:color="auto" w:sz="4" w:space="0"/>
            </w:tcBorders>
            <w:noWrap/>
            <w:vAlign w:val="center"/>
          </w:tcPr>
          <w:p w14:paraId="59237AD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ign w:val="center"/>
          </w:tcPr>
          <w:p w14:paraId="69EAA2DA">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34D6703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701" w:type="dxa"/>
            <w:tcBorders>
              <w:top w:val="nil"/>
              <w:left w:val="nil"/>
              <w:bottom w:val="single" w:color="auto" w:sz="4" w:space="0"/>
              <w:right w:val="single" w:color="auto" w:sz="4" w:space="0"/>
            </w:tcBorders>
            <w:noWrap/>
            <w:vAlign w:val="center"/>
          </w:tcPr>
          <w:p w14:paraId="6479753A">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50≤Y＜500</w:t>
            </w:r>
          </w:p>
        </w:tc>
        <w:tc>
          <w:tcPr>
            <w:tcW w:w="1134" w:type="dxa"/>
            <w:tcBorders>
              <w:top w:val="nil"/>
              <w:left w:val="nil"/>
              <w:bottom w:val="single" w:color="auto" w:sz="4" w:space="0"/>
              <w:right w:val="single" w:color="auto" w:sz="4" w:space="0"/>
            </w:tcBorders>
            <w:noWrap/>
            <w:vAlign w:val="center"/>
          </w:tcPr>
          <w:p w14:paraId="47FCF95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6312E9C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4FDB949">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工业</w:t>
            </w:r>
          </w:p>
        </w:tc>
        <w:tc>
          <w:tcPr>
            <w:tcW w:w="1984" w:type="dxa"/>
            <w:tcBorders>
              <w:top w:val="nil"/>
              <w:left w:val="nil"/>
              <w:bottom w:val="single" w:color="auto" w:sz="4" w:space="0"/>
              <w:right w:val="single" w:color="auto" w:sz="4" w:space="0"/>
            </w:tcBorders>
            <w:noWrap/>
            <w:vAlign w:val="center"/>
          </w:tcPr>
          <w:p w14:paraId="5DEAAF2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ign w:val="center"/>
          </w:tcPr>
          <w:p w14:paraId="0340E1F7">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ign w:val="center"/>
          </w:tcPr>
          <w:p w14:paraId="2538EF76">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701" w:type="dxa"/>
            <w:tcBorders>
              <w:top w:val="nil"/>
              <w:left w:val="nil"/>
              <w:bottom w:val="single" w:color="auto" w:sz="4" w:space="0"/>
              <w:right w:val="single" w:color="auto" w:sz="4" w:space="0"/>
            </w:tcBorders>
            <w:noWrap/>
            <w:vAlign w:val="center"/>
          </w:tcPr>
          <w:p w14:paraId="7D29547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134" w:type="dxa"/>
            <w:tcBorders>
              <w:top w:val="nil"/>
              <w:left w:val="nil"/>
              <w:bottom w:val="single" w:color="auto" w:sz="4" w:space="0"/>
              <w:right w:val="single" w:color="auto" w:sz="4" w:space="0"/>
            </w:tcBorders>
            <w:noWrap/>
            <w:vAlign w:val="center"/>
          </w:tcPr>
          <w:p w14:paraId="6C8886A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24665F5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245BB947">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ign w:val="center"/>
          </w:tcPr>
          <w:p w14:paraId="528AAAB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ign w:val="center"/>
          </w:tcPr>
          <w:p w14:paraId="172DB8C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45FC2C8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2000≤Y＜40000</w:t>
            </w:r>
          </w:p>
        </w:tc>
        <w:tc>
          <w:tcPr>
            <w:tcW w:w="1701" w:type="dxa"/>
            <w:tcBorders>
              <w:top w:val="nil"/>
              <w:left w:val="nil"/>
              <w:bottom w:val="single" w:color="auto" w:sz="4" w:space="0"/>
              <w:right w:val="single" w:color="auto" w:sz="4" w:space="0"/>
            </w:tcBorders>
            <w:noWrap/>
            <w:vAlign w:val="center"/>
          </w:tcPr>
          <w:p w14:paraId="4F1ED72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300≤Y＜2000</w:t>
            </w:r>
          </w:p>
        </w:tc>
        <w:tc>
          <w:tcPr>
            <w:tcW w:w="1134" w:type="dxa"/>
            <w:tcBorders>
              <w:top w:val="nil"/>
              <w:left w:val="nil"/>
              <w:bottom w:val="single" w:color="auto" w:sz="4" w:space="0"/>
              <w:right w:val="single" w:color="auto" w:sz="4" w:space="0"/>
            </w:tcBorders>
            <w:noWrap/>
            <w:vAlign w:val="center"/>
          </w:tcPr>
          <w:p w14:paraId="79DC168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068B527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614E6FF0">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建筑业</w:t>
            </w:r>
          </w:p>
        </w:tc>
        <w:tc>
          <w:tcPr>
            <w:tcW w:w="1984" w:type="dxa"/>
            <w:tcBorders>
              <w:top w:val="nil"/>
              <w:left w:val="nil"/>
              <w:bottom w:val="single" w:color="auto" w:sz="4" w:space="0"/>
              <w:right w:val="single" w:color="auto" w:sz="4" w:space="0"/>
            </w:tcBorders>
            <w:noWrap/>
            <w:vAlign w:val="center"/>
          </w:tcPr>
          <w:p w14:paraId="1E498B3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ign w:val="center"/>
          </w:tcPr>
          <w:p w14:paraId="172B00B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3E607205">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6000≤Y＜80000</w:t>
            </w:r>
          </w:p>
        </w:tc>
        <w:tc>
          <w:tcPr>
            <w:tcW w:w="1701" w:type="dxa"/>
            <w:tcBorders>
              <w:top w:val="nil"/>
              <w:left w:val="nil"/>
              <w:bottom w:val="single" w:color="auto" w:sz="4" w:space="0"/>
              <w:right w:val="single" w:color="auto" w:sz="4" w:space="0"/>
            </w:tcBorders>
            <w:noWrap/>
            <w:vAlign w:val="center"/>
          </w:tcPr>
          <w:p w14:paraId="6B225846">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300≤Y＜6000</w:t>
            </w:r>
          </w:p>
        </w:tc>
        <w:tc>
          <w:tcPr>
            <w:tcW w:w="1134" w:type="dxa"/>
            <w:tcBorders>
              <w:top w:val="nil"/>
              <w:left w:val="nil"/>
              <w:bottom w:val="single" w:color="auto" w:sz="4" w:space="0"/>
              <w:right w:val="single" w:color="auto" w:sz="4" w:space="0"/>
            </w:tcBorders>
            <w:noWrap/>
            <w:vAlign w:val="center"/>
          </w:tcPr>
          <w:p w14:paraId="48C3427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47B1909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2C44E6E3">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ign w:val="center"/>
          </w:tcPr>
          <w:p w14:paraId="717202E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851" w:type="dxa"/>
            <w:tcBorders>
              <w:top w:val="nil"/>
              <w:left w:val="nil"/>
              <w:bottom w:val="single" w:color="auto" w:sz="4" w:space="0"/>
              <w:right w:val="single" w:color="auto" w:sz="4" w:space="0"/>
            </w:tcBorders>
            <w:noWrap/>
            <w:vAlign w:val="center"/>
          </w:tcPr>
          <w:p w14:paraId="581013B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775771E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5000≤Z＜80000</w:t>
            </w:r>
          </w:p>
        </w:tc>
        <w:tc>
          <w:tcPr>
            <w:tcW w:w="1701" w:type="dxa"/>
            <w:tcBorders>
              <w:top w:val="nil"/>
              <w:left w:val="nil"/>
              <w:bottom w:val="single" w:color="auto" w:sz="4" w:space="0"/>
              <w:right w:val="single" w:color="auto" w:sz="4" w:space="0"/>
            </w:tcBorders>
            <w:noWrap/>
            <w:vAlign w:val="center"/>
          </w:tcPr>
          <w:p w14:paraId="66ACEC5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300≤Z＜5000</w:t>
            </w:r>
          </w:p>
        </w:tc>
        <w:tc>
          <w:tcPr>
            <w:tcW w:w="1134" w:type="dxa"/>
            <w:tcBorders>
              <w:top w:val="nil"/>
              <w:left w:val="nil"/>
              <w:bottom w:val="single" w:color="auto" w:sz="4" w:space="0"/>
              <w:right w:val="single" w:color="auto" w:sz="4" w:space="0"/>
            </w:tcBorders>
            <w:noWrap/>
            <w:vAlign w:val="center"/>
          </w:tcPr>
          <w:p w14:paraId="757F4A5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Z＜300</w:t>
            </w:r>
          </w:p>
        </w:tc>
      </w:tr>
      <w:tr w14:paraId="1B54800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A0EEEE6">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批发业</w:t>
            </w:r>
          </w:p>
        </w:tc>
        <w:tc>
          <w:tcPr>
            <w:tcW w:w="1984" w:type="dxa"/>
            <w:tcBorders>
              <w:top w:val="nil"/>
              <w:left w:val="nil"/>
              <w:bottom w:val="single" w:color="auto" w:sz="4" w:space="0"/>
              <w:right w:val="single" w:color="auto" w:sz="4" w:space="0"/>
            </w:tcBorders>
            <w:noWrap/>
            <w:vAlign w:val="center"/>
          </w:tcPr>
          <w:p w14:paraId="118866C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ign w:val="center"/>
          </w:tcPr>
          <w:p w14:paraId="717A0E8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ign w:val="center"/>
          </w:tcPr>
          <w:p w14:paraId="4D6337CC">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20≤X＜200</w:t>
            </w:r>
          </w:p>
        </w:tc>
        <w:tc>
          <w:tcPr>
            <w:tcW w:w="1701" w:type="dxa"/>
            <w:tcBorders>
              <w:top w:val="nil"/>
              <w:left w:val="nil"/>
              <w:bottom w:val="single" w:color="auto" w:sz="4" w:space="0"/>
              <w:right w:val="single" w:color="auto" w:sz="4" w:space="0"/>
            </w:tcBorders>
            <w:noWrap/>
            <w:vAlign w:val="center"/>
          </w:tcPr>
          <w:p w14:paraId="2577C77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5≤X＜20</w:t>
            </w:r>
          </w:p>
        </w:tc>
        <w:tc>
          <w:tcPr>
            <w:tcW w:w="1134" w:type="dxa"/>
            <w:tcBorders>
              <w:top w:val="nil"/>
              <w:left w:val="nil"/>
              <w:bottom w:val="single" w:color="auto" w:sz="4" w:space="0"/>
              <w:right w:val="single" w:color="auto" w:sz="4" w:space="0"/>
            </w:tcBorders>
            <w:noWrap/>
            <w:vAlign w:val="center"/>
          </w:tcPr>
          <w:p w14:paraId="49BAC7DE">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X＜5</w:t>
            </w:r>
          </w:p>
        </w:tc>
      </w:tr>
      <w:tr w14:paraId="7876F0D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3D1203E9">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ign w:val="center"/>
          </w:tcPr>
          <w:p w14:paraId="1A819B9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ign w:val="center"/>
          </w:tcPr>
          <w:p w14:paraId="710DCBDC">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53DCB19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5000≤Y＜40000</w:t>
            </w:r>
          </w:p>
        </w:tc>
        <w:tc>
          <w:tcPr>
            <w:tcW w:w="1701" w:type="dxa"/>
            <w:tcBorders>
              <w:top w:val="nil"/>
              <w:left w:val="nil"/>
              <w:bottom w:val="single" w:color="auto" w:sz="4" w:space="0"/>
              <w:right w:val="single" w:color="auto" w:sz="4" w:space="0"/>
            </w:tcBorders>
            <w:noWrap/>
            <w:vAlign w:val="center"/>
          </w:tcPr>
          <w:p w14:paraId="09B14D1A">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1134" w:type="dxa"/>
            <w:tcBorders>
              <w:top w:val="nil"/>
              <w:left w:val="nil"/>
              <w:bottom w:val="single" w:color="auto" w:sz="4" w:space="0"/>
              <w:right w:val="single" w:color="auto" w:sz="4" w:space="0"/>
            </w:tcBorders>
            <w:noWrap/>
            <w:vAlign w:val="center"/>
          </w:tcPr>
          <w:p w14:paraId="7A2310D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Y＜1000</w:t>
            </w:r>
          </w:p>
        </w:tc>
      </w:tr>
      <w:tr w14:paraId="05B1395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0FFB14A2">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零售业</w:t>
            </w:r>
          </w:p>
        </w:tc>
        <w:tc>
          <w:tcPr>
            <w:tcW w:w="1984" w:type="dxa"/>
            <w:tcBorders>
              <w:top w:val="nil"/>
              <w:left w:val="nil"/>
              <w:bottom w:val="single" w:color="auto" w:sz="4" w:space="0"/>
              <w:right w:val="single" w:color="auto" w:sz="4" w:space="0"/>
            </w:tcBorders>
            <w:noWrap/>
            <w:vAlign w:val="center"/>
          </w:tcPr>
          <w:p w14:paraId="3FD34FB0">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ign w:val="center"/>
          </w:tcPr>
          <w:p w14:paraId="5F95B60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ign w:val="center"/>
          </w:tcPr>
          <w:p w14:paraId="43B4A48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50≤X＜300</w:t>
            </w:r>
          </w:p>
        </w:tc>
        <w:tc>
          <w:tcPr>
            <w:tcW w:w="1701" w:type="dxa"/>
            <w:tcBorders>
              <w:top w:val="nil"/>
              <w:left w:val="nil"/>
              <w:bottom w:val="single" w:color="auto" w:sz="4" w:space="0"/>
              <w:right w:val="single" w:color="auto" w:sz="4" w:space="0"/>
            </w:tcBorders>
            <w:noWrap/>
            <w:vAlign w:val="center"/>
          </w:tcPr>
          <w:p w14:paraId="3E1F413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10≤X＜50</w:t>
            </w:r>
          </w:p>
        </w:tc>
        <w:tc>
          <w:tcPr>
            <w:tcW w:w="1134" w:type="dxa"/>
            <w:tcBorders>
              <w:top w:val="nil"/>
              <w:left w:val="nil"/>
              <w:bottom w:val="single" w:color="auto" w:sz="4" w:space="0"/>
              <w:right w:val="single" w:color="auto" w:sz="4" w:space="0"/>
            </w:tcBorders>
            <w:noWrap/>
            <w:vAlign w:val="center"/>
          </w:tcPr>
          <w:p w14:paraId="5D7E0DB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73E4738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202F98FC">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ign w:val="center"/>
          </w:tcPr>
          <w:p w14:paraId="1A03DD6C">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ign w:val="center"/>
          </w:tcPr>
          <w:p w14:paraId="7461980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472732D0">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701" w:type="dxa"/>
            <w:tcBorders>
              <w:top w:val="nil"/>
              <w:left w:val="nil"/>
              <w:bottom w:val="single" w:color="auto" w:sz="4" w:space="0"/>
              <w:right w:val="single" w:color="auto" w:sz="4" w:space="0"/>
            </w:tcBorders>
            <w:noWrap/>
            <w:vAlign w:val="center"/>
          </w:tcPr>
          <w:p w14:paraId="486E5D5E">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100≤Y＜500</w:t>
            </w:r>
          </w:p>
        </w:tc>
        <w:tc>
          <w:tcPr>
            <w:tcW w:w="1134" w:type="dxa"/>
            <w:tcBorders>
              <w:top w:val="nil"/>
              <w:left w:val="nil"/>
              <w:bottom w:val="single" w:color="auto" w:sz="4" w:space="0"/>
              <w:right w:val="single" w:color="auto" w:sz="4" w:space="0"/>
            </w:tcBorders>
            <w:noWrap/>
            <w:vAlign w:val="center"/>
          </w:tcPr>
          <w:p w14:paraId="15B2301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2DD0BFF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3BC432A3">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交通运输业</w:t>
            </w:r>
          </w:p>
        </w:tc>
        <w:tc>
          <w:tcPr>
            <w:tcW w:w="1984" w:type="dxa"/>
            <w:tcBorders>
              <w:top w:val="nil"/>
              <w:left w:val="nil"/>
              <w:bottom w:val="single" w:color="auto" w:sz="4" w:space="0"/>
              <w:right w:val="single" w:color="auto" w:sz="4" w:space="0"/>
            </w:tcBorders>
            <w:noWrap/>
            <w:vAlign w:val="center"/>
          </w:tcPr>
          <w:p w14:paraId="5B17E59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ign w:val="center"/>
          </w:tcPr>
          <w:p w14:paraId="3B84246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ign w:val="center"/>
          </w:tcPr>
          <w:p w14:paraId="57F9CAB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701" w:type="dxa"/>
            <w:tcBorders>
              <w:top w:val="nil"/>
              <w:left w:val="nil"/>
              <w:bottom w:val="single" w:color="auto" w:sz="4" w:space="0"/>
              <w:right w:val="single" w:color="auto" w:sz="4" w:space="0"/>
            </w:tcBorders>
            <w:noWrap/>
            <w:vAlign w:val="center"/>
          </w:tcPr>
          <w:p w14:paraId="58C2B21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134" w:type="dxa"/>
            <w:tcBorders>
              <w:top w:val="nil"/>
              <w:left w:val="nil"/>
              <w:bottom w:val="single" w:color="auto" w:sz="4" w:space="0"/>
              <w:right w:val="single" w:color="auto" w:sz="4" w:space="0"/>
            </w:tcBorders>
            <w:noWrap/>
            <w:vAlign w:val="center"/>
          </w:tcPr>
          <w:p w14:paraId="380B3555">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77C481D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3E4F512C">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ign w:val="center"/>
          </w:tcPr>
          <w:p w14:paraId="76E4679E">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ign w:val="center"/>
          </w:tcPr>
          <w:p w14:paraId="324C206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7AACC00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3000≤Y＜30000</w:t>
            </w:r>
          </w:p>
        </w:tc>
        <w:tc>
          <w:tcPr>
            <w:tcW w:w="1701" w:type="dxa"/>
            <w:tcBorders>
              <w:top w:val="nil"/>
              <w:left w:val="nil"/>
              <w:bottom w:val="single" w:color="auto" w:sz="4" w:space="0"/>
              <w:right w:val="single" w:color="auto" w:sz="4" w:space="0"/>
            </w:tcBorders>
            <w:noWrap/>
            <w:vAlign w:val="center"/>
          </w:tcPr>
          <w:p w14:paraId="3E0F0AA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200≤Y＜3000</w:t>
            </w:r>
          </w:p>
        </w:tc>
        <w:tc>
          <w:tcPr>
            <w:tcW w:w="1134" w:type="dxa"/>
            <w:tcBorders>
              <w:top w:val="nil"/>
              <w:left w:val="nil"/>
              <w:bottom w:val="single" w:color="auto" w:sz="4" w:space="0"/>
              <w:right w:val="single" w:color="auto" w:sz="4" w:space="0"/>
            </w:tcBorders>
            <w:noWrap/>
            <w:vAlign w:val="center"/>
          </w:tcPr>
          <w:p w14:paraId="578BED6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w:t>
            </w:r>
          </w:p>
        </w:tc>
      </w:tr>
      <w:tr w14:paraId="0BA611C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4ECEB373">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仓储业</w:t>
            </w:r>
          </w:p>
        </w:tc>
        <w:tc>
          <w:tcPr>
            <w:tcW w:w="1984" w:type="dxa"/>
            <w:tcBorders>
              <w:top w:val="nil"/>
              <w:left w:val="nil"/>
              <w:bottom w:val="single" w:color="auto" w:sz="4" w:space="0"/>
              <w:right w:val="single" w:color="auto" w:sz="4" w:space="0"/>
            </w:tcBorders>
            <w:noWrap/>
            <w:vAlign w:val="center"/>
          </w:tcPr>
          <w:p w14:paraId="264DFDB7">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ign w:val="center"/>
          </w:tcPr>
          <w:p w14:paraId="398EE1A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ign w:val="center"/>
          </w:tcPr>
          <w:p w14:paraId="07B2A876">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w:t>
            </w:r>
          </w:p>
        </w:tc>
        <w:tc>
          <w:tcPr>
            <w:tcW w:w="1701" w:type="dxa"/>
            <w:tcBorders>
              <w:top w:val="nil"/>
              <w:left w:val="nil"/>
              <w:bottom w:val="single" w:color="auto" w:sz="4" w:space="0"/>
              <w:right w:val="single" w:color="auto" w:sz="4" w:space="0"/>
            </w:tcBorders>
            <w:noWrap/>
            <w:vAlign w:val="center"/>
          </w:tcPr>
          <w:p w14:paraId="089DCE6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20≤X＜100</w:t>
            </w:r>
          </w:p>
        </w:tc>
        <w:tc>
          <w:tcPr>
            <w:tcW w:w="1134" w:type="dxa"/>
            <w:tcBorders>
              <w:top w:val="nil"/>
              <w:left w:val="nil"/>
              <w:bottom w:val="single" w:color="auto" w:sz="4" w:space="0"/>
              <w:right w:val="single" w:color="auto" w:sz="4" w:space="0"/>
            </w:tcBorders>
            <w:noWrap/>
            <w:vAlign w:val="center"/>
          </w:tcPr>
          <w:p w14:paraId="01D06A77">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6E99907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672C4165">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ign w:val="center"/>
          </w:tcPr>
          <w:p w14:paraId="1081A20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ign w:val="center"/>
          </w:tcPr>
          <w:p w14:paraId="490DCFEA">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38F1356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1000≤Y＜30000</w:t>
            </w:r>
          </w:p>
        </w:tc>
        <w:tc>
          <w:tcPr>
            <w:tcW w:w="1701" w:type="dxa"/>
            <w:tcBorders>
              <w:top w:val="nil"/>
              <w:left w:val="nil"/>
              <w:bottom w:val="single" w:color="auto" w:sz="4" w:space="0"/>
              <w:right w:val="single" w:color="auto" w:sz="4" w:space="0"/>
            </w:tcBorders>
            <w:noWrap/>
            <w:vAlign w:val="center"/>
          </w:tcPr>
          <w:p w14:paraId="12EC92FC">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1134" w:type="dxa"/>
            <w:tcBorders>
              <w:top w:val="nil"/>
              <w:left w:val="nil"/>
              <w:bottom w:val="single" w:color="auto" w:sz="4" w:space="0"/>
              <w:right w:val="single" w:color="auto" w:sz="4" w:space="0"/>
            </w:tcBorders>
            <w:noWrap/>
            <w:vAlign w:val="center"/>
          </w:tcPr>
          <w:p w14:paraId="3FBC706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2BCA2BD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254C14B">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邮政业</w:t>
            </w:r>
          </w:p>
        </w:tc>
        <w:tc>
          <w:tcPr>
            <w:tcW w:w="1984" w:type="dxa"/>
            <w:tcBorders>
              <w:top w:val="nil"/>
              <w:left w:val="nil"/>
              <w:bottom w:val="single" w:color="auto" w:sz="4" w:space="0"/>
              <w:right w:val="single" w:color="auto" w:sz="4" w:space="0"/>
            </w:tcBorders>
            <w:noWrap/>
            <w:vAlign w:val="center"/>
          </w:tcPr>
          <w:p w14:paraId="7498AF67">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ign w:val="center"/>
          </w:tcPr>
          <w:p w14:paraId="44B51FF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ign w:val="center"/>
          </w:tcPr>
          <w:p w14:paraId="66C7D355">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701" w:type="dxa"/>
            <w:tcBorders>
              <w:top w:val="nil"/>
              <w:left w:val="nil"/>
              <w:bottom w:val="single" w:color="auto" w:sz="4" w:space="0"/>
              <w:right w:val="single" w:color="auto" w:sz="4" w:space="0"/>
            </w:tcBorders>
            <w:noWrap/>
            <w:vAlign w:val="center"/>
          </w:tcPr>
          <w:p w14:paraId="5E6AFD05">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134" w:type="dxa"/>
            <w:tcBorders>
              <w:top w:val="nil"/>
              <w:left w:val="nil"/>
              <w:bottom w:val="single" w:color="auto" w:sz="4" w:space="0"/>
              <w:right w:val="single" w:color="auto" w:sz="4" w:space="0"/>
            </w:tcBorders>
            <w:noWrap/>
            <w:vAlign w:val="center"/>
          </w:tcPr>
          <w:p w14:paraId="1836F02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5E2ED72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7A4D7248">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ign w:val="center"/>
          </w:tcPr>
          <w:p w14:paraId="1D0CAEF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ign w:val="center"/>
          </w:tcPr>
          <w:p w14:paraId="6954371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22EA9B6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2000≤Y＜30000</w:t>
            </w:r>
          </w:p>
        </w:tc>
        <w:tc>
          <w:tcPr>
            <w:tcW w:w="1701" w:type="dxa"/>
            <w:tcBorders>
              <w:top w:val="nil"/>
              <w:left w:val="nil"/>
              <w:bottom w:val="single" w:color="auto" w:sz="4" w:space="0"/>
              <w:right w:val="single" w:color="auto" w:sz="4" w:space="0"/>
            </w:tcBorders>
            <w:noWrap/>
            <w:vAlign w:val="center"/>
          </w:tcPr>
          <w:p w14:paraId="009846B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134" w:type="dxa"/>
            <w:tcBorders>
              <w:top w:val="nil"/>
              <w:left w:val="nil"/>
              <w:bottom w:val="single" w:color="auto" w:sz="4" w:space="0"/>
              <w:right w:val="single" w:color="auto" w:sz="4" w:space="0"/>
            </w:tcBorders>
            <w:noWrap/>
            <w:vAlign w:val="center"/>
          </w:tcPr>
          <w:p w14:paraId="53809C5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7C2D0B4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32257862">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住宿业</w:t>
            </w:r>
          </w:p>
        </w:tc>
        <w:tc>
          <w:tcPr>
            <w:tcW w:w="1984" w:type="dxa"/>
            <w:tcBorders>
              <w:top w:val="nil"/>
              <w:left w:val="nil"/>
              <w:bottom w:val="single" w:color="auto" w:sz="4" w:space="0"/>
              <w:right w:val="single" w:color="auto" w:sz="4" w:space="0"/>
            </w:tcBorders>
            <w:noWrap/>
            <w:vAlign w:val="center"/>
          </w:tcPr>
          <w:p w14:paraId="42BE736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ign w:val="center"/>
          </w:tcPr>
          <w:p w14:paraId="58877330">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ign w:val="center"/>
          </w:tcPr>
          <w:p w14:paraId="330E160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701" w:type="dxa"/>
            <w:tcBorders>
              <w:top w:val="nil"/>
              <w:left w:val="nil"/>
              <w:bottom w:val="single" w:color="auto" w:sz="4" w:space="0"/>
              <w:right w:val="single" w:color="auto" w:sz="4" w:space="0"/>
            </w:tcBorders>
            <w:noWrap/>
            <w:vAlign w:val="center"/>
          </w:tcPr>
          <w:p w14:paraId="51A8FD75">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ign w:val="center"/>
          </w:tcPr>
          <w:p w14:paraId="0CEDB0B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23440DF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45CD934B">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ign w:val="center"/>
          </w:tcPr>
          <w:p w14:paraId="21B0677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ign w:val="center"/>
          </w:tcPr>
          <w:p w14:paraId="72F2035C">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7B6D8016">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701" w:type="dxa"/>
            <w:tcBorders>
              <w:top w:val="nil"/>
              <w:left w:val="nil"/>
              <w:bottom w:val="single" w:color="auto" w:sz="4" w:space="0"/>
              <w:right w:val="single" w:color="auto" w:sz="4" w:space="0"/>
            </w:tcBorders>
            <w:noWrap/>
            <w:vAlign w:val="center"/>
          </w:tcPr>
          <w:p w14:paraId="36A1304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134" w:type="dxa"/>
            <w:tcBorders>
              <w:top w:val="nil"/>
              <w:left w:val="nil"/>
              <w:bottom w:val="single" w:color="auto" w:sz="4" w:space="0"/>
              <w:right w:val="single" w:color="auto" w:sz="4" w:space="0"/>
            </w:tcBorders>
            <w:noWrap/>
            <w:vAlign w:val="center"/>
          </w:tcPr>
          <w:p w14:paraId="7A8A8BF6">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249FA4B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ED6BCC5">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餐饮业</w:t>
            </w:r>
          </w:p>
        </w:tc>
        <w:tc>
          <w:tcPr>
            <w:tcW w:w="1984" w:type="dxa"/>
            <w:tcBorders>
              <w:top w:val="nil"/>
              <w:left w:val="nil"/>
              <w:bottom w:val="single" w:color="auto" w:sz="4" w:space="0"/>
              <w:right w:val="single" w:color="auto" w:sz="4" w:space="0"/>
            </w:tcBorders>
            <w:noWrap/>
            <w:vAlign w:val="center"/>
          </w:tcPr>
          <w:p w14:paraId="7440B6B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ign w:val="center"/>
          </w:tcPr>
          <w:p w14:paraId="33EEC035">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ign w:val="center"/>
          </w:tcPr>
          <w:p w14:paraId="798EEC90">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701" w:type="dxa"/>
            <w:tcBorders>
              <w:top w:val="nil"/>
              <w:left w:val="nil"/>
              <w:bottom w:val="single" w:color="auto" w:sz="4" w:space="0"/>
              <w:right w:val="single" w:color="auto" w:sz="4" w:space="0"/>
            </w:tcBorders>
            <w:noWrap/>
            <w:vAlign w:val="center"/>
          </w:tcPr>
          <w:p w14:paraId="2D76370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ign w:val="center"/>
          </w:tcPr>
          <w:p w14:paraId="4FC2D55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45BA497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287870CA">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ign w:val="center"/>
          </w:tcPr>
          <w:p w14:paraId="5532FAA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ign w:val="center"/>
          </w:tcPr>
          <w:p w14:paraId="28D35720">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669A7B67">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701" w:type="dxa"/>
            <w:tcBorders>
              <w:top w:val="nil"/>
              <w:left w:val="nil"/>
              <w:bottom w:val="single" w:color="auto" w:sz="4" w:space="0"/>
              <w:right w:val="single" w:color="auto" w:sz="4" w:space="0"/>
            </w:tcBorders>
            <w:noWrap/>
            <w:vAlign w:val="center"/>
          </w:tcPr>
          <w:p w14:paraId="047AC20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134" w:type="dxa"/>
            <w:tcBorders>
              <w:top w:val="nil"/>
              <w:left w:val="nil"/>
              <w:bottom w:val="single" w:color="auto" w:sz="4" w:space="0"/>
              <w:right w:val="single" w:color="auto" w:sz="4" w:space="0"/>
            </w:tcBorders>
            <w:noWrap/>
            <w:vAlign w:val="center"/>
          </w:tcPr>
          <w:p w14:paraId="6DBC9DB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7D74881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26AE9BCA">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信息传输业</w:t>
            </w:r>
          </w:p>
        </w:tc>
        <w:tc>
          <w:tcPr>
            <w:tcW w:w="1984" w:type="dxa"/>
            <w:tcBorders>
              <w:top w:val="nil"/>
              <w:left w:val="nil"/>
              <w:bottom w:val="single" w:color="auto" w:sz="4" w:space="0"/>
              <w:right w:val="single" w:color="auto" w:sz="4" w:space="0"/>
            </w:tcBorders>
            <w:noWrap/>
            <w:vAlign w:val="center"/>
          </w:tcPr>
          <w:p w14:paraId="1D14EF3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ign w:val="center"/>
          </w:tcPr>
          <w:p w14:paraId="2477438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ign w:val="center"/>
          </w:tcPr>
          <w:p w14:paraId="5F1A31FE">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100≤X＜2000</w:t>
            </w:r>
          </w:p>
        </w:tc>
        <w:tc>
          <w:tcPr>
            <w:tcW w:w="1701" w:type="dxa"/>
            <w:tcBorders>
              <w:top w:val="nil"/>
              <w:left w:val="nil"/>
              <w:bottom w:val="single" w:color="auto" w:sz="4" w:space="0"/>
              <w:right w:val="single" w:color="auto" w:sz="4" w:space="0"/>
            </w:tcBorders>
            <w:noWrap/>
            <w:vAlign w:val="center"/>
          </w:tcPr>
          <w:p w14:paraId="66508C4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ign w:val="center"/>
          </w:tcPr>
          <w:p w14:paraId="3A8CA6A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3446C8B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77196EA8">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ign w:val="center"/>
          </w:tcPr>
          <w:p w14:paraId="6155843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ign w:val="center"/>
          </w:tcPr>
          <w:p w14:paraId="585BE5D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6BF2F965">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1000≤Y＜100000</w:t>
            </w:r>
          </w:p>
        </w:tc>
        <w:tc>
          <w:tcPr>
            <w:tcW w:w="1701" w:type="dxa"/>
            <w:tcBorders>
              <w:top w:val="nil"/>
              <w:left w:val="nil"/>
              <w:bottom w:val="single" w:color="auto" w:sz="4" w:space="0"/>
              <w:right w:val="single" w:color="auto" w:sz="4" w:space="0"/>
            </w:tcBorders>
            <w:noWrap/>
            <w:vAlign w:val="center"/>
          </w:tcPr>
          <w:p w14:paraId="4A3A11E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1134" w:type="dxa"/>
            <w:tcBorders>
              <w:top w:val="nil"/>
              <w:left w:val="nil"/>
              <w:bottom w:val="single" w:color="auto" w:sz="4" w:space="0"/>
              <w:right w:val="single" w:color="auto" w:sz="4" w:space="0"/>
            </w:tcBorders>
            <w:noWrap/>
            <w:vAlign w:val="center"/>
          </w:tcPr>
          <w:p w14:paraId="2E73BD3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0BE8CD9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68823F35">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软件和信息技术服务业</w:t>
            </w:r>
          </w:p>
        </w:tc>
        <w:tc>
          <w:tcPr>
            <w:tcW w:w="1984" w:type="dxa"/>
            <w:tcBorders>
              <w:top w:val="nil"/>
              <w:left w:val="nil"/>
              <w:bottom w:val="single" w:color="auto" w:sz="4" w:space="0"/>
              <w:right w:val="single" w:color="auto" w:sz="4" w:space="0"/>
            </w:tcBorders>
            <w:noWrap/>
            <w:vAlign w:val="center"/>
          </w:tcPr>
          <w:p w14:paraId="23E0372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ign w:val="center"/>
          </w:tcPr>
          <w:p w14:paraId="68EA8F8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ign w:val="center"/>
          </w:tcPr>
          <w:p w14:paraId="5CCBC27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701" w:type="dxa"/>
            <w:tcBorders>
              <w:top w:val="nil"/>
              <w:left w:val="nil"/>
              <w:bottom w:val="single" w:color="auto" w:sz="4" w:space="0"/>
              <w:right w:val="single" w:color="auto" w:sz="4" w:space="0"/>
            </w:tcBorders>
            <w:noWrap/>
            <w:vAlign w:val="center"/>
          </w:tcPr>
          <w:p w14:paraId="57952165">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ign w:val="center"/>
          </w:tcPr>
          <w:p w14:paraId="07E9ECE0">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179EB29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0385C893">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ign w:val="center"/>
          </w:tcPr>
          <w:p w14:paraId="68A98D1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ign w:val="center"/>
          </w:tcPr>
          <w:p w14:paraId="5F9E0CBA">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47837E4E">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w:t>
            </w:r>
          </w:p>
        </w:tc>
        <w:tc>
          <w:tcPr>
            <w:tcW w:w="1701" w:type="dxa"/>
            <w:tcBorders>
              <w:top w:val="nil"/>
              <w:left w:val="nil"/>
              <w:bottom w:val="single" w:color="auto" w:sz="4" w:space="0"/>
              <w:right w:val="single" w:color="auto" w:sz="4" w:space="0"/>
            </w:tcBorders>
            <w:noWrap/>
            <w:vAlign w:val="center"/>
          </w:tcPr>
          <w:p w14:paraId="498B9A25">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50≤Y＜1000</w:t>
            </w:r>
          </w:p>
        </w:tc>
        <w:tc>
          <w:tcPr>
            <w:tcW w:w="1134" w:type="dxa"/>
            <w:tcBorders>
              <w:top w:val="nil"/>
              <w:left w:val="nil"/>
              <w:bottom w:val="single" w:color="auto" w:sz="4" w:space="0"/>
              <w:right w:val="single" w:color="auto" w:sz="4" w:space="0"/>
            </w:tcBorders>
            <w:noWrap/>
            <w:vAlign w:val="center"/>
          </w:tcPr>
          <w:p w14:paraId="00FC52C5">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2675D0B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F4368B6">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房地产开发经营</w:t>
            </w:r>
          </w:p>
        </w:tc>
        <w:tc>
          <w:tcPr>
            <w:tcW w:w="1984" w:type="dxa"/>
            <w:tcBorders>
              <w:top w:val="nil"/>
              <w:left w:val="nil"/>
              <w:bottom w:val="single" w:color="auto" w:sz="4" w:space="0"/>
              <w:right w:val="single" w:color="auto" w:sz="4" w:space="0"/>
            </w:tcBorders>
            <w:noWrap/>
            <w:vAlign w:val="center"/>
          </w:tcPr>
          <w:p w14:paraId="465AE03A">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ign w:val="center"/>
          </w:tcPr>
          <w:p w14:paraId="02C2FBF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42EC867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1000≤Y＜200000</w:t>
            </w:r>
          </w:p>
        </w:tc>
        <w:tc>
          <w:tcPr>
            <w:tcW w:w="1701" w:type="dxa"/>
            <w:tcBorders>
              <w:top w:val="nil"/>
              <w:left w:val="nil"/>
              <w:bottom w:val="single" w:color="auto" w:sz="4" w:space="0"/>
              <w:right w:val="single" w:color="auto" w:sz="4" w:space="0"/>
            </w:tcBorders>
            <w:noWrap/>
            <w:vAlign w:val="center"/>
          </w:tcPr>
          <w:p w14:paraId="52B7093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100≤X＜1000</w:t>
            </w:r>
          </w:p>
        </w:tc>
        <w:tc>
          <w:tcPr>
            <w:tcW w:w="1134" w:type="dxa"/>
            <w:tcBorders>
              <w:top w:val="nil"/>
              <w:left w:val="nil"/>
              <w:bottom w:val="single" w:color="auto" w:sz="4" w:space="0"/>
              <w:right w:val="single" w:color="auto" w:sz="4" w:space="0"/>
            </w:tcBorders>
            <w:noWrap/>
            <w:vAlign w:val="center"/>
          </w:tcPr>
          <w:p w14:paraId="240F2647">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117AF00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0B19DCBA">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ign w:val="center"/>
          </w:tcPr>
          <w:p w14:paraId="555AB8C6">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851" w:type="dxa"/>
            <w:tcBorders>
              <w:top w:val="nil"/>
              <w:left w:val="nil"/>
              <w:bottom w:val="single" w:color="auto" w:sz="4" w:space="0"/>
              <w:right w:val="single" w:color="auto" w:sz="4" w:space="0"/>
            </w:tcBorders>
            <w:noWrap/>
            <w:vAlign w:val="center"/>
          </w:tcPr>
          <w:p w14:paraId="60A9A9EC">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26F34685">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5000≤Z＜10000</w:t>
            </w:r>
          </w:p>
        </w:tc>
        <w:tc>
          <w:tcPr>
            <w:tcW w:w="1701" w:type="dxa"/>
            <w:tcBorders>
              <w:top w:val="nil"/>
              <w:left w:val="nil"/>
              <w:bottom w:val="single" w:color="auto" w:sz="4" w:space="0"/>
              <w:right w:val="single" w:color="auto" w:sz="4" w:space="0"/>
            </w:tcBorders>
            <w:noWrap/>
            <w:vAlign w:val="center"/>
          </w:tcPr>
          <w:p w14:paraId="0CB2C1D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2000≤Y＜5000</w:t>
            </w:r>
          </w:p>
        </w:tc>
        <w:tc>
          <w:tcPr>
            <w:tcW w:w="1134" w:type="dxa"/>
            <w:tcBorders>
              <w:top w:val="nil"/>
              <w:left w:val="nil"/>
              <w:bottom w:val="single" w:color="auto" w:sz="4" w:space="0"/>
              <w:right w:val="single" w:color="auto" w:sz="4" w:space="0"/>
            </w:tcBorders>
            <w:noWrap/>
            <w:vAlign w:val="center"/>
          </w:tcPr>
          <w:p w14:paraId="25F53CD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Y＜2000</w:t>
            </w:r>
          </w:p>
        </w:tc>
      </w:tr>
      <w:tr w14:paraId="36787EA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50B1844B">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物业管理</w:t>
            </w:r>
          </w:p>
        </w:tc>
        <w:tc>
          <w:tcPr>
            <w:tcW w:w="1984" w:type="dxa"/>
            <w:tcBorders>
              <w:top w:val="nil"/>
              <w:left w:val="nil"/>
              <w:bottom w:val="single" w:color="auto" w:sz="4" w:space="0"/>
              <w:right w:val="single" w:color="auto" w:sz="4" w:space="0"/>
            </w:tcBorders>
            <w:noWrap/>
            <w:vAlign w:val="center"/>
          </w:tcPr>
          <w:p w14:paraId="0F2145C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ign w:val="center"/>
          </w:tcPr>
          <w:p w14:paraId="6750A617">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ign w:val="center"/>
          </w:tcPr>
          <w:p w14:paraId="3D336A6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701" w:type="dxa"/>
            <w:tcBorders>
              <w:top w:val="nil"/>
              <w:left w:val="nil"/>
              <w:bottom w:val="single" w:color="auto" w:sz="4" w:space="0"/>
              <w:right w:val="single" w:color="auto" w:sz="4" w:space="0"/>
            </w:tcBorders>
            <w:noWrap/>
            <w:vAlign w:val="center"/>
          </w:tcPr>
          <w:p w14:paraId="0AD37B4C">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134" w:type="dxa"/>
            <w:tcBorders>
              <w:top w:val="nil"/>
              <w:left w:val="nil"/>
              <w:bottom w:val="single" w:color="auto" w:sz="4" w:space="0"/>
              <w:right w:val="single" w:color="auto" w:sz="4" w:space="0"/>
            </w:tcBorders>
            <w:noWrap/>
            <w:vAlign w:val="center"/>
          </w:tcPr>
          <w:p w14:paraId="074D85D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6AD1653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0FD87CBA">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ign w:val="center"/>
          </w:tcPr>
          <w:p w14:paraId="25E5864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ign w:val="center"/>
          </w:tcPr>
          <w:p w14:paraId="53CFA38E">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24ABA2A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1701" w:type="dxa"/>
            <w:tcBorders>
              <w:top w:val="nil"/>
              <w:left w:val="nil"/>
              <w:bottom w:val="single" w:color="auto" w:sz="4" w:space="0"/>
              <w:right w:val="single" w:color="auto" w:sz="4" w:space="0"/>
            </w:tcBorders>
            <w:noWrap/>
            <w:vAlign w:val="center"/>
          </w:tcPr>
          <w:p w14:paraId="682FB636">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500≤Y＜1000</w:t>
            </w:r>
          </w:p>
        </w:tc>
        <w:tc>
          <w:tcPr>
            <w:tcW w:w="1134" w:type="dxa"/>
            <w:tcBorders>
              <w:top w:val="nil"/>
              <w:left w:val="nil"/>
              <w:bottom w:val="single" w:color="auto" w:sz="4" w:space="0"/>
              <w:right w:val="single" w:color="auto" w:sz="4" w:space="0"/>
            </w:tcBorders>
            <w:noWrap/>
            <w:vAlign w:val="center"/>
          </w:tcPr>
          <w:p w14:paraId="24A2E57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Y＜500</w:t>
            </w:r>
          </w:p>
        </w:tc>
      </w:tr>
      <w:tr w14:paraId="46FCB38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2D1C848D">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租赁和商务服务业</w:t>
            </w:r>
          </w:p>
        </w:tc>
        <w:tc>
          <w:tcPr>
            <w:tcW w:w="1984" w:type="dxa"/>
            <w:tcBorders>
              <w:top w:val="nil"/>
              <w:left w:val="nil"/>
              <w:bottom w:val="single" w:color="auto" w:sz="4" w:space="0"/>
              <w:right w:val="single" w:color="auto" w:sz="4" w:space="0"/>
            </w:tcBorders>
            <w:noWrap/>
            <w:vAlign w:val="center"/>
          </w:tcPr>
          <w:p w14:paraId="10B61FC0">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ign w:val="center"/>
          </w:tcPr>
          <w:p w14:paraId="2264EE0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ign w:val="center"/>
          </w:tcPr>
          <w:p w14:paraId="19E148A5">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701" w:type="dxa"/>
            <w:tcBorders>
              <w:top w:val="nil"/>
              <w:left w:val="nil"/>
              <w:bottom w:val="single" w:color="auto" w:sz="4" w:space="0"/>
              <w:right w:val="single" w:color="auto" w:sz="4" w:space="0"/>
            </w:tcBorders>
            <w:noWrap/>
            <w:vAlign w:val="center"/>
          </w:tcPr>
          <w:p w14:paraId="3835BA9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ign w:val="center"/>
          </w:tcPr>
          <w:p w14:paraId="60E04DE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56486E5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648D62EE">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ign w:val="center"/>
          </w:tcPr>
          <w:p w14:paraId="75A33FD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851" w:type="dxa"/>
            <w:tcBorders>
              <w:top w:val="nil"/>
              <w:left w:val="nil"/>
              <w:bottom w:val="single" w:color="auto" w:sz="4" w:space="0"/>
              <w:right w:val="single" w:color="auto" w:sz="4" w:space="0"/>
            </w:tcBorders>
            <w:noWrap/>
            <w:vAlign w:val="center"/>
          </w:tcPr>
          <w:p w14:paraId="185C65B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ign w:val="center"/>
          </w:tcPr>
          <w:p w14:paraId="52B7742C">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8000≤Z＜120000</w:t>
            </w:r>
          </w:p>
        </w:tc>
        <w:tc>
          <w:tcPr>
            <w:tcW w:w="1701" w:type="dxa"/>
            <w:tcBorders>
              <w:top w:val="nil"/>
              <w:left w:val="nil"/>
              <w:bottom w:val="single" w:color="auto" w:sz="4" w:space="0"/>
              <w:right w:val="single" w:color="auto" w:sz="4" w:space="0"/>
            </w:tcBorders>
            <w:noWrap/>
            <w:vAlign w:val="center"/>
          </w:tcPr>
          <w:p w14:paraId="612330A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100≤Z＜8000</w:t>
            </w:r>
          </w:p>
        </w:tc>
        <w:tc>
          <w:tcPr>
            <w:tcW w:w="1134" w:type="dxa"/>
            <w:tcBorders>
              <w:top w:val="nil"/>
              <w:left w:val="nil"/>
              <w:bottom w:val="single" w:color="auto" w:sz="4" w:space="0"/>
              <w:right w:val="single" w:color="auto" w:sz="4" w:space="0"/>
            </w:tcBorders>
            <w:noWrap/>
            <w:vAlign w:val="center"/>
          </w:tcPr>
          <w:p w14:paraId="60972B2C">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3660D6D6">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ign w:val="bottom"/>
          </w:tcPr>
          <w:p w14:paraId="4EABA3D1">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其他未列明行业</w:t>
            </w:r>
          </w:p>
        </w:tc>
        <w:tc>
          <w:tcPr>
            <w:tcW w:w="1984" w:type="dxa"/>
            <w:tcBorders>
              <w:top w:val="nil"/>
              <w:left w:val="nil"/>
              <w:bottom w:val="single" w:color="auto" w:sz="4" w:space="0"/>
              <w:right w:val="single" w:color="auto" w:sz="4" w:space="0"/>
            </w:tcBorders>
            <w:noWrap/>
            <w:vAlign w:val="center"/>
          </w:tcPr>
          <w:p w14:paraId="51D8B03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ign w:val="center"/>
          </w:tcPr>
          <w:p w14:paraId="206391B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ign w:val="center"/>
          </w:tcPr>
          <w:p w14:paraId="04E3C75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701" w:type="dxa"/>
            <w:tcBorders>
              <w:top w:val="nil"/>
              <w:left w:val="nil"/>
              <w:bottom w:val="single" w:color="auto" w:sz="4" w:space="0"/>
              <w:right w:val="single" w:color="auto" w:sz="4" w:space="0"/>
            </w:tcBorders>
            <w:noWrap/>
            <w:vAlign w:val="center"/>
          </w:tcPr>
          <w:p w14:paraId="1431BC5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ign w:val="center"/>
          </w:tcPr>
          <w:p w14:paraId="6E04E1FC">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bl>
    <w:p w14:paraId="206DA0AE">
      <w:pPr>
        <w:spacing w:line="560" w:lineRule="exact"/>
        <w:ind w:firstLine="525" w:firstLineChars="250"/>
        <w:rPr>
          <w:rFonts w:ascii="仿宋_GB2312" w:hAnsi="仿宋" w:eastAsia="仿宋_GB2312"/>
          <w:color w:val="000000" w:themeColor="text1"/>
          <w:szCs w:val="21"/>
          <w:highlight w:val="none"/>
          <w14:textFill>
            <w14:solidFill>
              <w14:schemeClr w14:val="tx1"/>
            </w14:solidFill>
          </w14:textFill>
        </w:rPr>
      </w:pPr>
      <w:r>
        <w:rPr>
          <w:rFonts w:hint="eastAsia" w:ascii="仿宋_GB2312" w:hAnsi="仿宋" w:eastAsia="仿宋_GB2312"/>
          <w:color w:val="000000" w:themeColor="text1"/>
          <w:szCs w:val="21"/>
          <w:highlight w:val="none"/>
          <w14:textFill>
            <w14:solidFill>
              <w14:schemeClr w14:val="tx1"/>
            </w14:solidFill>
          </w14:textFill>
        </w:rPr>
        <w:t>说明：上述标准参照《关于印发中小企业划型标准规定的通知》（工信部联企业[2011]300号），大型、中型和小型企业须同时满足所列指标的下限，否则下划一档；微型企业只须满足所列指标中的一项即可。</w:t>
      </w:r>
    </w:p>
    <w:p w14:paraId="12D2B858">
      <w:pPr>
        <w:widowControl/>
        <w:jc w:val="left"/>
        <w:rPr>
          <w:rFonts w:ascii="宋体" w:hAnsi="宋体"/>
          <w:color w:val="000000" w:themeColor="text1"/>
          <w:kern w:val="0"/>
          <w:sz w:val="20"/>
          <w:szCs w:val="2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3950A10">
      <w:pPr>
        <w:pStyle w:val="4"/>
        <w:jc w:val="center"/>
        <w:rPr>
          <w:color w:val="000000" w:themeColor="text1"/>
          <w:highlight w:val="none"/>
          <w14:textFill>
            <w14:solidFill>
              <w14:schemeClr w14:val="tx1"/>
            </w14:solidFill>
          </w14:textFill>
        </w:rPr>
      </w:pPr>
      <w:bookmarkStart w:id="30" w:name="_Toc213948279"/>
      <w:r>
        <w:rPr>
          <w:rFonts w:hint="eastAsia" w:ascii="Cambria" w:hAnsi="Cambria"/>
          <w:bCs w:val="0"/>
          <w:color w:val="000000" w:themeColor="text1"/>
          <w:sz w:val="32"/>
          <w:szCs w:val="32"/>
          <w:highlight w:val="none"/>
          <w14:textFill>
            <w14:solidFill>
              <w14:schemeClr w14:val="tx1"/>
            </w14:solidFill>
          </w14:textFill>
        </w:rPr>
        <w:t>第三章供应商须知</w:t>
      </w:r>
      <w:bookmarkEnd w:id="30"/>
    </w:p>
    <w:p w14:paraId="7965AB89">
      <w:pPr>
        <w:pStyle w:val="5"/>
        <w:jc w:val="center"/>
        <w:rPr>
          <w:rFonts w:ascii="宋体" w:hAnsi="宋体"/>
          <w:b w:val="0"/>
          <w:color w:val="000000" w:themeColor="text1"/>
          <w:highlight w:val="none"/>
          <w14:textFill>
            <w14:solidFill>
              <w14:schemeClr w14:val="tx1"/>
            </w14:solidFill>
          </w14:textFill>
        </w:rPr>
      </w:pPr>
      <w:bookmarkStart w:id="31" w:name="_Toc213948280"/>
      <w:r>
        <w:rPr>
          <w:rFonts w:hint="eastAsia" w:ascii="宋体" w:hAnsi="宋体"/>
          <w:b w:val="0"/>
          <w:color w:val="000000" w:themeColor="text1"/>
          <w:highlight w:val="none"/>
          <w14:textFill>
            <w14:solidFill>
              <w14:schemeClr w14:val="tx1"/>
            </w14:solidFill>
          </w14:textFill>
        </w:rPr>
        <w:t>第一节 供应商须知前附表</w:t>
      </w:r>
      <w:bookmarkEnd w:id="31"/>
    </w:p>
    <w:p w14:paraId="04FB55B1">
      <w:pPr>
        <w:spacing w:line="400" w:lineRule="exact"/>
        <w:jc w:val="center"/>
        <w:rPr>
          <w:rFonts w:ascii="宋体" w:hAnsi="宋体"/>
          <w:b/>
          <w:color w:val="000000" w:themeColor="text1"/>
          <w:sz w:val="32"/>
          <w:szCs w:val="32"/>
          <w:highlight w:val="none"/>
          <w14:textFill>
            <w14:solidFill>
              <w14:schemeClr w14:val="tx1"/>
            </w14:solidFill>
          </w14:textFill>
        </w:rPr>
      </w:pPr>
    </w:p>
    <w:tbl>
      <w:tblPr>
        <w:tblStyle w:val="53"/>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2785"/>
        <w:gridCol w:w="6850"/>
      </w:tblGrid>
      <w:tr w14:paraId="6F534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tcBorders>
              <w:top w:val="single" w:color="000000" w:sz="4" w:space="0"/>
              <w:left w:val="single" w:color="000000" w:sz="4" w:space="0"/>
              <w:bottom w:val="single" w:color="000000" w:sz="4" w:space="0"/>
              <w:right w:val="single" w:color="000000" w:sz="4" w:space="0"/>
            </w:tcBorders>
            <w:noWrap/>
          </w:tcPr>
          <w:p w14:paraId="7BC0C639">
            <w:pPr>
              <w:keepNext w:val="0"/>
              <w:keepLines w:val="0"/>
              <w:suppressLineNumbers w:val="0"/>
              <w:spacing w:before="0" w:beforeAutospacing="0" w:after="0" w:afterAutospacing="0" w:line="360" w:lineRule="auto"/>
              <w:ind w:left="0" w:right="0"/>
              <w:jc w:val="center"/>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7FE39A17">
            <w:pPr>
              <w:keepNext w:val="0"/>
              <w:keepLines w:val="0"/>
              <w:suppressLineNumbers w:val="0"/>
              <w:spacing w:before="0" w:beforeAutospacing="0" w:after="0" w:afterAutospacing="0" w:line="360" w:lineRule="auto"/>
              <w:ind w:left="0" w:right="0"/>
              <w:jc w:val="center"/>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条款内容</w:t>
            </w:r>
          </w:p>
        </w:tc>
        <w:tc>
          <w:tcPr>
            <w:tcW w:w="6850" w:type="dxa"/>
            <w:tcBorders>
              <w:top w:val="single" w:color="000000" w:sz="4" w:space="0"/>
              <w:left w:val="single" w:color="000000" w:sz="4" w:space="0"/>
              <w:bottom w:val="single" w:color="000000" w:sz="4" w:space="0"/>
              <w:right w:val="single" w:color="000000" w:sz="4" w:space="0"/>
            </w:tcBorders>
            <w:noWrap/>
          </w:tcPr>
          <w:p w14:paraId="63FA7A4B">
            <w:pPr>
              <w:keepNext w:val="0"/>
              <w:keepLines w:val="0"/>
              <w:suppressLineNumbers w:val="0"/>
              <w:spacing w:before="0" w:beforeAutospacing="0" w:after="0" w:afterAutospacing="0" w:line="360" w:lineRule="auto"/>
              <w:ind w:left="0" w:right="0"/>
              <w:jc w:val="center"/>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具体要求</w:t>
            </w:r>
          </w:p>
        </w:tc>
      </w:tr>
      <w:tr w14:paraId="3DB43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6B13698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2595E2B0">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供应商资格条件</w:t>
            </w:r>
          </w:p>
        </w:tc>
        <w:tc>
          <w:tcPr>
            <w:tcW w:w="6850" w:type="dxa"/>
            <w:tcBorders>
              <w:top w:val="single" w:color="000000" w:sz="4" w:space="0"/>
              <w:left w:val="single" w:color="000000" w:sz="4" w:space="0"/>
              <w:bottom w:val="single" w:color="000000" w:sz="4" w:space="0"/>
              <w:right w:val="single" w:color="000000" w:sz="4" w:space="0"/>
            </w:tcBorders>
            <w:noWrap/>
          </w:tcPr>
          <w:p w14:paraId="15A07DD4">
            <w:pPr>
              <w:keepNext w:val="0"/>
              <w:keepLines w:val="0"/>
              <w:suppressLineNumbers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供应商资格条件要求详见公告。</w:t>
            </w:r>
          </w:p>
        </w:tc>
      </w:tr>
      <w:tr w14:paraId="56091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21D2C7B0">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21121EA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是否接受联合体竞标</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6E376583">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不接受</w:t>
            </w:r>
          </w:p>
        </w:tc>
      </w:tr>
      <w:tr w14:paraId="1D983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56754E3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3851D13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联合体竞标要求</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6A063610">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无</w:t>
            </w:r>
          </w:p>
        </w:tc>
      </w:tr>
      <w:tr w14:paraId="55099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10631090">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6.1</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5D1B7D7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是否允许分包</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6773F3A0">
            <w:pPr>
              <w:pStyle w:val="18"/>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bookmarkStart w:id="32" w:name="PO_3000001868_PM044"/>
            <w:r>
              <w:rPr>
                <w:rFonts w:hint="eastAsia" w:ascii="宋体" w:hAnsi="宋体"/>
                <w:color w:val="000000" w:themeColor="text1"/>
                <w:szCs w:val="21"/>
                <w:highlight w:val="none"/>
                <w14:textFill>
                  <w14:solidFill>
                    <w14:schemeClr w14:val="tx1"/>
                  </w14:solidFill>
                </w14:textFill>
              </w:rPr>
              <w:t>不允许</w:t>
            </w:r>
            <w:r>
              <w:rPr>
                <w:rFonts w:hint="default" w:ascii="宋体" w:hAnsi="宋体"/>
                <w:color w:val="000000" w:themeColor="text1"/>
                <w:szCs w:val="21"/>
                <w:highlight w:val="none"/>
                <w14:textFill>
                  <w14:solidFill>
                    <w14:schemeClr w14:val="tx1"/>
                  </w14:solidFill>
                </w14:textFill>
              </w:rPr>
              <w:t>分包</w:t>
            </w:r>
            <w:bookmarkEnd w:id="32"/>
            <w:r>
              <w:rPr>
                <w:rFonts w:hint="eastAsia" w:ascii="宋体" w:hAnsi="宋体"/>
                <w:color w:val="000000" w:themeColor="text1"/>
                <w:szCs w:val="21"/>
                <w:highlight w:val="none"/>
                <w14:textFill>
                  <w14:solidFill>
                    <w14:schemeClr w14:val="tx1"/>
                  </w14:solidFill>
                </w14:textFill>
              </w:rPr>
              <w:t>。</w:t>
            </w:r>
          </w:p>
        </w:tc>
      </w:tr>
      <w:tr w14:paraId="62D0D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3ADAF295">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12.1.1</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5649DAF6">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资格证明文件组成</w:t>
            </w:r>
          </w:p>
          <w:p w14:paraId="7EF727C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6010D425">
            <w:pPr>
              <w:pStyle w:val="18"/>
              <w:keepNext w:val="0"/>
              <w:keepLines w:val="0"/>
              <w:suppressLineNumbers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3ECB5AE0">
            <w:pPr>
              <w:keepNext w:val="0"/>
              <w:keepLines w:val="0"/>
              <w:suppressLineNumbers w:val="0"/>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2.供应商依法缴纳税收的相关材料：[2025年</w:t>
            </w:r>
            <w:r>
              <w:rPr>
                <w:rFonts w:hint="eastAsia" w:ascii="宋体" w:hAnsi="宋体" w:cs="宋体"/>
                <w:color w:val="000000" w:themeColor="text1"/>
                <w:szCs w:val="21"/>
                <w:highlight w:val="none"/>
                <w:lang w:val="en-US" w:eastAsia="zh-CN"/>
                <w14:textFill>
                  <w14:solidFill>
                    <w14:schemeClr w14:val="tx1"/>
                  </w14:solidFill>
                </w14:textFill>
              </w:rPr>
              <w:t>12</w:t>
            </w:r>
            <w:r>
              <w:rPr>
                <w:rFonts w:hint="eastAsia" w:ascii="宋体" w:hAnsi="宋体" w:cs="宋体"/>
                <w:color w:val="000000" w:themeColor="text1"/>
                <w:szCs w:val="21"/>
                <w:highlight w:val="none"/>
                <w14:textFill>
                  <w14:solidFill>
                    <w14:schemeClr w14:val="tx1"/>
                  </w14:solidFill>
                </w14:textFill>
              </w:rPr>
              <w:t>月至202</w:t>
            </w: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月]连续三个月的依法缴纳税收的凭据复印件；依</w:t>
            </w:r>
            <w:r>
              <w:rPr>
                <w:rFonts w:hint="eastAsia" w:ascii="宋体" w:hAnsi="宋体"/>
                <w:color w:val="000000" w:themeColor="text1"/>
                <w:szCs w:val="21"/>
                <w:highlight w:val="none"/>
                <w14:textFill>
                  <w14:solidFill>
                    <w14:schemeClr w14:val="tx1"/>
                  </w14:solidFill>
                </w14:textFill>
              </w:rPr>
              <w:t>法免税的供应商，必须提供相应文件证明其依法免税。</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从取得营业执照时间起到投标文件提交截止时间为止不足要求月数的，只需提供从取得营业执照起的依法缴纳税收</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必须提供，否则作无效竞标处理</w:t>
            </w:r>
            <w:r>
              <w:rPr>
                <w:rFonts w:hint="eastAsia" w:ascii="宋体" w:hAnsi="宋体"/>
                <w:color w:val="000000" w:themeColor="text1"/>
                <w:szCs w:val="21"/>
                <w:highlight w:val="none"/>
                <w14:textFill>
                  <w14:solidFill>
                    <w14:schemeClr w14:val="tx1"/>
                  </w14:solidFill>
                </w14:textFill>
              </w:rPr>
              <w:t>）</w:t>
            </w:r>
          </w:p>
          <w:p w14:paraId="1515402D">
            <w:pPr>
              <w:keepNext w:val="0"/>
              <w:keepLines w:val="0"/>
              <w:suppressLineNumbers w:val="0"/>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3.供应商依法缴纳社会保障资金的相关材料：[2025年</w:t>
            </w:r>
            <w:r>
              <w:rPr>
                <w:rFonts w:hint="eastAsia" w:ascii="宋体" w:hAnsi="宋体" w:cs="宋体"/>
                <w:color w:val="000000" w:themeColor="text1"/>
                <w:szCs w:val="21"/>
                <w:highlight w:val="none"/>
                <w:lang w:val="en-US" w:eastAsia="zh-CN"/>
                <w14:textFill>
                  <w14:solidFill>
                    <w14:schemeClr w14:val="tx1"/>
                  </w14:solidFill>
                </w14:textFill>
              </w:rPr>
              <w:t>12</w:t>
            </w:r>
            <w:r>
              <w:rPr>
                <w:rFonts w:hint="eastAsia" w:ascii="宋体" w:hAnsi="宋体" w:cs="宋体"/>
                <w:color w:val="000000" w:themeColor="text1"/>
                <w:szCs w:val="21"/>
                <w:highlight w:val="none"/>
                <w14:textFill>
                  <w14:solidFill>
                    <w14:schemeClr w14:val="tx1"/>
                  </w14:solidFill>
                </w14:textFill>
              </w:rPr>
              <w:t>月至202</w:t>
            </w: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月]连续三个月的依法缴纳社会保障资金的缴费凭证（专用收据或者社会保险缴纳清单）复印件；</w:t>
            </w:r>
            <w:r>
              <w:rPr>
                <w:rFonts w:hint="eastAsia" w:ascii="宋体" w:hAnsi="宋体"/>
                <w:color w:val="000000" w:themeColor="text1"/>
                <w:szCs w:val="21"/>
                <w:highlight w:val="none"/>
                <w14:textFill>
                  <w14:solidFill>
                    <w14:schemeClr w14:val="tx1"/>
                  </w14:solidFill>
                </w14:textFill>
              </w:rPr>
              <w:t>依法不需要缴纳社会保障资金的供应商，必须提供相应文件证明不需要缴纳社会保障资金。</w:t>
            </w:r>
            <w:r>
              <w:rPr>
                <w:rFonts w:hint="eastAsia" w:ascii="宋体" w:hAnsi="宋体" w:cs="宋体"/>
                <w:color w:val="000000" w:themeColor="text1"/>
                <w:szCs w:val="21"/>
                <w:highlight w:val="none"/>
                <w14:textFill>
                  <w14:solidFill>
                    <w14:schemeClr w14:val="tx1"/>
                  </w14:solidFill>
                </w14:textFill>
              </w:rPr>
              <w:t>从取得营业执照时间起到响应文件提交截止时间为止不足要求月数的只需提供从取得营业执照起的依法缴纳社会保障资金的</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必须提供，否则作无效竞标处理</w:t>
            </w:r>
            <w:r>
              <w:rPr>
                <w:rFonts w:hint="eastAsia" w:ascii="宋体" w:hAnsi="宋体"/>
                <w:color w:val="000000" w:themeColor="text1"/>
                <w:szCs w:val="21"/>
                <w:highlight w:val="none"/>
                <w14:textFill>
                  <w14:solidFill>
                    <w14:schemeClr w14:val="tx1"/>
                  </w14:solidFill>
                </w14:textFill>
              </w:rPr>
              <w:t>）</w:t>
            </w:r>
          </w:p>
          <w:p w14:paraId="5F6AB9F6">
            <w:pPr>
              <w:keepNext w:val="0"/>
              <w:keepLines w:val="0"/>
              <w:suppressLineNumbers w:val="0"/>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4.供应商财务状况报告：</w:t>
            </w:r>
            <w:r>
              <w:rPr>
                <w:rFonts w:hint="eastAsia" w:ascii="宋体" w:hAnsi="宋体"/>
                <w:color w:val="000000" w:themeColor="text1"/>
                <w:szCs w:val="21"/>
                <w:highlight w:val="none"/>
                <w14:textFill>
                  <w14:solidFill>
                    <w14:schemeClr w14:val="tx1"/>
                  </w14:solidFill>
                </w14:textFill>
              </w:rPr>
              <w:t>[2024</w:t>
            </w:r>
            <w:r>
              <w:rPr>
                <w:rFonts w:hint="eastAsia" w:ascii="宋体" w:hAnsi="宋体"/>
                <w:color w:val="000000" w:themeColor="text1"/>
                <w:szCs w:val="21"/>
                <w:highlight w:val="none"/>
                <w:lang w:val="en-US" w:eastAsia="zh-CN"/>
                <w14:textFill>
                  <w14:solidFill>
                    <w14:schemeClr w14:val="tx1"/>
                  </w14:solidFill>
                </w14:textFill>
              </w:rPr>
              <w:t>年度或者2025年度</w:t>
            </w:r>
            <w:r>
              <w:rPr>
                <w:rFonts w:hint="eastAsia" w:ascii="宋体" w:hAnsi="宋体"/>
                <w:color w:val="000000" w:themeColor="text1"/>
                <w:szCs w:val="21"/>
                <w:highlight w:val="none"/>
                <w14:textFill>
                  <w14:solidFill>
                    <w14:schemeClr w14:val="tx1"/>
                  </w14:solidFill>
                </w14:textFill>
              </w:rPr>
              <w:t>]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000000" w:themeColor="text1"/>
                <w:szCs w:val="21"/>
                <w:highlight w:val="none"/>
                <w14:textFill>
                  <w14:solidFill>
                    <w14:schemeClr w14:val="tx1"/>
                  </w14:solidFill>
                </w14:textFill>
              </w:rPr>
              <w:t>必须提供，否则作无效竞标处理</w:t>
            </w:r>
            <w:r>
              <w:rPr>
                <w:rFonts w:hint="eastAsia" w:ascii="宋体" w:hAnsi="宋体"/>
                <w:color w:val="000000" w:themeColor="text1"/>
                <w:szCs w:val="21"/>
                <w:highlight w:val="none"/>
                <w14:textFill>
                  <w14:solidFill>
                    <w14:schemeClr w14:val="tx1"/>
                  </w14:solidFill>
                </w14:textFill>
              </w:rPr>
              <w:t>）</w:t>
            </w:r>
          </w:p>
          <w:p w14:paraId="3B00A7CA">
            <w:pPr>
              <w:keepNext w:val="0"/>
              <w:keepLines w:val="0"/>
              <w:suppressLineNumbers w:val="0"/>
              <w:snapToGrid w:val="0"/>
              <w:spacing w:before="0" w:beforeAutospacing="0" w:after="0" w:afterAutospacing="0" w:line="360" w:lineRule="auto"/>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5.供应商直接控股、管理关系信息表；（</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13CD6D79">
            <w:pPr>
              <w:keepNext w:val="0"/>
              <w:keepLines w:val="0"/>
              <w:suppressLineNumbers w:val="0"/>
              <w:snapToGrid w:val="0"/>
              <w:spacing w:before="0" w:beforeAutospacing="0" w:after="0" w:afterAutospacing="0" w:line="360" w:lineRule="auto"/>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6.资格声明函；（</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79B3EB0D">
            <w:pPr>
              <w:keepNext w:val="0"/>
              <w:keepLines w:val="0"/>
              <w:suppressLineNumbers w:val="0"/>
              <w:snapToGrid w:val="0"/>
              <w:spacing w:before="0" w:beforeAutospacing="0" w:after="0" w:afterAutospacing="0" w:line="360" w:lineRule="auto"/>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7.联合体协议书；（</w:t>
            </w:r>
            <w:r>
              <w:rPr>
                <w:rFonts w:hint="eastAsia" w:ascii="宋体" w:hAnsi="宋体" w:cs="宋体"/>
                <w:b/>
                <w:color w:val="000000" w:themeColor="text1"/>
                <w:szCs w:val="21"/>
                <w:highlight w:val="none"/>
                <w14:textFill>
                  <w14:solidFill>
                    <w14:schemeClr w14:val="tx1"/>
                  </w14:solidFill>
                </w14:textFill>
              </w:rPr>
              <w:t>联合体竞标时必须提供，否则响应文件按无效响应处理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241D4070">
            <w:pPr>
              <w:keepNext w:val="0"/>
              <w:keepLines w:val="0"/>
              <w:suppressLineNumbers w:val="0"/>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r>
              <w:rPr>
                <w:rFonts w:hint="eastAsia" w:ascii="宋体" w:hAnsi="宋体"/>
                <w:color w:val="000000" w:themeColor="text1"/>
                <w:szCs w:val="21"/>
                <w:highlight w:val="none"/>
                <w:u w:val="none"/>
                <w14:textFill>
                  <w14:solidFill>
                    <w14:schemeClr w14:val="tx1"/>
                  </w14:solidFill>
                </w14:textFill>
              </w:rPr>
              <w:t>有效的</w:t>
            </w:r>
            <w:r>
              <w:rPr>
                <w:rFonts w:hint="default" w:ascii="宋体" w:hAnsi="宋体" w:eastAsia="宋体"/>
                <w:color w:val="000000" w:themeColor="text1"/>
                <w:szCs w:val="21"/>
                <w:highlight w:val="none"/>
                <w:u w:val="none"/>
                <w14:textFill>
                  <w14:solidFill>
                    <w14:schemeClr w14:val="tx1"/>
                  </w14:solidFill>
                </w14:textFill>
              </w:rPr>
              <w:t>建筑工程施工总承包三级以上（含三级）资质</w:t>
            </w:r>
            <w:r>
              <w:rPr>
                <w:rFonts w:hint="eastAsia" w:ascii="宋体" w:hAnsi="宋体"/>
                <w:color w:val="000000" w:themeColor="text1"/>
                <w:szCs w:val="21"/>
                <w:highlight w:val="none"/>
                <w:u w:val="none"/>
                <w14:textFill>
                  <w14:solidFill>
                    <w14:schemeClr w14:val="tx1"/>
                  </w14:solidFill>
                </w14:textFill>
              </w:rPr>
              <w:t>以上</w:t>
            </w:r>
            <w:r>
              <w:rPr>
                <w:rFonts w:hint="default" w:ascii="宋体" w:hAnsi="宋体"/>
                <w:color w:val="000000" w:themeColor="text1"/>
                <w:szCs w:val="21"/>
                <w:highlight w:val="none"/>
                <w:u w:val="none"/>
                <w14:textFill>
                  <w14:solidFill>
                    <w14:schemeClr w14:val="tx1"/>
                  </w14:solidFill>
                </w14:textFill>
              </w:rPr>
              <w:t>资质</w:t>
            </w:r>
            <w:r>
              <w:rPr>
                <w:rFonts w:hint="eastAsia" w:ascii="宋体" w:hAnsi="宋体"/>
                <w:color w:val="000000" w:themeColor="text1"/>
                <w:szCs w:val="21"/>
                <w:highlight w:val="none"/>
                <w:u w:val="none"/>
                <w14:textFill>
                  <w14:solidFill>
                    <w14:schemeClr w14:val="tx1"/>
                  </w14:solidFill>
                </w14:textFill>
              </w:rPr>
              <w:t>证书副本复印件</w:t>
            </w:r>
            <w:r>
              <w:rPr>
                <w:rFonts w:hint="eastAsia" w:ascii="宋体" w:hAnsi="宋体" w:eastAsia="宋体"/>
                <w:color w:val="000000" w:themeColor="text1"/>
                <w:szCs w:val="21"/>
                <w:highlight w:val="none"/>
                <w:u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必须提供，否则响应文件按无效响应处理</w:t>
            </w:r>
            <w:r>
              <w:rPr>
                <w:rFonts w:hint="eastAsia" w:ascii="宋体" w:hAnsi="宋体"/>
                <w:color w:val="000000" w:themeColor="text1"/>
                <w:szCs w:val="21"/>
                <w:highlight w:val="none"/>
                <w14:textFill>
                  <w14:solidFill>
                    <w14:schemeClr w14:val="tx1"/>
                  </w14:solidFill>
                </w14:textFill>
              </w:rPr>
              <w:t>）</w:t>
            </w:r>
          </w:p>
          <w:p w14:paraId="52641700">
            <w:pPr>
              <w:keepNext w:val="0"/>
              <w:keepLines w:val="0"/>
              <w:suppressLineNumbers w:val="0"/>
              <w:snapToGrid w:val="0"/>
              <w:spacing w:before="0" w:beforeAutospacing="0" w:after="0" w:afterAutospacing="0" w:line="360" w:lineRule="auto"/>
              <w:ind w:left="0" w:right="0"/>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r>
              <w:rPr>
                <w:rFonts w:hint="default" w:ascii="宋体" w:hAnsi="宋体"/>
                <w:color w:val="000000" w:themeColor="text1"/>
                <w:szCs w:val="21"/>
                <w:highlight w:val="none"/>
                <w14:textFill>
                  <w14:solidFill>
                    <w14:schemeClr w14:val="tx1"/>
                  </w14:solidFill>
                </w14:textFill>
              </w:rPr>
              <w:t>拟派项目经理：具有</w:t>
            </w:r>
            <w:r>
              <w:rPr>
                <w:rFonts w:hint="eastAsia" w:ascii="宋体" w:hAnsi="宋体"/>
                <w:color w:val="000000" w:themeColor="text1"/>
                <w:szCs w:val="21"/>
                <w:highlight w:val="none"/>
                <w:lang w:eastAsia="zh-CN"/>
                <w14:textFill>
                  <w14:solidFill>
                    <w14:schemeClr w14:val="tx1"/>
                  </w14:solidFill>
                </w14:textFill>
              </w:rPr>
              <w:t>建筑工程专业</w:t>
            </w:r>
            <w:r>
              <w:rPr>
                <w:rFonts w:hint="default" w:ascii="宋体" w:hAnsi="宋体"/>
                <w:color w:val="000000" w:themeColor="text1"/>
                <w:szCs w:val="21"/>
                <w:highlight w:val="none"/>
                <w14:textFill>
                  <w14:solidFill>
                    <w14:schemeClr w14:val="tx1"/>
                  </w14:solidFill>
                </w14:textFill>
              </w:rPr>
              <w:t>注册建造师贰级以上（含贰级）注册建造师执业资格，且具备有效的安全生产考核合格证书（B类）</w:t>
            </w:r>
            <w:r>
              <w:rPr>
                <w:rFonts w:hint="eastAsia"/>
                <w:color w:val="000000" w:themeColor="text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必须提供，否则响应文件按无效响应处理</w:t>
            </w:r>
            <w:r>
              <w:rPr>
                <w:rFonts w:hint="eastAsia" w:ascii="宋体" w:hAnsi="宋体"/>
                <w:color w:val="000000" w:themeColor="text1"/>
                <w:szCs w:val="21"/>
                <w:highlight w:val="none"/>
                <w14:textFill>
                  <w14:solidFill>
                    <w14:schemeClr w14:val="tx1"/>
                  </w14:solidFill>
                </w14:textFill>
              </w:rPr>
              <w:t>）</w:t>
            </w:r>
          </w:p>
          <w:p w14:paraId="10D4DACF">
            <w:pPr>
              <w:pStyle w:val="2"/>
              <w:keepNext w:val="0"/>
              <w:keepLines w:val="0"/>
              <w:suppressLineNumbers w:val="0"/>
              <w:spacing w:beforeAutospacing="0" w:afterAutospacing="0" w:line="360" w:lineRule="auto"/>
              <w:ind w:left="0" w:leftChars="0" w:firstLine="0" w:firstLineChars="0"/>
              <w:rPr>
                <w:rFonts w:hint="default" w:eastAsia="宋体"/>
                <w:color w:val="000000" w:themeColor="text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10.专职安全生产管理人员：</w:t>
            </w:r>
            <w:r>
              <w:rPr>
                <w:rFonts w:hint="eastAsia" w:ascii="宋体" w:hAnsi="宋体" w:eastAsia="宋体" w:cs="Times New Roman"/>
                <w:color w:val="000000" w:themeColor="text1"/>
                <w:szCs w:val="21"/>
                <w:highlight w:val="none"/>
                <w14:textFill>
                  <w14:solidFill>
                    <w14:schemeClr w14:val="tx1"/>
                  </w14:solidFill>
                </w14:textFill>
              </w:rPr>
              <w:t>具备有效的安</w:t>
            </w:r>
            <w:r>
              <w:rPr>
                <w:rFonts w:hint="eastAsia" w:ascii="宋体" w:hAnsi="宋体" w:eastAsia="宋体" w:cs="Times New Roman"/>
                <w:color w:val="000000" w:themeColor="text1"/>
                <w:szCs w:val="21"/>
                <w:highlight w:val="none"/>
                <w:lang w:val="en-US" w:eastAsia="zh-CN"/>
                <w14:textFill>
                  <w14:solidFill>
                    <w14:schemeClr w14:val="tx1"/>
                  </w14:solidFill>
                </w14:textFill>
              </w:rPr>
              <w:t>全生产考核合格证书（C类）。</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必须提供，否则响应文件按无效响应处理</w:t>
            </w:r>
            <w:r>
              <w:rPr>
                <w:rFonts w:hint="eastAsia" w:ascii="宋体" w:hAnsi="宋体"/>
                <w:color w:val="000000" w:themeColor="text1"/>
                <w:szCs w:val="21"/>
                <w:highlight w:val="none"/>
                <w14:textFill>
                  <w14:solidFill>
                    <w14:schemeClr w14:val="tx1"/>
                  </w14:solidFill>
                </w14:textFill>
              </w:rPr>
              <w:t>）</w:t>
            </w:r>
          </w:p>
          <w:p w14:paraId="4444656A">
            <w:pPr>
              <w:keepNext w:val="0"/>
              <w:keepLines w:val="0"/>
              <w:suppressLineNumbers w:val="0"/>
              <w:snapToGrid w:val="0"/>
              <w:spacing w:before="0" w:beforeAutospacing="0" w:after="0" w:afterAutospacing="0" w:line="360" w:lineRule="auto"/>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.中小企业声明函（供应商必须为小型或微型企业）或残疾人福利性单位声明函或</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cs="宋体"/>
                <w:color w:val="000000" w:themeColor="text1"/>
                <w:szCs w:val="21"/>
                <w:highlight w:val="none"/>
                <w14:textFill>
                  <w14:solidFill>
                    <w14:schemeClr w14:val="tx1"/>
                  </w14:solidFill>
                </w14:textFill>
              </w:rPr>
              <w:t>属于监狱企业的证明材料；</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必须提供，否则响应文件按无效响应处理</w:t>
            </w:r>
            <w:r>
              <w:rPr>
                <w:rFonts w:hint="eastAsia" w:ascii="宋体" w:hAnsi="宋体"/>
                <w:color w:val="000000" w:themeColor="text1"/>
                <w:szCs w:val="21"/>
                <w:highlight w:val="none"/>
                <w14:textFill>
                  <w14:solidFill>
                    <w14:schemeClr w14:val="tx1"/>
                  </w14:solidFill>
                </w14:textFill>
              </w:rPr>
              <w:t>）</w:t>
            </w:r>
          </w:p>
          <w:p w14:paraId="1E8A0CE6">
            <w:pPr>
              <w:keepNext w:val="0"/>
              <w:keepLines w:val="0"/>
              <w:suppressLineNumbers w:val="0"/>
              <w:snapToGrid w:val="0"/>
              <w:spacing w:before="0" w:beforeAutospacing="0" w:after="0" w:afterAutospacing="0" w:line="360" w:lineRule="auto"/>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.除磋商文件规定必须提供以外，供应商认为需要提供的其他证明材料；</w:t>
            </w:r>
          </w:p>
          <w:p w14:paraId="0BFF08F6">
            <w:pPr>
              <w:keepNext w:val="0"/>
              <w:keepLines w:val="0"/>
              <w:suppressLineNumbers w:val="0"/>
              <w:snapToGrid w:val="0"/>
              <w:spacing w:before="0" w:beforeAutospacing="0" w:after="0" w:afterAutospacing="0" w:line="360" w:lineRule="auto"/>
              <w:ind w:left="0" w:right="0"/>
              <w:jc w:val="left"/>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w:t>
            </w:r>
          </w:p>
          <w:p w14:paraId="72283029">
            <w:pPr>
              <w:keepNext w:val="0"/>
              <w:keepLines w:val="0"/>
              <w:suppressLineNumbers w:val="0"/>
              <w:snapToGrid w:val="0"/>
              <w:spacing w:before="0" w:beforeAutospacing="0" w:after="0" w:afterAutospacing="0" w:line="360" w:lineRule="auto"/>
              <w:ind w:left="0" w:right="0" w:firstLine="413" w:firstLineChars="196"/>
              <w:jc w:val="left"/>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1.以上标明“必须提供”的材料属于复印件的扫描件的，必须加盖供应商电子公章，否则响应文件按无效响应处理。</w:t>
            </w:r>
          </w:p>
        </w:tc>
      </w:tr>
      <w:tr w14:paraId="1A69E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tcBorders>
              <w:top w:val="single" w:color="000000" w:sz="4" w:space="0"/>
              <w:left w:val="single" w:color="000000" w:sz="4" w:space="0"/>
              <w:bottom w:val="single" w:color="000000" w:sz="4" w:space="0"/>
              <w:right w:val="single" w:color="000000" w:sz="4" w:space="0"/>
            </w:tcBorders>
            <w:noWrap/>
            <w:vAlign w:val="center"/>
          </w:tcPr>
          <w:p w14:paraId="0077D3A3">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12.1.2</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12B414D4">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商务文件组成</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5F73A225">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1.无串通竞标行为的承诺函；（</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7148DD25">
            <w:pPr>
              <w:keepNext w:val="0"/>
              <w:keepLines w:val="0"/>
              <w:suppressLineNumbers w:val="0"/>
              <w:snapToGrid w:val="0"/>
              <w:spacing w:before="0" w:beforeAutospacing="0" w:after="0" w:afterAutospacing="0" w:line="360" w:lineRule="auto"/>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2.法定代表人身份证明书及法定代表人有效身份证正反面复印件；（</w:t>
            </w:r>
            <w:r>
              <w:rPr>
                <w:rFonts w:hint="eastAsia" w:ascii="宋体" w:hAnsi="宋体" w:cs="宋体"/>
                <w:b/>
                <w:bCs/>
                <w:color w:val="000000" w:themeColor="text1"/>
                <w:szCs w:val="21"/>
                <w:highlight w:val="none"/>
                <w14:textFill>
                  <w14:solidFill>
                    <w14:schemeClr w14:val="tx1"/>
                  </w14:solidFill>
                </w14:textFill>
              </w:rPr>
              <w:t>除自然人竞标外</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29361F8D">
            <w:pPr>
              <w:keepNext w:val="0"/>
              <w:keepLines w:val="0"/>
              <w:suppressLineNumbers w:val="0"/>
              <w:spacing w:before="0" w:beforeAutospacing="0" w:after="0" w:afterAutospacing="0" w:line="360" w:lineRule="auto"/>
              <w:ind w:left="0" w:right="0"/>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3.法定代表人授权委托书及委托代理人有效身份证正反面复印件；（</w:t>
            </w:r>
            <w:r>
              <w:rPr>
                <w:rFonts w:hint="eastAsia" w:ascii="宋体" w:hAnsi="宋体" w:cs="宋体"/>
                <w:b/>
                <w:color w:val="000000" w:themeColor="text1"/>
                <w:szCs w:val="21"/>
                <w:highlight w:val="none"/>
                <w14:textFill>
                  <w14:solidFill>
                    <w14:schemeClr w14:val="tx1"/>
                  </w14:solidFill>
                </w14:textFill>
              </w:rPr>
              <w:t>委托时必须提供，否则响应文件按无效响应处理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1E1581AB">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4.商务条款偏离表；（</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22FEA816">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lang w:eastAsia="zh-CN"/>
                <w14:textFill>
                  <w14:solidFill>
                    <w14:schemeClr w14:val="tx1"/>
                  </w14:solidFill>
                </w14:textFill>
              </w:rPr>
              <w:t>供应商</w:t>
            </w:r>
            <w:r>
              <w:rPr>
                <w:rFonts w:hint="eastAsia" w:ascii="宋体" w:hAnsi="宋体" w:cs="宋体"/>
                <w:color w:val="000000" w:themeColor="text1"/>
                <w:szCs w:val="21"/>
                <w:highlight w:val="none"/>
                <w14:textFill>
                  <w14:solidFill>
                    <w14:schemeClr w14:val="tx1"/>
                  </w14:solidFill>
                </w14:textFill>
              </w:rPr>
              <w:t>情况介绍；</w:t>
            </w:r>
          </w:p>
          <w:p w14:paraId="655A5AE5">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6.供应商认为需要提供的其他有关资料。</w:t>
            </w:r>
          </w:p>
          <w:p w14:paraId="0C132F61">
            <w:pPr>
              <w:keepNext w:val="0"/>
              <w:keepLines w:val="0"/>
              <w:suppressLineNumbers w:val="0"/>
              <w:snapToGrid w:val="0"/>
              <w:spacing w:before="0" w:beforeAutospacing="0" w:after="0" w:afterAutospacing="0" w:line="360" w:lineRule="auto"/>
              <w:ind w:left="0" w:right="0"/>
              <w:jc w:val="left"/>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注： </w:t>
            </w:r>
          </w:p>
          <w:p w14:paraId="4017CAEB">
            <w:pPr>
              <w:keepNext w:val="0"/>
              <w:keepLines w:val="0"/>
              <w:suppressLineNumbers w:val="0"/>
              <w:snapToGrid w:val="0"/>
              <w:spacing w:before="0" w:beforeAutospacing="0" w:after="0" w:afterAutospacing="0" w:line="360" w:lineRule="auto"/>
              <w:ind w:left="0" w:right="0" w:firstLine="413" w:firstLineChars="196"/>
              <w:jc w:val="left"/>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1.法定代表人授权委托书必须由法定代表人及委托代理人签字，并加盖供应商公章，否则响应文件按无效响应处理。</w:t>
            </w:r>
          </w:p>
          <w:p w14:paraId="5047B6F8">
            <w:pPr>
              <w:keepNext w:val="0"/>
              <w:keepLines w:val="0"/>
              <w:suppressLineNumbers w:val="0"/>
              <w:spacing w:before="0" w:beforeAutospacing="0" w:after="0" w:afterAutospacing="0" w:line="360" w:lineRule="auto"/>
              <w:ind w:left="0" w:right="0" w:firstLine="413" w:firstLineChars="196"/>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2.以上标明“必须提供”的材料属于复印件的扫描件的，必须加盖供应商电子公章，否则响应文件按无效响应处理。</w:t>
            </w:r>
          </w:p>
        </w:tc>
      </w:tr>
      <w:tr w14:paraId="2DD53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noWrap/>
            <w:vAlign w:val="center"/>
          </w:tcPr>
          <w:p w14:paraId="7AADC8E1">
            <w:pPr>
              <w:keepNext w:val="0"/>
              <w:keepLines w:val="0"/>
              <w:widowControl/>
              <w:suppressLineNumbers w:val="0"/>
              <w:spacing w:before="0" w:beforeAutospacing="0" w:after="0" w:afterAutospacing="0" w:line="360" w:lineRule="auto"/>
              <w:ind w:left="0" w:right="0"/>
              <w:jc w:val="left"/>
              <w:rPr>
                <w:rFonts w:hint="default" w:ascii="宋体" w:hAnsi="宋体" w:cs="宋体"/>
                <w:color w:val="000000" w:themeColor="text1"/>
                <w:szCs w:val="21"/>
                <w:highlight w:val="none"/>
                <w14:textFill>
                  <w14:solidFill>
                    <w14:schemeClr w14:val="tx1"/>
                  </w14:solidFill>
                </w14:textFill>
              </w:rPr>
            </w:pP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5AA4496B">
            <w:pPr>
              <w:keepNext w:val="0"/>
              <w:keepLines w:val="0"/>
              <w:suppressLineNumbers w:val="0"/>
              <w:spacing w:before="0" w:beforeAutospacing="0" w:after="0" w:afterAutospacing="0" w:line="360" w:lineRule="auto"/>
              <w:ind w:left="0" w:right="0"/>
              <w:jc w:val="center"/>
              <w:rPr>
                <w:rFonts w:hint="default"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技术文件组成</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51710305">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1.企业概况表；（</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15C5A5C5">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近三年来施工企业承建的项目竣工工程情况表；（如有请提供）</w:t>
            </w:r>
          </w:p>
          <w:p w14:paraId="1C3F25B7">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项目经理（或建造师）简历表；（</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0D203E7C">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主要施工管理人员表；（</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6FB7C69E">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default"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施工组织设计；（</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7C0B6640">
            <w:pPr>
              <w:keepNext w:val="0"/>
              <w:keepLines w:val="0"/>
              <w:suppressLineNumbers w:val="0"/>
              <w:spacing w:before="0" w:beforeAutospacing="0" w:after="0" w:afterAutospacing="0" w:line="360" w:lineRule="auto"/>
              <w:ind w:left="0" w:right="0"/>
              <w:rPr>
                <w:rFonts w:hint="default"/>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hint="eastAsia" w:hAnsi="Courier New"/>
                <w:color w:val="000000" w:themeColor="text1"/>
                <w:highlight w:val="none"/>
                <w14:textFill>
                  <w14:solidFill>
                    <w14:schemeClr w14:val="tx1"/>
                  </w14:solidFill>
                </w14:textFill>
              </w:rPr>
              <w:t>按本竞争性磋商文件规定提交的其它资料。</w:t>
            </w:r>
          </w:p>
          <w:p w14:paraId="5C8145B6">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注：1.以上标明“必须提供”的材料属于复印件的扫描件的，必须加盖供应商电子公章，否则响应文件按无效响应处理。</w:t>
            </w:r>
          </w:p>
        </w:tc>
      </w:tr>
      <w:tr w14:paraId="04C8C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729F6D17">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12.1.2</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69DF24B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报价文件组成</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62C14ED7">
            <w:pPr>
              <w:keepNext w:val="0"/>
              <w:keepLines w:val="0"/>
              <w:suppressLineNumbers w:val="0"/>
              <w:tabs>
                <w:tab w:val="left" w:pos="459"/>
              </w:tabs>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1.响应函；</w:t>
            </w:r>
            <w:r>
              <w:rPr>
                <w:rFonts w:hint="eastAsia" w:ascii="宋体" w:hAnsi="宋体"/>
                <w:b/>
                <w:color w:val="000000" w:themeColor="text1"/>
                <w:szCs w:val="21"/>
                <w:highlight w:val="none"/>
                <w14:textFill>
                  <w14:solidFill>
                    <w14:schemeClr w14:val="tx1"/>
                  </w14:solidFill>
                </w14:textFill>
              </w:rPr>
              <w:t>（必须提供，否则作无效响应处理）</w:t>
            </w:r>
          </w:p>
          <w:p w14:paraId="135A2CC5">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2.响应报价表；（</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657A5EA8">
            <w:pPr>
              <w:keepNext w:val="0"/>
              <w:keepLines w:val="0"/>
              <w:suppressLineNumbers w:val="0"/>
              <w:spacing w:before="0" w:beforeAutospacing="0" w:after="0" w:afterAutospacing="0" w:line="360" w:lineRule="auto"/>
              <w:ind w:left="0" w:right="0"/>
              <w:rPr>
                <w:rFonts w:hint="default"/>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3.已标价</w:t>
            </w:r>
            <w:r>
              <w:rPr>
                <w:rFonts w:hint="eastAsia" w:ascii="宋体" w:hAnsi="宋体"/>
                <w:color w:val="000000" w:themeColor="text1"/>
                <w:highlight w:val="none"/>
                <w14:textFill>
                  <w14:solidFill>
                    <w14:schemeClr w14:val="tx1"/>
                  </w14:solidFill>
                </w14:textFill>
              </w:rPr>
              <w:t>工程量清单报价有关资料；</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color w:val="000000" w:themeColor="text1"/>
                <w:szCs w:val="21"/>
                <w:highlight w:val="none"/>
                <w14:textFill>
                  <w14:solidFill>
                    <w14:schemeClr w14:val="tx1"/>
                  </w14:solidFill>
                </w14:textFill>
              </w:rPr>
              <w:t>必须提供，否则响应文件按无效响应处理</w:t>
            </w:r>
            <w:r>
              <w:rPr>
                <w:rFonts w:hint="eastAsia" w:ascii="宋体" w:hAnsi="宋体" w:cs="宋体"/>
                <w:color w:val="000000" w:themeColor="text1"/>
                <w:szCs w:val="21"/>
                <w:highlight w:val="none"/>
                <w14:textFill>
                  <w14:solidFill>
                    <w14:schemeClr w14:val="tx1"/>
                  </w14:solidFill>
                </w14:textFill>
              </w:rPr>
              <w:t>）</w:t>
            </w:r>
          </w:p>
        </w:tc>
      </w:tr>
      <w:tr w14:paraId="42A01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314278DB">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12.2</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42007400">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响应文件电子版要求</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719D4FE2">
            <w:pPr>
              <w:keepNext w:val="0"/>
              <w:keepLines w:val="0"/>
              <w:suppressLineNumbers w:val="0"/>
              <w:snapToGrid w:val="0"/>
              <w:spacing w:before="0" w:beforeAutospacing="0" w:after="0" w:afterAutospacing="0" w:line="360" w:lineRule="auto"/>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1.响应文件电子版要求：按照本采购文件“</w:t>
            </w:r>
            <w:r>
              <w:rPr>
                <w:rFonts w:hint="eastAsia" w:ascii="宋体" w:hAnsi="宋体"/>
                <w:color w:val="000000" w:themeColor="text1"/>
                <w:szCs w:val="21"/>
                <w:highlight w:val="none"/>
                <w14:textFill>
                  <w14:solidFill>
                    <w14:schemeClr w14:val="tx1"/>
                  </w14:solidFill>
                </w14:textFill>
              </w:rPr>
              <w:t>第五章 响应文件格式</w:t>
            </w:r>
            <w:r>
              <w:rPr>
                <w:rFonts w:hint="eastAsia" w:ascii="宋体" w:hAnsi="宋体" w:cs="宋体"/>
                <w:color w:val="000000" w:themeColor="text1"/>
                <w:szCs w:val="21"/>
                <w:highlight w:val="none"/>
                <w14:textFill>
                  <w14:solidFill>
                    <w14:schemeClr w14:val="tx1"/>
                  </w14:solidFill>
                </w14:textFill>
              </w:rPr>
              <w:t>”编写（第五章未附格式的，由供应商自行拟定），不可涂改并在规定加盖公章处加盖电子公章，</w:t>
            </w:r>
            <w:r>
              <w:rPr>
                <w:rFonts w:hint="eastAsia" w:ascii="宋体" w:hAnsi="宋体" w:cs="宋体"/>
                <w:b/>
                <w:color w:val="000000" w:themeColor="text1"/>
                <w:szCs w:val="21"/>
                <w:highlight w:val="none"/>
                <w14:textFill>
                  <w14:solidFill>
                    <w14:schemeClr w14:val="tx1"/>
                  </w14:solidFill>
                </w14:textFill>
              </w:rPr>
              <w:t>否则响应文件按无效响应处理</w:t>
            </w:r>
            <w:r>
              <w:rPr>
                <w:rFonts w:hint="eastAsia" w:ascii="宋体" w:hAnsi="宋体" w:cs="宋体"/>
                <w:color w:val="000000" w:themeColor="text1"/>
                <w:szCs w:val="21"/>
                <w:highlight w:val="none"/>
                <w14:textFill>
                  <w14:solidFill>
                    <w14:schemeClr w14:val="tx1"/>
                  </w14:solidFill>
                </w14:textFill>
              </w:rPr>
              <w:t>。</w:t>
            </w:r>
          </w:p>
          <w:p w14:paraId="2615E021">
            <w:pPr>
              <w:keepNext w:val="0"/>
              <w:keepLines w:val="0"/>
              <w:suppressLineNumbers w:val="0"/>
              <w:snapToGrid w:val="0"/>
              <w:spacing w:before="0" w:beforeAutospacing="0" w:after="0" w:afterAutospacing="0" w:line="360" w:lineRule="auto"/>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Courier New"/>
                <w:color w:val="000000" w:themeColor="text1"/>
                <w:szCs w:val="21"/>
                <w:highlight w:val="none"/>
                <w14:textFill>
                  <w14:solidFill>
                    <w14:schemeClr w14:val="tx1"/>
                  </w14:solidFill>
                </w14:textFill>
              </w:rPr>
              <w:t>.响应文件电子版密封方式：电子响应文件通过平台有效CA加密后在广西政府采购云平台投送。（操作方式见公告附件“</w:t>
            </w:r>
            <w:r>
              <w:rPr>
                <w:rFonts w:hint="eastAsia" w:ascii="宋体" w:hAnsi="宋体"/>
                <w:color w:val="000000" w:themeColor="text1"/>
                <w:szCs w:val="21"/>
                <w:highlight w:val="none"/>
                <w14:textFill>
                  <w14:solidFill>
                    <w14:schemeClr w14:val="tx1"/>
                  </w14:solidFill>
                </w14:textFill>
              </w:rPr>
              <w:t>电子响应文件制作与投送教程</w:t>
            </w:r>
            <w:r>
              <w:rPr>
                <w:rFonts w:hint="eastAsia" w:ascii="宋体" w:hAnsi="宋体" w:cs="Courier New"/>
                <w:color w:val="000000" w:themeColor="text1"/>
                <w:szCs w:val="21"/>
                <w:highlight w:val="none"/>
                <w14:textFill>
                  <w14:solidFill>
                    <w14:schemeClr w14:val="tx1"/>
                  </w14:solidFill>
                </w14:textFill>
              </w:rPr>
              <w:t>” ）</w:t>
            </w:r>
          </w:p>
        </w:tc>
      </w:tr>
      <w:tr w14:paraId="53B99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4799602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15.2</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157A926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响应报价要求</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33161B45">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竞标报价是履行合同的最终价格，</w:t>
            </w:r>
            <w:r>
              <w:rPr>
                <w:rFonts w:hint="eastAsia" w:ascii="宋体" w:hAnsi="宋体"/>
                <w:color w:val="000000" w:themeColor="text1"/>
                <w:szCs w:val="21"/>
                <w:highlight w:val="none"/>
                <w14:textFill>
                  <w14:solidFill>
                    <w14:schemeClr w14:val="tx1"/>
                  </w14:solidFill>
                </w14:textFill>
              </w:rPr>
              <w:t>包括完成该工程项目的人工费、材料费（包含工程设备），施工机具使用费，企业管理费、利润、规费、税金、开办费、技术措施费、大型机械进出场费、风险费、政策性文件规定费用等所有费用。</w:t>
            </w:r>
          </w:p>
        </w:tc>
      </w:tr>
      <w:tr w14:paraId="57F3C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67D4721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16.2</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478E8EF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竞标有效期</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7E0211D4">
            <w:pPr>
              <w:pStyle w:val="15"/>
              <w:keepNext w:val="0"/>
              <w:keepLines w:val="0"/>
              <w:widowControl w:val="0"/>
              <w:suppressLineNumbers w:val="0"/>
              <w:tabs>
                <w:tab w:val="clear" w:pos="454"/>
              </w:tabs>
              <w:snapToGrid w:val="0"/>
              <w:spacing w:before="0" w:beforeAutospacing="0" w:after="120" w:afterAutospacing="0" w:line="360" w:lineRule="auto"/>
              <w:ind w:left="0" w:right="0" w:firstLine="0"/>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kern w:val="2"/>
                <w:sz w:val="21"/>
                <w:szCs w:val="21"/>
                <w:highlight w:val="none"/>
                <w14:textFill>
                  <w14:solidFill>
                    <w14:schemeClr w14:val="tx1"/>
                  </w14:solidFill>
                </w14:textFill>
              </w:rPr>
              <w:t>自首次响应文件提交截止之日起</w:t>
            </w:r>
            <w:r>
              <w:rPr>
                <w:rFonts w:hint="eastAsia" w:ascii="宋体" w:hAnsi="宋体" w:cs="宋体"/>
                <w:color w:val="000000" w:themeColor="text1"/>
                <w:kern w:val="2"/>
                <w:sz w:val="21"/>
                <w:szCs w:val="21"/>
                <w:highlight w:val="none"/>
                <w:u w:val="single"/>
                <w14:textFill>
                  <w14:solidFill>
                    <w14:schemeClr w14:val="tx1"/>
                  </w14:solidFill>
                </w14:textFill>
              </w:rPr>
              <w:t>90</w:t>
            </w:r>
            <w:r>
              <w:rPr>
                <w:rFonts w:hint="eastAsia" w:ascii="宋体" w:hAnsi="宋体" w:cs="宋体"/>
                <w:color w:val="000000" w:themeColor="text1"/>
                <w:kern w:val="2"/>
                <w:sz w:val="21"/>
                <w:szCs w:val="21"/>
                <w:highlight w:val="none"/>
                <w14:textFill>
                  <w14:solidFill>
                    <w14:schemeClr w14:val="tx1"/>
                  </w14:solidFill>
                </w14:textFill>
              </w:rPr>
              <w:t>日。</w:t>
            </w:r>
          </w:p>
        </w:tc>
      </w:tr>
      <w:tr w14:paraId="50FCB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487428F8">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17.1</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6345FD9B">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磋商保证金</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70396DE1">
            <w:pPr>
              <w:keepNext w:val="0"/>
              <w:keepLines w:val="0"/>
              <w:suppressLineNumbers w:val="0"/>
              <w:autoSpaceDE w:val="0"/>
              <w:autoSpaceDN w:val="0"/>
              <w:snapToGrid w:val="0"/>
              <w:spacing w:before="0" w:beforeAutospacing="0" w:after="0" w:afterAutospacing="0" w:line="360" w:lineRule="auto"/>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本项目不收取磋商保证金。</w:t>
            </w:r>
          </w:p>
        </w:tc>
      </w:tr>
      <w:tr w14:paraId="167D7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noWrap/>
            <w:vAlign w:val="center"/>
          </w:tcPr>
          <w:p w14:paraId="4ADD455A">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20.1</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59FE746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7B10BE22">
            <w:pPr>
              <w:keepNext w:val="0"/>
              <w:keepLines w:val="0"/>
              <w:suppressLineNumbers w:val="0"/>
              <w:snapToGrid w:val="0"/>
              <w:spacing w:before="0" w:beforeAutospacing="0" w:after="0" w:afterAutospacing="0" w:line="360" w:lineRule="auto"/>
              <w:ind w:left="0" w:right="0"/>
              <w:jc w:val="left"/>
              <w:rPr>
                <w:rFonts w:hint="default"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详见竞争性磋商公告。</w:t>
            </w:r>
          </w:p>
        </w:tc>
      </w:tr>
      <w:tr w14:paraId="76C2F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noWrap/>
            <w:vAlign w:val="center"/>
          </w:tcPr>
          <w:p w14:paraId="3BCB8236">
            <w:pPr>
              <w:keepNext w:val="0"/>
              <w:keepLines w:val="0"/>
              <w:widowControl/>
              <w:suppressLineNumbers w:val="0"/>
              <w:spacing w:before="0" w:beforeAutospacing="0" w:after="0" w:afterAutospacing="0" w:line="360" w:lineRule="auto"/>
              <w:ind w:left="0" w:right="0"/>
              <w:jc w:val="left"/>
              <w:rPr>
                <w:rFonts w:hint="default" w:ascii="宋体" w:hAnsi="宋体" w:cs="宋体"/>
                <w:color w:val="000000" w:themeColor="text1"/>
                <w:szCs w:val="21"/>
                <w:highlight w:val="none"/>
                <w14:textFill>
                  <w14:solidFill>
                    <w14:schemeClr w14:val="tx1"/>
                  </w14:solidFill>
                </w14:textFill>
              </w:rPr>
            </w:pP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7A076FC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首次响应文件提交地点</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7BFA31C4">
            <w:pPr>
              <w:keepNext w:val="0"/>
              <w:keepLines w:val="0"/>
              <w:suppressLineNumbers w:val="0"/>
              <w:snapToGrid w:val="0"/>
              <w:spacing w:before="0" w:beforeAutospacing="0" w:after="0" w:afterAutospacing="0" w:line="360" w:lineRule="auto"/>
              <w:ind w:left="0" w:right="0"/>
              <w:jc w:val="left"/>
              <w:rPr>
                <w:rFonts w:hint="default"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详见竞争性磋商公告。</w:t>
            </w:r>
          </w:p>
        </w:tc>
      </w:tr>
      <w:tr w14:paraId="2997D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0F69BAD0">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20.6</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4E97AF8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备份响应文件</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4DF241D9">
            <w:pPr>
              <w:keepNext w:val="0"/>
              <w:keepLines w:val="0"/>
              <w:suppressLineNumbers w:val="0"/>
              <w:snapToGrid w:val="0"/>
              <w:spacing w:before="0" w:beforeAutospacing="0" w:after="0" w:afterAutospacing="0" w:line="360" w:lineRule="auto"/>
              <w:ind w:left="0" w:right="0"/>
              <w:jc w:val="left"/>
              <w:rPr>
                <w:rFonts w:hint="default"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本项目不接受备份响应文件。</w:t>
            </w:r>
          </w:p>
        </w:tc>
      </w:tr>
      <w:tr w14:paraId="7105D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2675E477">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1760DC6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首次响应文件的退回</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2B7FBDB4">
            <w:pPr>
              <w:keepNext w:val="0"/>
              <w:keepLines w:val="0"/>
              <w:suppressLineNumbers w:val="0"/>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详见竞争性磋商公告。</w:t>
            </w:r>
          </w:p>
        </w:tc>
      </w:tr>
      <w:tr w14:paraId="12D2F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noWrap/>
            <w:vAlign w:val="center"/>
          </w:tcPr>
          <w:p w14:paraId="3438F584">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26.2</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1666097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负偏离要求</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664DCD3D">
            <w:pPr>
              <w:keepNext w:val="0"/>
              <w:keepLines w:val="0"/>
              <w:suppressLineNumbers w:val="0"/>
              <w:snapToGrid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商务条款评审中允许负偏离的条款数为</w:t>
            </w:r>
            <w:r>
              <w:rPr>
                <w:rFonts w:hint="eastAsia" w:ascii="宋体" w:hAnsi="宋体" w:cs="宋体"/>
                <w:color w:val="000000" w:themeColor="text1"/>
                <w:szCs w:val="21"/>
                <w:highlight w:val="none"/>
                <w:lang w:val="en-US" w:eastAsia="zh-CN"/>
                <w14:textFill>
                  <w14:solidFill>
                    <w14:schemeClr w14:val="tx1"/>
                  </w14:solidFill>
                </w14:textFill>
              </w:rPr>
              <w:t>0</w:t>
            </w:r>
            <w:r>
              <w:rPr>
                <w:rFonts w:hint="eastAsia" w:ascii="宋体" w:hAnsi="宋体" w:cs="宋体"/>
                <w:color w:val="000000" w:themeColor="text1"/>
                <w:szCs w:val="21"/>
                <w:highlight w:val="none"/>
                <w14:textFill>
                  <w14:solidFill>
                    <w14:schemeClr w14:val="tx1"/>
                  </w14:solidFill>
                </w14:textFill>
              </w:rPr>
              <w:t>项。</w:t>
            </w:r>
          </w:p>
          <w:p w14:paraId="4A3BB62C">
            <w:pPr>
              <w:keepNext w:val="0"/>
              <w:keepLines w:val="0"/>
              <w:suppressLineNumbers w:val="0"/>
              <w:snapToGrid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服务需求评审中允许负偏离的条款数为</w:t>
            </w:r>
            <w:r>
              <w:rPr>
                <w:rFonts w:hint="eastAsia" w:ascii="宋体" w:hAnsi="宋体" w:cs="宋体"/>
                <w:color w:val="000000" w:themeColor="text1"/>
                <w:szCs w:val="21"/>
                <w:highlight w:val="none"/>
                <w:lang w:val="en-US" w:eastAsia="zh-CN"/>
                <w14:textFill>
                  <w14:solidFill>
                    <w14:schemeClr w14:val="tx1"/>
                  </w14:solidFill>
                </w14:textFill>
              </w:rPr>
              <w:t>0</w:t>
            </w:r>
            <w:r>
              <w:rPr>
                <w:rFonts w:hint="eastAsia" w:ascii="宋体" w:hAnsi="宋体" w:cs="宋体"/>
                <w:color w:val="000000" w:themeColor="text1"/>
                <w:szCs w:val="21"/>
                <w:highlight w:val="none"/>
                <w14:textFill>
                  <w14:solidFill>
                    <w14:schemeClr w14:val="tx1"/>
                  </w14:solidFill>
                </w14:textFill>
              </w:rPr>
              <w:t>项。</w:t>
            </w:r>
          </w:p>
        </w:tc>
      </w:tr>
      <w:tr w14:paraId="52086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noWrap/>
            <w:vAlign w:val="center"/>
          </w:tcPr>
          <w:p w14:paraId="036EF091">
            <w:pPr>
              <w:keepNext w:val="0"/>
              <w:keepLines w:val="0"/>
              <w:widowControl/>
              <w:suppressLineNumbers w:val="0"/>
              <w:spacing w:before="0" w:beforeAutospacing="0" w:after="0" w:afterAutospacing="0" w:line="360" w:lineRule="auto"/>
              <w:ind w:left="0" w:right="0"/>
              <w:jc w:val="left"/>
              <w:rPr>
                <w:rFonts w:hint="default" w:ascii="宋体" w:hAnsi="宋体" w:cs="宋体"/>
                <w:color w:val="000000" w:themeColor="text1"/>
                <w:szCs w:val="21"/>
                <w:highlight w:val="none"/>
                <w14:textFill>
                  <w14:solidFill>
                    <w14:schemeClr w14:val="tx1"/>
                  </w14:solidFill>
                </w14:textFill>
              </w:rPr>
            </w:pP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1CB1216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磋商的顺序</w:t>
            </w:r>
          </w:p>
          <w:p w14:paraId="24A4381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6B47F62A">
            <w:pPr>
              <w:pStyle w:val="18"/>
              <w:keepNext w:val="0"/>
              <w:keepLines w:val="0"/>
              <w:suppressLineNumbers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√按照</w:t>
            </w:r>
            <w:r>
              <w:rPr>
                <w:rFonts w:hint="eastAsia" w:ascii="宋体" w:hAnsi="宋体" w:cs="宋体"/>
                <w:color w:val="000000" w:themeColor="text1"/>
                <w:szCs w:val="21"/>
                <w:highlight w:val="none"/>
                <w14:textFill>
                  <w14:solidFill>
                    <w14:schemeClr w14:val="tx1"/>
                  </w14:solidFill>
                </w14:textFill>
              </w:rPr>
              <w:t>提交首次响应文件的顺序，通知磋商时，若某供应商不在通知现场时，该供应商排序到最后磋商，按照签到的顺序由其下一位供应商先参与磋商。</w:t>
            </w:r>
          </w:p>
          <w:p w14:paraId="04C85E10">
            <w:pPr>
              <w:keepNext w:val="0"/>
              <w:keepLines w:val="0"/>
              <w:suppressLineNumbers w:val="0"/>
              <w:snapToGrid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□随机排序。</w:t>
            </w:r>
          </w:p>
          <w:p w14:paraId="56979F0A">
            <w:pPr>
              <w:pStyle w:val="18"/>
              <w:keepNext w:val="0"/>
              <w:keepLines w:val="0"/>
              <w:suppressLineNumbers w:val="0"/>
              <w:spacing w:before="0" w:beforeAutospacing="0" w:after="0" w:afterAutospacing="0" w:line="360" w:lineRule="auto"/>
              <w:ind w:left="0" w:right="0"/>
              <w:rPr>
                <w:rFonts w:hint="default"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44CDA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2A780F7C">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28</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1767979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087E6B58">
            <w:pPr>
              <w:keepNext w:val="0"/>
              <w:keepLines w:val="0"/>
              <w:suppressLineNumbers w:val="0"/>
              <w:snapToGrid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本项目不收取履约保证金 </w:t>
            </w:r>
          </w:p>
        </w:tc>
      </w:tr>
      <w:tr w14:paraId="70FE7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1B05417B">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29.5</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515DABAE">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签订合同携带的材料</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2A33E85C">
            <w:pPr>
              <w:keepNext w:val="0"/>
              <w:keepLines w:val="0"/>
              <w:suppressLineNumbers w:val="0"/>
              <w:snapToGrid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使用的有效CA证书加盖单位电子公章</w:t>
            </w:r>
          </w:p>
        </w:tc>
      </w:tr>
      <w:tr w14:paraId="2E079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tcBorders>
              <w:top w:val="single" w:color="000000" w:sz="4" w:space="0"/>
              <w:left w:val="single" w:color="000000" w:sz="4" w:space="0"/>
              <w:bottom w:val="single" w:color="000000" w:sz="4" w:space="0"/>
              <w:right w:val="single" w:color="000000" w:sz="4" w:space="0"/>
            </w:tcBorders>
            <w:noWrap/>
            <w:vAlign w:val="center"/>
          </w:tcPr>
          <w:p w14:paraId="78CB34A5">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31.2</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5FEFB72C">
            <w:pPr>
              <w:keepNext w:val="0"/>
              <w:keepLines w:val="0"/>
              <w:suppressLineNumbers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接收质疑函方式</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783FFECE">
            <w:pPr>
              <w:keepNext w:val="0"/>
              <w:keepLines w:val="0"/>
              <w:suppressLineNumbers w:val="0"/>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以书面形式</w:t>
            </w:r>
          </w:p>
        </w:tc>
      </w:tr>
      <w:tr w14:paraId="1F409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noWrap/>
            <w:vAlign w:val="center"/>
          </w:tcPr>
          <w:p w14:paraId="53906129">
            <w:pPr>
              <w:keepNext w:val="0"/>
              <w:keepLines w:val="0"/>
              <w:widowControl/>
              <w:suppressLineNumbers w:val="0"/>
              <w:spacing w:before="0" w:beforeAutospacing="0" w:after="0" w:afterAutospacing="0" w:line="360" w:lineRule="auto"/>
              <w:ind w:left="0" w:right="0"/>
              <w:jc w:val="left"/>
              <w:rPr>
                <w:rFonts w:hint="default" w:ascii="宋体" w:hAnsi="宋体" w:cs="宋体"/>
                <w:color w:val="000000" w:themeColor="text1"/>
                <w:szCs w:val="21"/>
                <w:highlight w:val="none"/>
                <w14:textFill>
                  <w14:solidFill>
                    <w14:schemeClr w14:val="tx1"/>
                  </w14:solidFill>
                </w14:textFill>
              </w:rPr>
            </w:pP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69AA97C8">
            <w:pPr>
              <w:keepNext w:val="0"/>
              <w:keepLines w:val="0"/>
              <w:suppressLineNumbers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4078D904">
            <w:pPr>
              <w:keepNext w:val="0"/>
              <w:keepLines w:val="0"/>
              <w:suppressLineNumbers w:val="0"/>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（1）云之龙咨询</w:t>
            </w:r>
            <w:r>
              <w:rPr>
                <w:rFonts w:hint="default" w:ascii="宋体" w:hAnsi="宋体"/>
                <w:color w:val="000000" w:themeColor="text1"/>
                <w:szCs w:val="21"/>
                <w:highlight w:val="none"/>
                <w14:textFill>
                  <w14:solidFill>
                    <w14:schemeClr w14:val="tx1"/>
                  </w14:solidFill>
                </w14:textFill>
              </w:rPr>
              <w:t>集团有限公司</w:t>
            </w:r>
            <w:r>
              <w:rPr>
                <w:rFonts w:hint="eastAsia" w:ascii="宋体" w:hAnsi="宋体"/>
                <w:color w:val="000000" w:themeColor="text1"/>
                <w:szCs w:val="21"/>
                <w:highlight w:val="none"/>
                <w14:textFill>
                  <w14:solidFill>
                    <w14:schemeClr w14:val="tx1"/>
                  </w14:solidFill>
                </w14:textFill>
              </w:rPr>
              <w:t>；</w:t>
            </w:r>
          </w:p>
          <w:p w14:paraId="15232D7C">
            <w:pPr>
              <w:keepNext w:val="0"/>
              <w:keepLines w:val="0"/>
              <w:suppressLineNumbers w:val="0"/>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联系电话：0771-2618118、2618199</w:t>
            </w:r>
          </w:p>
          <w:p w14:paraId="577D6218">
            <w:pPr>
              <w:keepNext w:val="0"/>
              <w:keepLines w:val="0"/>
              <w:suppressLineNumbers w:val="0"/>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通讯地址：南宁市良庆区云英路15号3号楼云之龙咨询集团大厦6楼</w:t>
            </w:r>
          </w:p>
          <w:p w14:paraId="140F7E80">
            <w:pPr>
              <w:keepNext w:val="0"/>
              <w:keepLines w:val="0"/>
              <w:suppressLineNumbers w:val="0"/>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（2）横州市横州镇中心学校（横州市横州镇龙池小学）</w:t>
            </w:r>
          </w:p>
          <w:p w14:paraId="6259D052">
            <w:pPr>
              <w:keepNext w:val="0"/>
              <w:keepLines w:val="0"/>
              <w:suppressLineNumbers w:val="0"/>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联系电话：0771-7221920</w:t>
            </w:r>
          </w:p>
          <w:p w14:paraId="6C805D9C">
            <w:pPr>
              <w:keepNext w:val="0"/>
              <w:keepLines w:val="0"/>
              <w:suppressLineNumbers w:val="0"/>
              <w:snapToGrid w:val="0"/>
              <w:spacing w:before="0" w:beforeAutospacing="0" w:after="0" w:afterAutospacing="0" w:line="360" w:lineRule="auto"/>
              <w:ind w:left="0" w:right="0"/>
              <w:rPr>
                <w:rStyle w:val="65"/>
                <w:rFonts w:hint="default"/>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 广西壮族自治区横州市江北路292号</w:t>
            </w:r>
          </w:p>
        </w:tc>
      </w:tr>
      <w:tr w14:paraId="5F173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noWrap/>
            <w:vAlign w:val="center"/>
          </w:tcPr>
          <w:p w14:paraId="0E05F045">
            <w:pPr>
              <w:keepNext w:val="0"/>
              <w:keepLines w:val="0"/>
              <w:widowControl/>
              <w:suppressLineNumbers w:val="0"/>
              <w:spacing w:before="0" w:beforeAutospacing="0" w:after="0" w:afterAutospacing="0" w:line="360" w:lineRule="auto"/>
              <w:ind w:left="0" w:right="0"/>
              <w:jc w:val="left"/>
              <w:rPr>
                <w:rFonts w:hint="default" w:ascii="宋体" w:hAnsi="宋体" w:cs="宋体"/>
                <w:color w:val="000000" w:themeColor="text1"/>
                <w:szCs w:val="21"/>
                <w:highlight w:val="none"/>
                <w14:textFill>
                  <w14:solidFill>
                    <w14:schemeClr w14:val="tx1"/>
                  </w14:solidFill>
                </w14:textFill>
              </w:rPr>
            </w:pP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5ABFF6CB">
            <w:pPr>
              <w:keepNext w:val="0"/>
              <w:keepLines w:val="0"/>
              <w:suppressLineNumbers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5E611D6E">
            <w:pPr>
              <w:keepNext w:val="0"/>
              <w:keepLines w:val="0"/>
              <w:suppressLineNumbers w:val="0"/>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质疑期内每个工作日8时00分到12时00分，15时00分到18时00分</w:t>
            </w:r>
          </w:p>
        </w:tc>
      </w:tr>
      <w:tr w14:paraId="60710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3793F85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31.6</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7656CFDD">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受理投诉方式</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5561D3CA">
            <w:pPr>
              <w:keepNext w:val="0"/>
              <w:keepLines w:val="0"/>
              <w:suppressLineNumbers w:val="0"/>
              <w:snapToGrid w:val="0"/>
              <w:spacing w:before="0" w:beforeAutospacing="0" w:after="0" w:afterAutospacing="0" w:line="360" w:lineRule="auto"/>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1、受理方式：纸质方式受理，投诉书正、副本（经过质疑的事项才可投诉）。</w:t>
            </w:r>
          </w:p>
          <w:p w14:paraId="2819E1E3">
            <w:pPr>
              <w:keepNext w:val="0"/>
              <w:keepLines w:val="0"/>
              <w:suppressLineNumbers w:val="0"/>
              <w:snapToGrid w:val="0"/>
              <w:spacing w:before="0" w:beforeAutospacing="0" w:after="0" w:afterAutospacing="0" w:line="360" w:lineRule="auto"/>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2、邮寄地址：</w:t>
            </w:r>
          </w:p>
          <w:p w14:paraId="67B4727A">
            <w:pPr>
              <w:keepNext w:val="0"/>
              <w:keepLines w:val="0"/>
              <w:suppressLineNumbers w:val="0"/>
              <w:snapToGrid w:val="0"/>
              <w:spacing w:before="0" w:beforeAutospacing="0" w:after="0" w:afterAutospacing="0" w:line="360" w:lineRule="auto"/>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名称：横州市财政局政府采购监督管理办公室</w:t>
            </w:r>
          </w:p>
          <w:p w14:paraId="570FF703">
            <w:pPr>
              <w:keepNext w:val="0"/>
              <w:keepLines w:val="0"/>
              <w:suppressLineNumbers w:val="0"/>
              <w:snapToGrid w:val="0"/>
              <w:spacing w:before="0" w:beforeAutospacing="0" w:after="0" w:afterAutospacing="0" w:line="360" w:lineRule="auto"/>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地址：横县横州镇柳明路22号</w:t>
            </w:r>
          </w:p>
          <w:p w14:paraId="6E6E3FA9">
            <w:pPr>
              <w:keepNext w:val="0"/>
              <w:keepLines w:val="0"/>
              <w:suppressLineNumbers w:val="0"/>
              <w:snapToGrid w:val="0"/>
              <w:spacing w:before="0" w:beforeAutospacing="0" w:after="0" w:afterAutospacing="0" w:line="360" w:lineRule="auto"/>
              <w:ind w:left="0" w:right="0"/>
              <w:rPr>
                <w:rFonts w:hint="default" w:hAnsi="宋体" w:cs="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联系电话：0771-7233567</w:t>
            </w:r>
          </w:p>
        </w:tc>
      </w:tr>
      <w:tr w14:paraId="2E791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2B8125C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33</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3BE8C6A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采购代理费</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6577405A">
            <w:pPr>
              <w:pStyle w:val="28"/>
              <w:keepNext w:val="0"/>
              <w:keepLines w:val="0"/>
              <w:suppressLineNumbers w:val="0"/>
              <w:snapToGrid w:val="0"/>
              <w:spacing w:before="0" w:beforeAutospacing="0" w:after="0" w:afterAutospacing="0" w:line="360" w:lineRule="auto"/>
              <w:ind w:left="0" w:right="0"/>
              <w:rPr>
                <w:rFonts w:hint="default"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1. 是否收取采购代理费：</w:t>
            </w:r>
          </w:p>
          <w:p w14:paraId="3A8A06AC">
            <w:pPr>
              <w:pStyle w:val="28"/>
              <w:keepNext w:val="0"/>
              <w:keepLines w:val="0"/>
              <w:suppressLineNumbers w:val="0"/>
              <w:snapToGrid w:val="0"/>
              <w:spacing w:before="0" w:beforeAutospacing="0" w:after="0" w:afterAutospacing="0" w:line="360" w:lineRule="auto"/>
              <w:ind w:left="0" w:right="0"/>
              <w:rPr>
                <w:rFonts w:hint="default" w:hAnsi="宋体" w:cs="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w:t>
            </w:r>
            <w:r>
              <w:rPr>
                <w:rFonts w:hint="eastAsia" w:hAnsi="宋体" w:cs="宋体"/>
                <w:color w:val="000000" w:themeColor="text1"/>
                <w:sz w:val="21"/>
                <w:highlight w:val="none"/>
                <w14:textFill>
                  <w14:solidFill>
                    <w14:schemeClr w14:val="tx1"/>
                  </w14:solidFill>
                </w14:textFill>
              </w:rPr>
              <w:t>是    □ 否</w:t>
            </w:r>
          </w:p>
          <w:p w14:paraId="6B06BE2D">
            <w:pPr>
              <w:pStyle w:val="28"/>
              <w:keepNext w:val="0"/>
              <w:keepLines w:val="0"/>
              <w:suppressLineNumbers w:val="0"/>
              <w:snapToGrid w:val="0"/>
              <w:spacing w:before="0" w:beforeAutospacing="0" w:after="0" w:afterAutospacing="0" w:line="360" w:lineRule="auto"/>
              <w:ind w:left="0" w:right="0"/>
              <w:rPr>
                <w:rFonts w:hint="default"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2.采购代理费支付方式：</w:t>
            </w:r>
          </w:p>
          <w:p w14:paraId="0BF97C4C">
            <w:pPr>
              <w:pStyle w:val="28"/>
              <w:keepNext w:val="0"/>
              <w:keepLines w:val="0"/>
              <w:suppressLineNumbers w:val="0"/>
              <w:snapToGrid w:val="0"/>
              <w:spacing w:before="0" w:beforeAutospacing="0" w:after="0" w:afterAutospacing="0" w:line="360" w:lineRule="auto"/>
              <w:ind w:left="0" w:right="0"/>
              <w:rPr>
                <w:rFonts w:hint="default" w:hAnsi="宋体" w:cs="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w:t>
            </w:r>
            <w:r>
              <w:rPr>
                <w:rFonts w:hint="eastAsia" w:hAnsi="宋体" w:cs="宋体"/>
                <w:color w:val="000000" w:themeColor="text1"/>
                <w:sz w:val="21"/>
                <w:highlight w:val="none"/>
                <w14:textFill>
                  <w14:solidFill>
                    <w14:schemeClr w14:val="tx1"/>
                  </w14:solidFill>
                </w14:textFill>
              </w:rPr>
              <w:t>本项目代理服务费由</w:t>
            </w:r>
            <w:r>
              <w:rPr>
                <w:rFonts w:hint="eastAsia" w:hAnsi="宋体" w:cs="宋体"/>
                <w:color w:val="000000" w:themeColor="text1"/>
                <w:sz w:val="21"/>
                <w:highlight w:val="none"/>
                <w:u w:val="single"/>
                <w14:textFill>
                  <w14:solidFill>
                    <w14:schemeClr w14:val="tx1"/>
                  </w14:solidFill>
                </w14:textFill>
              </w:rPr>
              <w:t>成交供应商</w:t>
            </w:r>
            <w:r>
              <w:rPr>
                <w:rFonts w:hint="eastAsia" w:hAnsi="宋体" w:cs="宋体"/>
                <w:color w:val="000000" w:themeColor="text1"/>
                <w:sz w:val="21"/>
                <w:highlight w:val="none"/>
                <w14:textFill>
                  <w14:solidFill>
                    <w14:schemeClr w14:val="tx1"/>
                  </w14:solidFill>
                </w14:textFill>
              </w:rPr>
              <w:t>领取成交通知书前，一次性向采购代理机构支付。</w:t>
            </w:r>
          </w:p>
          <w:p w14:paraId="3CE30703">
            <w:pPr>
              <w:pStyle w:val="28"/>
              <w:keepNext w:val="0"/>
              <w:keepLines w:val="0"/>
              <w:suppressLineNumbers w:val="0"/>
              <w:snapToGrid w:val="0"/>
              <w:spacing w:before="0" w:beforeAutospacing="0" w:after="0" w:afterAutospacing="0" w:line="360" w:lineRule="auto"/>
              <w:ind w:left="0" w:right="0"/>
              <w:rPr>
                <w:rFonts w:hint="default"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□采购人支付。</w:t>
            </w:r>
          </w:p>
          <w:p w14:paraId="0206572C">
            <w:pPr>
              <w:pStyle w:val="28"/>
              <w:keepNext w:val="0"/>
              <w:keepLines w:val="0"/>
              <w:suppressLineNumbers w:val="0"/>
              <w:snapToGrid w:val="0"/>
              <w:spacing w:before="0" w:beforeAutospacing="0" w:after="0" w:afterAutospacing="0" w:line="360" w:lineRule="auto"/>
              <w:ind w:left="0" w:right="0"/>
              <w:rPr>
                <w:rFonts w:hint="default"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3.采购代理费收取标准：</w:t>
            </w:r>
          </w:p>
          <w:p w14:paraId="5A9A7BBB">
            <w:pPr>
              <w:keepNext w:val="0"/>
              <w:keepLines w:val="0"/>
              <w:suppressLineNumbers w:val="0"/>
              <w:snapToGrid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default" w:ascii="宋体" w:hAnsi="宋体"/>
                <w:color w:val="000000" w:themeColor="text1"/>
                <w:kern w:val="0"/>
                <w:szCs w:val="21"/>
                <w:highlight w:val="none"/>
                <w14:textFill>
                  <w14:solidFill>
                    <w14:schemeClr w14:val="tx1"/>
                  </w14:solidFill>
                </w14:textFill>
              </w:rPr>
              <w:sym w:font="Wingdings 2" w:char="F052"/>
            </w:r>
            <w:r>
              <w:rPr>
                <w:rFonts w:hint="eastAsia" w:ascii="宋体" w:hAnsi="宋体" w:cs="宋体"/>
                <w:color w:val="000000" w:themeColor="text1"/>
                <w:kern w:val="0"/>
                <w:szCs w:val="21"/>
                <w:highlight w:val="none"/>
                <w14:textFill>
                  <w14:solidFill>
                    <w14:schemeClr w14:val="tx1"/>
                  </w14:solidFill>
                </w14:textFill>
              </w:rPr>
              <w:t>以</w:t>
            </w:r>
            <w:r>
              <w:rPr>
                <w:rFonts w:hint="eastAsia" w:ascii="宋体" w:hAnsi="宋体" w:cs="宋体"/>
                <w:color w:val="000000" w:themeColor="text1"/>
                <w:kern w:val="0"/>
                <w:szCs w:val="21"/>
                <w:highlight w:val="none"/>
                <w:lang w:val="en-US" w:eastAsia="zh-CN"/>
                <w14:textFill>
                  <w14:solidFill>
                    <w14:schemeClr w14:val="tx1"/>
                  </w14:solidFill>
                </w14:textFill>
              </w:rPr>
              <w:t>项目</w:t>
            </w:r>
            <w:r>
              <w:rPr>
                <w:rFonts w:hint="eastAsia" w:ascii="宋体" w:hAnsi="宋体" w:cs="宋体"/>
                <w:color w:val="000000" w:themeColor="text1"/>
                <w:kern w:val="0"/>
                <w:szCs w:val="21"/>
                <w:highlight w:val="none"/>
                <w14:textFill>
                  <w14:solidFill>
                    <w14:schemeClr w14:val="tx1"/>
                  </w14:solidFill>
                </w14:textFill>
              </w:rPr>
              <w:t>（</w:t>
            </w:r>
            <w:r>
              <w:rPr>
                <w:rFonts w:hint="default" w:ascii="宋体" w:hAnsi="宋体"/>
                <w:color w:val="000000" w:themeColor="text1"/>
                <w:kern w:val="0"/>
                <w:szCs w:val="21"/>
                <w:highlight w:val="none"/>
                <w14:textFill>
                  <w14:solidFill>
                    <w14:schemeClr w14:val="tx1"/>
                  </w14:solidFill>
                </w14:textFill>
              </w:rPr>
              <w:sym w:font="Wingdings 2" w:char="F052"/>
            </w:r>
            <w:r>
              <w:rPr>
                <w:rFonts w:hint="eastAsia" w:ascii="宋体" w:hAnsi="宋体" w:cs="宋体"/>
                <w:color w:val="000000" w:themeColor="text1"/>
                <w:kern w:val="0"/>
                <w:szCs w:val="21"/>
                <w:highlight w:val="none"/>
                <w14:textFill>
                  <w14:solidFill>
                    <w14:schemeClr w14:val="tx1"/>
                  </w14:solidFill>
                </w14:textFill>
              </w:rPr>
              <w:t>中标金额/□采购预算/□暂定中标金额/□其他）为计费额，按</w:t>
            </w:r>
            <w:r>
              <w:rPr>
                <w:rFonts w:hint="eastAsia" w:ascii="宋体" w:hAnsi="宋体" w:cs="宋体"/>
                <w:b/>
                <w:color w:val="000000" w:themeColor="text1"/>
                <w:kern w:val="0"/>
                <w:szCs w:val="21"/>
                <w:highlight w:val="none"/>
                <w:u w:val="single"/>
                <w14:textFill>
                  <w14:solidFill>
                    <w14:schemeClr w14:val="tx1"/>
                  </w14:solidFill>
                </w14:textFill>
              </w:rPr>
              <w:t>工程类</w:t>
            </w:r>
            <w:r>
              <w:rPr>
                <w:rFonts w:hint="eastAsia" w:ascii="宋体" w:hAnsi="宋体" w:cs="宋体"/>
                <w:color w:val="000000" w:themeColor="text1"/>
                <w:kern w:val="0"/>
                <w:szCs w:val="21"/>
                <w:highlight w:val="none"/>
                <w14:textFill>
                  <w14:solidFill>
                    <w14:schemeClr w14:val="tx1"/>
                  </w14:solidFill>
                </w14:textFill>
              </w:rPr>
              <w:t>采用差额定率累进法计算出收费基准价格，采购代理收费以（</w:t>
            </w:r>
            <w:r>
              <w:rPr>
                <w:rFonts w:hint="default" w:ascii="宋体" w:hAnsi="宋体"/>
                <w:color w:val="000000" w:themeColor="text1"/>
                <w:kern w:val="0"/>
                <w:szCs w:val="21"/>
                <w:highlight w:val="none"/>
                <w14:textFill>
                  <w14:solidFill>
                    <w14:schemeClr w14:val="tx1"/>
                  </w14:solidFill>
                </w14:textFill>
              </w:rPr>
              <w:sym w:font="Wingdings 2" w:char="00A3"/>
            </w:r>
            <w:r>
              <w:rPr>
                <w:rFonts w:hint="eastAsia" w:ascii="宋体" w:hAnsi="宋体" w:cs="宋体"/>
                <w:color w:val="000000" w:themeColor="text1"/>
                <w:kern w:val="0"/>
                <w:szCs w:val="21"/>
                <w:highlight w:val="none"/>
                <w14:textFill>
                  <w14:solidFill>
                    <w14:schemeClr w14:val="tx1"/>
                  </w14:solidFill>
                </w14:textFill>
              </w:rPr>
              <w:t>收费基准价格/</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收费基准价格下浮</w:t>
            </w:r>
            <w:r>
              <w:rPr>
                <w:rFonts w:hint="eastAsia" w:ascii="宋体" w:hAnsi="宋体" w:cs="宋体"/>
                <w:color w:val="000000" w:themeColor="text1"/>
                <w:kern w:val="0"/>
                <w:szCs w:val="21"/>
                <w:highlight w:val="none"/>
                <w:lang w:val="en-US" w:eastAsia="zh-CN"/>
                <w14:textFill>
                  <w14:solidFill>
                    <w14:schemeClr w14:val="tx1"/>
                  </w14:solidFill>
                </w14:textFill>
              </w:rPr>
              <w:t>20%</w:t>
            </w:r>
            <w:r>
              <w:rPr>
                <w:rFonts w:hint="eastAsia" w:ascii="宋体" w:hAnsi="宋体" w:cs="宋体"/>
                <w:color w:val="000000" w:themeColor="text1"/>
                <w:kern w:val="0"/>
                <w:szCs w:val="21"/>
                <w:highlight w:val="none"/>
                <w14:textFill>
                  <w14:solidFill>
                    <w14:schemeClr w14:val="tx1"/>
                  </w14:solidFill>
                </w14:textFill>
              </w:rPr>
              <w:t>/□收费基准价格上浮</w:t>
            </w:r>
            <w:r>
              <w:rPr>
                <w:rFonts w:hint="eastAsia" w:ascii="宋体" w:hAnsi="宋体" w:cs="宋体"/>
                <w:color w:val="000000" w:themeColor="text1"/>
                <w:kern w:val="0"/>
                <w:szCs w:val="21"/>
                <w:highlight w:val="none"/>
                <w:u w:val="singl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）收取。</w:t>
            </w:r>
          </w:p>
          <w:p w14:paraId="6273B982">
            <w:pPr>
              <w:pStyle w:val="28"/>
              <w:keepNext w:val="0"/>
              <w:keepLines w:val="0"/>
              <w:suppressLineNumbers w:val="0"/>
              <w:snapToGrid w:val="0"/>
              <w:spacing w:before="0" w:beforeAutospacing="0" w:after="0" w:afterAutospacing="0" w:line="360" w:lineRule="auto"/>
              <w:ind w:left="0" w:right="0"/>
              <w:rPr>
                <w:rFonts w:hint="default"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4. 采购代理费收取银行账户</w:t>
            </w:r>
          </w:p>
          <w:p w14:paraId="0F15768C">
            <w:pPr>
              <w:pStyle w:val="28"/>
              <w:keepNext w:val="0"/>
              <w:keepLines w:val="0"/>
              <w:suppressLineNumbers w:val="0"/>
              <w:snapToGrid w:val="0"/>
              <w:spacing w:before="0" w:beforeAutospacing="0" w:after="0" w:afterAutospacing="0" w:line="360" w:lineRule="auto"/>
              <w:ind w:left="0" w:right="0"/>
              <w:rPr>
                <w:rFonts w:hint="default"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开户名称：云之龙咨询集团有限公司，银行账号：8113001013400293071，开户银行：中信银行南宁园湖支行，开户行行号：302611029137</w:t>
            </w:r>
          </w:p>
        </w:tc>
      </w:tr>
      <w:tr w14:paraId="37C86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08372C99">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34.1</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6F5028E0">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解释</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2D984302">
            <w:pPr>
              <w:pStyle w:val="28"/>
              <w:keepNext w:val="0"/>
              <w:keepLines w:val="0"/>
              <w:suppressLineNumbers w:val="0"/>
              <w:snapToGrid w:val="0"/>
              <w:spacing w:before="0" w:beforeAutospacing="0" w:after="0" w:afterAutospacing="0" w:line="360" w:lineRule="auto"/>
              <w:ind w:left="0" w:right="0"/>
              <w:rPr>
                <w:rFonts w:hint="default" w:hAnsi="宋体" w:cs="宋体"/>
                <w:b/>
                <w:color w:val="000000" w:themeColor="text1"/>
                <w:sz w:val="21"/>
                <w:highlight w:val="none"/>
                <w14:textFill>
                  <w14:solidFill>
                    <w14:schemeClr w14:val="tx1"/>
                  </w14:solidFill>
                </w14:textFill>
              </w:rPr>
            </w:pPr>
            <w:r>
              <w:rPr>
                <w:rFonts w:hint="eastAsia" w:hAnsi="宋体" w:cs="宋体"/>
                <w:b/>
                <w:color w:val="000000" w:themeColor="text1"/>
                <w:sz w:val="21"/>
                <w:highlight w:val="none"/>
                <w14:textFill>
                  <w14:solidFill>
                    <w14:schemeClr w14:val="tx1"/>
                  </w14:solidFill>
                </w14:textFill>
              </w:rPr>
              <w:t>解释权：</w:t>
            </w:r>
            <w:r>
              <w:rPr>
                <w:rFonts w:hint="eastAsia" w:hAnsi="宋体" w:cs="宋体"/>
                <w:color w:val="000000" w:themeColor="text1"/>
                <w:sz w:val="21"/>
                <w:highlight w:val="none"/>
                <w14:textFill>
                  <w14:solidFill>
                    <w14:schemeClr w14:val="tx1"/>
                  </w14:solidFill>
                </w14:textFill>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000000" w:themeColor="text1"/>
                <w:sz w:val="21"/>
                <w:highlight w:val="none"/>
                <w14:textFill>
                  <w14:solidFill>
                    <w14:schemeClr w14:val="tx1"/>
                  </w14:solidFill>
                </w14:textFill>
              </w:rPr>
              <w:t>由采购人或者采购代理机构负责解释。</w:t>
            </w:r>
          </w:p>
          <w:p w14:paraId="6540DC11">
            <w:pPr>
              <w:pStyle w:val="28"/>
              <w:keepNext w:val="0"/>
              <w:keepLines w:val="0"/>
              <w:suppressLineNumbers w:val="0"/>
              <w:snapToGrid w:val="0"/>
              <w:spacing w:before="0" w:beforeAutospacing="0" w:after="0" w:afterAutospacing="0" w:line="360" w:lineRule="auto"/>
              <w:ind w:left="0" w:right="0"/>
              <w:rPr>
                <w:rFonts w:hint="default" w:hAnsi="宋体" w:cs="宋体"/>
                <w:b/>
                <w:color w:val="000000" w:themeColor="text1"/>
                <w:sz w:val="21"/>
                <w:highlight w:val="none"/>
                <w14:textFill>
                  <w14:solidFill>
                    <w14:schemeClr w14:val="tx1"/>
                  </w14:solidFill>
                </w14:textFill>
              </w:rPr>
            </w:pPr>
            <w:r>
              <w:rPr>
                <w:rFonts w:hint="eastAsia" w:hAnsi="宋体" w:cs="宋体"/>
                <w:b/>
                <w:color w:val="000000" w:themeColor="text1"/>
                <w:sz w:val="21"/>
                <w:highlight w:val="none"/>
                <w14:textFill>
                  <w14:solidFill>
                    <w14:schemeClr w14:val="tx1"/>
                  </w14:solidFill>
                </w14:textFill>
              </w:rPr>
              <w:t>法律责任：</w:t>
            </w:r>
          </w:p>
          <w:p w14:paraId="5BBF4199">
            <w:pPr>
              <w:pStyle w:val="28"/>
              <w:keepNext w:val="0"/>
              <w:keepLines w:val="0"/>
              <w:suppressLineNumbers w:val="0"/>
              <w:snapToGrid w:val="0"/>
              <w:spacing w:before="0" w:beforeAutospacing="0" w:after="0" w:afterAutospacing="0" w:line="360" w:lineRule="auto"/>
              <w:ind w:left="0" w:right="0"/>
              <w:rPr>
                <w:rFonts w:hint="default" w:hAnsi="宋体" w:cs="宋体"/>
                <w:color w:val="000000" w:themeColor="text1"/>
                <w:sz w:val="21"/>
                <w:highlight w:val="none"/>
                <w14:textFill>
                  <w14:solidFill>
                    <w14:schemeClr w14:val="tx1"/>
                  </w14:solidFill>
                </w14:textFill>
              </w:rPr>
            </w:pPr>
            <w:r>
              <w:rPr>
                <w:rFonts w:hint="eastAsia" w:hAnsi="宋体" w:cs="宋体"/>
                <w:b/>
                <w:color w:val="000000" w:themeColor="text1"/>
                <w:sz w:val="21"/>
                <w:highlight w:val="none"/>
                <w14:textFill>
                  <w14:solidFill>
                    <w14:schemeClr w14:val="tx1"/>
                  </w14:solidFill>
                </w14:textFill>
              </w:rPr>
              <w:t>1.</w:t>
            </w:r>
            <w:r>
              <w:rPr>
                <w:rFonts w:hint="eastAsia" w:hAnsi="宋体" w:cs="宋体"/>
                <w:color w:val="000000" w:themeColor="text1"/>
                <w:sz w:val="21"/>
                <w:highlight w:val="none"/>
                <w14:textFill>
                  <w14:solidFill>
                    <w14:schemeClr w14:val="tx1"/>
                  </w14:solidFill>
                </w14:textFill>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5DFC342F">
            <w:pPr>
              <w:keepNext w:val="0"/>
              <w:keepLines w:val="0"/>
              <w:suppressLineNumbers w:val="0"/>
              <w:spacing w:before="0" w:beforeAutospacing="0" w:after="0" w:afterAutospacing="0" w:line="360" w:lineRule="auto"/>
              <w:ind w:left="0" w:right="0"/>
              <w:rPr>
                <w:rFonts w:hint="default" w:hAnsi="宋体" w:cs="宋体"/>
                <w:color w:val="000000" w:themeColor="text1"/>
                <w:highlight w:val="none"/>
                <w14:textFill>
                  <w14:solidFill>
                    <w14:schemeClr w14:val="tx1"/>
                  </w14:solidFill>
                </w14:textFill>
              </w:rPr>
            </w:pPr>
            <w:r>
              <w:rPr>
                <w:rFonts w:hint="default" w:hAnsi="宋体" w:cs="宋体"/>
                <w:b/>
                <w:color w:val="000000" w:themeColor="text1"/>
                <w:highlight w:val="none"/>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 xml:space="preserve"> 本项目采购代理机构应严格按照广西政府采购云平台项目采购全流程电子化电子开评标规程执行项目采购活动，代理机构在</w:t>
            </w:r>
            <w:r>
              <w:rPr>
                <w:rFonts w:hint="eastAsia" w:hAnsi="宋体" w:cs="宋体"/>
                <w:b/>
                <w:color w:val="000000" w:themeColor="text1"/>
                <w:highlight w:val="none"/>
                <w14:textFill>
                  <w14:solidFill>
                    <w14:schemeClr w14:val="tx1"/>
                  </w14:solidFill>
                </w14:textFill>
              </w:rPr>
              <w:t>广西政府采购云平台</w:t>
            </w:r>
            <w:r>
              <w:rPr>
                <w:rFonts w:hint="eastAsia" w:ascii="宋体" w:hAnsi="宋体"/>
                <w:b/>
                <w:color w:val="000000" w:themeColor="text1"/>
                <w:szCs w:val="21"/>
                <w:highlight w:val="none"/>
                <w14:textFill>
                  <w14:solidFill>
                    <w14:schemeClr w14:val="tx1"/>
                  </w14:solidFill>
                </w14:textFill>
              </w:rPr>
              <w:t>的“项目管理”—“采购文件管理”内开评标规则设置作为本采购文件的组成部分，截标之后不可更改，因代理机构开评标规则设置错误导致采购活动无法开展下去的情况，由代理机构负责解释并承担其后果。</w:t>
            </w:r>
          </w:p>
        </w:tc>
      </w:tr>
      <w:tr w14:paraId="34C88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noWrap/>
            <w:vAlign w:val="center"/>
          </w:tcPr>
          <w:p w14:paraId="19306732">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34.2</w:t>
            </w:r>
          </w:p>
        </w:tc>
        <w:tc>
          <w:tcPr>
            <w:tcW w:w="2785" w:type="dxa"/>
            <w:tcBorders>
              <w:top w:val="single" w:color="000000" w:sz="4" w:space="0"/>
              <w:left w:val="single" w:color="000000" w:sz="4" w:space="0"/>
              <w:bottom w:val="single" w:color="000000" w:sz="4" w:space="0"/>
              <w:right w:val="single" w:color="000000" w:sz="4" w:space="0"/>
            </w:tcBorders>
            <w:noWrap/>
            <w:vAlign w:val="center"/>
          </w:tcPr>
          <w:p w14:paraId="0CBF61E1">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w:t>
            </w:r>
          </w:p>
        </w:tc>
        <w:tc>
          <w:tcPr>
            <w:tcW w:w="6850" w:type="dxa"/>
            <w:tcBorders>
              <w:top w:val="single" w:color="000000" w:sz="4" w:space="0"/>
              <w:left w:val="single" w:color="000000" w:sz="4" w:space="0"/>
              <w:bottom w:val="single" w:color="000000" w:sz="4" w:space="0"/>
              <w:right w:val="single" w:color="000000" w:sz="4" w:space="0"/>
            </w:tcBorders>
            <w:noWrap/>
            <w:vAlign w:val="center"/>
          </w:tcPr>
          <w:p w14:paraId="4114843D">
            <w:pPr>
              <w:pStyle w:val="28"/>
              <w:keepNext w:val="0"/>
              <w:keepLines w:val="0"/>
              <w:suppressLineNumbers w:val="0"/>
              <w:snapToGrid w:val="0"/>
              <w:spacing w:before="0" w:beforeAutospacing="0" w:after="0" w:afterAutospacing="0" w:line="360" w:lineRule="auto"/>
              <w:ind w:left="0" w:right="0"/>
              <w:rPr>
                <w:rFonts w:hint="default"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7726A61">
            <w:pPr>
              <w:pStyle w:val="28"/>
              <w:keepNext w:val="0"/>
              <w:keepLines w:val="0"/>
              <w:suppressLineNumbers w:val="0"/>
              <w:snapToGrid w:val="0"/>
              <w:spacing w:before="0" w:beforeAutospacing="0" w:after="0" w:afterAutospacing="0" w:line="360" w:lineRule="auto"/>
              <w:ind w:left="0" w:right="0"/>
              <w:rPr>
                <w:rFonts w:hint="default"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74EB521">
            <w:pPr>
              <w:pStyle w:val="28"/>
              <w:keepNext w:val="0"/>
              <w:keepLines w:val="0"/>
              <w:suppressLineNumbers w:val="0"/>
              <w:snapToGrid w:val="0"/>
              <w:spacing w:before="0" w:beforeAutospacing="0" w:after="0" w:afterAutospacing="0" w:line="360" w:lineRule="auto"/>
              <w:ind w:left="0" w:right="0"/>
              <w:rPr>
                <w:rFonts w:hint="default"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3.本磋商文件中描述供应商的“签字”是指供应商的法定代表人或者委托代理人亲自在文件规定签署处亲笔写上个人的名字的行为，私章、签字章、印鉴、影印等其他形式均不能代替亲笔签字。</w:t>
            </w:r>
          </w:p>
          <w:p w14:paraId="5B6BB233">
            <w:pPr>
              <w:pStyle w:val="28"/>
              <w:keepNext w:val="0"/>
              <w:keepLines w:val="0"/>
              <w:suppressLineNumbers w:val="0"/>
              <w:snapToGrid w:val="0"/>
              <w:spacing w:before="0" w:beforeAutospacing="0" w:after="0" w:afterAutospacing="0" w:line="360" w:lineRule="auto"/>
              <w:ind w:left="0" w:right="0"/>
              <w:rPr>
                <w:rFonts w:hint="default"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4.自然人竞标的，磋商文件规定盖公章处由自然人摁手指指印。</w:t>
            </w:r>
          </w:p>
          <w:p w14:paraId="12229F5D">
            <w:pPr>
              <w:pStyle w:val="28"/>
              <w:keepNext w:val="0"/>
              <w:keepLines w:val="0"/>
              <w:suppressLineNumbers w:val="0"/>
              <w:snapToGrid w:val="0"/>
              <w:spacing w:before="0" w:beforeAutospacing="0" w:after="0" w:afterAutospacing="0" w:line="360" w:lineRule="auto"/>
              <w:ind w:left="0" w:right="0"/>
              <w:rPr>
                <w:rFonts w:hint="default"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5.本磋商文件所称的“以上”“以下”“以内”“届满”，包括本数；所称的“不满”“超过”“以外”，不包括本数。</w:t>
            </w:r>
          </w:p>
        </w:tc>
      </w:tr>
    </w:tbl>
    <w:p w14:paraId="3BFD213A">
      <w:pPr>
        <w:pStyle w:val="5"/>
        <w:spacing w:line="420" w:lineRule="exact"/>
        <w:jc w:val="center"/>
        <w:rPr>
          <w:rFonts w:ascii="宋体" w:hAnsi="宋体" w:cs="宋体"/>
          <w:b w:val="0"/>
          <w:color w:val="000000" w:themeColor="text1"/>
          <w:highlight w:val="none"/>
          <w14:textFill>
            <w14:solidFill>
              <w14:schemeClr w14:val="tx1"/>
            </w14:solidFill>
          </w14:textFill>
        </w:rPr>
      </w:pPr>
      <w:r>
        <w:rPr>
          <w:rFonts w:hint="eastAsia" w:ascii="宋体" w:hAnsi="宋体"/>
          <w:bCs w:val="0"/>
          <w:color w:val="000000" w:themeColor="text1"/>
          <w:highlight w:val="none"/>
          <w14:textFill>
            <w14:solidFill>
              <w14:schemeClr w14:val="tx1"/>
            </w14:solidFill>
          </w14:textFill>
        </w:rPr>
        <w:br w:type="page"/>
      </w:r>
      <w:bookmarkStart w:id="33" w:name="_Toc213948281"/>
      <w:r>
        <w:rPr>
          <w:rFonts w:hint="eastAsia" w:ascii="宋体" w:hAnsi="宋体"/>
          <w:b w:val="0"/>
          <w:color w:val="000000" w:themeColor="text1"/>
          <w:highlight w:val="none"/>
          <w14:textFill>
            <w14:solidFill>
              <w14:schemeClr w14:val="tx1"/>
            </w14:solidFill>
          </w14:textFill>
        </w:rPr>
        <w:t>第二节 供应商须知正文</w:t>
      </w:r>
      <w:bookmarkEnd w:id="33"/>
    </w:p>
    <w:p w14:paraId="23D79AF3">
      <w:pPr>
        <w:pStyle w:val="6"/>
        <w:spacing w:before="0" w:after="0" w:line="360" w:lineRule="auto"/>
        <w:ind w:firstLine="640" w:firstLineChars="200"/>
        <w:rPr>
          <w:rFonts w:ascii="宋体" w:hAnsi="宋体"/>
          <w:b w:val="0"/>
          <w:color w:val="000000" w:themeColor="text1"/>
          <w:highlight w:val="none"/>
          <w14:textFill>
            <w14:solidFill>
              <w14:schemeClr w14:val="tx1"/>
            </w14:solidFill>
          </w14:textFill>
        </w:rPr>
      </w:pPr>
      <w:bookmarkStart w:id="34" w:name="_Toc213948282"/>
      <w:r>
        <w:rPr>
          <w:rFonts w:hint="eastAsia" w:ascii="宋体" w:hAnsi="宋体"/>
          <w:b w:val="0"/>
          <w:color w:val="000000" w:themeColor="text1"/>
          <w:highlight w:val="none"/>
          <w14:textFill>
            <w14:solidFill>
              <w14:schemeClr w14:val="tx1"/>
            </w14:solidFill>
          </w14:textFill>
        </w:rPr>
        <w:t>一、总则</w:t>
      </w:r>
      <w:bookmarkEnd w:id="34"/>
    </w:p>
    <w:p w14:paraId="223525D1">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1.适用范围</w:t>
      </w:r>
    </w:p>
    <w:p w14:paraId="1D64EE9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1.1本项目采购人、采购代理机构、供应商、磋商小组的相关行为均受《中华人民共和国政府采购法》《中华人民共和国政府采购法实施条例》</w:t>
      </w:r>
      <w:r>
        <w:rPr>
          <w:rFonts w:hint="eastAsia" w:ascii="宋体" w:hAnsi="宋体"/>
          <w:color w:val="000000" w:themeColor="text1"/>
          <w:szCs w:val="21"/>
          <w:highlight w:val="none"/>
          <w14:textFill>
            <w14:solidFill>
              <w14:schemeClr w14:val="tx1"/>
            </w14:solidFill>
          </w14:textFill>
        </w:rPr>
        <w:t>《政府采购竞争性磋商采购方式管理暂行办法》《财政部关于政府采购竞争性磋商采购方式管理暂行办法有关问题的补充通知》</w:t>
      </w:r>
      <w:r>
        <w:rPr>
          <w:rFonts w:hint="eastAsia" w:ascii="宋体" w:hAnsi="宋体" w:cs="宋体"/>
          <w:color w:val="000000" w:themeColor="text1"/>
          <w:szCs w:val="21"/>
          <w:highlight w:val="none"/>
          <w14:textFill>
            <w14:solidFill>
              <w14:schemeClr w14:val="tx1"/>
            </w14:solidFill>
          </w14:textFill>
        </w:rPr>
        <w:t>及本项目本级和上级财政部门政府采购有关规定的约束和保护。</w:t>
      </w:r>
    </w:p>
    <w:p w14:paraId="52F1FE54">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hint="eastAsia" w:ascii="宋体" w:hAnsi="宋体" w:cs="宋体"/>
          <w:color w:val="000000" w:themeColor="text1"/>
          <w:spacing w:val="-6"/>
          <w:szCs w:val="21"/>
          <w:highlight w:val="none"/>
          <w14:textFill>
            <w14:solidFill>
              <w14:schemeClr w14:val="tx1"/>
            </w14:solidFill>
          </w14:textFill>
        </w:rPr>
        <w:t>本竞争性磋商文件（以下简称磋商文件）适用于本项目的所有采购程序和环节（法律、法规另有规定的，从其规定）。</w:t>
      </w:r>
    </w:p>
    <w:p w14:paraId="0043F1D8">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2.定义</w:t>
      </w:r>
    </w:p>
    <w:p w14:paraId="74D3B7D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2.1“采购人”是指依法进行政府采购的国家机关、事业单位、团体组织。</w:t>
      </w:r>
    </w:p>
    <w:p w14:paraId="14B4DC8E">
      <w:pPr>
        <w:spacing w:line="360" w:lineRule="auto"/>
        <w:ind w:firstLine="420" w:firstLineChars="20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2.2“采购代理机构”是指政府采购集中采购机构和集中采购机构以外的采购代理机构。</w:t>
      </w:r>
    </w:p>
    <w:p w14:paraId="27EEC5B5">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2.3“供应商”是指向采购人提供货物、工程或者服务的法人、其他组织或者自然人。</w:t>
      </w:r>
    </w:p>
    <w:p w14:paraId="6B68C8F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2.4“工程”是指除货物和服务以外的其他政府采购对象。</w:t>
      </w:r>
    </w:p>
    <w:p w14:paraId="79848AC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2.5“竞标”是指供应商按照本项目竞争性磋商公告或者邀请函规定的方式获取磋商文件、提交响应文件并希望获得标的的行为。</w:t>
      </w:r>
    </w:p>
    <w:p w14:paraId="2A689AC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2.6“响应文件”</w:t>
      </w:r>
      <w:r>
        <w:rPr>
          <w:rFonts w:hint="eastAsia" w:ascii="宋体" w:hAnsi="宋体" w:cs="宋体"/>
          <w:color w:val="000000" w:themeColor="text1"/>
          <w:spacing w:val="-6"/>
          <w:szCs w:val="21"/>
          <w:highlight w:val="none"/>
          <w14:textFill>
            <w14:solidFill>
              <w14:schemeClr w14:val="tx1"/>
            </w14:solidFill>
          </w14:textFill>
        </w:rPr>
        <w:t>是指：供应商根据本磋商文件要求，编制包含资格证明、报价商务技术等所有内容的文件。</w:t>
      </w:r>
    </w:p>
    <w:p w14:paraId="4B3FE705">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2.7“实质性要求”是指磋商文件中已经指明不满足则响应文件按无效响应处理的条款，或者不能负偏离的条款，或者采购需求中带“▲”的条款。</w:t>
      </w:r>
    </w:p>
    <w:p w14:paraId="7B8FEBC5">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2.8“正偏离”，是指响应文件对磋商文件“采购需求”中有关条款作出的响应优于条款要求并有利于采购人的情形。</w:t>
      </w:r>
    </w:p>
    <w:p w14:paraId="0C449AA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2.9“负偏离”，是指响应文件对磋商文件“采购需求”中有关条款作出的响应不满足条款要求，导致采购人要求不能得到满足的情形。</w:t>
      </w:r>
    </w:p>
    <w:p w14:paraId="4D035FC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2.10“允许负偏离的条款”是指采购需求中的不属于“实质性要求”的条款。</w:t>
      </w:r>
    </w:p>
    <w:p w14:paraId="008E5717">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2.11“书面形式”是指合同书、信件和数据电文（包括电报、电传、传真、电子数据交换和电子邮件）等可以有形地表现所载内容的形式。</w:t>
      </w:r>
    </w:p>
    <w:p w14:paraId="1E017E10">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2.12“首次报价”是指供应商提交的首次响应文件中的报价。</w:t>
      </w:r>
    </w:p>
    <w:p w14:paraId="6C39912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2.13“评审报价”是指供应商提交的最后报价并经修正（如有）和政策功能价格扣除（如有）后的价格。</w:t>
      </w:r>
    </w:p>
    <w:p w14:paraId="63715D34">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3.供应商的资格条件</w:t>
      </w:r>
    </w:p>
    <w:p w14:paraId="71EFC25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供应商的资格条件详见“供应商须知前附表”。</w:t>
      </w:r>
    </w:p>
    <w:p w14:paraId="04066FEA">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4.磋商费用</w:t>
      </w:r>
    </w:p>
    <w:p w14:paraId="54B1762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供应商应承担参与本次采购活动有关的所有费用，包括但不限于、勘查现场、编制和提交响应文件、参加磋商与应答、签订合同等，不论竞标结果如何，均应自行承担。</w:t>
      </w:r>
    </w:p>
    <w:p w14:paraId="20C2F4F9">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5.联合体竞标</w:t>
      </w:r>
    </w:p>
    <w:p w14:paraId="6C55616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5.1本项目是否接受联合体竞标，详见“供应商须知前附表”。</w:t>
      </w:r>
    </w:p>
    <w:p w14:paraId="3E828367">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w:t>
      </w:r>
      <w:r>
        <w:rPr>
          <w:rFonts w:hint="eastAsia" w:ascii="宋体" w:hAnsi="宋体"/>
          <w:color w:val="000000" w:themeColor="text1"/>
          <w:highlight w:val="none"/>
          <w14:textFill>
            <w14:solidFill>
              <w14:schemeClr w14:val="tx1"/>
            </w14:solidFill>
          </w14:textFill>
        </w:rPr>
        <w:t>如接受联合体竞标，</w:t>
      </w:r>
      <w:r>
        <w:rPr>
          <w:rFonts w:hint="eastAsia" w:ascii="宋体" w:hAnsi="宋体" w:cs="宋体"/>
          <w:color w:val="000000" w:themeColor="text1"/>
          <w:szCs w:val="21"/>
          <w:highlight w:val="none"/>
          <w14:textFill>
            <w14:solidFill>
              <w14:schemeClr w14:val="tx1"/>
            </w14:solidFill>
          </w14:textFill>
        </w:rPr>
        <w:t>联合体竞标要求详见“供应商须知前附表”。</w:t>
      </w:r>
    </w:p>
    <w:p w14:paraId="7C309796">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5.3</w:t>
      </w:r>
      <w:r>
        <w:rPr>
          <w:rFonts w:hint="eastAsia" w:ascii="宋体" w:hAnsi="宋体"/>
          <w:bCs/>
          <w:color w:val="000000" w:themeColor="text1"/>
          <w:szCs w:val="21"/>
          <w:highlight w:val="none"/>
          <w14:textFill>
            <w14:solidFill>
              <w14:schemeClr w14:val="tx1"/>
            </w14:solidFill>
          </w14:textFill>
        </w:rPr>
        <w:t>根据《政府采购促进中小企业发展管理办法》（财库[2020]46号）第九条及《广西壮族自治区财政厅关于持续优化政府采购营商环境推动高质量发展的通知》（桂财采〔2024〕55号）规定，接受大中型企业与小微企业组成联合体的采购项目，对于联合协议约定小微企业的合同份额占到合同总金额 30%以上的，采购人、采购代理机构应当对联合体的报价给予工程项目为 1%—2%的扣除，用扣除后的价格参加评审。组成联合体的小微企业与联合体内其他企业、分包企业之间存在直接控股、管理关系的，不享受价格扣除优惠政策。</w:t>
      </w:r>
    </w:p>
    <w:p w14:paraId="0D49178A">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 xml:space="preserve">6.转包与分包             </w:t>
      </w:r>
    </w:p>
    <w:p w14:paraId="5C1B4A9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6.1本项目是否允许分包详见“供应商须知前附表”，本项目不允许违法分包。</w:t>
      </w:r>
    </w:p>
    <w:p w14:paraId="2FE5280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6.2</w:t>
      </w:r>
      <w:r>
        <w:rPr>
          <w:rFonts w:hint="eastAsia" w:ascii="宋体" w:hAnsi="宋体"/>
          <w:bCs/>
          <w:color w:val="000000" w:themeColor="text1"/>
          <w:szCs w:val="21"/>
          <w:highlight w:val="none"/>
          <w14:textFill>
            <w14:solidFill>
              <w14:schemeClr w14:val="tx1"/>
            </w14:solidFill>
          </w14:textFill>
        </w:rPr>
        <w:t>根据《政府采购促进中小企业发展管理办法》（财库[2020]46号）第九条及《广西壮族自治区财政厅关于持续优化政府采购营商环境推动高质量发展的通知》（桂财采〔2024〕55号）规定，允许大中型企业向一家或者多家小微企业分包的采购项目，对于分包意向协议约定小微企业的合同份额占到合同总金额 30%以上的，采购人、采购代理机构应当对大中型企业的报价给予 1%-2%的扣除，用扣除后的价格参加评审。接受分包的小微企业与分包企业之间存在直接控股、管理关系的，不享受价格扣除优惠政策。</w:t>
      </w:r>
    </w:p>
    <w:p w14:paraId="788D5382">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bookmarkStart w:id="35" w:name="_Toc254970532"/>
      <w:bookmarkStart w:id="36" w:name="_Toc254970673"/>
      <w:r>
        <w:rPr>
          <w:rFonts w:hint="eastAsia" w:ascii="黑体" w:hAnsi="黑体" w:eastAsia="黑体" w:cs="宋体"/>
          <w:b/>
          <w:bCs/>
          <w:color w:val="000000" w:themeColor="text1"/>
          <w:sz w:val="24"/>
          <w:highlight w:val="none"/>
          <w14:textFill>
            <w14:solidFill>
              <w14:schemeClr w14:val="tx1"/>
            </w14:solidFill>
          </w14:textFill>
        </w:rPr>
        <w:t>7.特别说明</w:t>
      </w:r>
      <w:bookmarkEnd w:id="35"/>
      <w:bookmarkEnd w:id="36"/>
    </w:p>
    <w:p w14:paraId="07575939">
      <w:pPr>
        <w:spacing w:line="360" w:lineRule="auto"/>
        <w:ind w:firstLine="420" w:firstLineChars="200"/>
        <w:rPr>
          <w:rFonts w:ascii="宋体" w:hAnsi="宋体" w:cs="宋体"/>
          <w:color w:val="000000" w:themeColor="text1"/>
          <w:szCs w:val="21"/>
          <w:highlight w:val="none"/>
          <w14:textFill>
            <w14:solidFill>
              <w14:schemeClr w14:val="tx1"/>
            </w14:solidFill>
          </w14:textFill>
        </w:rPr>
      </w:pPr>
      <w:bookmarkStart w:id="37" w:name="_8.1提供相同品牌产品且通过资格审查、符合性审查的不同投标人参加同一合"/>
      <w:bookmarkEnd w:id="37"/>
      <w:r>
        <w:rPr>
          <w:rFonts w:hint="eastAsia" w:ascii="宋体" w:hAnsi="宋体" w:cs="宋体"/>
          <w:color w:val="000000" w:themeColor="text1"/>
          <w:szCs w:val="21"/>
          <w:highlight w:val="none"/>
          <w14:textFill>
            <w14:solidFill>
              <w14:schemeClr w14:val="tx1"/>
            </w14:solidFill>
          </w14:textFill>
        </w:rPr>
        <w:t>7.1</w:t>
      </w:r>
      <w:bookmarkStart w:id="38" w:name="_Hlk65832145"/>
      <w:r>
        <w:rPr>
          <w:rFonts w:hint="eastAsia" w:ascii="宋体" w:hAnsi="宋体"/>
          <w:color w:val="000000" w:themeColor="text1"/>
          <w:szCs w:val="21"/>
          <w:highlight w:val="none"/>
          <w14:textFill>
            <w14:solidFill>
              <w14:schemeClr w14:val="tx1"/>
            </w14:solidFill>
          </w14:textFill>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000000" w:themeColor="text1"/>
          <w:szCs w:val="21"/>
          <w:highlight w:val="none"/>
          <w14:textFill>
            <w14:solidFill>
              <w14:schemeClr w14:val="tx1"/>
            </w14:solidFill>
          </w14:textFill>
        </w:rPr>
        <w:t>。</w:t>
      </w:r>
    </w:p>
    <w:bookmarkEnd w:id="38"/>
    <w:p w14:paraId="526DBC6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7.2供应商应仔细阅读磋商文件的所有内容，按照磋商文件的要求提交响应文件，并对所提供的全部资料的真实性承担法律责任。</w:t>
      </w:r>
    </w:p>
    <w:p w14:paraId="471825C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74D66A10">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7.4在政府采购活动中，采购人员及相关人员与供应商有下列利害关系之一的，应当回避：</w:t>
      </w:r>
    </w:p>
    <w:p w14:paraId="383E6E7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（1）参加采购活动前3年内与供应商存在劳动关系；</w:t>
      </w:r>
    </w:p>
    <w:p w14:paraId="155F3C1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（2）参加采购活动前3年内担任供应商的董事、监事；</w:t>
      </w:r>
    </w:p>
    <w:p w14:paraId="2709259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（3）参加采购活动前3年内是供应商的控股股东或者实际控制人；</w:t>
      </w:r>
    </w:p>
    <w:p w14:paraId="190CAE4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（4）与供应商的法定代表人或者负责人有夫妻、直系血亲、三代以内旁系血亲或者近姻亲关系；</w:t>
      </w:r>
    </w:p>
    <w:p w14:paraId="7E2C2E2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（5）与供应商有其他可能影响政府采购活动公平、公正进行的关系。</w:t>
      </w:r>
    </w:p>
    <w:p w14:paraId="7090DDD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E34F05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7.5有下列情形之一的视为供应商相互串通竞标，响应文件将被视为无效：</w:t>
      </w:r>
    </w:p>
    <w:p w14:paraId="0FC3AB8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（1）不同供应商的响应文件由同一单位或者个人编制；或者不同供应商报名的IP地址一致的；或者编制响应文件硬件设备CPU编号、硬盘编号、网卡地址一致的情况。 </w:t>
      </w:r>
    </w:p>
    <w:p w14:paraId="3516867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（2）不同供应商委托同一单位或者个人办理竞标事宜；</w:t>
      </w:r>
    </w:p>
    <w:p w14:paraId="6AAFFB5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（3）不同的供应商的响应文件载明的项目管理员为同一个人；</w:t>
      </w:r>
    </w:p>
    <w:p w14:paraId="0AB81C5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（4）不同供应商的响应文件异常一致或者报价呈规律性差异；</w:t>
      </w:r>
    </w:p>
    <w:p w14:paraId="5A237C3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（5）不同供应商的响应文件相互混装；</w:t>
      </w:r>
    </w:p>
    <w:p w14:paraId="63E120AC">
      <w:pPr>
        <w:tabs>
          <w:tab w:val="left" w:pos="6931"/>
        </w:tabs>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（6）不同供应商的磋商保证金从同一单位或者个人账户转出。</w:t>
      </w:r>
      <w:r>
        <w:rPr>
          <w:rFonts w:hint="eastAsia" w:ascii="宋体" w:hAnsi="宋体" w:cs="宋体"/>
          <w:color w:val="000000" w:themeColor="text1"/>
          <w:szCs w:val="21"/>
          <w:highlight w:val="none"/>
          <w14:textFill>
            <w14:solidFill>
              <w14:schemeClr w14:val="tx1"/>
            </w14:solidFill>
          </w14:textFill>
        </w:rPr>
        <w:tab/>
      </w:r>
    </w:p>
    <w:p w14:paraId="1519B57C">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7.6供应商有下列情形之一的，属于恶意串通行为，将报同级监督管理部门：</w:t>
      </w:r>
    </w:p>
    <w:p w14:paraId="0F01C1F5">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（1）供应商直接或者间接从采购人或者采购代理机构处获得其他供应商的相关信息并修改其响应文件；</w:t>
      </w:r>
    </w:p>
    <w:p w14:paraId="0DFB365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（2）供应商按照采购人或者采购代理机构的授意撤换、修改响应文件；</w:t>
      </w:r>
    </w:p>
    <w:p w14:paraId="334C4CD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（3）供应商之间协商报价、技术方案等响应文件或者响应文件的实质性内容；</w:t>
      </w:r>
    </w:p>
    <w:p w14:paraId="3DC54080">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（4）属于同一集团、协会、商会等组织成员的供应商按照该组织要求协同参加政府采购活动；</w:t>
      </w:r>
    </w:p>
    <w:p w14:paraId="114A9F8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（5）供应商之间事先约定一致抬高或者压低报价，或者在政府采购活动中事先约定轮流以高价位或者低价位成交，或者事先约定由某一特定供应商成交，然后再参加竞标；</w:t>
      </w:r>
    </w:p>
    <w:p w14:paraId="2E305AE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（6）供应商之间商定部分供应商放弃参加政府采购活动或者放弃成交；</w:t>
      </w:r>
    </w:p>
    <w:p w14:paraId="6927A9D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（7）供应商与采购人或者采购代理机构之间、供应商相互之间，为谋求特定供应商成交或者排斥其他供应商的其他串通行为。</w:t>
      </w:r>
    </w:p>
    <w:p w14:paraId="48EE328E">
      <w:pPr>
        <w:pStyle w:val="6"/>
        <w:spacing w:before="0" w:after="0" w:line="360" w:lineRule="auto"/>
        <w:ind w:firstLine="640" w:firstLineChars="200"/>
        <w:rPr>
          <w:rFonts w:ascii="宋体" w:hAnsi="宋体"/>
          <w:b w:val="0"/>
          <w:bCs w:val="0"/>
          <w:color w:val="000000" w:themeColor="text1"/>
          <w:highlight w:val="none"/>
          <w14:textFill>
            <w14:solidFill>
              <w14:schemeClr w14:val="tx1"/>
            </w14:solidFill>
          </w14:textFill>
        </w:rPr>
      </w:pPr>
      <w:bookmarkStart w:id="39" w:name="_Toc254970675"/>
      <w:bookmarkStart w:id="40" w:name="_Toc254970534"/>
      <w:bookmarkStart w:id="41" w:name="_Toc213948283"/>
      <w:r>
        <w:rPr>
          <w:rFonts w:hint="eastAsia" w:ascii="宋体" w:hAnsi="宋体"/>
          <w:b w:val="0"/>
          <w:bCs w:val="0"/>
          <w:color w:val="000000" w:themeColor="text1"/>
          <w:highlight w:val="none"/>
          <w14:textFill>
            <w14:solidFill>
              <w14:schemeClr w14:val="tx1"/>
            </w14:solidFill>
          </w14:textFill>
        </w:rPr>
        <w:t>二、磋商文件</w:t>
      </w:r>
      <w:bookmarkEnd w:id="39"/>
      <w:bookmarkEnd w:id="40"/>
      <w:bookmarkEnd w:id="41"/>
    </w:p>
    <w:p w14:paraId="23C1A27F">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8.磋商文件的构成</w:t>
      </w:r>
    </w:p>
    <w:p w14:paraId="12179FE9">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第一章 竞争性磋商公告；</w:t>
      </w:r>
    </w:p>
    <w:p w14:paraId="33B47B56">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第二章 采购需求；</w:t>
      </w:r>
    </w:p>
    <w:p w14:paraId="24559E04">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第三章 供应商须知； </w:t>
      </w:r>
    </w:p>
    <w:p w14:paraId="258E495A">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第四章 评审程序、评审方法和评审标准；</w:t>
      </w:r>
    </w:p>
    <w:p w14:paraId="76D69CA7">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第五章 响应文件格式；</w:t>
      </w:r>
    </w:p>
    <w:p w14:paraId="39B1B83B">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第六章 合同文本；</w:t>
      </w:r>
    </w:p>
    <w:p w14:paraId="7801D56C">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第七章 质疑、投诉材料格式。</w:t>
      </w:r>
    </w:p>
    <w:p w14:paraId="2B34A26E">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9.供应商的询问</w:t>
      </w:r>
    </w:p>
    <w:p w14:paraId="648C8C1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供应商应认真阅读磋商文件的采购需求，如供应商对磋商文件有疑问的，如要求采购人作出澄清或者修改的，供应商尽应在提交首次响应文件截止之日前，以书面形式向采购人、采购代理机构提出。</w:t>
      </w:r>
    </w:p>
    <w:p w14:paraId="192DF0E9">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10.磋商文件的澄清和修改</w:t>
      </w:r>
    </w:p>
    <w:p w14:paraId="170656F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10.1已获取磋商文件的潜在供应商，若有问题需要澄清，应于应标截止时间前，以书面形式向采购代理机构提出，采购代理机构与采购人研究后，对认为有必要回答的问题，按照本章10.3的内容处理。</w:t>
      </w:r>
    </w:p>
    <w:p w14:paraId="7288EA51">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6724591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1441C040">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10.4</w:t>
      </w:r>
      <w:r>
        <w:rPr>
          <w:rFonts w:hint="eastAsia" w:ascii="Arial" w:hAnsi="Arial" w:cs="Arial"/>
          <w:color w:val="000000" w:themeColor="text1"/>
          <w:highlight w:val="none"/>
          <w:shd w:val="clear" w:color="auto" w:fill="FFFFFF"/>
          <w14:textFill>
            <w14:solidFill>
              <w14:schemeClr w14:val="tx1"/>
            </w14:solidFill>
          </w14:textFill>
        </w:rPr>
        <w:t>采购信息更正公告的内容应当包括采购人和采购代理机构名称、地址、联系方式，原公告的采购项目名称及首次公告日期，更正事项、内容及日期，采购项目联系人和电话。</w:t>
      </w:r>
    </w:p>
    <w:p w14:paraId="143D76B3">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10.5  </w:t>
      </w:r>
      <w:r>
        <w:rPr>
          <w:rFonts w:hint="eastAsia"/>
          <w:color w:val="000000" w:themeColor="text1"/>
          <w:highlight w:val="none"/>
          <w14:textFill>
            <w14:solidFill>
              <w14:schemeClr w14:val="tx1"/>
            </w14:solidFill>
          </w14:textFill>
        </w:rPr>
        <w:t>采购人和采购代理机构可以视采购具体情况，变更</w:t>
      </w:r>
      <w:r>
        <w:rPr>
          <w:rFonts w:hint="eastAsia" w:hAnsi="宋体"/>
          <w:color w:val="000000" w:themeColor="text1"/>
          <w:highlight w:val="none"/>
          <w14:textFill>
            <w14:solidFill>
              <w14:schemeClr w14:val="tx1"/>
            </w14:solidFill>
          </w14:textFill>
        </w:rPr>
        <w:t>提交首次响应文件</w:t>
      </w:r>
      <w:r>
        <w:rPr>
          <w:rFonts w:hint="eastAsia"/>
          <w:color w:val="000000" w:themeColor="text1"/>
          <w:highlight w:val="none"/>
          <w14:textFill>
            <w14:solidFill>
              <w14:schemeClr w14:val="tx1"/>
            </w14:solidFill>
          </w14:textFill>
        </w:rPr>
        <w:t>截止时间和竞谈时间，将变更时间将在</w:t>
      </w:r>
      <w:r>
        <w:rPr>
          <w:rFonts w:hint="eastAsia" w:hAnsi="宋体"/>
          <w:color w:val="000000" w:themeColor="text1"/>
          <w:highlight w:val="none"/>
          <w14:textFill>
            <w14:solidFill>
              <w14:schemeClr w14:val="tx1"/>
            </w14:solidFill>
          </w14:textFill>
        </w:rPr>
        <w:t>“采购文件公告”中“七、其他补充事宜</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网上查询地址”</w:t>
      </w:r>
      <w:r>
        <w:rPr>
          <w:rFonts w:hint="eastAsia" w:cs="宋体"/>
          <w:color w:val="000000" w:themeColor="text1"/>
          <w:highlight w:val="none"/>
          <w14:textFill>
            <w14:solidFill>
              <w14:schemeClr w14:val="tx1"/>
            </w14:solidFill>
          </w14:textFill>
        </w:rPr>
        <w:t>规定的政府采购信息发布媒体上</w:t>
      </w:r>
      <w:r>
        <w:rPr>
          <w:rFonts w:hint="eastAsia"/>
          <w:color w:val="000000" w:themeColor="text1"/>
          <w:highlight w:val="none"/>
          <w14:textFill>
            <w14:solidFill>
              <w14:schemeClr w14:val="tx1"/>
            </w14:solidFill>
          </w14:textFill>
        </w:rPr>
        <w:t>发布更正公告。</w:t>
      </w:r>
    </w:p>
    <w:p w14:paraId="324567FA">
      <w:pPr>
        <w:spacing w:line="360" w:lineRule="auto"/>
        <w:ind w:firstLine="400" w:firstLineChars="200"/>
        <w:rPr>
          <w:rFonts w:ascii="宋体" w:hAnsi="Courier New"/>
          <w:color w:val="000000" w:themeColor="text1"/>
          <w:kern w:val="0"/>
          <w:sz w:val="20"/>
          <w:szCs w:val="21"/>
          <w:highlight w:val="none"/>
          <w14:textFill>
            <w14:solidFill>
              <w14:schemeClr w14:val="tx1"/>
            </w14:solidFill>
          </w14:textFill>
        </w:rPr>
      </w:pPr>
      <w:r>
        <w:rPr>
          <w:rFonts w:hint="eastAsia" w:ascii="宋体" w:hAnsi="Courier New"/>
          <w:color w:val="000000" w:themeColor="text1"/>
          <w:kern w:val="0"/>
          <w:sz w:val="20"/>
          <w:szCs w:val="21"/>
          <w:highlight w:val="none"/>
          <w14:textFill>
            <w14:solidFill>
              <w14:schemeClr w14:val="tx1"/>
            </w14:solidFill>
          </w14:textFill>
        </w:rPr>
        <w:t>▲</w:t>
      </w:r>
      <w:r>
        <w:rPr>
          <w:rFonts w:hint="eastAsia" w:ascii="宋体" w:hAnsi="Courier New"/>
          <w:b/>
          <w:color w:val="000000" w:themeColor="text1"/>
          <w:kern w:val="0"/>
          <w:sz w:val="20"/>
          <w:szCs w:val="21"/>
          <w:highlight w:val="none"/>
          <w14:textFill>
            <w14:solidFill>
              <w14:schemeClr w14:val="tx1"/>
            </w14:solidFill>
          </w14:textFill>
        </w:rPr>
        <w:t>响应文件未按磋商文件的澄清、修改的内容编制，又不符合实质性要求的，其响应文件作无效处理。</w:t>
      </w:r>
    </w:p>
    <w:p w14:paraId="01DC6108">
      <w:pPr>
        <w:pStyle w:val="6"/>
        <w:spacing w:before="0" w:after="0" w:line="360" w:lineRule="auto"/>
        <w:ind w:firstLine="640" w:firstLineChars="200"/>
        <w:rPr>
          <w:rFonts w:ascii="宋体" w:hAnsi="宋体"/>
          <w:b w:val="0"/>
          <w:bCs w:val="0"/>
          <w:color w:val="000000" w:themeColor="text1"/>
          <w:highlight w:val="none"/>
          <w14:textFill>
            <w14:solidFill>
              <w14:schemeClr w14:val="tx1"/>
            </w14:solidFill>
          </w14:textFill>
        </w:rPr>
      </w:pPr>
      <w:bookmarkStart w:id="42" w:name="_Toc213948284"/>
      <w:r>
        <w:rPr>
          <w:rFonts w:hint="eastAsia" w:ascii="宋体" w:hAnsi="宋体"/>
          <w:b w:val="0"/>
          <w:bCs w:val="0"/>
          <w:color w:val="000000" w:themeColor="text1"/>
          <w:highlight w:val="none"/>
          <w14:textFill>
            <w14:solidFill>
              <w14:schemeClr w14:val="tx1"/>
            </w14:solidFill>
          </w14:textFill>
        </w:rPr>
        <w:t>三、响应文件的编制</w:t>
      </w:r>
      <w:bookmarkEnd w:id="42"/>
    </w:p>
    <w:p w14:paraId="567A674D">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11.响应文件的编制原则</w:t>
      </w:r>
    </w:p>
    <w:p w14:paraId="3E0AE08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供应商必须按照磋商文件的要求编制响应文件，并对其提交的响应文件的真实性、合法性承担法律责任。响应文件必须对磋商文件作出实质性响应。</w:t>
      </w:r>
    </w:p>
    <w:p w14:paraId="26017099">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12.响应文件的组成</w:t>
      </w:r>
    </w:p>
    <w:p w14:paraId="50F2FA57">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12.1响应文件由资格证明文件、报价文件、商务和技术文件三部分组成。</w:t>
      </w:r>
    </w:p>
    <w:p w14:paraId="581A2934">
      <w:pPr>
        <w:spacing w:line="360" w:lineRule="auto"/>
        <w:ind w:left="420" w:leftChars="200"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12.1.1资格证明文件：详见须知前附表</w:t>
      </w:r>
    </w:p>
    <w:p w14:paraId="7E5A7F94">
      <w:pPr>
        <w:spacing w:line="360" w:lineRule="auto"/>
        <w:ind w:left="420" w:leftChars="200"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12.1.2商务技术文件：详见须知前附表</w:t>
      </w:r>
    </w:p>
    <w:p w14:paraId="7F43089E">
      <w:pPr>
        <w:spacing w:line="360" w:lineRule="auto"/>
        <w:ind w:left="420" w:leftChars="200"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12.1.3报价文件：详见须知前附表</w:t>
      </w:r>
    </w:p>
    <w:p w14:paraId="755BF0F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12.2响应文件电子版：详见须知前附表</w:t>
      </w:r>
    </w:p>
    <w:p w14:paraId="697589C6">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13.计量单位</w:t>
      </w:r>
    </w:p>
    <w:p w14:paraId="4C7CCF40">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磋商文件已有明确规定的，使用磋商文件规定的计量单位；磋商文件没有规定的，应采用中华人民共和国法定计量单位，货币种类为人民币，否则视同未响应。</w:t>
      </w:r>
    </w:p>
    <w:p w14:paraId="4804DA26">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14.竞标的风险</w:t>
      </w:r>
    </w:p>
    <w:p w14:paraId="3AE81FC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供应商没有按照磋商文件要求提供全部资料，或者供应商没有对磋商文件在各方面作出实质性响应可能导致其响应无效，是供应商应当考虑的风险。</w:t>
      </w:r>
    </w:p>
    <w:p w14:paraId="53A90DD0">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15.响应报价要求和构成</w:t>
      </w:r>
    </w:p>
    <w:p w14:paraId="29B94DD4">
      <w:pPr>
        <w:tabs>
          <w:tab w:val="left" w:pos="2492"/>
        </w:tabs>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15.1响应报价应按“第五章 响应文件格式”中“响应报价表”格式填写。</w:t>
      </w:r>
    </w:p>
    <w:p w14:paraId="1E164A17">
      <w:pPr>
        <w:tabs>
          <w:tab w:val="left" w:pos="2492"/>
        </w:tabs>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15.2响应报价的价格构成见“供应商须知前附表”。</w:t>
      </w:r>
    </w:p>
    <w:p w14:paraId="147BEB20">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15.3响应报价要求</w:t>
      </w:r>
    </w:p>
    <w:p w14:paraId="039BC1F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15.3.1供应商的响应报价应符合以下要求，否则响应文件按无效响应处理：</w:t>
      </w:r>
    </w:p>
    <w:p w14:paraId="4C13A8D4">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（1）供应商必须就“采购需求”中所竞标的每个分标的全部内容分别作完整唯一总价报价，不得存在漏项报价；</w:t>
      </w:r>
    </w:p>
    <w:p w14:paraId="3928C0F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（2）供应商必须就所竞标的分标的单项内容作唯一报价。</w:t>
      </w:r>
    </w:p>
    <w:p w14:paraId="731F21F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15.3.3</w:t>
      </w:r>
      <w:bookmarkStart w:id="43" w:name="_Hlk42592874"/>
      <w:r>
        <w:rPr>
          <w:rFonts w:hint="eastAsia" w:ascii="宋体" w:hAnsi="宋体" w:cs="宋体"/>
          <w:color w:val="000000" w:themeColor="text1"/>
          <w:szCs w:val="21"/>
          <w:highlight w:val="none"/>
          <w14:textFill>
            <w14:solidFill>
              <w14:schemeClr w14:val="tx1"/>
            </w14:solidFill>
          </w14:textFill>
        </w:rPr>
        <w:t>响应报价（包含首次报价、最后报价）超过分项采购预算金额或者最高限价的，其响应文件将作无效处理。</w:t>
      </w:r>
    </w:p>
    <w:p w14:paraId="0DC5ECDE">
      <w:pPr>
        <w:keepNext/>
        <w:keepLines/>
        <w:widowControl/>
        <w:spacing w:line="440" w:lineRule="exact"/>
        <w:ind w:firstLine="420" w:firstLineChars="200"/>
        <w:rPr>
          <w:rFonts w:eastAsia="黑体"/>
          <w:b/>
          <w:color w:val="000000" w:themeColor="text1"/>
          <w:spacing w:val="2"/>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15.3.4</w:t>
      </w:r>
      <w:r>
        <w:rPr>
          <w:rFonts w:hint="eastAsia" w:ascii="黑体" w:hAnsi="黑体" w:eastAsia="黑体" w:cs="宋体"/>
          <w:b/>
          <w:bCs/>
          <w:color w:val="000000" w:themeColor="text1"/>
          <w:sz w:val="24"/>
          <w:highlight w:val="none"/>
          <w14:textFill>
            <w14:solidFill>
              <w14:schemeClr w14:val="tx1"/>
            </w14:solidFill>
          </w14:textFill>
        </w:rPr>
        <w:t>磋商</w:t>
      </w:r>
      <w:r>
        <w:rPr>
          <w:rFonts w:ascii="黑体" w:hAnsi="黑体" w:eastAsia="黑体" w:cs="宋体"/>
          <w:b/>
          <w:bCs/>
          <w:color w:val="000000" w:themeColor="text1"/>
          <w:sz w:val="24"/>
          <w:highlight w:val="none"/>
          <w14:textFill>
            <w14:solidFill>
              <w14:schemeClr w14:val="tx1"/>
            </w14:solidFill>
          </w14:textFill>
        </w:rPr>
        <w:t>价格</w:t>
      </w:r>
    </w:p>
    <w:p w14:paraId="5DD19556">
      <w:pPr>
        <w:spacing w:line="440" w:lineRule="exact"/>
        <w:ind w:firstLine="420"/>
        <w:rPr>
          <w:rFonts w:hAnsi="Courier New"/>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本项目采用多次报价方式，作最后报价时采购人将书面告知各供应商，供应商的最终报价如有变动，则必须以完整的已标价工程量清单报价表的格式（按磋商文件中的相关规定签字盖章）编制提交，供应商须提前做好相关准备并按时递交最终报价文件，否则按响应无效处理。</w:t>
      </w:r>
    </w:p>
    <w:bookmarkEnd w:id="43"/>
    <w:p w14:paraId="63DDE578">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16.竞标有效期</w:t>
      </w:r>
    </w:p>
    <w:p w14:paraId="7738848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16.1竞标有效期是指为保证采购人有足够的时间在提交响应文件后完成评审、确定成交供应商、合同签订等工作而要求供应商提交的响应文件在一定时间内保持有效的期限。</w:t>
      </w:r>
    </w:p>
    <w:p w14:paraId="3A6D24D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16.2 竞标有效期应由供应商按“供应商须知前附表”规定的期限作出响应。</w:t>
      </w:r>
    </w:p>
    <w:p w14:paraId="77C435C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16.3供应商的响应文件在竞标有效期内均保持有效。</w:t>
      </w:r>
    </w:p>
    <w:p w14:paraId="439AF5C8">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17.磋商保证金</w:t>
      </w:r>
    </w:p>
    <w:p w14:paraId="3CA275D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详见“供应商须知前附表”。</w:t>
      </w:r>
    </w:p>
    <w:p w14:paraId="41E04625">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18.响应文件编制的要求</w:t>
      </w:r>
    </w:p>
    <w:p w14:paraId="0FFFC320">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000000" w:themeColor="text1"/>
          <w:highlight w:val="none"/>
          <w14:textFill>
            <w14:solidFill>
              <w14:schemeClr w14:val="tx1"/>
            </w14:solidFill>
          </w14:textFill>
        </w:rPr>
        <w:t>由此引发的</w:t>
      </w:r>
      <w:r>
        <w:rPr>
          <w:rFonts w:hint="eastAsia" w:ascii="宋体" w:hAnsi="宋体" w:cs="宋体"/>
          <w:color w:val="000000" w:themeColor="text1"/>
          <w:szCs w:val="21"/>
          <w:highlight w:val="none"/>
          <w14:textFill>
            <w14:solidFill>
              <w14:schemeClr w14:val="tx1"/>
            </w14:solidFill>
          </w14:textFill>
        </w:rPr>
        <w:t>后果由供应商承担。</w:t>
      </w:r>
    </w:p>
    <w:p w14:paraId="639B6E7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18.2响应文件应按资格证明、报价分别编制，商务技术文件合并编制，本磋商只接受电子版响应文件，要求见本章“12.2响应文件电子版要求”。</w:t>
      </w:r>
    </w:p>
    <w:p w14:paraId="7F4EE4C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w:t>
      </w:r>
      <w:bookmarkStart w:id="44" w:name="_Hlk65832699"/>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响应文件须由供应商在</w:t>
      </w:r>
      <w:r>
        <w:rPr>
          <w:rFonts w:hint="eastAsia" w:ascii="宋体" w:hAnsi="宋体" w:cs="仿宋_GB2312"/>
          <w:color w:val="000000" w:themeColor="text1"/>
          <w:kern w:val="0"/>
          <w:szCs w:val="21"/>
          <w:highlight w:val="none"/>
          <w:lang w:val="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第五章 响应文件格式</w:t>
      </w:r>
      <w:r>
        <w:rPr>
          <w:rFonts w:hint="eastAsia" w:ascii="宋体" w:hAnsi="宋体" w:cs="仿宋_GB2312"/>
          <w:color w:val="000000" w:themeColor="text1"/>
          <w:kern w:val="0"/>
          <w:szCs w:val="21"/>
          <w:highlight w:val="none"/>
          <w:lang w:val="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规定位置</w:t>
      </w:r>
      <w:r>
        <w:rPr>
          <w:rFonts w:hint="eastAsia" w:ascii="宋体" w:hAnsi="宋体" w:cs="仿宋_GB2312"/>
          <w:color w:val="000000" w:themeColor="text1"/>
          <w:szCs w:val="21"/>
          <w:highlight w:val="none"/>
          <w14:textFill>
            <w14:solidFill>
              <w14:schemeClr w14:val="tx1"/>
            </w14:solidFill>
          </w14:textFill>
        </w:rPr>
        <w:t>进行签署、盖章</w:t>
      </w:r>
      <w:bookmarkEnd w:id="44"/>
      <w:r>
        <w:rPr>
          <w:rFonts w:hint="eastAsia" w:ascii="宋体" w:hAnsi="宋体" w:cs="宋体"/>
          <w:color w:val="000000" w:themeColor="text1"/>
          <w:szCs w:val="21"/>
          <w:highlight w:val="none"/>
          <w14:textFill>
            <w14:solidFill>
              <w14:schemeClr w14:val="tx1"/>
            </w14:solidFill>
          </w14:textFill>
        </w:rPr>
        <w:t>，否则其响应文件按无效响应处理。骑缝盖公章不视为在规定位置盖章。</w:t>
      </w:r>
    </w:p>
    <w:p w14:paraId="6774973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18.4响应文件中标注的供应商名称应与营业执照（事业单位法人证书、执业许可证、自然人身份证）及电子公章一致，否则其响应文件按无效响应处理。</w:t>
      </w:r>
    </w:p>
    <w:p w14:paraId="2FCBFD6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18.5响应文件应避免涂改、行间插字或者删除，否则其响应文件按无效响应处理。</w:t>
      </w:r>
    </w:p>
    <w:p w14:paraId="4C093104">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19.响应文件的密封和标记</w:t>
      </w:r>
    </w:p>
    <w:p w14:paraId="4D9A3000">
      <w:pPr>
        <w:spacing w:line="360" w:lineRule="auto"/>
        <w:ind w:firstLine="420" w:firstLineChars="200"/>
        <w:rPr>
          <w:rFonts w:ascii="宋体" w:hAnsi="宋体" w:cs="仿宋_GB2312"/>
          <w:color w:val="000000" w:themeColor="text1"/>
          <w:kern w:val="0"/>
          <w:szCs w:val="21"/>
          <w:highlight w:val="none"/>
          <w:lang w:val="zh-CN"/>
          <w14:textFill>
            <w14:solidFill>
              <w14:schemeClr w14:val="tx1"/>
            </w14:solidFill>
          </w14:textFill>
        </w:rPr>
      </w:pPr>
      <w:r>
        <w:rPr>
          <w:rFonts w:hint="eastAsia" w:ascii="宋体" w:hAnsi="宋体" w:cs="仿宋_GB2312"/>
          <w:color w:val="000000" w:themeColor="text1"/>
          <w:kern w:val="0"/>
          <w:szCs w:val="21"/>
          <w:highlight w:val="none"/>
          <w:lang w:val="zh-CN"/>
          <w14:textFill>
            <w14:solidFill>
              <w14:schemeClr w14:val="tx1"/>
            </w14:solidFill>
          </w14:textFill>
        </w:rPr>
        <w:t>19.1供应商进行电子交易应安装客户端软件—“广西政府采购云平台电子交易客户端”，并按照磋商文件和电子交易平台的要求编制并加密响应文件。供应商未按规定加密的响应文件，电子交易平台将拒收并提示。</w:t>
      </w:r>
    </w:p>
    <w:p w14:paraId="59DF2450">
      <w:pPr>
        <w:spacing w:line="360" w:lineRule="auto"/>
        <w:ind w:firstLine="420" w:firstLineChars="200"/>
        <w:rPr>
          <w:rFonts w:ascii="宋体" w:hAnsi="宋体" w:cs="仿宋_GB2312"/>
          <w:color w:val="000000" w:themeColor="text1"/>
          <w:kern w:val="0"/>
          <w:szCs w:val="21"/>
          <w:highlight w:val="none"/>
          <w:lang w:val="zh-CN"/>
          <w14:textFill>
            <w14:solidFill>
              <w14:schemeClr w14:val="tx1"/>
            </w14:solidFill>
          </w14:textFill>
        </w:rPr>
      </w:pPr>
      <w:r>
        <w:rPr>
          <w:rFonts w:hint="eastAsia" w:ascii="宋体" w:hAnsi="宋体" w:cs="仿宋_GB2312"/>
          <w:color w:val="000000" w:themeColor="text1"/>
          <w:kern w:val="0"/>
          <w:szCs w:val="21"/>
          <w:highlight w:val="none"/>
          <w:lang w:val="zh-CN"/>
          <w14:textFill>
            <w14:solidFill>
              <w14:schemeClr w14:val="tx1"/>
            </w14:solidFill>
          </w14:textFill>
        </w:rPr>
        <w:t>19.2使用“广西政府采购云平台电子交易客户端”需要提前申领CA数字证书，申领流程见该项目采购公告附件。</w:t>
      </w:r>
    </w:p>
    <w:p w14:paraId="6EE783F8">
      <w:pPr>
        <w:pStyle w:val="28"/>
        <w:spacing w:line="360" w:lineRule="auto"/>
        <w:ind w:firstLine="420" w:firstLineChars="200"/>
        <w:rPr>
          <w:rFonts w:hAnsi="宋体" w:cs="仿宋_GB2312"/>
          <w:color w:val="000000" w:themeColor="text1"/>
          <w:sz w:val="21"/>
          <w:highlight w:val="none"/>
          <w14:textFill>
            <w14:solidFill>
              <w14:schemeClr w14:val="tx1"/>
            </w14:solidFill>
          </w14:textFill>
        </w:rPr>
      </w:pPr>
      <w:r>
        <w:rPr>
          <w:rFonts w:hint="eastAsia" w:hAnsi="宋体" w:cs="仿宋_GB2312"/>
          <w:color w:val="000000" w:themeColor="text1"/>
          <w:sz w:val="21"/>
          <w:highlight w:val="none"/>
          <w14:textFill>
            <w14:solidFill>
              <w14:schemeClr w14:val="tx1"/>
            </w14:solidFill>
          </w14:textFill>
        </w:rPr>
        <w:t>19.3为确保网上操作合法、有效和安全，供应商应当在响应文件提交截止时间前完成在“政府采购云平台”的身份认证，确保在电子交易过程中能够对相关数据电文进行加密和使用电子签名。</w:t>
      </w:r>
    </w:p>
    <w:p w14:paraId="61171F78">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20.响应文件的提交</w:t>
      </w:r>
    </w:p>
    <w:p w14:paraId="11A4D4A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20.1供应商必须在“供应商须知前附表”规定的时间和地点提交响应文件。</w:t>
      </w:r>
    </w:p>
    <w:p w14:paraId="4149E2A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r>
        <w:rPr>
          <w:rFonts w:hint="eastAsia" w:ascii="宋体" w:hAnsi="宋体"/>
          <w:color w:val="000000" w:themeColor="text1"/>
          <w:szCs w:val="21"/>
          <w:highlight w:val="none"/>
          <w14:textFill>
            <w14:solidFill>
              <w14:schemeClr w14:val="tx1"/>
            </w14:solidFill>
          </w14:textFill>
        </w:rPr>
        <w:t>.2 在响应文件提交截止时间以后，不能补充、修改响应文件。</w:t>
      </w:r>
    </w:p>
    <w:p w14:paraId="4C5DC234">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20.3 在提交“最后报价”后，供应商不能退出磋商。</w:t>
      </w:r>
    </w:p>
    <w:p w14:paraId="46B7830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20.4 电子交易平台收到响应文件，将妥善保存并即时向供应商发出确认回执通知。在响应文件提交截止时间前，除供应商补充、修改或者撤回响应文件外，任何单位和个人不得解密或提取响应文件。</w:t>
      </w:r>
    </w:p>
    <w:p w14:paraId="4F9F6AE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20.5 采购机构不可视情况延长提交响应文件的截止时间。</w:t>
      </w:r>
    </w:p>
    <w:p w14:paraId="3CE38A83">
      <w:pPr>
        <w:spacing w:line="360" w:lineRule="auto"/>
        <w:ind w:firstLine="420" w:firstLineChars="200"/>
        <w:rPr>
          <w:rFonts w:ascii="黑体" w:hAnsi="黑体" w:eastAsia="黑体"/>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20.6备份响应文件。</w:t>
      </w:r>
      <w:r>
        <w:rPr>
          <w:rFonts w:hint="eastAsia" w:hAnsi="宋体"/>
          <w:bCs/>
          <w:color w:val="000000" w:themeColor="text1"/>
          <w:szCs w:val="21"/>
          <w:highlight w:val="none"/>
          <w14:textFill>
            <w14:solidFill>
              <w14:schemeClr w14:val="tx1"/>
            </w14:solidFill>
          </w14:textFill>
        </w:rPr>
        <w:t>详见在“供应商须知前附表”。</w:t>
      </w:r>
    </w:p>
    <w:p w14:paraId="4422BDD6">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21.首次响应文件的补充、修改与撤回</w:t>
      </w:r>
    </w:p>
    <w:p w14:paraId="68BE0C5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详见“供应商须知前附表”。</w:t>
      </w:r>
    </w:p>
    <w:p w14:paraId="5405BB8D">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bookmarkStart w:id="45" w:name="_Hlk45702405"/>
      <w:r>
        <w:rPr>
          <w:rFonts w:hint="eastAsia" w:ascii="黑体" w:hAnsi="黑体" w:eastAsia="黑体" w:cs="宋体"/>
          <w:b/>
          <w:bCs/>
          <w:color w:val="000000" w:themeColor="text1"/>
          <w:sz w:val="24"/>
          <w:highlight w:val="none"/>
          <w14:textFill>
            <w14:solidFill>
              <w14:schemeClr w14:val="tx1"/>
            </w14:solidFill>
          </w14:textFill>
        </w:rPr>
        <w:t>22. 首次响应文件的退回</w:t>
      </w:r>
    </w:p>
    <w:p w14:paraId="371121B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在首次响应文件提交截止时间止提交响应文件的供应商不足3家时电子响应文件由代理机构在广西政府采购云平台操作退回，除此之外采购人和采购代理机构对已提交的电子响应文件概不退回。</w:t>
      </w:r>
    </w:p>
    <w:p w14:paraId="4FA42EC3">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23. 截止时间后的撤回</w:t>
      </w:r>
    </w:p>
    <w:p w14:paraId="0BE8237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本项目不收取磋商保证金，供应商在首次响应文件提交截止时间后可向采购人、采购代理机构书面申请撤回电子响应文件。</w:t>
      </w:r>
      <w:bookmarkEnd w:id="45"/>
    </w:p>
    <w:p w14:paraId="006E21D9">
      <w:pPr>
        <w:pStyle w:val="6"/>
        <w:spacing w:before="0" w:after="0" w:line="360" w:lineRule="auto"/>
        <w:ind w:firstLine="640" w:firstLineChars="200"/>
        <w:rPr>
          <w:rFonts w:ascii="宋体" w:hAnsi="宋体"/>
          <w:b w:val="0"/>
          <w:bCs w:val="0"/>
          <w:color w:val="000000" w:themeColor="text1"/>
          <w:highlight w:val="none"/>
          <w14:textFill>
            <w14:solidFill>
              <w14:schemeClr w14:val="tx1"/>
            </w14:solidFill>
          </w14:textFill>
        </w:rPr>
      </w:pPr>
      <w:bookmarkStart w:id="46" w:name="_Toc213948285"/>
      <w:r>
        <w:rPr>
          <w:rFonts w:hint="eastAsia" w:ascii="宋体" w:hAnsi="宋体"/>
          <w:b w:val="0"/>
          <w:bCs w:val="0"/>
          <w:color w:val="000000" w:themeColor="text1"/>
          <w:highlight w:val="none"/>
          <w14:textFill>
            <w14:solidFill>
              <w14:schemeClr w14:val="tx1"/>
            </w14:solidFill>
          </w14:textFill>
        </w:rPr>
        <w:t>四、评审及磋商</w:t>
      </w:r>
      <w:bookmarkEnd w:id="46"/>
    </w:p>
    <w:p w14:paraId="710316CF">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24.磋商小组成立</w:t>
      </w:r>
    </w:p>
    <w:p w14:paraId="1C4CC25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B5B05F5">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33965089">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25.首次响应文件的开启</w:t>
      </w:r>
    </w:p>
    <w:p w14:paraId="3E02A99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25.1首次响应文件由磋商小组或者采购代理机构在“供应商须知前附表”规定的时间开启。</w:t>
      </w:r>
    </w:p>
    <w:p w14:paraId="5484CDF1">
      <w:pPr>
        <w:pStyle w:val="28"/>
        <w:spacing w:line="360" w:lineRule="auto"/>
        <w:ind w:firstLine="420" w:firstLineChars="200"/>
        <w:rPr>
          <w:rFonts w:hAnsi="宋体"/>
          <w:bCs/>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 xml:space="preserve">25.2 </w:t>
      </w:r>
      <w:r>
        <w:rPr>
          <w:rFonts w:hint="eastAsia" w:hAnsi="宋体"/>
          <w:bCs/>
          <w:color w:val="000000" w:themeColor="text1"/>
          <w:sz w:val="21"/>
          <w:highlight w:val="none"/>
          <w14:textFill>
            <w14:solidFill>
              <w14:schemeClr w14:val="tx1"/>
            </w14:solidFill>
          </w14:textFill>
        </w:rPr>
        <w:t>响应文件解密</w:t>
      </w:r>
    </w:p>
    <w:p w14:paraId="33969A2A">
      <w:pPr>
        <w:pStyle w:val="28"/>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采购代理机构将在“供应商须知前附表”规定的时</w:t>
      </w:r>
      <w:r>
        <w:rPr>
          <w:rFonts w:hint="eastAsia" w:hAnsi="宋体"/>
          <w:color w:val="000000" w:themeColor="text1"/>
          <w:sz w:val="21"/>
          <w:highlight w:val="none"/>
          <w14:textFill>
            <w14:solidFill>
              <w14:schemeClr w14:val="tx1"/>
            </w14:solidFill>
          </w14:textFill>
        </w:rPr>
        <w:t>间通过电子交易平台组织响应文件开启，采购机构依托电子交易平台发起开始解密指令，供应商的法定代表人或其委托代理人</w:t>
      </w:r>
      <w:r>
        <w:rPr>
          <w:rFonts w:hint="eastAsia" w:hAnsi="宋体"/>
          <w:b/>
          <w:color w:val="000000" w:themeColor="text1"/>
          <w:sz w:val="21"/>
          <w:highlight w:val="none"/>
          <w14:textFill>
            <w14:solidFill>
              <w14:schemeClr w14:val="tx1"/>
            </w14:solidFill>
          </w14:textFill>
        </w:rPr>
        <w:t>须携带加密时所用的CA锁按平台提示和采购文件的规定登录到</w:t>
      </w:r>
      <w:r>
        <w:rPr>
          <w:rFonts w:hint="eastAsia" w:hAnsi="宋体" w:cs="宋体"/>
          <w:b/>
          <w:color w:val="000000" w:themeColor="text1"/>
          <w:sz w:val="21"/>
          <w:highlight w:val="none"/>
          <w14:textFill>
            <w14:solidFill>
              <w14:schemeClr w14:val="tx1"/>
            </w14:solidFill>
          </w14:textFill>
        </w:rPr>
        <w:t>广西政府采购云平台</w:t>
      </w:r>
      <w:r>
        <w:rPr>
          <w:rFonts w:hint="eastAsia" w:hAnsi="宋体"/>
          <w:b/>
          <w:color w:val="000000" w:themeColor="text1"/>
          <w:sz w:val="21"/>
          <w:highlight w:val="none"/>
          <w14:textFill>
            <w14:solidFill>
              <w14:schemeClr w14:val="tx1"/>
            </w14:solidFill>
          </w14:textFill>
        </w:rPr>
        <w:t>电子开标大厅签到并在发起解密指令之时起30分钟内完成对电子响应文件在线解密</w:t>
      </w:r>
      <w:r>
        <w:rPr>
          <w:rFonts w:hint="eastAsia" w:hAnsi="宋体"/>
          <w:color w:val="000000" w:themeColor="text1"/>
          <w:sz w:val="21"/>
          <w:highlight w:val="none"/>
          <w14:textFill>
            <w14:solidFill>
              <w14:schemeClr w14:val="tx1"/>
            </w14:solidFill>
          </w14:textFill>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000000" w:themeColor="text1"/>
          <w:sz w:val="21"/>
          <w:highlight w:val="none"/>
          <w14:textFill>
            <w14:solidFill>
              <w14:schemeClr w14:val="tx1"/>
            </w14:solidFill>
          </w14:textFill>
        </w:rPr>
        <w:t>视为响应文件无效。</w:t>
      </w:r>
      <w:r>
        <w:rPr>
          <w:rFonts w:hint="eastAsia" w:hAnsi="宋体"/>
          <w:color w:val="000000" w:themeColor="text1"/>
          <w:sz w:val="21"/>
          <w:highlight w:val="none"/>
          <w14:textFill>
            <w14:solidFill>
              <w14:schemeClr w14:val="tx1"/>
            </w14:solidFill>
          </w14:textFill>
        </w:rPr>
        <w:t>（解密</w:t>
      </w:r>
      <w:r>
        <w:rPr>
          <w:rFonts w:hint="eastAsia" w:hAnsi="宋体"/>
          <w:bCs/>
          <w:color w:val="000000" w:themeColor="text1"/>
          <w:sz w:val="21"/>
          <w:highlight w:val="none"/>
          <w14:textFill>
            <w14:solidFill>
              <w14:schemeClr w14:val="tx1"/>
            </w14:solidFill>
          </w14:textFill>
        </w:rPr>
        <w:t>异常情况处理：详见本章</w:t>
      </w:r>
      <w:r>
        <w:rPr>
          <w:rFonts w:hint="eastAsia" w:hAnsi="宋体"/>
          <w:color w:val="000000" w:themeColor="text1"/>
          <w:sz w:val="21"/>
          <w:highlight w:val="none"/>
          <w14:textFill>
            <w14:solidFill>
              <w14:schemeClr w14:val="tx1"/>
            </w14:solidFill>
          </w14:textFill>
        </w:rPr>
        <w:t>26.3 电子交易活动的中止。）</w:t>
      </w:r>
    </w:p>
    <w:p w14:paraId="54F524C6">
      <w:pPr>
        <w:pStyle w:val="28"/>
        <w:spacing w:line="360" w:lineRule="auto"/>
        <w:ind w:firstLine="420" w:firstLineChars="200"/>
        <w:rPr>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如</w:t>
      </w:r>
      <w:r>
        <w:rPr>
          <w:rFonts w:hint="eastAsia" w:hAnsi="宋体"/>
          <w:bCs/>
          <w:color w:val="000000" w:themeColor="text1"/>
          <w:sz w:val="21"/>
          <w:highlight w:val="none"/>
          <w14:textFill>
            <w14:solidFill>
              <w14:schemeClr w14:val="tx1"/>
            </w14:solidFill>
          </w14:textFill>
        </w:rPr>
        <w:t>供应商成功解密响应文件，但未在广西政府采购云平台电子开标大厅参加磋商的，视同认可磋商过程和结果，</w:t>
      </w:r>
      <w:r>
        <w:rPr>
          <w:rFonts w:hint="eastAsia" w:hAnsi="宋体"/>
          <w:color w:val="000000" w:themeColor="text1"/>
          <w:sz w:val="21"/>
          <w:highlight w:val="none"/>
          <w14:textFill>
            <w14:solidFill>
              <w14:schemeClr w14:val="tx1"/>
            </w14:solidFill>
          </w14:textFill>
        </w:rPr>
        <w:t>由此产生的后果由供应商自行负责。 参与磋商的供应商</w:t>
      </w:r>
      <w:r>
        <w:rPr>
          <w:rFonts w:hint="eastAsia"/>
          <w:color w:val="000000" w:themeColor="text1"/>
          <w:sz w:val="21"/>
          <w:highlight w:val="none"/>
          <w14:textFill>
            <w14:solidFill>
              <w14:schemeClr w14:val="tx1"/>
            </w14:solidFill>
          </w14:textFill>
        </w:rPr>
        <w:t>不足3家的，不得磋商。</w:t>
      </w:r>
    </w:p>
    <w:p w14:paraId="3B7ED7C3">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26.评审程序、评审方法和评审标准</w:t>
      </w:r>
    </w:p>
    <w:p w14:paraId="237309F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26.1磋商小组按照“第四章 评审程序、评审方法和评审标准”规定的方法、评审因素、标准和程序对响应文件进行评审。</w:t>
      </w:r>
    </w:p>
    <w:p w14:paraId="57268BC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26.2 </w:t>
      </w:r>
      <w:r>
        <w:rPr>
          <w:rFonts w:hint="eastAsia" w:ascii="宋体" w:hAnsi="宋体" w:cs="宋体"/>
          <w:color w:val="000000" w:themeColor="text1"/>
          <w:szCs w:val="21"/>
          <w:highlight w:val="none"/>
          <w14:textFill>
            <w14:solidFill>
              <w14:schemeClr w14:val="tx1"/>
            </w14:solidFill>
          </w14:textFill>
        </w:rPr>
        <w:t>磋商文件内容违反国家有关强制性规定的，磋商小组应当停止评审并向采购人或者采购代理机构说明情况，并在评审报告中书面体现。</w:t>
      </w:r>
    </w:p>
    <w:p w14:paraId="5143782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26.3 </w:t>
      </w:r>
      <w:r>
        <w:rPr>
          <w:rFonts w:hint="eastAsia" w:ascii="宋体" w:hAnsi="宋体"/>
          <w:color w:val="000000" w:themeColor="text1"/>
          <w:szCs w:val="21"/>
          <w:highlight w:val="none"/>
          <w14:textFill>
            <w14:solidFill>
              <w14:schemeClr w14:val="tx1"/>
            </w14:solidFill>
          </w14:textFill>
        </w:rPr>
        <w:t>采购需求负偏离要求及磋商顺序详见 “ 供应商须知前附表”。</w:t>
      </w:r>
    </w:p>
    <w:p w14:paraId="011A0026">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26.4电子交易活动的中止。采购过程中出现以下情形，导致电子交易平台无法正常运行，或者无法保证电子交易的公平、公正和安全时，采购机构可中止电子交易活动：</w:t>
      </w:r>
    </w:p>
    <w:p w14:paraId="1F71F9F1">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（1）电子交易平台发生故障而无法登录访问的； </w:t>
      </w:r>
    </w:p>
    <w:p w14:paraId="0272C921">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（2）电子交易平台应用或数据库出现错误，不能进行正常操作的；</w:t>
      </w:r>
    </w:p>
    <w:p w14:paraId="24F5AAAB">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（3）电子交易平台发现严重安全漏洞，有潜在泄密危险的；</w:t>
      </w:r>
    </w:p>
    <w:p w14:paraId="53EEDC8E">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（4）病毒发作导致不能进行正常操作的； </w:t>
      </w:r>
    </w:p>
    <w:p w14:paraId="6EF0642D">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（5）其他无法保证电子交易的公平、公正和安全的情况。</w:t>
      </w:r>
    </w:p>
    <w:p w14:paraId="1D063FFC">
      <w:pPr>
        <w:spacing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AEDB6E9">
      <w:pPr>
        <w:pStyle w:val="6"/>
        <w:spacing w:before="0" w:after="0" w:line="360" w:lineRule="auto"/>
        <w:ind w:firstLine="480" w:firstLineChars="150"/>
        <w:rPr>
          <w:rFonts w:ascii="宋体" w:hAnsi="宋体"/>
          <w:b w:val="0"/>
          <w:bCs w:val="0"/>
          <w:color w:val="000000" w:themeColor="text1"/>
          <w:highlight w:val="none"/>
          <w14:textFill>
            <w14:solidFill>
              <w14:schemeClr w14:val="tx1"/>
            </w14:solidFill>
          </w14:textFill>
        </w:rPr>
      </w:pPr>
      <w:bookmarkStart w:id="47" w:name="_Toc213948286"/>
      <w:r>
        <w:rPr>
          <w:rFonts w:hint="eastAsia" w:ascii="宋体" w:hAnsi="宋体"/>
          <w:b w:val="0"/>
          <w:bCs w:val="0"/>
          <w:color w:val="000000" w:themeColor="text1"/>
          <w:highlight w:val="none"/>
          <w14:textFill>
            <w14:solidFill>
              <w14:schemeClr w14:val="tx1"/>
            </w14:solidFill>
          </w14:textFill>
        </w:rPr>
        <w:t>五、成交及合同</w:t>
      </w:r>
      <w:bookmarkEnd w:id="47"/>
    </w:p>
    <w:p w14:paraId="2EA75D1B">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27.确定成交供应商及结果公告</w:t>
      </w:r>
    </w:p>
    <w:p w14:paraId="1CA25F75">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27.1确定成交供应商。</w:t>
      </w:r>
      <w:r>
        <w:rPr>
          <w:rFonts w:hint="eastAsia" w:ascii="宋体" w:hAnsi="宋体" w:cs="宋体"/>
          <w:color w:val="000000" w:themeColor="text1"/>
          <w:kern w:val="0"/>
          <w:szCs w:val="21"/>
          <w:highlight w:val="none"/>
          <w:u w:val="single"/>
          <w14:textFill>
            <w14:solidFill>
              <w14:schemeClr w14:val="tx1"/>
            </w14:solidFill>
          </w14:textFill>
        </w:rPr>
        <w:t xml:space="preserve"> 由采购人直接委托评审专家确定</w:t>
      </w:r>
      <w:r>
        <w:rPr>
          <w:rFonts w:hint="eastAsia" w:ascii="宋体" w:hAnsi="宋体" w:cs="宋体"/>
          <w:color w:val="000000" w:themeColor="text1"/>
          <w:szCs w:val="21"/>
          <w:highlight w:val="none"/>
          <w:u w:val="single"/>
          <w14:textFill>
            <w14:solidFill>
              <w14:schemeClr w14:val="tx1"/>
            </w14:solidFill>
          </w14:textFill>
        </w:rPr>
        <w:t>，评审报告提出的排序第一的供应商为成交供应商。</w:t>
      </w:r>
    </w:p>
    <w:p w14:paraId="301E58B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27.2成交通知及成交结果公告。</w:t>
      </w:r>
      <w:r>
        <w:rPr>
          <w:rFonts w:hint="eastAsia" w:ascii="宋体" w:hAnsi="宋体" w:cs="宋体"/>
          <w:color w:val="000000" w:themeColor="text1"/>
          <w:kern w:val="0"/>
          <w:szCs w:val="21"/>
          <w:highlight w:val="none"/>
          <w14:textFill>
            <w14:solidFill>
              <w14:schemeClr w14:val="tx1"/>
            </w14:solidFill>
          </w14:textFill>
        </w:rPr>
        <w:t>成交</w:t>
      </w:r>
      <w:r>
        <w:rPr>
          <w:rFonts w:hint="eastAsia" w:ascii="宋体" w:hAnsi="宋体" w:cs="宋体"/>
          <w:color w:val="000000" w:themeColor="text1"/>
          <w:szCs w:val="21"/>
          <w:highlight w:val="none"/>
          <w14:textFill>
            <w14:solidFill>
              <w14:schemeClr w14:val="tx1"/>
            </w14:solidFill>
          </w14:textFill>
        </w:rPr>
        <w:t>供应商确定后2个工作日内，在省级以上财政部门指定的媒体上公</w:t>
      </w:r>
      <w:r>
        <w:rPr>
          <w:rFonts w:hint="eastAsia" w:ascii="宋体" w:hAnsi="宋体" w:cs="宋体"/>
          <w:color w:val="000000" w:themeColor="text1"/>
          <w:kern w:val="0"/>
          <w:szCs w:val="21"/>
          <w:highlight w:val="none"/>
          <w14:textFill>
            <w14:solidFill>
              <w14:schemeClr w14:val="tx1"/>
            </w14:solidFill>
          </w14:textFill>
        </w:rPr>
        <w:t>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000000" w:themeColor="text1"/>
          <w:szCs w:val="21"/>
          <w:highlight w:val="none"/>
          <w14:textFill>
            <w14:solidFill>
              <w14:schemeClr w14:val="tx1"/>
            </w14:solidFill>
          </w14:textFill>
        </w:rPr>
        <w:t>同时向成交供应商发出成交通知书，成交通知书规定签订合同的时间不得超过25日。</w:t>
      </w:r>
    </w:p>
    <w:p w14:paraId="032635C5">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000000" w:themeColor="text1"/>
          <w:szCs w:val="21"/>
          <w:highlight w:val="none"/>
          <w14:textFill>
            <w14:solidFill>
              <w14:schemeClr w14:val="tx1"/>
            </w14:solidFill>
          </w14:textFill>
        </w:rPr>
        <w:t>成交供应商享受</w:t>
      </w:r>
      <w:r>
        <w:rPr>
          <w:rFonts w:hint="eastAsia" w:ascii="宋体" w:hAnsi="宋体"/>
          <w:color w:val="000000" w:themeColor="text1"/>
          <w:szCs w:val="21"/>
          <w:highlight w:val="none"/>
          <w14:textFill>
            <w14:solidFill>
              <w14:schemeClr w14:val="tx1"/>
            </w14:solidFill>
          </w14:textFill>
        </w:rPr>
        <w:t>《政府采购促进中小企业发展管理办法》（财库〔2020〕46号）规定的中小企业扶持</w:t>
      </w:r>
      <w:r>
        <w:rPr>
          <w:rFonts w:hint="eastAsia" w:ascii="宋体" w:hAnsi="宋体" w:cs="Courier New"/>
          <w:color w:val="000000" w:themeColor="text1"/>
          <w:szCs w:val="21"/>
          <w:highlight w:val="none"/>
          <w14:textFill>
            <w14:solidFill>
              <w14:schemeClr w14:val="tx1"/>
            </w14:solidFill>
          </w14:textFill>
        </w:rPr>
        <w:t>政策的，采购人、采购代理机构应当随成交结果公开成交供应商的《中小企业声明函》。</w:t>
      </w:r>
    </w:p>
    <w:p w14:paraId="28C08970">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608CF78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27.5</w:t>
      </w:r>
      <w:r>
        <w:rPr>
          <w:rFonts w:hint="eastAsia" w:ascii="宋体" w:hAnsi="宋体" w:cs="宋体"/>
          <w:color w:val="000000" w:themeColor="text1"/>
          <w:szCs w:val="21"/>
          <w:highlight w:val="none"/>
          <w14:textFill>
            <w14:solidFill>
              <w14:schemeClr w14:val="tx1"/>
            </w14:solidFill>
          </w14:textFill>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47E711DD">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28.履约保证金</w:t>
      </w:r>
    </w:p>
    <w:p w14:paraId="4194C3FC">
      <w:pPr>
        <w:spacing w:line="360" w:lineRule="auto"/>
        <w:ind w:firstLine="420" w:firstLineChars="200"/>
        <w:rPr>
          <w:rFonts w:ascii="黑体" w:hAnsi="黑体" w:eastAsia="黑体" w:cs="宋体"/>
          <w:b/>
          <w:bCs/>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 “供应商须知前附表”</w:t>
      </w:r>
    </w:p>
    <w:p w14:paraId="779F8C85">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29.签订合同</w:t>
      </w:r>
    </w:p>
    <w:p w14:paraId="7D2461DD">
      <w:pPr>
        <w:pStyle w:val="106"/>
        <w:snapToGrid w:val="0"/>
        <w:spacing w:before="0"/>
        <w:ind w:firstLine="420"/>
        <w:rPr>
          <w:rFonts w:ascii="宋体" w:hAnsi="宋体"/>
          <w:color w:val="000000" w:themeColor="text1"/>
          <w:sz w:val="21"/>
          <w:szCs w:val="21"/>
          <w:highlight w:val="none"/>
          <w:lang w:val="zh-CN"/>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29.1</w:t>
      </w:r>
      <w:r>
        <w:rPr>
          <w:rFonts w:hint="eastAsia" w:ascii="宋体" w:hAnsi="宋体"/>
          <w:color w:val="000000" w:themeColor="text1"/>
          <w:sz w:val="21"/>
          <w:szCs w:val="21"/>
          <w:highlight w:val="none"/>
          <w14:textFill>
            <w14:solidFill>
              <w14:schemeClr w14:val="tx1"/>
            </w14:solidFill>
          </w14:textFill>
        </w:rPr>
        <w:t>采购人与成交供应商应当在</w:t>
      </w:r>
      <w:r>
        <w:rPr>
          <w:rFonts w:hint="eastAsia" w:ascii="宋体" w:hAnsi="宋体" w:cs="宋体"/>
          <w:color w:val="000000" w:themeColor="text1"/>
          <w:sz w:val="21"/>
          <w:szCs w:val="21"/>
          <w:highlight w:val="none"/>
          <w14:textFill>
            <w14:solidFill>
              <w14:schemeClr w14:val="tx1"/>
            </w14:solidFill>
          </w14:textFill>
        </w:rPr>
        <w:t>成交通知书规定的时间内</w:t>
      </w:r>
      <w:r>
        <w:rPr>
          <w:rFonts w:hint="eastAsia" w:ascii="宋体" w:hAnsi="宋体"/>
          <w:color w:val="000000" w:themeColor="text1"/>
          <w:sz w:val="21"/>
          <w:szCs w:val="21"/>
          <w:highlight w:val="none"/>
          <w14:textFill>
            <w14:solidFill>
              <w14:schemeClr w14:val="tx1"/>
            </w14:solidFill>
          </w14:textFill>
        </w:rPr>
        <w:t>，按照磋商文件确定的合同文本以及采购标的、服务技术、采购金额、采购数量、技术和服务要求等事项签订政府采购合同。</w:t>
      </w:r>
      <w:r>
        <w:rPr>
          <w:rFonts w:hint="eastAsia" w:ascii="宋体" w:hAnsi="宋体"/>
          <w:color w:val="000000" w:themeColor="text1"/>
          <w:sz w:val="21"/>
          <w:szCs w:val="21"/>
          <w:highlight w:val="none"/>
          <w:lang w:val="zh-CN"/>
          <w14:textFill>
            <w14:solidFill>
              <w14:schemeClr w14:val="tx1"/>
            </w14:solidFill>
          </w14:textFill>
        </w:rPr>
        <w:t>如成交供应商为联合体的，由联合体成员各方法定代表人或其授权代表与采购人代表签订合同。</w:t>
      </w:r>
    </w:p>
    <w:p w14:paraId="26FB61D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53B5169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4B04E76A">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29.4如签订合同并生效后，供应商无故拒绝或延期，除按照合同条款处理外，列入不良行为记录，并给予通报。</w:t>
      </w:r>
    </w:p>
    <w:p w14:paraId="4340EF0F">
      <w:pPr>
        <w:pStyle w:val="106"/>
        <w:spacing w:before="0"/>
        <w:ind w:firstLine="420"/>
        <w:rPr>
          <w:rFonts w:ascii="宋体" w:hAnsi="宋体" w:cs="宋体"/>
          <w:color w:val="000000" w:themeColor="text1"/>
          <w:szCs w:val="21"/>
          <w:highlight w:val="none"/>
          <w14:textFill>
            <w14:solidFill>
              <w14:schemeClr w14:val="tx1"/>
            </w14:solidFill>
          </w14:textFill>
        </w:rPr>
      </w:pPr>
      <w:r>
        <w:rPr>
          <w:rFonts w:hint="eastAsia" w:ascii="宋体" w:hAnsi="宋体" w:cs="仿宋_GB2312"/>
          <w:color w:val="000000" w:themeColor="text1"/>
          <w:sz w:val="21"/>
          <w:szCs w:val="21"/>
          <w:highlight w:val="none"/>
          <w14:textFill>
            <w14:solidFill>
              <w14:schemeClr w14:val="tx1"/>
            </w14:solidFill>
          </w14:textFill>
        </w:rPr>
        <w:t>29.5采购合同由采购人与成交供应商根据</w:t>
      </w:r>
      <w:r>
        <w:rPr>
          <w:rFonts w:hint="eastAsia" w:ascii="宋体" w:hAnsi="宋体"/>
          <w:color w:val="000000" w:themeColor="text1"/>
          <w:sz w:val="21"/>
          <w:szCs w:val="21"/>
          <w:highlight w:val="none"/>
          <w14:textFill>
            <w14:solidFill>
              <w14:schemeClr w14:val="tx1"/>
            </w14:solidFill>
          </w14:textFill>
        </w:rPr>
        <w:t>磋商文件</w:t>
      </w:r>
      <w:r>
        <w:rPr>
          <w:rFonts w:hint="eastAsia" w:ascii="宋体" w:hAnsi="宋体" w:cs="仿宋_GB2312"/>
          <w:color w:val="000000" w:themeColor="text1"/>
          <w:sz w:val="21"/>
          <w:szCs w:val="21"/>
          <w:highlight w:val="none"/>
          <w14:textFill>
            <w14:solidFill>
              <w14:schemeClr w14:val="tx1"/>
            </w14:solidFill>
          </w14:textFill>
        </w:rPr>
        <w:t>、响应文件等内容通过政府采购电子交易平台在线签订，自动备案，在线签订须携带的材料见“供应商须</w:t>
      </w:r>
      <w:r>
        <w:rPr>
          <w:rFonts w:hint="eastAsia" w:ascii="宋体" w:hAnsi="宋体"/>
          <w:color w:val="000000" w:themeColor="text1"/>
          <w:sz w:val="21"/>
          <w:szCs w:val="21"/>
          <w:highlight w:val="none"/>
          <w14:textFill>
            <w14:solidFill>
              <w14:schemeClr w14:val="tx1"/>
            </w14:solidFill>
          </w14:textFill>
        </w:rPr>
        <w:t>知前附表</w:t>
      </w:r>
      <w:r>
        <w:rPr>
          <w:rFonts w:hint="eastAsia" w:ascii="宋体" w:hAnsi="宋体" w:cs="仿宋_GB2312"/>
          <w:color w:val="000000" w:themeColor="text1"/>
          <w:sz w:val="21"/>
          <w:szCs w:val="21"/>
          <w:highlight w:val="none"/>
          <w14:textFill>
            <w14:solidFill>
              <w14:schemeClr w14:val="tx1"/>
            </w14:solidFill>
          </w14:textFill>
        </w:rPr>
        <w:t>”。</w:t>
      </w:r>
    </w:p>
    <w:p w14:paraId="351F208B">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30.政府采购合同公告</w:t>
      </w:r>
    </w:p>
    <w:p w14:paraId="7B231A63">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采购人或者受托采购代理机构应当自政府采购合同签订之日起</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个工作日内，将政府采购合同</w:t>
      </w:r>
      <w:r>
        <w:rPr>
          <w:rFonts w:hint="eastAsia" w:ascii="宋体" w:hAnsi="宋体"/>
          <w:bCs/>
          <w:color w:val="000000" w:themeColor="text1"/>
          <w:highlight w:val="none"/>
          <w14:textFill>
            <w14:solidFill>
              <w14:schemeClr w14:val="tx1"/>
            </w14:solidFill>
          </w14:textFill>
        </w:rPr>
        <w:t>在以下媒体上发布</w:t>
      </w:r>
      <w:r>
        <w:rPr>
          <w:rFonts w:hint="eastAsia" w:ascii="宋体" w:hAnsi="宋体" w:cs="宋体"/>
          <w:color w:val="000000" w:themeColor="text1"/>
          <w:kern w:val="0"/>
          <w:szCs w:val="21"/>
          <w:highlight w:val="none"/>
          <w14:textFill>
            <w14:solidFill>
              <w14:schemeClr w14:val="tx1"/>
            </w14:solidFill>
          </w14:textFill>
        </w:rPr>
        <w:t xml:space="preserve"> “广西政府采购网”（http://zfcg.gxzf.gov.cn）</w:t>
      </w:r>
      <w:r>
        <w:rPr>
          <w:rFonts w:hint="eastAsia" w:hAnsi="宋体"/>
          <w:color w:val="000000" w:themeColor="text1"/>
          <w:highlight w:val="none"/>
          <w14:textFill>
            <w14:solidFill>
              <w14:schemeClr w14:val="tx1"/>
            </w14:solidFill>
          </w14:textFill>
        </w:rPr>
        <w:t>上公告，但政府采购合同中涉及国家秘密、商业秘密的内容除外。</w:t>
      </w:r>
    </w:p>
    <w:p w14:paraId="315DFA30">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31. 询问、质疑和投诉</w:t>
      </w:r>
    </w:p>
    <w:p w14:paraId="14AA0ECD">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31.1供应商对政府采购活动事项有疑问的，可以向采购人、采购代理机构提出询问，采购人或者采购代理机构应当在3个工作日内对供应商依法提出的询问作出答复。</w:t>
      </w:r>
    </w:p>
    <w:p w14:paraId="02D011A6">
      <w:pPr>
        <w:spacing w:line="360" w:lineRule="auto"/>
        <w:ind w:firstLine="420" w:firstLineChars="200"/>
        <w:rPr>
          <w:rFonts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000000" w:themeColor="text1"/>
          <w:highlight w:val="none"/>
          <w:shd w:val="clear" w:color="auto" w:fill="FFFFFF"/>
          <w14:textFill>
            <w14:solidFill>
              <w14:schemeClr w14:val="tx1"/>
            </w14:solidFill>
          </w14:textFill>
        </w:rPr>
        <w:t>接收质疑函的方式、联系部门、联系电话和通讯地址等信息详见</w:t>
      </w:r>
      <w:r>
        <w:rPr>
          <w:rFonts w:hint="eastAsia" w:ascii="宋体" w:hAnsi="宋体" w:cs="宋体"/>
          <w:color w:val="000000" w:themeColor="text1"/>
          <w:szCs w:val="21"/>
          <w:highlight w:val="none"/>
          <w14:textFill>
            <w14:solidFill>
              <w14:schemeClr w14:val="tx1"/>
            </w14:solidFill>
          </w14:textFill>
        </w:rPr>
        <w:t>“供应商须知前附表”</w:t>
      </w:r>
      <w:r>
        <w:rPr>
          <w:rFonts w:hint="eastAsia" w:ascii="宋体" w:hAnsi="宋体" w:cs="宋体"/>
          <w:color w:val="000000" w:themeColor="text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 xml:space="preserve">具体质疑起算时间及处理方式如下： </w:t>
      </w:r>
    </w:p>
    <w:p w14:paraId="57EC48A3">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）潜在供应商依法获取采购文件后，认为采购文件使自己的权益受到损害的，应当在竞争性磋商采购文件公告期限届满之日起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w:t>
      </w:r>
      <w:r>
        <w:rPr>
          <w:rFonts w:hint="eastAsia"/>
          <w:color w:val="000000" w:themeColor="text1"/>
          <w:highlight w:val="none"/>
          <w14:textFill>
            <w14:solidFill>
              <w14:schemeClr w14:val="tx1"/>
            </w14:solidFill>
          </w14:textFill>
        </w:rPr>
        <w:t>委托代理协议无特殊约定的，</w:t>
      </w:r>
      <w:r>
        <w:rPr>
          <w:rFonts w:hint="eastAsia" w:hAnsi="宋体"/>
          <w:bCs/>
          <w:color w:val="000000" w:themeColor="text1"/>
          <w:highlight w:val="none"/>
          <w14:textFill>
            <w14:solidFill>
              <w14:schemeClr w14:val="tx1"/>
            </w14:solidFill>
          </w14:textFill>
        </w:rPr>
        <w:t>对竞争性磋商文件中采购需求（含资格要求、采购预算和评分办法）的质疑由采购人受理并负责答复；对竞争性磋商文件中的采购执行程序的质疑由采购代理机构受理并负责答复。</w:t>
      </w:r>
    </w:p>
    <w:p w14:paraId="0A6CEC55">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）供应商认为采购过程使自己的权益受到损害的，应当在各采购程序环节结束之日起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64A72A2D">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）供应商认为成交结果使自己的权益受到损害的，应当在成交结果公告期限届满之日起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个工作日内提出质疑，由采购人受理并负责答复。</w:t>
      </w:r>
    </w:p>
    <w:p w14:paraId="3A45F7A9">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6D908AF9">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31.4 供应商提出质疑应当提交质疑函和必要的证明材料，针对同一采购程序环节的质疑必须在法定质疑期内一次性提出。质疑函应当包括下列内容</w:t>
      </w:r>
      <w:r>
        <w:rPr>
          <w:rFonts w:hint="eastAsia" w:hAnsi="宋体"/>
          <w:bCs/>
          <w:color w:val="000000" w:themeColor="text1"/>
          <w:highlight w:val="none"/>
          <w14:textFill>
            <w14:solidFill>
              <w14:schemeClr w14:val="tx1"/>
            </w14:solidFill>
          </w14:textFill>
        </w:rPr>
        <w:t>（质疑函格式后附）</w:t>
      </w:r>
      <w:r>
        <w:rPr>
          <w:rFonts w:hint="eastAsia" w:ascii="宋体" w:hAnsi="宋体" w:cs="宋体"/>
          <w:color w:val="000000" w:themeColor="text1"/>
          <w:highlight w:val="none"/>
          <w14:textFill>
            <w14:solidFill>
              <w14:schemeClr w14:val="tx1"/>
            </w14:solidFill>
          </w14:textFill>
        </w:rPr>
        <w:t>：</w:t>
      </w:r>
    </w:p>
    <w:p w14:paraId="06F49CE4">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（1）供应商的姓名或者名称、地址、邮编、联系人及联系电话；</w:t>
      </w:r>
    </w:p>
    <w:p w14:paraId="5C2E4400">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（2）质疑项目的名称、编号；</w:t>
      </w:r>
    </w:p>
    <w:p w14:paraId="1CEFC4F0">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（3）具体、明确的质疑事项和与质疑事项相关的请求；</w:t>
      </w:r>
    </w:p>
    <w:p w14:paraId="240FA176">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（4）事实依据；</w:t>
      </w:r>
    </w:p>
    <w:p w14:paraId="184C15E4">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（5）必要的法律依据；</w:t>
      </w:r>
    </w:p>
    <w:p w14:paraId="28FB0C66">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（6）提出质疑的日期。</w:t>
      </w:r>
    </w:p>
    <w:p w14:paraId="6EC7AB2C">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p>
    <w:p w14:paraId="39EEC75E">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31.5采购人、采购代理机构认为供应商质疑不成立，或者成立但未对成交结果构成影响的，继续开展采购活动；认为供应商质疑成立且影响或者可能影响成交结果的，按照下列情况处理：</w:t>
      </w:r>
    </w:p>
    <w:p w14:paraId="16025F19">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（一）对采购文件提出的质疑，依法通过澄清或者修改可以继续开展采购活动的，澄清或者修改采购文件后继续开展采购活动；否则应当修改采购文件后重新开展采购活动。</w:t>
      </w:r>
    </w:p>
    <w:p w14:paraId="72209806">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（二）对采购过程或者成交结果提出的质疑，合格供应商符合法定数量时，可以从合格的成交候选人中另行确定成交供应商的，应当依法另行确定成交供应商；否则应当重新开展采购活动。</w:t>
      </w:r>
    </w:p>
    <w:p w14:paraId="17F5C3E7">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质疑答复导致成交结果改变的，采购人或者采购代理机构应当将有关情况书面报告本级财政部门。</w:t>
      </w:r>
    </w:p>
    <w:p w14:paraId="1DC1365D">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48" w:name="_Toc80205930"/>
    </w:p>
    <w:p w14:paraId="20A66C62">
      <w:pPr>
        <w:pStyle w:val="6"/>
        <w:spacing w:before="0" w:after="0" w:line="360" w:lineRule="auto"/>
        <w:ind w:firstLine="315" w:firstLineChars="98"/>
        <w:rPr>
          <w:rFonts w:ascii="宋体" w:hAnsi="宋体"/>
          <w:b w:val="0"/>
          <w:color w:val="000000" w:themeColor="text1"/>
          <w:highlight w:val="none"/>
          <w14:textFill>
            <w14:solidFill>
              <w14:schemeClr w14:val="tx1"/>
            </w14:solidFill>
          </w14:textFill>
        </w:rPr>
      </w:pPr>
      <w:bookmarkStart w:id="49" w:name="_Toc213948287"/>
      <w:r>
        <w:rPr>
          <w:rFonts w:hint="eastAsia" w:ascii="宋体" w:hAnsi="宋体"/>
          <w:color w:val="000000" w:themeColor="text1"/>
          <w:highlight w:val="none"/>
          <w14:textFill>
            <w14:solidFill>
              <w14:schemeClr w14:val="tx1"/>
            </w14:solidFill>
          </w14:textFill>
        </w:rPr>
        <w:t>六</w:t>
      </w:r>
      <w:r>
        <w:rPr>
          <w:rFonts w:hint="eastAsia" w:ascii="宋体" w:hAnsi="宋体"/>
          <w:b w:val="0"/>
          <w:color w:val="000000" w:themeColor="text1"/>
          <w:highlight w:val="none"/>
          <w14:textFill>
            <w14:solidFill>
              <w14:schemeClr w14:val="tx1"/>
            </w14:solidFill>
          </w14:textFill>
        </w:rPr>
        <w:t>、验收</w:t>
      </w:r>
      <w:bookmarkEnd w:id="48"/>
      <w:bookmarkEnd w:id="49"/>
    </w:p>
    <w:p w14:paraId="58B84710">
      <w:pPr>
        <w:tabs>
          <w:tab w:val="left" w:pos="0"/>
        </w:tabs>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32.验收</w:t>
      </w:r>
    </w:p>
    <w:p w14:paraId="27A9EB2B">
      <w:pPr>
        <w:tabs>
          <w:tab w:val="left" w:pos="0"/>
        </w:tabs>
        <w:spacing w:line="360" w:lineRule="auto"/>
        <w:ind w:firstLine="420" w:firstLineChars="200"/>
        <w:rPr>
          <w:rFonts w:ascii="宋体" w:hAnsi="宋体" w:cs="Helvetica"/>
          <w:color w:val="000000" w:themeColor="text1"/>
          <w:kern w:val="0"/>
          <w:szCs w:val="21"/>
          <w:highlight w:val="none"/>
          <w14:textFill>
            <w14:solidFill>
              <w14:schemeClr w14:val="tx1"/>
            </w14:solidFill>
          </w14:textFill>
        </w:rPr>
      </w:pPr>
      <w:r>
        <w:rPr>
          <w:rFonts w:hint="eastAsia" w:ascii="宋体" w:hAnsi="宋体" w:cs="Helvetica"/>
          <w:color w:val="000000" w:themeColor="text1"/>
          <w:kern w:val="0"/>
          <w:szCs w:val="21"/>
          <w:highlight w:val="none"/>
          <w14:textFill>
            <w14:solidFill>
              <w14:schemeClr w14:val="tx1"/>
            </w14:solidFill>
          </w14:textFill>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6B1E8F0">
      <w:pPr>
        <w:tabs>
          <w:tab w:val="left" w:pos="0"/>
        </w:tabs>
        <w:spacing w:line="360" w:lineRule="auto"/>
        <w:ind w:firstLine="420" w:firstLineChars="200"/>
        <w:rPr>
          <w:rFonts w:ascii="宋体" w:hAnsi="宋体" w:cs="Helvetica"/>
          <w:color w:val="000000" w:themeColor="text1"/>
          <w:kern w:val="0"/>
          <w:szCs w:val="21"/>
          <w:highlight w:val="none"/>
          <w14:textFill>
            <w14:solidFill>
              <w14:schemeClr w14:val="tx1"/>
            </w14:solidFill>
          </w14:textFill>
        </w:rPr>
      </w:pPr>
      <w:r>
        <w:rPr>
          <w:rFonts w:hint="eastAsia" w:ascii="宋体" w:hAnsi="宋体" w:cs="Helvetica"/>
          <w:color w:val="000000" w:themeColor="text1"/>
          <w:kern w:val="0"/>
          <w:szCs w:val="21"/>
          <w:highlight w:val="none"/>
          <w14:textFill>
            <w14:solidFill>
              <w14:schemeClr w14:val="tx1"/>
            </w14:solidFill>
          </w14:textFill>
        </w:rPr>
        <w:t>32.2采购人可以邀请参加本项目的其他供应商或者第三方机构参与验收。参与验收的供应商或者第三方机构的意见作为验收书的参考资料一并存档。</w:t>
      </w:r>
    </w:p>
    <w:p w14:paraId="7C369E75">
      <w:pPr>
        <w:tabs>
          <w:tab w:val="left" w:pos="0"/>
        </w:tabs>
        <w:spacing w:line="360" w:lineRule="auto"/>
        <w:ind w:firstLine="420" w:firstLineChars="200"/>
        <w:rPr>
          <w:rFonts w:ascii="宋体" w:hAnsi="宋体" w:cs="Helvetica"/>
          <w:color w:val="000000" w:themeColor="text1"/>
          <w:kern w:val="0"/>
          <w:szCs w:val="21"/>
          <w:highlight w:val="none"/>
          <w14:textFill>
            <w14:solidFill>
              <w14:schemeClr w14:val="tx1"/>
            </w14:solidFill>
          </w14:textFill>
        </w:rPr>
      </w:pPr>
      <w:r>
        <w:rPr>
          <w:rFonts w:hint="eastAsia" w:ascii="宋体" w:hAnsi="宋体" w:cs="Helvetica"/>
          <w:color w:val="000000" w:themeColor="text1"/>
          <w:kern w:val="0"/>
          <w:szCs w:val="21"/>
          <w:highlight w:val="none"/>
          <w14:textFill>
            <w14:solidFill>
              <w14:schemeClr w14:val="tx1"/>
            </w14:solidFill>
          </w14:textFill>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EB4FC20">
      <w:pPr>
        <w:tabs>
          <w:tab w:val="left" w:pos="0"/>
        </w:tabs>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Helvetica"/>
          <w:color w:val="000000" w:themeColor="text1"/>
          <w:kern w:val="0"/>
          <w:szCs w:val="21"/>
          <w:highlight w:val="none"/>
          <w14:textFill>
            <w14:solidFill>
              <w14:schemeClr w14:val="tx1"/>
            </w14:solidFill>
          </w14:textFill>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07DA40A">
      <w:pPr>
        <w:pStyle w:val="6"/>
        <w:spacing w:before="0" w:after="0" w:line="360" w:lineRule="auto"/>
        <w:ind w:firstLine="320" w:firstLineChars="100"/>
        <w:rPr>
          <w:rFonts w:ascii="宋体" w:hAnsi="宋体"/>
          <w:b w:val="0"/>
          <w:bCs w:val="0"/>
          <w:color w:val="000000" w:themeColor="text1"/>
          <w:highlight w:val="none"/>
          <w14:textFill>
            <w14:solidFill>
              <w14:schemeClr w14:val="tx1"/>
            </w14:solidFill>
          </w14:textFill>
        </w:rPr>
      </w:pPr>
      <w:bookmarkStart w:id="50" w:name="_Toc213948288"/>
      <w:r>
        <w:rPr>
          <w:rFonts w:hint="eastAsia" w:ascii="宋体" w:hAnsi="宋体"/>
          <w:b w:val="0"/>
          <w:bCs w:val="0"/>
          <w:color w:val="000000" w:themeColor="text1"/>
          <w:highlight w:val="none"/>
          <w14:textFill>
            <w14:solidFill>
              <w14:schemeClr w14:val="tx1"/>
            </w14:solidFill>
          </w14:textFill>
        </w:rPr>
        <w:t>七、其他事项</w:t>
      </w:r>
      <w:bookmarkEnd w:id="50"/>
    </w:p>
    <w:p w14:paraId="7CB6C1D5">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33.代理服务费</w:t>
      </w:r>
    </w:p>
    <w:p w14:paraId="292084D4">
      <w:pPr>
        <w:tabs>
          <w:tab w:val="left" w:pos="2835"/>
        </w:tabs>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代理服务收费标准详见下表，缴费账户详见“供应商须知前附表”，供应商为联合体的，可以由联合体中的一方或者多方共同交纳代理服务费。</w:t>
      </w:r>
    </w:p>
    <w:p w14:paraId="74D74387">
      <w:pPr>
        <w:tabs>
          <w:tab w:val="left" w:pos="2835"/>
        </w:tabs>
        <w:spacing w:line="360" w:lineRule="auto"/>
        <w:ind w:firstLine="420" w:firstLineChars="200"/>
        <w:rPr>
          <w:rFonts w:ascii="宋体" w:hAnsi="宋体" w:cs="宋体"/>
          <w:color w:val="000000" w:themeColor="text1"/>
          <w:szCs w:val="21"/>
          <w:highlight w:val="none"/>
          <w14:textFill>
            <w14:solidFill>
              <w14:schemeClr w14:val="tx1"/>
            </w14:solidFill>
          </w14:textFill>
        </w:rPr>
      </w:pPr>
    </w:p>
    <w:tbl>
      <w:tblPr>
        <w:tblStyle w:val="5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0C3E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75566E06">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费率</w:t>
            </w:r>
          </w:p>
          <w:p w14:paraId="5C194E0D">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金额</w:t>
            </w:r>
          </w:p>
        </w:tc>
        <w:tc>
          <w:tcPr>
            <w:tcW w:w="1659" w:type="dxa"/>
            <w:vAlign w:val="center"/>
          </w:tcPr>
          <w:p w14:paraId="052C7D2E">
            <w:pPr>
              <w:keepNext w:val="0"/>
              <w:keepLines w:val="0"/>
              <w:suppressLineNumbers w:val="0"/>
              <w:spacing w:before="0" w:beforeAutospacing="0" w:after="0" w:afterAutospacing="0" w:line="360" w:lineRule="auto"/>
              <w:ind w:left="0" w:right="0" w:firstLine="105" w:firstLineChars="5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货物类</w:t>
            </w:r>
          </w:p>
        </w:tc>
        <w:tc>
          <w:tcPr>
            <w:tcW w:w="1532" w:type="dxa"/>
            <w:vAlign w:val="center"/>
          </w:tcPr>
          <w:p w14:paraId="253DDD0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服务类</w:t>
            </w:r>
          </w:p>
        </w:tc>
        <w:tc>
          <w:tcPr>
            <w:tcW w:w="1546" w:type="dxa"/>
            <w:vAlign w:val="center"/>
          </w:tcPr>
          <w:p w14:paraId="7DF80076">
            <w:pPr>
              <w:keepNext w:val="0"/>
              <w:keepLines w:val="0"/>
              <w:suppressLineNumbers w:val="0"/>
              <w:spacing w:before="0" w:beforeAutospacing="0" w:after="0" w:afterAutospacing="0" w:line="360" w:lineRule="auto"/>
              <w:ind w:left="0" w:right="0"/>
              <w:jc w:val="center"/>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工程类</w:t>
            </w:r>
          </w:p>
        </w:tc>
      </w:tr>
      <w:tr w14:paraId="035F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9632C08">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100万元以下</w:t>
            </w:r>
          </w:p>
        </w:tc>
        <w:tc>
          <w:tcPr>
            <w:tcW w:w="1659" w:type="dxa"/>
          </w:tcPr>
          <w:p w14:paraId="0BB89AE2">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  1.5%                </w:t>
            </w:r>
          </w:p>
        </w:tc>
        <w:tc>
          <w:tcPr>
            <w:tcW w:w="1532" w:type="dxa"/>
          </w:tcPr>
          <w:p w14:paraId="7AB8306A">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1.5%</w:t>
            </w:r>
          </w:p>
        </w:tc>
        <w:tc>
          <w:tcPr>
            <w:tcW w:w="1546" w:type="dxa"/>
          </w:tcPr>
          <w:p w14:paraId="70958C51">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1.0% </w:t>
            </w:r>
          </w:p>
        </w:tc>
      </w:tr>
      <w:tr w14:paraId="73C2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39CA405">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100万～500万元</w:t>
            </w:r>
          </w:p>
        </w:tc>
        <w:tc>
          <w:tcPr>
            <w:tcW w:w="1659" w:type="dxa"/>
          </w:tcPr>
          <w:p w14:paraId="6729B27D">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1.1%                 </w:t>
            </w:r>
          </w:p>
        </w:tc>
        <w:tc>
          <w:tcPr>
            <w:tcW w:w="1532" w:type="dxa"/>
          </w:tcPr>
          <w:p w14:paraId="0A5C69C7">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0.8%</w:t>
            </w:r>
          </w:p>
        </w:tc>
        <w:tc>
          <w:tcPr>
            <w:tcW w:w="1546" w:type="dxa"/>
          </w:tcPr>
          <w:p w14:paraId="6CB48913">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0.7% </w:t>
            </w:r>
          </w:p>
        </w:tc>
      </w:tr>
      <w:tr w14:paraId="6183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AD0783D">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500万～1000万元</w:t>
            </w:r>
          </w:p>
        </w:tc>
        <w:tc>
          <w:tcPr>
            <w:tcW w:w="1659" w:type="dxa"/>
          </w:tcPr>
          <w:p w14:paraId="4128B77D">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  0.8%                </w:t>
            </w:r>
          </w:p>
        </w:tc>
        <w:tc>
          <w:tcPr>
            <w:tcW w:w="1532" w:type="dxa"/>
          </w:tcPr>
          <w:p w14:paraId="3C060A19">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0.45%</w:t>
            </w:r>
          </w:p>
        </w:tc>
        <w:tc>
          <w:tcPr>
            <w:tcW w:w="1546" w:type="dxa"/>
          </w:tcPr>
          <w:p w14:paraId="7A4C97E3">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0.55%</w:t>
            </w:r>
          </w:p>
        </w:tc>
      </w:tr>
      <w:tr w14:paraId="7C1E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53F18E6">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1000万～5000万元</w:t>
            </w:r>
          </w:p>
        </w:tc>
        <w:tc>
          <w:tcPr>
            <w:tcW w:w="1659" w:type="dxa"/>
          </w:tcPr>
          <w:p w14:paraId="5DAC91A7">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0.5%                </w:t>
            </w:r>
          </w:p>
        </w:tc>
        <w:tc>
          <w:tcPr>
            <w:tcW w:w="1532" w:type="dxa"/>
          </w:tcPr>
          <w:p w14:paraId="6E9FC23E">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0.25%</w:t>
            </w:r>
          </w:p>
        </w:tc>
        <w:tc>
          <w:tcPr>
            <w:tcW w:w="1546" w:type="dxa"/>
          </w:tcPr>
          <w:p w14:paraId="588EB968">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0.35% </w:t>
            </w:r>
          </w:p>
        </w:tc>
      </w:tr>
      <w:tr w14:paraId="635F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2EED095">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5000万元～1亿元</w:t>
            </w:r>
          </w:p>
        </w:tc>
        <w:tc>
          <w:tcPr>
            <w:tcW w:w="1659" w:type="dxa"/>
          </w:tcPr>
          <w:p w14:paraId="064F7412">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0.25%                 </w:t>
            </w:r>
          </w:p>
        </w:tc>
        <w:tc>
          <w:tcPr>
            <w:tcW w:w="1532" w:type="dxa"/>
          </w:tcPr>
          <w:p w14:paraId="1FAD97FA">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0.1%</w:t>
            </w:r>
          </w:p>
        </w:tc>
        <w:tc>
          <w:tcPr>
            <w:tcW w:w="1546" w:type="dxa"/>
          </w:tcPr>
          <w:p w14:paraId="34C9E59B">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0.2%</w:t>
            </w:r>
          </w:p>
        </w:tc>
      </w:tr>
      <w:tr w14:paraId="1AB2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8687E76">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1亿～5亿元</w:t>
            </w:r>
          </w:p>
        </w:tc>
        <w:tc>
          <w:tcPr>
            <w:tcW w:w="1659" w:type="dxa"/>
          </w:tcPr>
          <w:p w14:paraId="07220864">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0.05%</w:t>
            </w:r>
          </w:p>
        </w:tc>
        <w:tc>
          <w:tcPr>
            <w:tcW w:w="1532" w:type="dxa"/>
          </w:tcPr>
          <w:p w14:paraId="20BB812B">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0.05%</w:t>
            </w:r>
          </w:p>
        </w:tc>
        <w:tc>
          <w:tcPr>
            <w:tcW w:w="1546" w:type="dxa"/>
          </w:tcPr>
          <w:p w14:paraId="79C6A86D">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0.05%</w:t>
            </w:r>
          </w:p>
        </w:tc>
      </w:tr>
      <w:tr w14:paraId="7A60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2AE99FC">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5亿～10亿元</w:t>
            </w:r>
          </w:p>
        </w:tc>
        <w:tc>
          <w:tcPr>
            <w:tcW w:w="1659" w:type="dxa"/>
          </w:tcPr>
          <w:p w14:paraId="08653F5D">
            <w:pPr>
              <w:keepNext w:val="0"/>
              <w:keepLines w:val="0"/>
              <w:suppressLineNumbers w:val="0"/>
              <w:spacing w:before="0" w:beforeAutospacing="0" w:after="0" w:afterAutospacing="0" w:line="360" w:lineRule="auto"/>
              <w:ind w:left="0" w:right="0" w:firstLine="105" w:firstLineChars="5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0.035%</w:t>
            </w:r>
          </w:p>
        </w:tc>
        <w:tc>
          <w:tcPr>
            <w:tcW w:w="1532" w:type="dxa"/>
          </w:tcPr>
          <w:p w14:paraId="1A6172FE">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0.035%</w:t>
            </w:r>
          </w:p>
        </w:tc>
        <w:tc>
          <w:tcPr>
            <w:tcW w:w="1546" w:type="dxa"/>
          </w:tcPr>
          <w:p w14:paraId="7C5B17E3">
            <w:pPr>
              <w:keepNext w:val="0"/>
              <w:keepLines w:val="0"/>
              <w:suppressLineNumbers w:val="0"/>
              <w:spacing w:before="0" w:beforeAutospacing="0" w:after="0" w:afterAutospacing="0" w:line="360" w:lineRule="auto"/>
              <w:ind w:left="0" w:right="0" w:firstLine="105" w:firstLineChars="5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0.035%</w:t>
            </w:r>
          </w:p>
        </w:tc>
      </w:tr>
      <w:tr w14:paraId="66A7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33E62E4">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10亿～50亿元</w:t>
            </w:r>
          </w:p>
        </w:tc>
        <w:tc>
          <w:tcPr>
            <w:tcW w:w="1659" w:type="dxa"/>
          </w:tcPr>
          <w:p w14:paraId="621C7EB6">
            <w:pPr>
              <w:keepNext w:val="0"/>
              <w:keepLines w:val="0"/>
              <w:suppressLineNumbers w:val="0"/>
              <w:spacing w:before="0" w:beforeAutospacing="0" w:after="0" w:afterAutospacing="0" w:line="360" w:lineRule="auto"/>
              <w:ind w:left="0" w:right="0" w:firstLine="105" w:firstLineChars="5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0.008%</w:t>
            </w:r>
          </w:p>
        </w:tc>
        <w:tc>
          <w:tcPr>
            <w:tcW w:w="1532" w:type="dxa"/>
          </w:tcPr>
          <w:p w14:paraId="005F61A6">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0.008%</w:t>
            </w:r>
          </w:p>
        </w:tc>
        <w:tc>
          <w:tcPr>
            <w:tcW w:w="1546" w:type="dxa"/>
          </w:tcPr>
          <w:p w14:paraId="09A4C290">
            <w:pPr>
              <w:keepNext w:val="0"/>
              <w:keepLines w:val="0"/>
              <w:suppressLineNumbers w:val="0"/>
              <w:spacing w:before="0" w:beforeAutospacing="0" w:after="0" w:afterAutospacing="0" w:line="360" w:lineRule="auto"/>
              <w:ind w:left="0" w:right="0" w:firstLine="105" w:firstLineChars="5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0.008%</w:t>
            </w:r>
          </w:p>
        </w:tc>
      </w:tr>
      <w:tr w14:paraId="3629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C88FBEF">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50亿～100亿元</w:t>
            </w:r>
          </w:p>
        </w:tc>
        <w:tc>
          <w:tcPr>
            <w:tcW w:w="1659" w:type="dxa"/>
          </w:tcPr>
          <w:p w14:paraId="6CC897CF">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0.006%</w:t>
            </w:r>
          </w:p>
        </w:tc>
        <w:tc>
          <w:tcPr>
            <w:tcW w:w="1532" w:type="dxa"/>
          </w:tcPr>
          <w:p w14:paraId="14F5111E">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0.006%</w:t>
            </w:r>
          </w:p>
        </w:tc>
        <w:tc>
          <w:tcPr>
            <w:tcW w:w="1546" w:type="dxa"/>
          </w:tcPr>
          <w:p w14:paraId="72B4A7DF">
            <w:pPr>
              <w:keepNext w:val="0"/>
              <w:keepLines w:val="0"/>
              <w:suppressLineNumbers w:val="0"/>
              <w:spacing w:before="0" w:beforeAutospacing="0" w:after="0" w:afterAutospacing="0" w:line="360" w:lineRule="auto"/>
              <w:ind w:left="0" w:right="0" w:firstLine="105" w:firstLineChars="5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0.006%</w:t>
            </w:r>
          </w:p>
        </w:tc>
      </w:tr>
      <w:tr w14:paraId="213D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DEE9404">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100亿</w:t>
            </w:r>
            <w:r>
              <w:rPr>
                <w:rFonts w:hint="eastAsia" w:ascii="宋体" w:hAnsi="宋体" w:cs="宋体"/>
                <w:color w:val="000000" w:themeColor="text1"/>
                <w:szCs w:val="21"/>
                <w:highlight w:val="none"/>
                <w:lang w:val="en-US" w:eastAsia="zh-CN"/>
                <w14:textFill>
                  <w14:solidFill>
                    <w14:schemeClr w14:val="tx1"/>
                  </w14:solidFill>
                </w14:textFill>
              </w:rPr>
              <w:t>元</w:t>
            </w:r>
            <w:r>
              <w:rPr>
                <w:rFonts w:hint="eastAsia" w:ascii="宋体" w:hAnsi="宋体" w:cs="宋体"/>
                <w:color w:val="000000" w:themeColor="text1"/>
                <w:szCs w:val="21"/>
                <w:highlight w:val="none"/>
                <w14:textFill>
                  <w14:solidFill>
                    <w14:schemeClr w14:val="tx1"/>
                  </w14:solidFill>
                </w14:textFill>
              </w:rPr>
              <w:t>以上</w:t>
            </w:r>
          </w:p>
        </w:tc>
        <w:tc>
          <w:tcPr>
            <w:tcW w:w="1659" w:type="dxa"/>
          </w:tcPr>
          <w:p w14:paraId="5DA9BC69">
            <w:pPr>
              <w:keepNext w:val="0"/>
              <w:keepLines w:val="0"/>
              <w:suppressLineNumbers w:val="0"/>
              <w:spacing w:before="0" w:beforeAutospacing="0" w:after="0" w:afterAutospacing="0" w:line="360" w:lineRule="auto"/>
              <w:ind w:left="0" w:right="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0.004%</w:t>
            </w:r>
          </w:p>
        </w:tc>
        <w:tc>
          <w:tcPr>
            <w:tcW w:w="1532" w:type="dxa"/>
          </w:tcPr>
          <w:p w14:paraId="63FF5F98">
            <w:pPr>
              <w:keepNext w:val="0"/>
              <w:keepLines w:val="0"/>
              <w:suppressLineNumbers w:val="0"/>
              <w:spacing w:before="0" w:beforeAutospacing="0" w:after="0" w:afterAutospacing="0" w:line="360" w:lineRule="auto"/>
              <w:ind w:left="0" w:right="0" w:firstLine="210" w:firstLineChars="10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0.004%</w:t>
            </w:r>
          </w:p>
        </w:tc>
        <w:tc>
          <w:tcPr>
            <w:tcW w:w="1546" w:type="dxa"/>
          </w:tcPr>
          <w:p w14:paraId="64AFF88A">
            <w:pPr>
              <w:keepNext w:val="0"/>
              <w:keepLines w:val="0"/>
              <w:suppressLineNumbers w:val="0"/>
              <w:spacing w:before="0" w:beforeAutospacing="0" w:after="0" w:afterAutospacing="0" w:line="360" w:lineRule="auto"/>
              <w:ind w:left="0" w:right="0" w:firstLine="105" w:firstLineChars="50"/>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0.004%</w:t>
            </w:r>
          </w:p>
        </w:tc>
      </w:tr>
    </w:tbl>
    <w:p w14:paraId="6E55E1D4">
      <w:pPr>
        <w:spacing w:line="360" w:lineRule="auto"/>
        <w:ind w:firstLine="420" w:firstLineChars="200"/>
        <w:contextualSpacing/>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 xml:space="preserve">注： </w:t>
      </w:r>
    </w:p>
    <w:p w14:paraId="096C8E6C">
      <w:pPr>
        <w:spacing w:line="360" w:lineRule="auto"/>
        <w:ind w:firstLine="420" w:firstLineChars="200"/>
        <w:contextualSpacing/>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r>
        <w:rPr>
          <w:rFonts w:ascii="宋体" w:hAnsi="宋体" w:cs="宋体"/>
          <w:color w:val="000000" w:themeColor="text1"/>
          <w:highlight w:val="none"/>
          <w14:textFill>
            <w14:solidFill>
              <w14:schemeClr w14:val="tx1"/>
            </w14:solidFill>
          </w14:textFill>
        </w:rPr>
        <w:t>按本表费率计算的收费为</w:t>
      </w:r>
      <w:r>
        <w:rPr>
          <w:rFonts w:hint="eastAsia" w:ascii="宋体" w:hAnsi="宋体" w:cs="宋体"/>
          <w:color w:val="000000" w:themeColor="text1"/>
          <w:highlight w:val="none"/>
          <w14:textFill>
            <w14:solidFill>
              <w14:schemeClr w14:val="tx1"/>
            </w14:solidFill>
          </w14:textFill>
        </w:rPr>
        <w:t>采购</w:t>
      </w:r>
      <w:r>
        <w:rPr>
          <w:rFonts w:ascii="宋体" w:hAnsi="宋体" w:cs="宋体"/>
          <w:color w:val="000000" w:themeColor="text1"/>
          <w:highlight w:val="none"/>
          <w14:textFill>
            <w14:solidFill>
              <w14:schemeClr w14:val="tx1"/>
            </w14:solidFill>
          </w14:textFill>
        </w:rPr>
        <w:t>代理的收费基准价格</w:t>
      </w:r>
      <w:r>
        <w:rPr>
          <w:rFonts w:hint="eastAsia" w:ascii="宋体" w:hAnsi="宋体" w:cs="宋体"/>
          <w:color w:val="000000" w:themeColor="text1"/>
          <w:highlight w:val="none"/>
          <w14:textFill>
            <w14:solidFill>
              <w14:schemeClr w14:val="tx1"/>
            </w14:solidFill>
          </w14:textFill>
        </w:rPr>
        <w:t>；</w:t>
      </w:r>
    </w:p>
    <w:p w14:paraId="787B365A">
      <w:pPr>
        <w:spacing w:line="360" w:lineRule="auto"/>
        <w:ind w:firstLine="420" w:firstLineChars="200"/>
        <w:contextualSpacing/>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（2）采购</w:t>
      </w:r>
      <w:r>
        <w:rPr>
          <w:rFonts w:ascii="宋体" w:hAnsi="宋体" w:cs="宋体"/>
          <w:color w:val="000000" w:themeColor="text1"/>
          <w:highlight w:val="none"/>
          <w14:textFill>
            <w14:solidFill>
              <w14:schemeClr w14:val="tx1"/>
            </w14:solidFill>
          </w14:textFill>
        </w:rPr>
        <w:t>代理收费按差额定率累进法计算。</w:t>
      </w:r>
    </w:p>
    <w:p w14:paraId="1FED424C">
      <w:pPr>
        <w:spacing w:line="360" w:lineRule="auto"/>
        <w:ind w:firstLine="420" w:firstLineChars="200"/>
        <w:contextualSpacing/>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例如：某</w:t>
      </w:r>
      <w:r>
        <w:rPr>
          <w:rFonts w:hint="eastAsia" w:ascii="宋体" w:hAnsi="宋体" w:cs="宋体"/>
          <w:color w:val="000000" w:themeColor="text1"/>
          <w:highlight w:val="none"/>
          <w14:textFill>
            <w14:solidFill>
              <w14:schemeClr w14:val="tx1"/>
            </w14:solidFill>
          </w14:textFill>
        </w:rPr>
        <w:t>货物采购</w:t>
      </w:r>
      <w:r>
        <w:rPr>
          <w:rFonts w:ascii="宋体" w:hAnsi="宋体" w:cs="宋体"/>
          <w:color w:val="000000" w:themeColor="text1"/>
          <w:highlight w:val="none"/>
          <w14:textFill>
            <w14:solidFill>
              <w14:schemeClr w14:val="tx1"/>
            </w14:solidFill>
          </w14:textFill>
        </w:rPr>
        <w:t>代理业务</w:t>
      </w:r>
      <w:r>
        <w:rPr>
          <w:rFonts w:hint="eastAsia" w:ascii="宋体" w:hAnsi="宋体" w:cs="宋体"/>
          <w:color w:val="000000" w:themeColor="text1"/>
          <w:highlight w:val="none"/>
          <w14:textFill>
            <w14:solidFill>
              <w14:schemeClr w14:val="tx1"/>
            </w14:solidFill>
          </w14:textFill>
        </w:rPr>
        <w:t>成交</w:t>
      </w:r>
      <w:r>
        <w:rPr>
          <w:rFonts w:ascii="宋体" w:hAnsi="宋体" w:cs="宋体"/>
          <w:color w:val="000000" w:themeColor="text1"/>
          <w:highlight w:val="none"/>
          <w14:textFill>
            <w14:solidFill>
              <w14:schemeClr w14:val="tx1"/>
            </w14:solidFill>
          </w14:textFill>
        </w:rPr>
        <w:t>金额</w:t>
      </w:r>
      <w:r>
        <w:rPr>
          <w:rFonts w:hint="eastAsia" w:ascii="宋体" w:hAnsi="宋体" w:cs="宋体"/>
          <w:color w:val="000000" w:themeColor="text1"/>
          <w:highlight w:val="none"/>
          <w14:textFill>
            <w14:solidFill>
              <w14:schemeClr w14:val="tx1"/>
            </w14:solidFill>
          </w14:textFill>
        </w:rPr>
        <w:t>或者暂定价</w:t>
      </w:r>
      <w:r>
        <w:rPr>
          <w:rFonts w:ascii="宋体" w:hAnsi="宋体" w:cs="宋体"/>
          <w:color w:val="000000" w:themeColor="text1"/>
          <w:highlight w:val="none"/>
          <w14:textFill>
            <w14:solidFill>
              <w14:schemeClr w14:val="tx1"/>
            </w14:solidFill>
          </w14:textFill>
        </w:rPr>
        <w:t>为150万元，计算</w:t>
      </w:r>
      <w:r>
        <w:rPr>
          <w:rFonts w:hint="eastAsia" w:ascii="宋体" w:hAnsi="宋体" w:cs="宋体"/>
          <w:color w:val="000000" w:themeColor="text1"/>
          <w:highlight w:val="none"/>
          <w14:textFill>
            <w14:solidFill>
              <w14:schemeClr w14:val="tx1"/>
            </w14:solidFill>
          </w14:textFill>
        </w:rPr>
        <w:t>采购</w:t>
      </w:r>
      <w:r>
        <w:rPr>
          <w:rFonts w:ascii="宋体" w:hAnsi="宋体" w:cs="宋体"/>
          <w:color w:val="000000" w:themeColor="text1"/>
          <w:highlight w:val="none"/>
          <w14:textFill>
            <w14:solidFill>
              <w14:schemeClr w14:val="tx1"/>
            </w14:solidFill>
          </w14:textFill>
        </w:rPr>
        <w:t>代理收费额如下：</w:t>
      </w:r>
    </w:p>
    <w:p w14:paraId="22F262A3">
      <w:pPr>
        <w:spacing w:line="360" w:lineRule="auto"/>
        <w:ind w:firstLine="420" w:firstLineChars="200"/>
        <w:contextualSpacing/>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100 万元 ×l.5 %＝ 1.5 万元</w:t>
      </w:r>
    </w:p>
    <w:p w14:paraId="550EA7D2">
      <w:pPr>
        <w:spacing w:line="360" w:lineRule="auto"/>
        <w:ind w:firstLine="420" w:firstLineChars="200"/>
        <w:contextualSpacing/>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 150 － 100 ）万元 ×1.1%＝ 0.55 万元</w:t>
      </w:r>
    </w:p>
    <w:p w14:paraId="6CC2D114">
      <w:pPr>
        <w:spacing w:line="360" w:lineRule="auto"/>
        <w:ind w:firstLine="420" w:firstLineChars="200"/>
        <w:contextualSpacing/>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合计收费＝ 1.5 ＋ 0.55＝ 2.05 （万元）</w:t>
      </w:r>
    </w:p>
    <w:p w14:paraId="71B03A2D">
      <w:pPr>
        <w:tabs>
          <w:tab w:val="left" w:pos="2835"/>
        </w:tabs>
        <w:spacing w:line="360" w:lineRule="auto"/>
        <w:ind w:firstLine="420" w:firstLineChars="200"/>
        <w:rPr>
          <w:rFonts w:ascii="宋体" w:hAnsi="宋体" w:cs="宋体"/>
          <w:color w:val="000000" w:themeColor="text1"/>
          <w:szCs w:val="21"/>
          <w:highlight w:val="none"/>
          <w14:textFill>
            <w14:solidFill>
              <w14:schemeClr w14:val="tx1"/>
            </w14:solidFill>
          </w14:textFill>
        </w:rPr>
      </w:pPr>
    </w:p>
    <w:p w14:paraId="1EF22B79">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34.需要补充的其他内容</w:t>
      </w:r>
    </w:p>
    <w:p w14:paraId="68B8020B">
      <w:pPr>
        <w:pStyle w:val="28"/>
        <w:spacing w:line="360" w:lineRule="auto"/>
        <w:ind w:firstLine="420" w:firstLineChars="200"/>
        <w:textAlignment w:val="center"/>
        <w:rPr>
          <w:rFonts w:hAnsi="宋体" w:cs="宋体"/>
          <w:color w:val="000000" w:themeColor="text1"/>
          <w:kern w:val="2"/>
          <w:sz w:val="21"/>
          <w:highlight w:val="none"/>
          <w14:textFill>
            <w14:solidFill>
              <w14:schemeClr w14:val="tx1"/>
            </w14:solidFill>
          </w14:textFill>
        </w:rPr>
      </w:pPr>
      <w:r>
        <w:rPr>
          <w:rFonts w:hint="eastAsia" w:hAnsi="宋体" w:cs="宋体"/>
          <w:color w:val="000000" w:themeColor="text1"/>
          <w:kern w:val="2"/>
          <w:sz w:val="21"/>
          <w:highlight w:val="none"/>
          <w14:textFill>
            <w14:solidFill>
              <w14:schemeClr w14:val="tx1"/>
            </w14:solidFill>
          </w14:textFill>
        </w:rPr>
        <w:t>34.1本磋商文件解释规则详见“供应商须知前附表”。</w:t>
      </w:r>
    </w:p>
    <w:p w14:paraId="4B660819">
      <w:pPr>
        <w:pStyle w:val="28"/>
        <w:spacing w:line="360" w:lineRule="auto"/>
        <w:ind w:firstLine="420" w:firstLineChars="200"/>
        <w:textAlignment w:val="center"/>
        <w:rPr>
          <w:rFonts w:hAnsi="宋体" w:cs="宋体"/>
          <w:color w:val="000000" w:themeColor="text1"/>
          <w:kern w:val="2"/>
          <w:sz w:val="21"/>
          <w:highlight w:val="none"/>
          <w14:textFill>
            <w14:solidFill>
              <w14:schemeClr w14:val="tx1"/>
            </w14:solidFill>
          </w14:textFill>
        </w:rPr>
      </w:pPr>
      <w:r>
        <w:rPr>
          <w:rFonts w:hint="eastAsia" w:hAnsi="宋体" w:cs="宋体"/>
          <w:color w:val="000000" w:themeColor="text1"/>
          <w:kern w:val="2"/>
          <w:sz w:val="21"/>
          <w:highlight w:val="none"/>
          <w14:textFill>
            <w14:solidFill>
              <w14:schemeClr w14:val="tx1"/>
            </w14:solidFill>
          </w14:textFill>
        </w:rPr>
        <w:t>34.2 其他事项详见“供应商须知前附表”。</w:t>
      </w:r>
    </w:p>
    <w:p w14:paraId="4377A0E9">
      <w:pPr>
        <w:pStyle w:val="28"/>
        <w:spacing w:line="360" w:lineRule="auto"/>
        <w:ind w:firstLine="420" w:firstLineChars="200"/>
        <w:textAlignment w:val="center"/>
        <w:rPr>
          <w:rFonts w:hAnsi="宋体" w:cs="宋体"/>
          <w:color w:val="000000" w:themeColor="text1"/>
          <w:kern w:val="2"/>
          <w:sz w:val="21"/>
          <w:highlight w:val="none"/>
          <w14:textFill>
            <w14:solidFill>
              <w14:schemeClr w14:val="tx1"/>
            </w14:solidFill>
          </w14:textFill>
        </w:rPr>
      </w:pPr>
      <w:r>
        <w:rPr>
          <w:rFonts w:hint="eastAsia" w:hAnsi="宋体" w:cs="宋体"/>
          <w:color w:val="000000" w:themeColor="text1"/>
          <w:kern w:val="2"/>
          <w:sz w:val="21"/>
          <w:highlight w:val="none"/>
          <w14:textFill>
            <w14:solidFill>
              <w14:schemeClr w14:val="tx1"/>
            </w14:solidFill>
          </w14:textFill>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000000" w:themeColor="text1"/>
          <w:sz w:val="21"/>
          <w:highlight w:val="none"/>
          <w14:textFill>
            <w14:solidFill>
              <w14:schemeClr w14:val="tx1"/>
            </w14:solidFill>
          </w14:textFill>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color w:val="000000" w:themeColor="text1"/>
          <w:kern w:val="2"/>
          <w:sz w:val="21"/>
          <w:highlight w:val="none"/>
          <w14:textFill>
            <w14:solidFill>
              <w14:schemeClr w14:val="tx1"/>
            </w14:solidFill>
          </w14:textFill>
        </w:rPr>
        <w:t>，享受本文件规定的中小企业扶持政策。</w:t>
      </w:r>
    </w:p>
    <w:p w14:paraId="6739B943">
      <w:pPr>
        <w:pStyle w:val="28"/>
        <w:spacing w:line="360" w:lineRule="auto"/>
        <w:ind w:firstLine="420" w:firstLineChars="200"/>
        <w:textAlignment w:val="center"/>
        <w:rPr>
          <w:rFonts w:hAnsi="宋体" w:cs="宋体"/>
          <w:color w:val="000000" w:themeColor="text1"/>
          <w:kern w:val="2"/>
          <w:sz w:val="21"/>
          <w:highlight w:val="none"/>
          <w14:textFill>
            <w14:solidFill>
              <w14:schemeClr w14:val="tx1"/>
            </w14:solidFill>
          </w14:textFill>
        </w:rPr>
      </w:pPr>
      <w:r>
        <w:rPr>
          <w:rFonts w:hint="eastAsia" w:hAnsi="宋体" w:cs="宋体"/>
          <w:color w:val="000000" w:themeColor="text1"/>
          <w:kern w:val="2"/>
          <w:sz w:val="21"/>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1B7DF8A6">
      <w:pPr>
        <w:pStyle w:val="28"/>
        <w:spacing w:line="360" w:lineRule="auto"/>
        <w:ind w:firstLine="420" w:firstLineChars="200"/>
        <w:textAlignment w:val="center"/>
        <w:rPr>
          <w:rFonts w:hAnsi="宋体" w:cs="宋体"/>
          <w:color w:val="000000" w:themeColor="text1"/>
          <w:kern w:val="2"/>
          <w:sz w:val="21"/>
          <w:highlight w:val="none"/>
          <w14:textFill>
            <w14:solidFill>
              <w14:schemeClr w14:val="tx1"/>
            </w14:solidFill>
          </w14:textFill>
        </w:rPr>
      </w:pPr>
      <w:r>
        <w:rPr>
          <w:rFonts w:hint="eastAsia" w:hAnsi="宋体" w:cs="宋体"/>
          <w:color w:val="000000" w:themeColor="text1"/>
          <w:kern w:val="2"/>
          <w:sz w:val="21"/>
          <w:highlight w:val="none"/>
          <w14:textFill>
            <w14:solidFill>
              <w14:schemeClr w14:val="tx1"/>
            </w14:solidFill>
          </w14:textFill>
        </w:rPr>
        <w:t>依据本文件规定享受扶持政策获得政府采购合同的，小微企业不得将合同分包给大中型企业，中型企业不得将合同分包给大型企业。</w:t>
      </w:r>
    </w:p>
    <w:p w14:paraId="331E3DA4">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35. 政采贷相关说明</w:t>
      </w:r>
    </w:p>
    <w:p w14:paraId="41AE07FD">
      <w:pPr>
        <w:pStyle w:val="28"/>
        <w:spacing w:line="360" w:lineRule="auto"/>
        <w:ind w:firstLine="420" w:firstLineChars="200"/>
        <w:textAlignment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为优化政府采购营商环境，缓解供应商资金难题，南宁市政府采购试行政府采购信用融资制度，中标供应商如有融资需求，可凭政府采购合同通过以下方式申请政府采购信用融资贷款：</w:t>
      </w:r>
    </w:p>
    <w:p w14:paraId="44FDCDB4">
      <w:pPr>
        <w:pStyle w:val="28"/>
        <w:numPr>
          <w:ilvl w:val="0"/>
          <w:numId w:val="1"/>
        </w:numPr>
        <w:spacing w:line="360" w:lineRule="auto"/>
        <w:ind w:firstLine="420" w:firstLineChars="200"/>
        <w:textAlignment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线下渠道：在“南宁市公共资源交易中心”官网（网址：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"http://www.nnggzy.org.cn）" </w:instrText>
      </w:r>
      <w:r>
        <w:rPr>
          <w:color w:val="000000" w:themeColor="text1"/>
          <w:highlight w:val="none"/>
          <w14:textFill>
            <w14:solidFill>
              <w14:schemeClr w14:val="tx1"/>
            </w14:solidFill>
          </w14:textFill>
        </w:rPr>
        <w:fldChar w:fldCharType="separate"/>
      </w:r>
      <w:r>
        <w:rPr>
          <w:rStyle w:val="63"/>
          <w:rFonts w:hint="eastAsia" w:hAnsi="宋体"/>
          <w:color w:val="000000" w:themeColor="text1"/>
          <w:sz w:val="21"/>
          <w:highlight w:val="none"/>
          <w14:textFill>
            <w14:solidFill>
              <w14:schemeClr w14:val="tx1"/>
            </w14:solidFill>
          </w14:textFill>
        </w:rPr>
        <w:t>http://www.nnggzy.org.cn）“交易信息-政府采购-政府采购信用融资”中融资银行和南宁市企业融资服务中心专栏信息申请政府采购信用融资。</w:t>
      </w:r>
      <w:r>
        <w:rPr>
          <w:rStyle w:val="63"/>
          <w:rFonts w:hint="eastAsia" w:hAnsi="宋体"/>
          <w:color w:val="000000" w:themeColor="text1"/>
          <w:sz w:val="21"/>
          <w:highlight w:val="none"/>
          <w14:textFill>
            <w14:solidFill>
              <w14:schemeClr w14:val="tx1"/>
            </w14:solidFill>
          </w14:textFill>
        </w:rPr>
        <w:fldChar w:fldCharType="end"/>
      </w:r>
    </w:p>
    <w:p w14:paraId="150DE1E6">
      <w:pPr>
        <w:pStyle w:val="28"/>
        <w:numPr>
          <w:ilvl w:val="0"/>
          <w:numId w:val="1"/>
        </w:numPr>
        <w:spacing w:line="360" w:lineRule="auto"/>
        <w:ind w:firstLine="402" w:firstLineChars="200"/>
        <w:textAlignment w:val="center"/>
        <w:rPr>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b/>
          <w:color w:val="000000" w:themeColor="text1"/>
          <w:highlight w:val="none"/>
          <w14:textFill>
            <w14:solidFill>
              <w14:schemeClr w14:val="tx1"/>
            </w14:solidFill>
          </w14:textFill>
        </w:rPr>
        <w:br w:type="page"/>
      </w:r>
    </w:p>
    <w:p w14:paraId="0CB5BEF2">
      <w:pPr>
        <w:pStyle w:val="4"/>
        <w:jc w:val="center"/>
        <w:rPr>
          <w:color w:val="000000" w:themeColor="text1"/>
          <w:highlight w:val="none"/>
          <w14:textFill>
            <w14:solidFill>
              <w14:schemeClr w14:val="tx1"/>
            </w14:solidFill>
          </w14:textFill>
        </w:rPr>
      </w:pPr>
      <w:bookmarkStart w:id="51" w:name="_Toc213948289"/>
      <w:r>
        <w:rPr>
          <w:rFonts w:hint="eastAsia"/>
          <w:color w:val="000000" w:themeColor="text1"/>
          <w:highlight w:val="none"/>
          <w14:textFill>
            <w14:solidFill>
              <w14:schemeClr w14:val="tx1"/>
            </w14:solidFill>
          </w14:textFill>
        </w:rPr>
        <w:t>第四章评审程序、评审方法和评审标准</w:t>
      </w:r>
      <w:bookmarkEnd w:id="51"/>
    </w:p>
    <w:p w14:paraId="5A27B6E7">
      <w:pPr>
        <w:pStyle w:val="5"/>
        <w:jc w:val="center"/>
        <w:rPr>
          <w:rFonts w:ascii="宋体" w:hAnsi="宋体"/>
          <w:b w:val="0"/>
          <w:color w:val="000000" w:themeColor="text1"/>
          <w:highlight w:val="none"/>
          <w14:textFill>
            <w14:solidFill>
              <w14:schemeClr w14:val="tx1"/>
            </w14:solidFill>
          </w14:textFill>
        </w:rPr>
      </w:pPr>
      <w:bookmarkStart w:id="52" w:name="_Toc213948290"/>
      <w:r>
        <w:rPr>
          <w:rFonts w:hint="eastAsia" w:ascii="宋体" w:hAnsi="宋体"/>
          <w:b w:val="0"/>
          <w:color w:val="000000" w:themeColor="text1"/>
          <w:highlight w:val="none"/>
          <w14:textFill>
            <w14:solidFill>
              <w14:schemeClr w14:val="tx1"/>
            </w14:solidFill>
          </w14:textFill>
        </w:rPr>
        <w:t>第一节 评审程序和评审方法</w:t>
      </w:r>
      <w:bookmarkEnd w:id="52"/>
    </w:p>
    <w:p w14:paraId="0512D6A5">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1.确认磋商文件</w:t>
      </w:r>
    </w:p>
    <w:p w14:paraId="4A8413A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由磋商小组确认磋商文件。</w:t>
      </w:r>
    </w:p>
    <w:p w14:paraId="2BA8CB70">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2.资格审查</w:t>
      </w:r>
    </w:p>
    <w:p w14:paraId="2DCB5FF7">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r>
        <w:rPr>
          <w:rFonts w:hint="eastAsia" w:ascii="宋体" w:hAnsi="宋体"/>
          <w:color w:val="000000" w:themeColor="text1"/>
          <w:szCs w:val="21"/>
          <w:highlight w:val="none"/>
          <w14:textFill>
            <w14:solidFill>
              <w14:schemeClr w14:val="tx1"/>
            </w14:solidFill>
          </w14:textFill>
        </w:rPr>
        <w:t>响应文件开启后，磋商小组依法对供应商的资格证明文件进行审查。</w:t>
      </w:r>
    </w:p>
    <w:p w14:paraId="6C6F2E26">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注：采购人代表或者采购代理机构在资格审查结束前，对供应商进行信用查询。</w:t>
      </w:r>
    </w:p>
    <w:p w14:paraId="0FAF376C">
      <w:pPr>
        <w:snapToGrid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（1）查询渠道：广西政府采购云平台“信用中国”网站(</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"http://www.creditchina.gov.cn" </w:instrText>
      </w:r>
      <w:r>
        <w:rPr>
          <w:color w:val="000000" w:themeColor="text1"/>
          <w:highlight w:val="none"/>
          <w14:textFill>
            <w14:solidFill>
              <w14:schemeClr w14:val="tx1"/>
            </w14:solidFill>
          </w14:textFill>
        </w:rPr>
        <w:fldChar w:fldCharType="separate"/>
      </w:r>
      <w:r>
        <w:rPr>
          <w:rStyle w:val="63"/>
          <w:rFonts w:hAnsi="宋体" w:cs="宋体"/>
          <w:color w:val="000000" w:themeColor="text1"/>
          <w:highlight w:val="none"/>
          <w14:textFill>
            <w14:solidFill>
              <w14:schemeClr w14:val="tx1"/>
            </w14:solidFill>
          </w14:textFill>
        </w:rPr>
        <w:t>www.creditchina.gov.cn</w:t>
      </w:r>
      <w:r>
        <w:rPr>
          <w:rStyle w:val="63"/>
          <w:rFonts w:hAnsi="宋体" w:cs="宋体"/>
          <w:color w:val="000000" w:themeColor="text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)、中国政府采购网(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"http://www.ccgp.gov.cn" </w:instrText>
      </w:r>
      <w:r>
        <w:rPr>
          <w:color w:val="000000" w:themeColor="text1"/>
          <w:highlight w:val="none"/>
          <w14:textFill>
            <w14:solidFill>
              <w14:schemeClr w14:val="tx1"/>
            </w14:solidFill>
          </w14:textFill>
        </w:rPr>
        <w:fldChar w:fldCharType="separate"/>
      </w:r>
      <w:r>
        <w:rPr>
          <w:rStyle w:val="63"/>
          <w:rFonts w:hAnsi="宋体" w:cs="宋体"/>
          <w:color w:val="000000" w:themeColor="text1"/>
          <w:highlight w:val="none"/>
          <w14:textFill>
            <w14:solidFill>
              <w14:schemeClr w14:val="tx1"/>
            </w14:solidFill>
          </w14:textFill>
        </w:rPr>
        <w:t>www.ccgp.gov.cn</w:t>
      </w:r>
      <w:r>
        <w:rPr>
          <w:rStyle w:val="63"/>
          <w:rFonts w:hAnsi="宋体" w:cs="宋体"/>
          <w:color w:val="000000" w:themeColor="text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)链接入口。</w:t>
      </w:r>
    </w:p>
    <w:p w14:paraId="486E59E8">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（2）信用查询截止时点：资格审查结束前。</w:t>
      </w:r>
    </w:p>
    <w:p w14:paraId="09CF9D83">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查询记录和证据留存方式：在查询网站中直接打印查询记录，截图另存为电子文档作为评审资料保存。</w:t>
      </w:r>
    </w:p>
    <w:p w14:paraId="3C21470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E2AA2EC">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2.2资格审查标准为本磋商文件中载明对供应商资格要求的条件。资格审查采用合格制，凡符合磋商文件规定的供应商资格要求的响应文件均通过资格审查。</w:t>
      </w:r>
    </w:p>
    <w:p w14:paraId="306D623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2.3供应商有下列情形之一的，资格审查不通过，其响应文件按无效响应处理：</w:t>
      </w:r>
    </w:p>
    <w:p w14:paraId="622E63BC">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（1）不具备磋商文件中规定的资格要求的；</w:t>
      </w:r>
    </w:p>
    <w:p w14:paraId="449CE03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（2）响应文件未提供任一项“供应商须知前附表”资格证明文件规定的“必须提供”的文件资料的；</w:t>
      </w:r>
    </w:p>
    <w:p w14:paraId="3F0C4197">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（3）响应文件提供的资格证明文件出现任一项不符合“供应商须知前附表”资格证明文件规定的“必须提供”的文件资料要求或者无效的。</w:t>
      </w:r>
    </w:p>
    <w:p w14:paraId="7EFF5294">
      <w:pPr>
        <w:spacing w:line="360" w:lineRule="auto"/>
        <w:ind w:firstLine="420" w:firstLineChars="200"/>
        <w:rPr>
          <w:rFonts w:ascii="宋体" w:hAnsi="宋体" w:cs="宋体"/>
          <w:color w:val="000000" w:themeColor="text1"/>
          <w:szCs w:val="21"/>
          <w:highlight w:val="none"/>
          <w14:textFill>
            <w14:solidFill>
              <w14:schemeClr w14:val="tx1"/>
            </w14:solidFill>
          </w14:textFill>
        </w:rPr>
      </w:pPr>
      <w:bookmarkStart w:id="53" w:name="_Hlk68601553"/>
      <w:r>
        <w:rPr>
          <w:rFonts w:hint="eastAsia" w:ascii="宋体" w:hAnsi="宋体" w:cs="宋体"/>
          <w:color w:val="000000" w:themeColor="text1"/>
          <w:szCs w:val="21"/>
          <w:highlight w:val="none"/>
          <w14:textFill>
            <w14:solidFill>
              <w14:schemeClr w14:val="tx1"/>
            </w14:solidFill>
          </w14:textFill>
        </w:rPr>
        <w:t>（4）同一合同项下的不同供应商，单位负责人为同一人或者存在直接控股、管理关系的；为本项目提供过整体设计、规范编制或者项目管理、监理、检测等服务的。</w:t>
      </w:r>
      <w:bookmarkEnd w:id="53"/>
    </w:p>
    <w:p w14:paraId="2081D73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2.4通过资格审查的合格供应商不足3家的，不得进入符合性审查环节，</w:t>
      </w:r>
      <w:r>
        <w:rPr>
          <w:rFonts w:hint="eastAsia" w:ascii="宋体" w:hAnsi="宋体"/>
          <w:color w:val="000000" w:themeColor="text1"/>
          <w:szCs w:val="21"/>
          <w:highlight w:val="none"/>
          <w14:textFill>
            <w14:solidFill>
              <w14:schemeClr w14:val="tx1"/>
            </w14:solidFill>
          </w14:textFill>
        </w:rPr>
        <w:t>采购人或者采购代理机构应当重新开展采购活动。</w:t>
      </w:r>
    </w:p>
    <w:p w14:paraId="1AEEEAD7">
      <w:pPr>
        <w:spacing w:line="360" w:lineRule="auto"/>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3.符合性审查</w:t>
      </w:r>
    </w:p>
    <w:p w14:paraId="79BB912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3.1由磋商小组对</w:t>
      </w:r>
      <w:r>
        <w:rPr>
          <w:rFonts w:hint="eastAsia" w:ascii="宋体" w:hAnsi="宋体"/>
          <w:color w:val="000000" w:themeColor="text1"/>
          <w:szCs w:val="21"/>
          <w:highlight w:val="none"/>
          <w14:textFill>
            <w14:solidFill>
              <w14:schemeClr w14:val="tx1"/>
            </w14:solidFill>
          </w14:textFill>
        </w:rPr>
        <w:t>通过资格审查的合格供应商</w:t>
      </w:r>
      <w:r>
        <w:rPr>
          <w:rFonts w:hint="eastAsia" w:ascii="宋体" w:hAnsi="宋体" w:cs="宋体"/>
          <w:color w:val="000000" w:themeColor="text1"/>
          <w:szCs w:val="21"/>
          <w:highlight w:val="none"/>
          <w14:textFill>
            <w14:solidFill>
              <w14:schemeClr w14:val="tx1"/>
            </w14:solidFill>
          </w14:textFill>
        </w:rPr>
        <w:t>的响应文件的响应报价、商务、技术等实质性要求进行符合性审查，以确定其是否满足磋商文件的实质性要求。</w:t>
      </w:r>
    </w:p>
    <w:p w14:paraId="3F522F0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981C318">
      <w:pPr>
        <w:spacing w:line="360" w:lineRule="auto"/>
        <w:ind w:firstLine="420" w:firstLineChars="200"/>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000000" w:themeColor="text1"/>
          <w:spacing w:val="-6"/>
          <w:szCs w:val="21"/>
          <w:highlight w:val="none"/>
          <w14:textFill>
            <w14:solidFill>
              <w14:schemeClr w14:val="tx1"/>
            </w14:solidFill>
          </w14:textFill>
        </w:rPr>
        <w:t>。供应商为自然人的，必须由本人签字并附身份证明。</w:t>
      </w:r>
    </w:p>
    <w:p w14:paraId="50F61BB3">
      <w:pPr>
        <w:spacing w:line="360" w:lineRule="auto"/>
        <w:ind w:firstLine="396"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3.4</w:t>
      </w:r>
      <w:r>
        <w:rPr>
          <w:rFonts w:hint="eastAsia" w:ascii="宋体" w:hAnsi="宋体" w:cs="宋体"/>
          <w:color w:val="000000" w:themeColor="text1"/>
          <w:szCs w:val="21"/>
          <w:highlight w:val="none"/>
          <w14:textFill>
            <w14:solidFill>
              <w14:schemeClr w14:val="tx1"/>
            </w14:solidFill>
          </w14:textFill>
        </w:rPr>
        <w:t xml:space="preserve">首次响应文件报价出现前后不一致的，按照下列规定修正： </w:t>
      </w:r>
    </w:p>
    <w:p w14:paraId="3E1CA2A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（1）响应文件中报价表内容与响应文件中相应内容不一致的，以报价表为准；</w:t>
      </w:r>
    </w:p>
    <w:p w14:paraId="0D10D3F4">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（2）大写金额和小写金额不一致的，以大写金额为准；</w:t>
      </w:r>
    </w:p>
    <w:p w14:paraId="5414D99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（3）单价金额小数点或者百分比有明显错位的，以报价表的总价为准，并修改单价；</w:t>
      </w:r>
    </w:p>
    <w:p w14:paraId="08B0E3F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（4）总价金额与按单价汇总金额不一致的，以单价金额计算结果为准。</w:t>
      </w:r>
    </w:p>
    <w:p w14:paraId="1EEEA0A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同时出现两种以上不一致的，按照以上（1）-（4）规定的顺序逐条进行修正。修正后的报价经供应商确认后产生约束力，供应商不确认的，其响应文件按无效响应处理。</w:t>
      </w:r>
    </w:p>
    <w:p w14:paraId="73F6AB0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3.5商务技术、报价评审</w:t>
      </w:r>
    </w:p>
    <w:p w14:paraId="32760A4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在评审时，如发现下列情形之一的，将被视为响应文件无效处理：</w:t>
      </w:r>
    </w:p>
    <w:p w14:paraId="5349B57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（1）商务技术评审</w:t>
      </w:r>
    </w:p>
    <w:p w14:paraId="0697676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1）响应文件未按磋商文件要求签署、盖章；</w:t>
      </w:r>
    </w:p>
    <w:p w14:paraId="52208D3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2）委托代理人未能出具有效身份证明或者出具的身份证明与授权委托书中的信息不符； </w:t>
      </w:r>
    </w:p>
    <w:p w14:paraId="3CBAB1DC">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2315102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4）商务条款中标“▲”的条款发生负偏离的或者允许负偏离的条款数超过“供应商须知前附表”规定项数的或者标明实质性的要求发生负偏离；</w:t>
      </w:r>
    </w:p>
    <w:p w14:paraId="34042CFC">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5）未对竞标有效期作出响应或者响应文件承诺的竞标有效期不满足磋商文件要求；</w:t>
      </w:r>
    </w:p>
    <w:p w14:paraId="3322D5E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6）响应文件的实质性内容未使用中文表述、使用计量单位不符合磋商文件要求；</w:t>
      </w:r>
    </w:p>
    <w:p w14:paraId="3EF679B5">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7）响应文件中的文件资料因填写不齐全或者内容虚假或者出现其他情形而导致被磋商小组认定无效；</w:t>
      </w:r>
    </w:p>
    <w:p w14:paraId="24F66264">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8）响应文件含有采购人不能接受的附加条件；</w:t>
      </w:r>
    </w:p>
    <w:p w14:paraId="1BE2AFD5">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9）属于“供应商须知正文”第7.5条情形；</w:t>
      </w:r>
    </w:p>
    <w:p w14:paraId="5A5ED555">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10）技术需求允许负偏离的条款数超过“供应商须知前附表”规定项数；</w:t>
      </w:r>
    </w:p>
    <w:p w14:paraId="69180EE0">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11）虚假竞标，或者出现其他情形而导致被磋商小组认定无效；</w:t>
      </w:r>
    </w:p>
    <w:p w14:paraId="4955083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12）竞标技术方案不明确，磋商文件未允许</w:t>
      </w:r>
      <w:r>
        <w:rPr>
          <w:rFonts w:hint="eastAsia" w:ascii="宋体" w:hAnsi="宋体"/>
          <w:color w:val="000000" w:themeColor="text1"/>
          <w:szCs w:val="21"/>
          <w:highlight w:val="none"/>
          <w14:textFill>
            <w14:solidFill>
              <w14:schemeClr w14:val="tx1"/>
            </w14:solidFill>
          </w14:textFill>
        </w:rPr>
        <w:t>但响应文件中</w:t>
      </w:r>
      <w:r>
        <w:rPr>
          <w:rFonts w:hint="eastAsia" w:ascii="宋体" w:hAnsi="宋体" w:cs="宋体"/>
          <w:color w:val="000000" w:themeColor="text1"/>
          <w:szCs w:val="21"/>
          <w:highlight w:val="none"/>
          <w14:textFill>
            <w14:solidFill>
              <w14:schemeClr w14:val="tx1"/>
            </w14:solidFill>
          </w14:textFill>
        </w:rPr>
        <w:t>存在一个或者一个以上备选（替代）竞标方案；</w:t>
      </w:r>
    </w:p>
    <w:p w14:paraId="5BAF06B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13）响应文件标注的项目名称或者项目编号与竞争性磋商文件标注的项目名称或者项目编号不一致的；</w:t>
      </w:r>
    </w:p>
    <w:p w14:paraId="7219D01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14）未响应磋商文件实质性要求；</w:t>
      </w:r>
    </w:p>
    <w:p w14:paraId="4B7412A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15）法律、法规和磋商文件规定的其他无效情形。</w:t>
      </w:r>
    </w:p>
    <w:p w14:paraId="616858DC">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（2）报价评审</w:t>
      </w:r>
    </w:p>
    <w:p w14:paraId="2A8BE6C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 响应文件未提供“供应商须知前附表” 报价文件中规定的“响应报价表”；</w:t>
      </w:r>
    </w:p>
    <w:p w14:paraId="4F8A50E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2）未采用人民币报价或者未按照磋商文件标明的币种报价；</w:t>
      </w:r>
    </w:p>
    <w:p w14:paraId="2F90F52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4617A6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5AE13DD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1A56153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6）在单价合同工程中供应商采用总价优惠或以总价百分比优惠的方式进行竞标报价的；</w:t>
      </w:r>
    </w:p>
    <w:p w14:paraId="6879155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7）竞标总报价与已标价工程量清单汇总表不一致的；</w:t>
      </w:r>
    </w:p>
    <w:p w14:paraId="49712577">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8）安全文明施工费和规费、增值税不按广西区费用定额及造价管理相关文件规定报价的（园林绿化及仿古建筑工程除外）；（注：适用于房屋建筑和市政工程项目）</w:t>
      </w:r>
    </w:p>
    <w:p w14:paraId="6F4CB16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9）供应商已标价工程量清单的项目编码（12位）、计量单位、工程量任何一处与工程量清单不一致的；</w:t>
      </w:r>
    </w:p>
    <w:p w14:paraId="1E925B6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10）供应商已标价工程量清单的项目名称或项目特征与工程量清单不一致，磋商小组要求澄清、说明或补正，但供应商拒绝澄清、说明或补正的；</w:t>
      </w:r>
    </w:p>
    <w:p w14:paraId="1F89FC30">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11）设有暂估价、暂列金额的，竞标时未按工程量清单给出的暂估价总价、暂列金额总价计入竞标总报价中的；</w:t>
      </w:r>
    </w:p>
    <w:p w14:paraId="69233038">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12）供应商对工程量清单内容进行增减或对竞标范围进行调整的；</w:t>
      </w:r>
    </w:p>
    <w:p w14:paraId="78C5344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13）响应文件响应的标的数量及单位与竞争性磋商采购文件要求实质性不一致的；</w:t>
      </w:r>
      <w:bookmarkStart w:id="54" w:name="_Hlk220404454"/>
    </w:p>
    <w:p w14:paraId="6F87C3C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14）</w:t>
      </w:r>
      <w:r>
        <w:rPr>
          <w:rFonts w:hint="eastAsia" w:ascii="宋体" w:hAnsi="宋体"/>
          <w:b/>
          <w:color w:val="000000" w:themeColor="text1"/>
          <w:szCs w:val="21"/>
          <w:highlight w:val="none"/>
          <w14:textFill>
            <w14:solidFill>
              <w14:schemeClr w14:val="tx1"/>
            </w14:solidFill>
          </w14:textFill>
        </w:rPr>
        <w:t>磋商小组启动异常低价响应审查后，供应商不能提供书面说明、证明材料，或者提供的书面说明、证明材料不能证明其报价合理性的</w:t>
      </w:r>
      <w:bookmarkEnd w:id="54"/>
      <w:r>
        <w:rPr>
          <w:rFonts w:hint="eastAsia" w:ascii="宋体" w:hAnsi="宋体"/>
          <w:b/>
          <w:color w:val="000000" w:themeColor="text1"/>
          <w:szCs w:val="21"/>
          <w:highlight w:val="none"/>
          <w14:textFill>
            <w14:solidFill>
              <w14:schemeClr w14:val="tx1"/>
            </w14:solidFill>
          </w14:textFill>
        </w:rPr>
        <w:t>；</w:t>
      </w:r>
    </w:p>
    <w:p w14:paraId="2E48E82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）未响应磋商文件实质性要求的。</w:t>
      </w:r>
    </w:p>
    <w:p w14:paraId="20D5BECC">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1B79DA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3.7非</w:t>
      </w:r>
      <w:r>
        <w:rPr>
          <w:rFonts w:hint="eastAsia" w:ascii="宋体" w:hAnsi="宋体"/>
          <w:color w:val="000000" w:themeColor="text1"/>
          <w:szCs w:val="21"/>
          <w:highlight w:val="none"/>
          <w14:textFill>
            <w14:solidFill>
              <w14:schemeClr w14:val="tx1"/>
            </w14:solidFill>
          </w14:textFill>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04A4D0E5">
      <w:pPr>
        <w:ind w:firstLine="482" w:firstLineChars="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4.磋商程序</w:t>
      </w:r>
    </w:p>
    <w:p w14:paraId="612D59E1">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4.1磋商小组按照“供应商须知前附表”确定的</w:t>
      </w:r>
      <w:r>
        <w:rPr>
          <w:rFonts w:hint="eastAsia" w:ascii="宋体" w:hAnsi="宋体" w:cs="宋体"/>
          <w:color w:val="000000" w:themeColor="text1"/>
          <w:szCs w:val="21"/>
          <w:highlight w:val="none"/>
          <w14:textFill>
            <w14:solidFill>
              <w14:schemeClr w14:val="tx1"/>
            </w14:solidFill>
          </w14:textFill>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A7C0EB7">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6DE42EC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4.3对磋商文件作出的实质性变动是磋商文件的有效组成部分，由磋商小组及时以电子澄清函形式同时通知所有参加磋商的供应商。</w:t>
      </w:r>
    </w:p>
    <w:p w14:paraId="64370CC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30BFA0E5">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4.5磋商中，</w:t>
      </w:r>
      <w:r>
        <w:rPr>
          <w:rFonts w:hint="eastAsia" w:ascii="宋体" w:hAnsi="宋体" w:cs="宋体"/>
          <w:color w:val="000000" w:themeColor="text1"/>
          <w:spacing w:val="-6"/>
          <w:szCs w:val="21"/>
          <w:highlight w:val="none"/>
          <w14:textFill>
            <w14:solidFill>
              <w14:schemeClr w14:val="tx1"/>
            </w14:solidFill>
          </w14:textFill>
        </w:rPr>
        <w:t>磋商的任何一方不得透露与磋商有关的其他供应商的技术资料、价格和其他信息。</w:t>
      </w:r>
    </w:p>
    <w:p w14:paraId="6B4D09D6">
      <w:pPr>
        <w:widowControl/>
        <w:tabs>
          <w:tab w:val="left" w:pos="540"/>
        </w:tabs>
        <w:spacing w:line="360" w:lineRule="auto"/>
        <w:ind w:firstLine="420" w:firstLineChars="200"/>
        <w:jc w:val="left"/>
        <w:rPr>
          <w:rFonts w:ascii="仿宋" w:hAnsi="仿宋" w:eastAsia="仿宋" w:cs="仿宋_GB2312"/>
          <w:b/>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4.6磋商小组应对磋商过程和重要磋商内容进行记录，作为评标报告一部分，磋商小组在记录上签字确认。</w:t>
      </w:r>
      <w:r>
        <w:rPr>
          <w:rFonts w:hint="eastAsia" w:ascii="仿宋" w:hAnsi="仿宋" w:eastAsia="仿宋" w:cs="仿宋_GB2312"/>
          <w:b/>
          <w:color w:val="000000" w:themeColor="text1"/>
          <w:highlight w:val="none"/>
          <w14:textFill>
            <w14:solidFill>
              <w14:schemeClr w14:val="tx1"/>
            </w14:solidFill>
          </w14:textFill>
        </w:rPr>
        <w:t>主要内容包括：</w:t>
      </w:r>
    </w:p>
    <w:p w14:paraId="526E5A5F">
      <w:pPr>
        <w:pStyle w:val="106"/>
        <w:spacing w:before="0"/>
        <w:ind w:firstLine="396"/>
        <w:rPr>
          <w:rFonts w:ascii="宋体" w:hAnsi="宋体" w:cs="宋体"/>
          <w:color w:val="000000" w:themeColor="text1"/>
          <w:spacing w:val="-6"/>
          <w:kern w:val="2"/>
          <w:sz w:val="21"/>
          <w:szCs w:val="21"/>
          <w:highlight w:val="none"/>
          <w14:textFill>
            <w14:solidFill>
              <w14:schemeClr w14:val="tx1"/>
            </w14:solidFill>
          </w14:textFill>
        </w:rPr>
      </w:pPr>
      <w:r>
        <w:rPr>
          <w:rFonts w:hint="eastAsia" w:ascii="宋体" w:hAnsi="宋体" w:cs="宋体"/>
          <w:color w:val="000000" w:themeColor="text1"/>
          <w:spacing w:val="-6"/>
          <w:kern w:val="2"/>
          <w:sz w:val="21"/>
          <w:szCs w:val="21"/>
          <w:highlight w:val="none"/>
          <w14:textFill>
            <w14:solidFill>
              <w14:schemeClr w14:val="tx1"/>
            </w14:solidFill>
          </w14:textFill>
        </w:rPr>
        <w:t>（1）按照相关规定进行公示的，公示情况说明；</w:t>
      </w:r>
    </w:p>
    <w:p w14:paraId="45DB6CB7">
      <w:pPr>
        <w:pStyle w:val="106"/>
        <w:spacing w:before="0"/>
        <w:ind w:firstLine="396"/>
        <w:rPr>
          <w:rFonts w:ascii="宋体" w:hAnsi="宋体" w:cs="宋体"/>
          <w:color w:val="000000" w:themeColor="text1"/>
          <w:spacing w:val="-6"/>
          <w:kern w:val="2"/>
          <w:sz w:val="21"/>
          <w:szCs w:val="21"/>
          <w:highlight w:val="none"/>
          <w14:textFill>
            <w14:solidFill>
              <w14:schemeClr w14:val="tx1"/>
            </w14:solidFill>
          </w14:textFill>
        </w:rPr>
      </w:pPr>
      <w:r>
        <w:rPr>
          <w:rFonts w:hint="eastAsia" w:ascii="宋体" w:hAnsi="宋体" w:cs="宋体"/>
          <w:color w:val="000000" w:themeColor="text1"/>
          <w:spacing w:val="-6"/>
          <w:kern w:val="2"/>
          <w:sz w:val="21"/>
          <w:szCs w:val="21"/>
          <w:highlight w:val="none"/>
          <w14:textFill>
            <w14:solidFill>
              <w14:schemeClr w14:val="tx1"/>
            </w14:solidFill>
          </w14:textFill>
        </w:rPr>
        <w:t>（2）磋商日期和地点，磋商人员名单；</w:t>
      </w:r>
    </w:p>
    <w:p w14:paraId="39A8181B">
      <w:pPr>
        <w:pStyle w:val="106"/>
        <w:spacing w:before="0"/>
        <w:ind w:firstLine="396"/>
        <w:rPr>
          <w:rFonts w:ascii="宋体" w:hAnsi="宋体" w:cs="宋体"/>
          <w:color w:val="000000" w:themeColor="text1"/>
          <w:spacing w:val="-6"/>
          <w:kern w:val="2"/>
          <w:sz w:val="21"/>
          <w:szCs w:val="21"/>
          <w:highlight w:val="none"/>
          <w14:textFill>
            <w14:solidFill>
              <w14:schemeClr w14:val="tx1"/>
            </w14:solidFill>
          </w14:textFill>
        </w:rPr>
      </w:pPr>
      <w:r>
        <w:rPr>
          <w:rFonts w:hint="eastAsia" w:ascii="宋体" w:hAnsi="宋体" w:cs="宋体"/>
          <w:color w:val="000000" w:themeColor="text1"/>
          <w:spacing w:val="-6"/>
          <w:kern w:val="2"/>
          <w:sz w:val="21"/>
          <w:szCs w:val="21"/>
          <w:highlight w:val="none"/>
          <w14:textFill>
            <w14:solidFill>
              <w14:schemeClr w14:val="tx1"/>
            </w14:solidFill>
          </w14:textFill>
        </w:rPr>
        <w:t>（3）合同主要条款及价格商定情况。</w:t>
      </w:r>
    </w:p>
    <w:p w14:paraId="7067558E">
      <w:pPr>
        <w:widowControl/>
        <w:tabs>
          <w:tab w:val="left" w:pos="540"/>
        </w:tabs>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4.7磋商过程中重新提交的响应文件，供应商可以在开启前补充、修改。</w:t>
      </w:r>
    </w:p>
    <w:p w14:paraId="3F947ABE">
      <w:pPr>
        <w:tabs>
          <w:tab w:val="left" w:pos="2835"/>
        </w:tabs>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4.8</w:t>
      </w:r>
      <w:r>
        <w:rPr>
          <w:rFonts w:hint="eastAsia" w:ascii="宋体" w:hAnsi="宋体"/>
          <w:color w:val="000000" w:themeColor="text1"/>
          <w:szCs w:val="21"/>
          <w:highlight w:val="none"/>
          <w14:textFill>
            <w14:solidFill>
              <w14:schemeClr w14:val="tx1"/>
            </w14:solidFill>
          </w14:textFill>
        </w:rPr>
        <w:t>对磋商过程提交的响应文件进行有效性、完整性和响应程度审查，通过审查的合格供应商不足3家的，采购人或者采购代理机构应当重新开展采购活动。</w:t>
      </w:r>
    </w:p>
    <w:p w14:paraId="4199F5C9">
      <w:pPr>
        <w:ind w:firstLine="200"/>
        <w:rPr>
          <w:rFonts w:ascii="宋体" w:hAnsi="宋体" w:cs="宋体"/>
          <w:color w:val="000000" w:themeColor="text1"/>
          <w:szCs w:val="21"/>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5. 最后报价</w:t>
      </w:r>
    </w:p>
    <w:p w14:paraId="11D7ED34">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6D32D57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7CA5E16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5FA21BA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5.4已经提交响应文件的供应商，在提交最后报价之前，可以根据磋商情况退出磋商，退出磋商的供应商的响应文件按无效响应处理。</w:t>
      </w:r>
    </w:p>
    <w:p w14:paraId="025CA950">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5.5供应商未在规定时间内提交最后报价的，视同退出磋商。</w:t>
      </w:r>
    </w:p>
    <w:p w14:paraId="763285D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5.6磋商小组收齐某一分标最后报价后统一开启，磋商小组对最后报价进行有效性、完整性和响应程度的审查。</w:t>
      </w:r>
    </w:p>
    <w:p w14:paraId="159A7BC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5.7最终响应文件的报价出现前后不一致的，按照本章第3.4条的规定修正。 </w:t>
      </w:r>
    </w:p>
    <w:p w14:paraId="39C7A63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5.8修正后的最后报价出现下列情形的，按无效响应处理：</w:t>
      </w:r>
    </w:p>
    <w:p w14:paraId="2979B951">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（1）供应商不确认的（全流程电子化评标采取在线确认）；</w:t>
      </w:r>
    </w:p>
    <w:p w14:paraId="730CADF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（2）经供应商确认修正后的响应报价（包含首次报价、最后报价）超过所竞标分标规定的采购预算金额或者最高限价的（如本项目公布了最高限价）；</w:t>
      </w:r>
    </w:p>
    <w:p w14:paraId="68B41A10">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（3）经供应商确认修正后的响应报价（包含首次报价、最后报价）超过分项采购预算金额或者最高限价的（如本项目公布了最高限价）。</w:t>
      </w:r>
    </w:p>
    <w:p w14:paraId="384F594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5.9经供应商确认修正后的最后报价作为评审及签订合同的依据。</w:t>
      </w:r>
    </w:p>
    <w:p w14:paraId="59684D37">
      <w:pPr>
        <w:snapToGrid w:val="0"/>
        <w:spacing w:line="360" w:lineRule="auto"/>
        <w:ind w:firstLine="424" w:firstLineChars="202"/>
        <w:jc w:val="left"/>
        <w:rPr>
          <w:rFonts w:ascii="宋体" w:hAnsi="宋体"/>
          <w:color w:val="000000" w:themeColor="text1"/>
          <w:spacing w:val="-6"/>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5.10</w:t>
      </w:r>
      <w:r>
        <w:rPr>
          <w:rFonts w:hint="eastAsia" w:ascii="宋体" w:hAnsi="宋体"/>
          <w:color w:val="000000" w:themeColor="text1"/>
          <w:szCs w:val="21"/>
          <w:highlight w:val="none"/>
          <w14:textFill>
            <w14:solidFill>
              <w14:schemeClr w14:val="tx1"/>
            </w14:solidFill>
          </w14:textFill>
        </w:rPr>
        <w:t>异常低价响应审查</w:t>
      </w:r>
    </w:p>
    <w:p w14:paraId="4DC8D8FF">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（1）磋商小组在评审中发现下列情形之一的，应当启动异常低价响应审查程序：</w:t>
      </w:r>
    </w:p>
    <w:p w14:paraId="3ED81BC5">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①响应报价低于全部通过符合性审查供应商响应报价平均值</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65%</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的，即响应报价＜全部通过符合性审查供应商响应报价平均值×</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65%</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p>
    <w:p w14:paraId="6AA28B3B">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②响应报价低于通过符合性审查的次低报价供应商响应报价</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65%</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的，即响应报价＜通过符合性审查的次低报价供应商响应报价×</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65%</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p>
    <w:p w14:paraId="27F2060F">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③响应报价低于采购项目最高限价</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65%</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的，即响应报价＜采购项目最高限价×</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65%</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p>
    <w:p w14:paraId="086BC8BD">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④磋商小组基于专业判断，认为供应商报价过低，有可能影响产品质量或者不能诚信履约的其他情形。</w:t>
      </w:r>
    </w:p>
    <w:p w14:paraId="61C9F4D1">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3E32BF9A">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000000" w:themeColor="text1"/>
          <w:szCs w:val="21"/>
          <w:highlight w:val="none"/>
          <w14:textFill>
            <w14:solidFill>
              <w14:schemeClr w14:val="tx1"/>
            </w14:solidFill>
          </w14:textFill>
        </w:rPr>
        <w:t>相关供应商不能提供书面说明、证明材料，或者提供的书面说明、证明材料不能证明其报价合理性的，磋商小组应当将其作为无效响应处理。</w:t>
      </w:r>
    </w:p>
    <w:p w14:paraId="68259E04">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68EDE8F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异常低价响应审查的启动原因、审查意见和审查结果应当在评审报告中记录，并随供应商提供的相关书面说明及证明材料，以及磋商小组有关互联网浏览、查询历史一并归档。</w:t>
      </w:r>
    </w:p>
    <w:p w14:paraId="4F87417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lang w:val="en-US" w:eastAsia="zh-CN"/>
          <w14:textFill>
            <w14:solidFill>
              <w14:schemeClr w14:val="tx1"/>
            </w14:solidFill>
          </w14:textFill>
        </w:rPr>
        <w:t>9</w:t>
      </w:r>
      <w:r>
        <w:rPr>
          <w:rFonts w:hint="eastAsia" w:ascii="宋体" w:hAnsi="宋体" w:cs="宋体"/>
          <w:color w:val="000000" w:themeColor="text1"/>
          <w:szCs w:val="21"/>
          <w:highlight w:val="none"/>
          <w14:textFill>
            <w14:solidFill>
              <w14:schemeClr w14:val="tx1"/>
            </w14:solidFill>
          </w14:textFill>
        </w:rPr>
        <w:t>修正后的最终报价出现下列情形的，按无效响应处理：</w:t>
      </w:r>
    </w:p>
    <w:p w14:paraId="33A2FE69">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（1）供应商不确认的（全流程电子化评标采取在线确认）；</w:t>
      </w:r>
    </w:p>
    <w:p w14:paraId="063FA67A">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（2）经供应商确认修正后的响应报价（包含首次报价、最后报价）超过所竞标分标规定的采购预算金额或者最高限价的（如本项目公布了最高限价）；</w:t>
      </w:r>
    </w:p>
    <w:p w14:paraId="601AEDC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（3）经供应商确认修正后的响应报价（包含首次报价、最后报价）超过分项采购预算金额或者最高限价的（如本项目公布了最高限价）。</w:t>
      </w:r>
    </w:p>
    <w:p w14:paraId="59432777">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经供应商确认修正后的最后报价作为评审及签订合同的依据。</w:t>
      </w:r>
    </w:p>
    <w:p w14:paraId="5B731BE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供应商出现最后报价按无效响应处理或者响应文件按无效处理时</w:t>
      </w:r>
      <w:r>
        <w:rPr>
          <w:rFonts w:hint="eastAsia" w:ascii="宋体" w:hAnsi="宋体"/>
          <w:color w:val="000000" w:themeColor="text1"/>
          <w:sz w:val="22"/>
          <w:szCs w:val="22"/>
          <w:highlight w:val="none"/>
          <w14:textFill>
            <w14:solidFill>
              <w14:schemeClr w14:val="tx1"/>
            </w14:solidFill>
          </w14:textFill>
        </w:rPr>
        <w:t>，磋商小组应当告知有关供应商</w:t>
      </w:r>
      <w:r>
        <w:rPr>
          <w:rFonts w:hint="eastAsia" w:ascii="宋体" w:hAnsi="宋体" w:cs="宋体"/>
          <w:color w:val="000000" w:themeColor="text1"/>
          <w:szCs w:val="21"/>
          <w:highlight w:val="none"/>
          <w14:textFill>
            <w14:solidFill>
              <w14:schemeClr w14:val="tx1"/>
            </w14:solidFill>
          </w14:textFill>
        </w:rPr>
        <w:t>。</w:t>
      </w:r>
    </w:p>
    <w:p w14:paraId="471D1929">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最后报价结束后，磋商小组不得再与供应商进行任何形式的商谈。</w:t>
      </w:r>
    </w:p>
    <w:p w14:paraId="6AD7E82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5.13供应商的最终竞标报价总额与首次递交响应文件中竞标报价总额不一致，须重新提交一份已标价工程量清单。</w:t>
      </w:r>
    </w:p>
    <w:p w14:paraId="0EB5D7FC">
      <w:pPr>
        <w:ind w:firstLine="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6.比较与评价</w:t>
      </w:r>
    </w:p>
    <w:p w14:paraId="4EBD0726">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6.1评审方法：综合评分法。</w:t>
      </w:r>
    </w:p>
    <w:p w14:paraId="0DE8286D">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6.2经磋商确定最终采购需求和提交最后报价的供应商后，由磋商小组采用综合评分法对提交最后报价的供应商的响应文件和最后报价进行综合评分。</w:t>
      </w:r>
    </w:p>
    <w:p w14:paraId="2228A70F">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6.3评审时，磋商小组各成员应当独立对每个有效响应的文件进行评价、打分，然后汇总每个供应商每项评分因素的得分。</w:t>
      </w:r>
    </w:p>
    <w:p w14:paraId="466AF592">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0066EE44">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（2）磋商小组按照磋商文件中规定的评审标准计算各供应商的报价得分。项目评审过程中，不得去掉最后报价中的最高报价和最低报价。</w:t>
      </w:r>
    </w:p>
    <w:p w14:paraId="46639CEB">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（3）各供应商的得分为磋商小组所有成员的有效评分的算术平均数。</w:t>
      </w:r>
    </w:p>
    <w:p w14:paraId="474EE173">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6.4评审价为供应商的最后报价进行政策性扣除后的价格，评审价只是作为评审时使用。最终成交供应商的成交金额等于最后报价（如有修正，以确认修正后的最后报价为准）。</w:t>
      </w:r>
    </w:p>
    <w:p w14:paraId="2FC0A7A4">
      <w:pPr>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6.5由磋商小组根据综合评分情况，按照评审得分由高到低顺序推荐3名以上成交候选供应商，并编写评</w:t>
      </w:r>
      <w:r>
        <w:rPr>
          <w:rFonts w:hint="eastAsia" w:ascii="宋体" w:hAnsi="宋体"/>
          <w:color w:val="000000" w:themeColor="text1"/>
          <w:kern w:val="0"/>
          <w:szCs w:val="21"/>
          <w:highlight w:val="none"/>
          <w14:textFill>
            <w14:solidFill>
              <w14:schemeClr w14:val="tx1"/>
            </w14:solidFill>
          </w14:textFill>
        </w:rPr>
        <w:t>审报告。符合本章第4.3条情形的，可以推荐2家成交候选供应商。评审得分相同的，按照最后报价由低到高的顺序推荐。评审得分且最后报价相同的，按照技术指标优劣顺序推荐。</w:t>
      </w:r>
    </w:p>
    <w:p w14:paraId="14FCB2A2">
      <w:pPr>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2A1087B">
      <w:pPr>
        <w:spacing w:line="360" w:lineRule="auto"/>
        <w:ind w:firstLine="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7.评审复核</w:t>
      </w:r>
    </w:p>
    <w:p w14:paraId="6ED4431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7.1评审报告签署前，评审委员会要对评审结果进行复核，复核意见要体现在评审报告中。</w:t>
      </w:r>
    </w:p>
    <w:p w14:paraId="27E0DC57">
      <w:pPr>
        <w:widowControl/>
        <w:spacing w:line="360" w:lineRule="auto"/>
        <w:ind w:firstLine="420" w:firstLineChars="200"/>
        <w:jc w:val="left"/>
        <w:rPr>
          <w:rFonts w:ascii="宋体" w:hAnsi="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2D4579F8">
      <w:pPr>
        <w:ind w:firstLine="200"/>
        <w:rPr>
          <w:rFonts w:ascii="黑体" w:hAnsi="黑体" w:eastAsia="黑体" w:cs="宋体"/>
          <w:b/>
          <w:bCs/>
          <w:color w:val="000000" w:themeColor="text1"/>
          <w:sz w:val="24"/>
          <w:highlight w:val="none"/>
          <w14:textFill>
            <w14:solidFill>
              <w14:schemeClr w14:val="tx1"/>
            </w14:solidFill>
          </w14:textFill>
        </w:rPr>
      </w:pPr>
      <w:r>
        <w:rPr>
          <w:rFonts w:hint="eastAsia" w:ascii="黑体" w:hAnsi="黑体" w:eastAsia="黑体" w:cs="宋体"/>
          <w:b/>
          <w:bCs/>
          <w:color w:val="000000" w:themeColor="text1"/>
          <w:sz w:val="24"/>
          <w:highlight w:val="none"/>
          <w14:textFill>
            <w14:solidFill>
              <w14:schemeClr w14:val="tx1"/>
            </w14:solidFill>
          </w14:textFill>
        </w:rPr>
        <w:t>8.评审标准</w:t>
      </w:r>
    </w:p>
    <w:p w14:paraId="4D2B99C7">
      <w:pPr>
        <w:spacing w:line="360" w:lineRule="auto"/>
        <w:ind w:firstLine="422" w:firstLineChars="200"/>
        <w:rPr>
          <w:rFonts w:ascii="宋体" w:hAnsi="宋体"/>
          <w:bCs/>
          <w:color w:val="000000" w:themeColor="text1"/>
          <w:szCs w:val="2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8.</w:t>
      </w:r>
      <w:r>
        <w:rPr>
          <w:rFonts w:hint="eastAsia" w:ascii="宋体" w:hAnsi="宋体"/>
          <w:bCs/>
          <w:color w:val="000000" w:themeColor="text1"/>
          <w:szCs w:val="21"/>
          <w:highlight w:val="none"/>
          <w14:textFill>
            <w14:solidFill>
              <w14:schemeClr w14:val="tx1"/>
            </w14:solidFill>
          </w14:textFill>
        </w:rPr>
        <w:t>1评审依据：磋商小组将以磋商响应文件为评审依据，对供应商的报价、技术、商务等方面内容按百分制打分。（计分方法按四舍五入取至百分位）</w:t>
      </w:r>
    </w:p>
    <w:p w14:paraId="24D843B7">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总得分= 报价+技术+</w:t>
      </w:r>
      <w:bookmarkStart w:id="55" w:name="PO_TDCUS_ITEM_SM_TITLE_1"/>
      <w:r>
        <w:rPr>
          <w:rFonts w:hint="eastAsia" w:ascii="宋体" w:hAnsi="宋体"/>
          <w:bCs/>
          <w:color w:val="000000" w:themeColor="text1"/>
          <w:szCs w:val="21"/>
          <w:highlight w:val="none"/>
          <w14:textFill>
            <w14:solidFill>
              <w14:schemeClr w14:val="tx1"/>
            </w14:solidFill>
          </w14:textFill>
        </w:rPr>
        <w:t>商务+诚信分</w:t>
      </w:r>
    </w:p>
    <w:p w14:paraId="7C93CCE5">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评分方法</w:t>
      </w:r>
      <w:bookmarkEnd w:id="55"/>
    </w:p>
    <w:p w14:paraId="1B265AE1">
      <w:pPr>
        <w:pStyle w:val="34"/>
        <w:rPr>
          <w:color w:val="000000" w:themeColor="text1"/>
          <w:highlight w:val="none"/>
          <w14:textFill>
            <w14:solidFill>
              <w14:schemeClr w14:val="tx1"/>
            </w14:solidFill>
          </w14:textFill>
        </w:rPr>
      </w:pPr>
    </w:p>
    <w:p w14:paraId="35CF7EFA">
      <w:pPr>
        <w:spacing w:line="360" w:lineRule="auto"/>
        <w:ind w:firstLine="420"/>
        <w:rPr>
          <w:rFonts w:ascii="宋体" w:hAnsi="宋体"/>
          <w:b/>
          <w:color w:val="000000" w:themeColor="text1"/>
          <w:kern w:val="0"/>
          <w:szCs w:val="20"/>
          <w:highlight w:val="none"/>
          <w14:textFill>
            <w14:solidFill>
              <w14:schemeClr w14:val="tx1"/>
            </w14:solidFill>
          </w14:textFill>
        </w:rPr>
      </w:pPr>
      <w:r>
        <w:rPr>
          <w:rFonts w:hint="eastAsia" w:ascii="宋体" w:hAnsi="宋体"/>
          <w:b/>
          <w:color w:val="000000" w:themeColor="text1"/>
          <w:kern w:val="0"/>
          <w:szCs w:val="20"/>
          <w:highlight w:val="none"/>
          <w14:textFill>
            <w14:solidFill>
              <w14:schemeClr w14:val="tx1"/>
            </w14:solidFill>
          </w14:textFill>
        </w:rPr>
        <w:t>1.价格分………………………………………………………………………………………30分</w:t>
      </w:r>
    </w:p>
    <w:p w14:paraId="2661F21E">
      <w:pPr>
        <w:spacing w:line="360" w:lineRule="auto"/>
        <w:ind w:firstLine="420"/>
        <w:rPr>
          <w:rFonts w:ascii="宋体" w:hAnsi="宋体"/>
          <w:color w:val="000000" w:themeColor="text1"/>
          <w:kern w:val="0"/>
          <w:szCs w:val="20"/>
          <w:highlight w:val="none"/>
          <w14:textFill>
            <w14:solidFill>
              <w14:schemeClr w14:val="tx1"/>
            </w14:solidFill>
          </w14:textFill>
        </w:rPr>
      </w:pPr>
      <w:r>
        <w:rPr>
          <w:rFonts w:hint="eastAsia" w:ascii="宋体" w:hAnsi="宋体"/>
          <w:color w:val="000000" w:themeColor="text1"/>
          <w:kern w:val="0"/>
          <w:szCs w:val="20"/>
          <w:highlight w:val="none"/>
          <w14:textFill>
            <w14:solidFill>
              <w14:schemeClr w14:val="tx1"/>
            </w14:solidFill>
          </w14:textFill>
        </w:rPr>
        <w:t>1.评审报价为供应商的最后报价进行政策性扣除后的价格，评审报价只是作为评审时使用。最终成交供应商的成交金额等于最后报价(如有修正，以确认修正后的最后报价为准)。</w:t>
      </w:r>
    </w:p>
    <w:p w14:paraId="2CD919D7">
      <w:pPr>
        <w:spacing w:line="360" w:lineRule="auto"/>
        <w:ind w:firstLine="420"/>
        <w:rPr>
          <w:rFonts w:ascii="宋体" w:hAnsi="宋体"/>
          <w:color w:val="000000" w:themeColor="text1"/>
          <w:kern w:val="0"/>
          <w:szCs w:val="20"/>
          <w:highlight w:val="none"/>
          <w14:textFill>
            <w14:solidFill>
              <w14:schemeClr w14:val="tx1"/>
            </w14:solidFill>
          </w14:textFill>
        </w:rPr>
      </w:pPr>
      <w:r>
        <w:rPr>
          <w:rFonts w:hint="eastAsia" w:ascii="宋体" w:hAnsi="宋体"/>
          <w:color w:val="000000" w:themeColor="text1"/>
          <w:kern w:val="0"/>
          <w:szCs w:val="20"/>
          <w:highlight w:val="none"/>
          <w14:textFill>
            <w14:solidFill>
              <w14:schemeClr w14:val="tx1"/>
            </w14:solidFill>
          </w14:textFill>
        </w:rPr>
        <w:t>2.政府采购政策性扣除计算方法</w:t>
      </w:r>
    </w:p>
    <w:p w14:paraId="46B0C496">
      <w:pPr>
        <w:spacing w:line="360" w:lineRule="auto"/>
        <w:ind w:firstLine="420"/>
        <w:rPr>
          <w:rFonts w:ascii="宋体" w:hAnsi="宋体"/>
          <w:color w:val="000000" w:themeColor="text1"/>
          <w:kern w:val="0"/>
          <w:szCs w:val="20"/>
          <w:highlight w:val="none"/>
          <w14:textFill>
            <w14:solidFill>
              <w14:schemeClr w14:val="tx1"/>
            </w14:solidFill>
          </w14:textFill>
        </w:rPr>
      </w:pPr>
      <w:r>
        <w:rPr>
          <w:rFonts w:hint="eastAsia" w:ascii="宋体" w:hAnsi="宋体"/>
          <w:color w:val="000000" w:themeColor="text1"/>
          <w:kern w:val="0"/>
          <w:szCs w:val="20"/>
          <w:highlight w:val="none"/>
          <w14:textFill>
            <w14:solidFill>
              <w14:schemeClr w14:val="tx1"/>
            </w14:solidFill>
          </w14:textFill>
        </w:rPr>
        <w:t>按照《政府采购促进中小企业发展管理办法》(财库[2020]46号)及</w:t>
      </w:r>
      <w:r>
        <w:rPr>
          <w:rFonts w:hint="eastAsia" w:ascii="宋体" w:hAnsi="宋体"/>
          <w:bCs/>
          <w:color w:val="000000" w:themeColor="text1"/>
          <w:szCs w:val="21"/>
          <w:highlight w:val="none"/>
          <w14:textFill>
            <w14:solidFill>
              <w14:schemeClr w14:val="tx1"/>
            </w14:solidFill>
          </w14:textFill>
        </w:rPr>
        <w:t>《广西壮族自治区财政厅关于持续优化政府采购营商环境推动高质量发展的通知》（桂财采〔2024〕55号）</w:t>
      </w:r>
      <w:r>
        <w:rPr>
          <w:rFonts w:hint="eastAsia" w:ascii="宋体" w:hAnsi="宋体"/>
          <w:color w:val="000000" w:themeColor="text1"/>
          <w:kern w:val="0"/>
          <w:szCs w:val="20"/>
          <w:highlight w:val="none"/>
          <w14:textFill>
            <w14:solidFill>
              <w14:schemeClr w14:val="tx1"/>
            </w14:solidFill>
          </w14:textFill>
        </w:rPr>
        <w:t>，本项目专门面向中小企业采购，不再执行价格评审优惠的扶持政策;监狱企业或残疾人福利性单位视同小型、微型企业。</w:t>
      </w:r>
    </w:p>
    <w:p w14:paraId="77431944">
      <w:pPr>
        <w:spacing w:line="360" w:lineRule="auto"/>
        <w:ind w:firstLine="420"/>
        <w:rPr>
          <w:rFonts w:ascii="宋体" w:hAnsi="宋体"/>
          <w:color w:val="000000" w:themeColor="text1"/>
          <w:kern w:val="0"/>
          <w:szCs w:val="20"/>
          <w:highlight w:val="none"/>
          <w14:textFill>
            <w14:solidFill>
              <w14:schemeClr w14:val="tx1"/>
            </w14:solidFill>
          </w14:textFill>
        </w:rPr>
      </w:pPr>
      <w:r>
        <w:rPr>
          <w:rFonts w:hint="eastAsia" w:ascii="宋体" w:hAnsi="宋体"/>
          <w:color w:val="000000" w:themeColor="text1"/>
          <w:kern w:val="0"/>
          <w:szCs w:val="20"/>
          <w:highlight w:val="none"/>
          <w14:textFill>
            <w14:solidFill>
              <w14:schemeClr w14:val="tx1"/>
            </w14:solidFill>
          </w14:textFill>
        </w:rPr>
        <w:t>评审报价=最后报价</w:t>
      </w:r>
    </w:p>
    <w:p w14:paraId="41F66CD2">
      <w:pPr>
        <w:spacing w:line="360" w:lineRule="auto"/>
        <w:ind w:firstLine="420"/>
        <w:rPr>
          <w:rFonts w:ascii="宋体" w:hAnsi="宋体"/>
          <w:color w:val="000000" w:themeColor="text1"/>
          <w:kern w:val="0"/>
          <w:szCs w:val="20"/>
          <w:highlight w:val="none"/>
          <w14:textFill>
            <w14:solidFill>
              <w14:schemeClr w14:val="tx1"/>
            </w14:solidFill>
          </w14:textFill>
        </w:rPr>
      </w:pPr>
      <w:r>
        <w:rPr>
          <w:rFonts w:hint="eastAsia" w:ascii="宋体" w:hAnsi="宋体"/>
          <w:color w:val="000000" w:themeColor="text1"/>
          <w:kern w:val="0"/>
          <w:szCs w:val="20"/>
          <w:highlight w:val="none"/>
          <w14:textFill>
            <w14:solidFill>
              <w14:schemeClr w14:val="tx1"/>
            </w14:solidFill>
          </w14:textFill>
        </w:rPr>
        <w:t>3.以进入比较与评价环节的最低的评审报价为基准价，基准价得分为30分。</w:t>
      </w:r>
    </w:p>
    <w:p w14:paraId="731504BD">
      <w:pPr>
        <w:spacing w:line="360" w:lineRule="auto"/>
        <w:ind w:firstLine="420"/>
        <w:rPr>
          <w:rFonts w:ascii="宋体" w:hAnsi="宋体"/>
          <w:color w:val="000000" w:themeColor="text1"/>
          <w:kern w:val="0"/>
          <w:szCs w:val="20"/>
          <w:highlight w:val="none"/>
          <w14:textFill>
            <w14:solidFill>
              <w14:schemeClr w14:val="tx1"/>
            </w14:solidFill>
          </w14:textFill>
        </w:rPr>
      </w:pPr>
      <w:r>
        <w:rPr>
          <w:rFonts w:hint="eastAsia" w:ascii="宋体" w:hAnsi="宋体"/>
          <w:color w:val="000000" w:themeColor="text1"/>
          <w:kern w:val="0"/>
          <w:szCs w:val="20"/>
          <w:highlight w:val="none"/>
          <w14:textFill>
            <w14:solidFill>
              <w14:schemeClr w14:val="tx1"/>
            </w14:solidFill>
          </w14:textFill>
        </w:rPr>
        <w:t>4.价格分计算公式：</w:t>
      </w:r>
    </w:p>
    <w:p w14:paraId="20FD8369">
      <w:pPr>
        <w:tabs>
          <w:tab w:val="left" w:pos="8460"/>
        </w:tabs>
        <w:spacing w:line="360" w:lineRule="auto"/>
        <w:rPr>
          <w:rFonts w:ascii="宋体" w:hAnsi="宋体"/>
          <w:color w:val="000000" w:themeColor="text1"/>
          <w:kern w:val="0"/>
          <w:szCs w:val="20"/>
          <w:highlight w:val="none"/>
          <w14:textFill>
            <w14:solidFill>
              <w14:schemeClr w14:val="tx1"/>
            </w14:solidFill>
          </w14:textFill>
        </w:rPr>
      </w:pPr>
      <w:r>
        <w:rPr>
          <w:rFonts w:hint="eastAsia" w:ascii="宋体" w:hAnsi="宋体"/>
          <w:color w:val="000000" w:themeColor="text1"/>
          <w:kern w:val="0"/>
          <w:szCs w:val="20"/>
          <w:highlight w:val="none"/>
          <w14:textFill>
            <w14:solidFill>
              <w14:schemeClr w14:val="tx1"/>
            </w14:solidFill>
          </w14:textFill>
        </w:rPr>
        <w:t xml:space="preserve">    磋商报价得分=（基准价/某供应商的评审报价）×30分</w:t>
      </w:r>
    </w:p>
    <w:p w14:paraId="755D91C1">
      <w:pPr>
        <w:spacing w:line="360" w:lineRule="auto"/>
        <w:ind w:firstLine="420"/>
        <w:rPr>
          <w:rFonts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kern w:val="0"/>
          <w:szCs w:val="21"/>
          <w:highlight w:val="none"/>
          <w14:textFill>
            <w14:solidFill>
              <w14:schemeClr w14:val="tx1"/>
            </w14:solidFill>
          </w14:textFill>
        </w:rPr>
        <w:t>2、技术分……………………………………………………………………………………</w:t>
      </w:r>
      <w:r>
        <w:rPr>
          <w:rFonts w:ascii="宋体" w:hAnsi="宋体"/>
          <w:b/>
          <w:color w:val="000000" w:themeColor="text1"/>
          <w:kern w:val="0"/>
          <w:szCs w:val="21"/>
          <w:highlight w:val="none"/>
          <w14:textFill>
            <w14:solidFill>
              <w14:schemeClr w14:val="tx1"/>
            </w14:solidFill>
          </w14:textFill>
        </w:rPr>
        <w:t>60</w:t>
      </w:r>
      <w:r>
        <w:rPr>
          <w:rFonts w:hint="eastAsia" w:ascii="宋体" w:hAnsi="宋体"/>
          <w:b/>
          <w:color w:val="000000" w:themeColor="text1"/>
          <w:kern w:val="0"/>
          <w:szCs w:val="21"/>
          <w:highlight w:val="none"/>
          <w14:textFill>
            <w14:solidFill>
              <w14:schemeClr w14:val="tx1"/>
            </w14:solidFill>
          </w14:textFill>
        </w:rPr>
        <w:t>分</w:t>
      </w:r>
    </w:p>
    <w:p w14:paraId="36B000FF">
      <w:pPr>
        <w:spacing w:line="360" w:lineRule="auto"/>
        <w:ind w:firstLine="420"/>
        <w:rPr>
          <w:rFonts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kern w:val="0"/>
          <w:szCs w:val="21"/>
          <w:highlight w:val="none"/>
          <w14:textFill>
            <w14:solidFill>
              <w14:schemeClr w14:val="tx1"/>
            </w14:solidFill>
          </w14:textFill>
        </w:rPr>
        <w:t>（1）总体概述（施工程序总体设想及施工段划分）……………………………………8分</w:t>
      </w:r>
    </w:p>
    <w:p w14:paraId="47775B64">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一档（0分）：无项目总体概述或不可行。</w:t>
      </w:r>
    </w:p>
    <w:p w14:paraId="066AE01F">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二档（2分）：对项目总体有认识，有措施但部分不具体；施工段划分仅符合规范要求。</w:t>
      </w:r>
    </w:p>
    <w:p w14:paraId="2B60C007">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三档（5分）：对项目总体有全面认识，表述清晰、完整，措施具体有效；施工段划分呼应总体表述，划分清晰，符合规范要求。</w:t>
      </w:r>
    </w:p>
    <w:p w14:paraId="26F3CB6C">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四档（8分）：对项目总体有深刻认识，表述清晰、完整、严谨、合理，措施先进、具体、有效、成熟，采用了</w:t>
      </w:r>
      <w:r>
        <w:rPr>
          <w:rFonts w:hint="eastAsia" w:ascii="宋体" w:hAnsi="宋体"/>
          <w:color w:val="000000" w:themeColor="text1"/>
          <w:kern w:val="0"/>
          <w:szCs w:val="21"/>
          <w:highlight w:val="none"/>
          <w:lang w:val="en-US" w:eastAsia="zh-CN"/>
          <w14:textFill>
            <w14:solidFill>
              <w14:schemeClr w14:val="tx1"/>
            </w14:solidFill>
          </w14:textFill>
        </w:rPr>
        <w:t>已论证的</w:t>
      </w:r>
      <w:r>
        <w:rPr>
          <w:rFonts w:hint="eastAsia" w:ascii="宋体" w:hAnsi="宋体"/>
          <w:color w:val="000000" w:themeColor="text1"/>
          <w:kern w:val="0"/>
          <w:szCs w:val="21"/>
          <w:highlight w:val="none"/>
          <w14:textFill>
            <w14:solidFill>
              <w14:schemeClr w14:val="tx1"/>
            </w14:solidFill>
          </w14:textFill>
        </w:rPr>
        <w:t>新技术、新工艺、新材料、新设备；施工段划分呼应总体表述，划分清晰、合理，符合规范要求。</w:t>
      </w:r>
    </w:p>
    <w:p w14:paraId="2146C9DD">
      <w:pPr>
        <w:pStyle w:val="28"/>
        <w:spacing w:line="360" w:lineRule="auto"/>
        <w:ind w:firstLine="310" w:firstLineChars="147"/>
        <w:rPr>
          <w:rFonts w:hAnsi="宋体"/>
          <w:b/>
          <w:bCs/>
          <w:color w:val="000000" w:themeColor="text1"/>
          <w:sz w:val="21"/>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（2）主要施工方法</w:t>
      </w:r>
      <w:r>
        <w:rPr>
          <w:rFonts w:hint="eastAsia" w:hAnsi="宋体"/>
          <w:b/>
          <w:color w:val="000000" w:themeColor="text1"/>
          <w:sz w:val="21"/>
          <w:highlight w:val="none"/>
          <w14:textFill>
            <w14:solidFill>
              <w14:schemeClr w14:val="tx1"/>
            </w14:solidFill>
          </w14:textFill>
        </w:rPr>
        <w:t>………………………………………………………………………………8分</w:t>
      </w:r>
    </w:p>
    <w:p w14:paraId="68356948">
      <w:pPr>
        <w:pStyle w:val="28"/>
        <w:spacing w:line="360" w:lineRule="auto"/>
        <w:ind w:firstLine="420" w:firstLineChars="20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一档（0分）：无施工方法或不可行。</w:t>
      </w:r>
    </w:p>
    <w:p w14:paraId="1FE97B6A">
      <w:pPr>
        <w:pStyle w:val="28"/>
        <w:spacing w:line="360" w:lineRule="auto"/>
        <w:ind w:firstLine="420" w:firstLineChars="20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二档（2分）：各主要分部施工方法仅基本满足项目需求，没有施工技术方案，不能指导具体施工并确保安全。</w:t>
      </w:r>
    </w:p>
    <w:p w14:paraId="6D11912A">
      <w:pPr>
        <w:pStyle w:val="28"/>
        <w:spacing w:line="360" w:lineRule="auto"/>
        <w:ind w:firstLine="420" w:firstLineChars="20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三档（</w:t>
      </w:r>
      <w:r>
        <w:rPr>
          <w:rFonts w:hAnsi="宋体"/>
          <w:color w:val="000000" w:themeColor="text1"/>
          <w:sz w:val="21"/>
          <w:highlight w:val="none"/>
          <w14:textFill>
            <w14:solidFill>
              <w14:schemeClr w14:val="tx1"/>
            </w14:solidFill>
          </w14:textFill>
        </w:rPr>
        <w:t>5</w:t>
      </w:r>
      <w:r>
        <w:rPr>
          <w:rFonts w:hint="eastAsia" w:hAnsi="宋体"/>
          <w:color w:val="000000" w:themeColor="text1"/>
          <w:sz w:val="21"/>
          <w:highlight w:val="none"/>
          <w14:textFill>
            <w14:solidFill>
              <w14:schemeClr w14:val="tx1"/>
            </w14:solidFill>
          </w14:textFill>
        </w:rPr>
        <w:t>分）：各主要分部施工方法符合项目实际，有详尽的施工技术方案，工艺、方法可行，但不先进，能指导部分施工并确保安全；</w:t>
      </w:r>
    </w:p>
    <w:p w14:paraId="2A763A2C">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四档（8分）：</w:t>
      </w:r>
      <w:r>
        <w:rPr>
          <w:rFonts w:hint="eastAsia" w:hAnsi="宋体"/>
          <w:color w:val="000000" w:themeColor="text1"/>
          <w:highlight w:val="none"/>
          <w14:textFill>
            <w14:solidFill>
              <w14:schemeClr w14:val="tx1"/>
            </w14:solidFill>
          </w14:textFill>
        </w:rPr>
        <w:t>各主要分部施工方法符合项目实际，有详尽的施工技术方案，工艺先进、方法科学合理、可行，能指导具体施工并确保安全；</w:t>
      </w:r>
    </w:p>
    <w:p w14:paraId="61FF5770">
      <w:pPr>
        <w:spacing w:line="360" w:lineRule="auto"/>
        <w:ind w:firstLine="420"/>
        <w:rPr>
          <w:rFonts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kern w:val="0"/>
          <w:szCs w:val="21"/>
          <w:highlight w:val="none"/>
          <w14:textFill>
            <w14:solidFill>
              <w14:schemeClr w14:val="tx1"/>
            </w14:solidFill>
          </w14:textFill>
        </w:rPr>
        <w:t>（3）施工进度计划和各阶段进度的保证措施……………………………</w:t>
      </w:r>
      <w:r>
        <w:rPr>
          <w:rFonts w:hint="eastAsia" w:ascii="宋体" w:hAnsi="宋体"/>
          <w:b/>
          <w:bCs/>
          <w:color w:val="000000" w:themeColor="text1"/>
          <w:szCs w:val="21"/>
          <w:highlight w:val="none"/>
          <w14:textFill>
            <w14:solidFill>
              <w14:schemeClr w14:val="tx1"/>
            </w14:solidFill>
          </w14:textFill>
        </w:rPr>
        <w:t>┉</w:t>
      </w:r>
      <w:r>
        <w:rPr>
          <w:rFonts w:hint="eastAsia" w:ascii="宋体" w:hAnsi="宋体"/>
          <w:b/>
          <w:color w:val="000000" w:themeColor="text1"/>
          <w:kern w:val="0"/>
          <w:szCs w:val="21"/>
          <w:highlight w:val="none"/>
          <w14:textFill>
            <w14:solidFill>
              <w14:schemeClr w14:val="tx1"/>
            </w14:solidFill>
          </w14:textFill>
        </w:rPr>
        <w:t>……………12分</w:t>
      </w:r>
    </w:p>
    <w:p w14:paraId="11CC6107">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一档（0分）：</w:t>
      </w:r>
      <w:r>
        <w:rPr>
          <w:rFonts w:ascii="宋体" w:hAnsi="宋体"/>
          <w:color w:val="000000" w:themeColor="text1"/>
          <w:kern w:val="0"/>
          <w:szCs w:val="21"/>
          <w:highlight w:val="none"/>
          <w14:textFill>
            <w14:solidFill>
              <w14:schemeClr w14:val="tx1"/>
            </w14:solidFill>
          </w14:textFill>
        </w:rPr>
        <w:t>无</w:t>
      </w:r>
      <w:r>
        <w:rPr>
          <w:rFonts w:hint="eastAsia" w:ascii="宋体" w:hAnsi="宋体"/>
          <w:color w:val="000000" w:themeColor="text1"/>
          <w:kern w:val="0"/>
          <w:szCs w:val="21"/>
          <w:highlight w:val="none"/>
          <w14:textFill>
            <w14:solidFill>
              <w14:schemeClr w14:val="tx1"/>
            </w14:solidFill>
          </w14:textFill>
        </w:rPr>
        <w:t>施工进度计划和各阶段进度的保证措施</w:t>
      </w:r>
      <w:r>
        <w:rPr>
          <w:rFonts w:ascii="宋体" w:hAnsi="宋体"/>
          <w:color w:val="000000" w:themeColor="text1"/>
          <w:kern w:val="0"/>
          <w:szCs w:val="21"/>
          <w:highlight w:val="none"/>
          <w14:textFill>
            <w14:solidFill>
              <w14:schemeClr w14:val="tx1"/>
            </w14:solidFill>
          </w14:textFill>
        </w:rPr>
        <w:t>或不可行。</w:t>
      </w:r>
    </w:p>
    <w:p w14:paraId="4021163D">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二档（4分）：施工进度计划和各阶段进度基本准确，计划编制基本合理，缺乏关键节点的控制措施。</w:t>
      </w:r>
    </w:p>
    <w:p w14:paraId="3C4B0294">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三档（8分）：施工进度计划和各阶段进度完整，计划编制合理、可行，有关键节点的控制措施。</w:t>
      </w:r>
    </w:p>
    <w:p w14:paraId="61F00108">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四档（12分）：施工进度计划和各阶段进度清晰、准确、完整，计划编制科学合理，关键节点的控制措施有力、合理、可行。</w:t>
      </w:r>
    </w:p>
    <w:p w14:paraId="707FD172">
      <w:pPr>
        <w:spacing w:line="360" w:lineRule="auto"/>
        <w:ind w:firstLine="420"/>
        <w:rPr>
          <w:rFonts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kern w:val="0"/>
          <w:szCs w:val="21"/>
          <w:highlight w:val="none"/>
          <w14:textFill>
            <w14:solidFill>
              <w14:schemeClr w14:val="tx1"/>
            </w14:solidFill>
          </w14:textFill>
        </w:rPr>
        <w:t>（4）拟投入的劳动力、材料、施工机械、设备计划及其安全保证措施………………10分</w:t>
      </w:r>
    </w:p>
    <w:p w14:paraId="417859D4">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一档（0分）：</w:t>
      </w:r>
      <w:r>
        <w:rPr>
          <w:rFonts w:ascii="宋体" w:hAnsi="宋体"/>
          <w:color w:val="000000" w:themeColor="text1"/>
          <w:kern w:val="0"/>
          <w:szCs w:val="21"/>
          <w:highlight w:val="none"/>
          <w14:textFill>
            <w14:solidFill>
              <w14:schemeClr w14:val="tx1"/>
            </w14:solidFill>
          </w14:textFill>
        </w:rPr>
        <w:t>无</w:t>
      </w:r>
      <w:r>
        <w:rPr>
          <w:rFonts w:hint="eastAsia" w:ascii="宋体" w:hAnsi="宋体"/>
          <w:color w:val="000000" w:themeColor="text1"/>
          <w:kern w:val="0"/>
          <w:szCs w:val="21"/>
          <w:highlight w:val="none"/>
          <w14:textFill>
            <w14:solidFill>
              <w14:schemeClr w14:val="tx1"/>
            </w14:solidFill>
          </w14:textFill>
        </w:rPr>
        <w:t>劳动力和材料投入、机械设备投入计划及其安全保证措施</w:t>
      </w:r>
      <w:r>
        <w:rPr>
          <w:rFonts w:ascii="宋体" w:hAnsi="宋体"/>
          <w:color w:val="000000" w:themeColor="text1"/>
          <w:kern w:val="0"/>
          <w:szCs w:val="21"/>
          <w:highlight w:val="none"/>
          <w14:textFill>
            <w14:solidFill>
              <w14:schemeClr w14:val="tx1"/>
            </w14:solidFill>
          </w14:textFill>
        </w:rPr>
        <w:t>或不可行。</w:t>
      </w:r>
    </w:p>
    <w:p w14:paraId="60F8BEAB">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二档（3分）：投入计划与进度计划基本满足施工需要，调配投入计划基本合理；保证措施不全面。</w:t>
      </w:r>
    </w:p>
    <w:p w14:paraId="6B9A9F57">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三档（6分）：投入计划与进度计划呼应，满足施工需要，调配投入计划合理；保证措施全面。</w:t>
      </w:r>
    </w:p>
    <w:p w14:paraId="2E64C67E">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四档（10分）：投入计划与进度计划呼应，完全满足施工需要，调配投入计划合理、准确；保证措施清晰完善。</w:t>
      </w:r>
    </w:p>
    <w:p w14:paraId="1EE34736">
      <w:pPr>
        <w:pStyle w:val="28"/>
        <w:spacing w:line="360" w:lineRule="auto"/>
        <w:ind w:firstLine="310" w:firstLineChars="147"/>
        <w:rPr>
          <w:rFonts w:hAnsi="宋体"/>
          <w:color w:val="000000" w:themeColor="text1"/>
          <w:sz w:val="21"/>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（5）安全生产施工措施</w:t>
      </w:r>
      <w:r>
        <w:rPr>
          <w:rFonts w:hint="eastAsia" w:hAnsi="宋体"/>
          <w:b/>
          <w:color w:val="000000" w:themeColor="text1"/>
          <w:sz w:val="21"/>
          <w:highlight w:val="none"/>
          <w14:textFill>
            <w14:solidFill>
              <w14:schemeClr w14:val="tx1"/>
            </w14:solidFill>
          </w14:textFill>
        </w:rPr>
        <w:t>…………………………………………………………………………8分</w:t>
      </w:r>
    </w:p>
    <w:p w14:paraId="48404603">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一档（0分）：无安全生产措施或不可行。</w:t>
      </w:r>
    </w:p>
    <w:p w14:paraId="661A6E31">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二档(2分)：有专门的安全管理人员和制度，人员配备不合理，制度不健全，各道工序安全技术措施针无对性，不满足有关安全技术标准要求。现场防火、应急救援、社会治安安全措施不得力。</w:t>
      </w:r>
    </w:p>
    <w:p w14:paraId="664C7EAD">
      <w:pPr>
        <w:pStyle w:val="28"/>
        <w:spacing w:line="360" w:lineRule="auto"/>
        <w:ind w:firstLine="420" w:firstLineChars="20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三档(5分)：有专门的安全管理人员和制度，且人员配备合理，制度健全，各道工序安全技术措施针对性不足，确保工程质量的技术组织措施符合实际且基本满足有关安全技术标准要求。现场防火、应急救援、社会治安安全措施满足项目要求。</w:t>
      </w:r>
    </w:p>
    <w:p w14:paraId="7B2E2057">
      <w:pPr>
        <w:pStyle w:val="28"/>
        <w:spacing w:line="360" w:lineRule="auto"/>
        <w:ind w:firstLine="420" w:firstLineChars="20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四档（8分）：有专门的安全管理人员和制度，且人员配备合理，制度健全，各道工序安全技术措施针对性强，确保工程质量的技术组织措施符合实际且满足有关安全技术标准要求。现场防火、应急救援、社会治安安全措施科学可行。</w:t>
      </w:r>
    </w:p>
    <w:p w14:paraId="184F91B5">
      <w:pPr>
        <w:spacing w:line="360" w:lineRule="auto"/>
        <w:ind w:firstLine="420"/>
        <w:rPr>
          <w:rFonts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kern w:val="0"/>
          <w:szCs w:val="21"/>
          <w:highlight w:val="none"/>
          <w14:textFill>
            <w14:solidFill>
              <w14:schemeClr w14:val="tx1"/>
            </w14:solidFill>
          </w14:textFill>
        </w:rPr>
        <w:t>（6）质量保证及新技术应用………………………………………………………………8分</w:t>
      </w:r>
    </w:p>
    <w:p w14:paraId="7201991C">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一档（0分）：无质量保证及新技术应用或不可行。</w:t>
      </w:r>
    </w:p>
    <w:p w14:paraId="3A47A49A">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二档（2分）：具体保证措施可行，技术、质量满足采购文件的要求。</w:t>
      </w:r>
    </w:p>
    <w:p w14:paraId="3912B2AC">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三档（5分）：针对项目实际提出先进、可行、具体的质量保证措施，技术应用满足竞争性磋商文件的要求。</w:t>
      </w:r>
    </w:p>
    <w:p w14:paraId="0AE55D1F">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四档（8分）：应用新技术、新工艺、新材料、新设备，针对项目实际提出先进、可行、具体的质量保证措施，超过竞争性磋商文件的质量要求及施工验收规范要求。</w:t>
      </w:r>
    </w:p>
    <w:p w14:paraId="663A375E">
      <w:pPr>
        <w:pStyle w:val="28"/>
        <w:spacing w:line="360" w:lineRule="auto"/>
        <w:rPr>
          <w:rFonts w:hAnsi="宋体"/>
          <w:b/>
          <w:bCs/>
          <w:color w:val="000000" w:themeColor="text1"/>
          <w:sz w:val="21"/>
          <w:highlight w:val="none"/>
          <w14:textFill>
            <w14:solidFill>
              <w14:schemeClr w14:val="tx1"/>
            </w14:solidFill>
          </w14:textFill>
        </w:rPr>
      </w:pPr>
      <w:r>
        <w:rPr>
          <w:rFonts w:hint="eastAsia" w:hAnsi="宋体"/>
          <w:b/>
          <w:color w:val="000000" w:themeColor="text1"/>
          <w:sz w:val="21"/>
          <w:highlight w:val="none"/>
          <w14:textFill>
            <w14:solidFill>
              <w14:schemeClr w14:val="tx1"/>
            </w14:solidFill>
          </w14:textFill>
        </w:rPr>
        <w:t xml:space="preserve">   （7）</w:t>
      </w:r>
      <w:r>
        <w:rPr>
          <w:rFonts w:hint="eastAsia" w:hAnsi="宋体"/>
          <w:b/>
          <w:bCs/>
          <w:color w:val="000000" w:themeColor="text1"/>
          <w:sz w:val="21"/>
          <w:highlight w:val="none"/>
          <w14:textFill>
            <w14:solidFill>
              <w14:schemeClr w14:val="tx1"/>
            </w14:solidFill>
          </w14:textFill>
        </w:rPr>
        <w:t>项目班子得分规则┉┉┉┉┉┉┉┉┉┉┉┉┉┉┉┉┉┉┉┉┉┉┉┉┉┉┉6分</w:t>
      </w:r>
    </w:p>
    <w:p w14:paraId="4DA6F59D">
      <w:pPr>
        <w:pStyle w:val="28"/>
        <w:spacing w:line="360" w:lineRule="auto"/>
        <w:ind w:firstLine="420" w:firstLineChars="200"/>
        <w:rPr>
          <w:rFonts w:hAnsi="宋体"/>
          <w:bCs/>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①项目经理：拟投入本项目的项目经理具有工程类中级</w:t>
      </w:r>
      <w:r>
        <w:rPr>
          <w:rFonts w:hint="eastAsia" w:hAnsi="宋体"/>
          <w:bCs/>
          <w:color w:val="000000" w:themeColor="text1"/>
          <w:sz w:val="21"/>
          <w:highlight w:val="none"/>
          <w:lang w:val="en-US" w:eastAsia="zh-CN"/>
          <w14:textFill>
            <w14:solidFill>
              <w14:schemeClr w14:val="tx1"/>
            </w14:solidFill>
          </w14:textFill>
        </w:rPr>
        <w:t>或</w:t>
      </w:r>
      <w:r>
        <w:rPr>
          <w:rFonts w:hint="eastAsia" w:hAnsi="宋体"/>
          <w:bCs/>
          <w:color w:val="000000" w:themeColor="text1"/>
          <w:sz w:val="21"/>
          <w:highlight w:val="none"/>
          <w14:textFill>
            <w14:solidFill>
              <w14:schemeClr w14:val="tx1"/>
            </w14:solidFill>
          </w14:textFill>
        </w:rPr>
        <w:t>以上技术职称的得2分。</w:t>
      </w:r>
    </w:p>
    <w:p w14:paraId="75E86E5A">
      <w:pPr>
        <w:pStyle w:val="28"/>
        <w:spacing w:line="360" w:lineRule="auto"/>
        <w:ind w:firstLine="420" w:firstLineChars="200"/>
        <w:rPr>
          <w:rFonts w:hAnsi="宋体"/>
          <w:bCs/>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②其他主要人员（4分）：拟投入本项目的技术负责人具有工程类中级及以上技术职称的得2分；施工员、质量员、材料员有1人以上具有工程类中级及以上技术职称的得2分。满分4分。</w:t>
      </w:r>
    </w:p>
    <w:p w14:paraId="740762FD">
      <w:pPr>
        <w:spacing w:line="360" w:lineRule="auto"/>
        <w:ind w:firstLine="420"/>
        <w:rPr>
          <w:rFonts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kern w:val="0"/>
          <w:szCs w:val="21"/>
          <w:highlight w:val="none"/>
          <w14:textFill>
            <w14:solidFill>
              <w14:schemeClr w14:val="tx1"/>
            </w14:solidFill>
          </w14:textFill>
        </w:rPr>
        <w:t>3、商务分……………………………………………………………………………………10分</w:t>
      </w:r>
    </w:p>
    <w:p w14:paraId="33BFE62D">
      <w:pPr>
        <w:spacing w:line="360" w:lineRule="auto"/>
        <w:ind w:firstLine="420"/>
        <w:rPr>
          <w:rFonts w:ascii="宋体" w:hAnsi="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供应商</w:t>
      </w:r>
      <w:r>
        <w:rPr>
          <w:rFonts w:hint="eastAsia" w:ascii="宋体" w:hAnsi="宋体"/>
          <w:color w:val="000000" w:themeColor="text1"/>
          <w:kern w:val="0"/>
          <w:szCs w:val="21"/>
          <w:highlight w:val="none"/>
          <w14:textFill>
            <w14:solidFill>
              <w14:schemeClr w14:val="tx1"/>
            </w14:solidFill>
          </w14:textFill>
        </w:rPr>
        <w:t>2020年1月1日以来，供应商有</w:t>
      </w:r>
      <w:r>
        <w:rPr>
          <w:rFonts w:hint="eastAsia" w:ascii="宋体" w:hAnsi="宋体"/>
          <w:color w:val="000000" w:themeColor="text1"/>
          <w:kern w:val="0"/>
          <w:szCs w:val="21"/>
          <w:highlight w:val="none"/>
          <w:lang w:val="en-US" w:eastAsia="zh-CN"/>
          <w14:textFill>
            <w14:solidFill>
              <w14:schemeClr w14:val="tx1"/>
            </w14:solidFill>
          </w14:textFill>
        </w:rPr>
        <w:t>本项目</w:t>
      </w:r>
      <w:r>
        <w:rPr>
          <w:rFonts w:hint="eastAsia" w:ascii="宋体" w:hAnsi="宋体"/>
          <w:color w:val="000000" w:themeColor="text1"/>
          <w:kern w:val="0"/>
          <w:szCs w:val="21"/>
          <w:highlight w:val="none"/>
          <w14:textFill>
            <w14:solidFill>
              <w14:schemeClr w14:val="tx1"/>
            </w14:solidFill>
          </w14:textFill>
        </w:rPr>
        <w:t>类似</w:t>
      </w:r>
      <w:r>
        <w:rPr>
          <w:rFonts w:hint="eastAsia" w:ascii="宋体" w:hAnsi="宋体"/>
          <w:color w:val="000000" w:themeColor="text1"/>
          <w:kern w:val="0"/>
          <w:szCs w:val="21"/>
          <w:highlight w:val="none"/>
          <w:lang w:eastAsia="zh-CN"/>
          <w14:textFill>
            <w14:solidFill>
              <w14:schemeClr w14:val="tx1"/>
            </w14:solidFill>
          </w14:textFill>
        </w:rPr>
        <w:t>的</w:t>
      </w:r>
      <w:r>
        <w:rPr>
          <w:rFonts w:ascii="宋体" w:hAnsi="宋体" w:eastAsia="宋体"/>
          <w:color w:val="000000" w:themeColor="text1"/>
          <w:szCs w:val="21"/>
          <w:highlight w:val="none"/>
          <w14:textFill>
            <w14:solidFill>
              <w14:schemeClr w14:val="tx1"/>
            </w14:solidFill>
          </w14:textFill>
        </w:rPr>
        <w:t>建筑工程施工总承包</w:t>
      </w:r>
      <w:r>
        <w:rPr>
          <w:rFonts w:hint="eastAsia" w:ascii="宋体" w:hAnsi="宋体"/>
          <w:color w:val="000000" w:themeColor="text1"/>
          <w:szCs w:val="21"/>
          <w:highlight w:val="none"/>
          <w:lang w:val="en-US" w:eastAsia="zh-CN"/>
          <w14:textFill>
            <w14:solidFill>
              <w14:schemeClr w14:val="tx1"/>
            </w14:solidFill>
          </w14:textFill>
        </w:rPr>
        <w:t>或者</w:t>
      </w:r>
      <w:r>
        <w:rPr>
          <w:rFonts w:hint="eastAsia" w:ascii="宋体" w:hAnsi="宋体"/>
          <w:color w:val="000000" w:themeColor="text1"/>
          <w:kern w:val="0"/>
          <w:szCs w:val="21"/>
          <w:highlight w:val="none"/>
          <w14:textFill>
            <w14:solidFill>
              <w14:schemeClr w14:val="tx1"/>
            </w14:solidFill>
          </w14:textFill>
        </w:rPr>
        <w:t>建筑装修装饰工程施工项目业绩的，每有一项得2.5分，本项满分</w:t>
      </w:r>
      <w:r>
        <w:rPr>
          <w:rFonts w:hint="eastAsia" w:ascii="宋体" w:hAnsi="宋体"/>
          <w:color w:val="000000" w:themeColor="text1"/>
          <w:kern w:val="0"/>
          <w:szCs w:val="21"/>
          <w:highlight w:val="none"/>
          <w:lang w:val="en-US" w:eastAsia="zh-CN"/>
          <w14:textFill>
            <w14:solidFill>
              <w14:schemeClr w14:val="tx1"/>
            </w14:solidFill>
          </w14:textFill>
        </w:rPr>
        <w:t>10</w:t>
      </w:r>
      <w:r>
        <w:rPr>
          <w:rFonts w:hint="eastAsia" w:ascii="宋体" w:hAnsi="宋体"/>
          <w:color w:val="000000" w:themeColor="text1"/>
          <w:kern w:val="0"/>
          <w:szCs w:val="21"/>
          <w:highlight w:val="none"/>
          <w14:textFill>
            <w14:solidFill>
              <w14:schemeClr w14:val="tx1"/>
            </w14:solidFill>
          </w14:textFill>
        </w:rPr>
        <w:t>分（以成交通知书或合同书复印件为准）。</w:t>
      </w:r>
    </w:p>
    <w:p w14:paraId="709AAB7A">
      <w:pPr>
        <w:spacing w:line="360" w:lineRule="auto"/>
        <w:ind w:firstLine="420"/>
        <w:rPr>
          <w:rFonts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kern w:val="0"/>
          <w:szCs w:val="21"/>
          <w:highlight w:val="none"/>
          <w14:textFill>
            <w14:solidFill>
              <w14:schemeClr w14:val="tx1"/>
            </w14:solidFill>
          </w14:textFill>
        </w:rPr>
        <w:t>4、诚信分……………………………………………………………………………………-6分</w:t>
      </w:r>
    </w:p>
    <w:p w14:paraId="3032E9D3">
      <w:pPr>
        <w:spacing w:line="360" w:lineRule="auto"/>
        <w:ind w:firstLine="420"/>
        <w:rPr>
          <w:rFonts w:ascii="宋体" w:hAnsi="宋体"/>
          <w:color w:val="000000" w:themeColor="text1"/>
          <w:kern w:val="0"/>
          <w:szCs w:val="20"/>
          <w:highlight w:val="none"/>
          <w14:textFill>
            <w14:solidFill>
              <w14:schemeClr w14:val="tx1"/>
            </w14:solidFill>
          </w14:textFill>
        </w:rPr>
      </w:pPr>
      <w:r>
        <w:rPr>
          <w:rFonts w:hint="eastAsia" w:ascii="宋体" w:hAnsi="宋体"/>
          <w:color w:val="000000" w:themeColor="text1"/>
          <w:kern w:val="0"/>
          <w:szCs w:val="21"/>
          <w:highlight w:val="none"/>
          <w:lang w:eastAsia="zh-CN"/>
          <w14:textFill>
            <w14:solidFill>
              <w14:schemeClr w14:val="tx1"/>
            </w14:solidFill>
          </w14:textFill>
        </w:rPr>
        <w:t>供应商</w:t>
      </w:r>
      <w:r>
        <w:rPr>
          <w:rFonts w:hint="eastAsia" w:ascii="宋体" w:hAnsi="宋体"/>
          <w:color w:val="000000" w:themeColor="text1"/>
          <w:kern w:val="0"/>
          <w:szCs w:val="21"/>
          <w:highlight w:val="none"/>
          <w14:textFill>
            <w14:solidFill>
              <w14:schemeClr w14:val="tx1"/>
            </w14:solidFill>
          </w14:textFill>
        </w:rPr>
        <w:t>在截标日前一年内在政府采购活动中存在违约违规情形的（以财政部门书面认定材料为评分依据），每次扣除3分，最高扣6分。</w:t>
      </w:r>
    </w:p>
    <w:p w14:paraId="23E79BA8">
      <w:pPr>
        <w:widowControl/>
        <w:jc w:val="left"/>
        <w:rPr>
          <w:rFonts w:ascii="宋体" w:hAnsi="宋体"/>
          <w:bCs/>
          <w:color w:val="000000" w:themeColor="text1"/>
          <w:kern w:val="0"/>
          <w:sz w:val="20"/>
          <w:szCs w:val="21"/>
          <w:highlight w:val="none"/>
          <w14:textFill>
            <w14:solidFill>
              <w14:schemeClr w14:val="tx1"/>
            </w14:solidFill>
          </w14:textFill>
        </w:rPr>
      </w:pPr>
      <w:r>
        <w:rPr>
          <w:rFonts w:hAnsi="宋体"/>
          <w:bCs/>
          <w:color w:val="000000" w:themeColor="text1"/>
          <w:highlight w:val="none"/>
          <w14:textFill>
            <w14:solidFill>
              <w14:schemeClr w14:val="tx1"/>
            </w14:solidFill>
          </w14:textFill>
        </w:rPr>
        <w:br w:type="page"/>
      </w:r>
    </w:p>
    <w:p w14:paraId="656DC4E0">
      <w:pPr>
        <w:pStyle w:val="28"/>
        <w:spacing w:line="360" w:lineRule="auto"/>
        <w:ind w:firstLine="420" w:firstLineChars="200"/>
        <w:rPr>
          <w:rFonts w:hAnsi="宋体" w:cs="宋体"/>
          <w:color w:val="000000" w:themeColor="text1"/>
          <w:kern w:val="2"/>
          <w:sz w:val="21"/>
          <w:szCs w:val="24"/>
          <w:highlight w:val="none"/>
          <w14:textFill>
            <w14:solidFill>
              <w14:schemeClr w14:val="tx1"/>
            </w14:solidFill>
          </w14:textFill>
        </w:rPr>
      </w:pPr>
      <w:r>
        <w:rPr>
          <w:rFonts w:hint="eastAsia" w:hAnsi="宋体" w:cs="宋体"/>
          <w:color w:val="000000" w:themeColor="text1"/>
          <w:kern w:val="2"/>
          <w:sz w:val="21"/>
          <w:szCs w:val="24"/>
          <w:highlight w:val="none"/>
          <w14:textFill>
            <w14:solidFill>
              <w14:schemeClr w14:val="tx1"/>
            </w14:solidFill>
          </w14:textFill>
        </w:rPr>
        <w:t>8.2商务技术评审因素为客观评分项的，应在评分项目或评分标准中予以标注为“客观分”。对供应商的客观评分项目，各评审专家评分应当一致。</w:t>
      </w:r>
    </w:p>
    <w:p w14:paraId="1A02A892">
      <w:pPr>
        <w:spacing w:line="360" w:lineRule="auto"/>
        <w:ind w:firstLine="420" w:firstLineChars="200"/>
        <w:rPr>
          <w:rFonts w:ascii="宋体" w:hAnsi="宋体" w:cs="宋体"/>
          <w:color w:val="000000" w:themeColor="text1"/>
          <w:highlight w:val="none"/>
          <w14:textFill>
            <w14:solidFill>
              <w14:schemeClr w14:val="tx1"/>
            </w14:solidFill>
          </w14:textFill>
        </w:rPr>
      </w:pPr>
      <w:bookmarkStart w:id="56" w:name="_Toc80205935"/>
      <w:r>
        <w:rPr>
          <w:rFonts w:hint="eastAsia" w:ascii="宋体" w:hAnsi="宋体" w:cs="宋体"/>
          <w:color w:val="000000" w:themeColor="text1"/>
          <w:highlight w:val="none"/>
          <w14:textFill>
            <w14:solidFill>
              <w14:schemeClr w14:val="tx1"/>
            </w14:solidFill>
          </w14:textFill>
        </w:rPr>
        <w:t>8.3.终止竞争性磋商采购活动</w:t>
      </w:r>
    </w:p>
    <w:p w14:paraId="7EA668A7">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3784D28C">
      <w:pPr>
        <w:pStyle w:val="5"/>
        <w:spacing w:before="0" w:after="0" w:line="360" w:lineRule="auto"/>
        <w:ind w:firstLine="640" w:firstLineChars="200"/>
        <w:jc w:val="center"/>
        <w:rPr>
          <w:rFonts w:ascii="宋体" w:hAnsi="宋体" w:cs="宋体"/>
          <w:b w:val="0"/>
          <w:color w:val="000000" w:themeColor="text1"/>
          <w:highlight w:val="none"/>
          <w14:textFill>
            <w14:solidFill>
              <w14:schemeClr w14:val="tx1"/>
            </w14:solidFill>
          </w14:textFill>
        </w:rPr>
      </w:pPr>
    </w:p>
    <w:p w14:paraId="2E8F98D8">
      <w:pPr>
        <w:pStyle w:val="5"/>
        <w:spacing w:before="0" w:after="0" w:line="360" w:lineRule="auto"/>
        <w:ind w:firstLine="640" w:firstLineChars="200"/>
        <w:jc w:val="center"/>
        <w:rPr>
          <w:rFonts w:ascii="宋体" w:hAnsi="宋体"/>
          <w:b w:val="0"/>
          <w:color w:val="000000" w:themeColor="text1"/>
          <w:highlight w:val="none"/>
          <w14:textFill>
            <w14:solidFill>
              <w14:schemeClr w14:val="tx1"/>
            </w14:solidFill>
          </w14:textFill>
        </w:rPr>
      </w:pPr>
      <w:bookmarkStart w:id="57" w:name="_Toc213948291"/>
      <w:r>
        <w:rPr>
          <w:rFonts w:hint="eastAsia" w:ascii="宋体" w:hAnsi="宋体"/>
          <w:b w:val="0"/>
          <w:color w:val="000000" w:themeColor="text1"/>
          <w:highlight w:val="none"/>
          <w14:textFill>
            <w14:solidFill>
              <w14:schemeClr w14:val="tx1"/>
            </w14:solidFill>
          </w14:textFill>
        </w:rPr>
        <w:t>第二节 评标报告</w:t>
      </w:r>
      <w:bookmarkEnd w:id="56"/>
      <w:bookmarkEnd w:id="57"/>
    </w:p>
    <w:p w14:paraId="35E69A3F">
      <w:pPr>
        <w:spacing w:line="360" w:lineRule="auto"/>
        <w:ind w:firstLine="480" w:firstLineChars="200"/>
        <w:rPr>
          <w:rFonts w:ascii="黑体" w:hAnsi="黑体" w:eastAsia="黑体" w:cs="宋体"/>
          <w:color w:val="000000" w:themeColor="text1"/>
          <w:sz w:val="24"/>
          <w:szCs w:val="32"/>
          <w:highlight w:val="none"/>
          <w14:textFill>
            <w14:solidFill>
              <w14:schemeClr w14:val="tx1"/>
            </w14:solidFill>
          </w14:textFill>
        </w:rPr>
      </w:pPr>
      <w:r>
        <w:rPr>
          <w:rFonts w:hint="eastAsia" w:ascii="黑体" w:hAnsi="黑体" w:eastAsia="黑体" w:cs="宋体"/>
          <w:color w:val="000000" w:themeColor="text1"/>
          <w:sz w:val="24"/>
          <w:szCs w:val="32"/>
          <w:highlight w:val="none"/>
          <w14:textFill>
            <w14:solidFill>
              <w14:schemeClr w14:val="tx1"/>
            </w14:solidFill>
          </w14:textFill>
        </w:rPr>
        <w:t>1.成交标准</w:t>
      </w:r>
    </w:p>
    <w:p w14:paraId="7260864B">
      <w:pPr>
        <w:spacing w:line="360" w:lineRule="auto"/>
        <w:ind w:firstLine="420" w:firstLineChars="200"/>
        <w:rPr>
          <w:rFonts w:ascii="宋体" w:hAnsi="宋体" w:cs="宋体"/>
          <w:color w:val="000000" w:themeColor="text1"/>
          <w:sz w:val="24"/>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由磋商小组根据综合评分情况，按照评审得分由高到低顺序推荐3名以上成交候选供应商</w:t>
      </w:r>
      <w:r>
        <w:rPr>
          <w:rFonts w:hint="eastAsia" w:ascii="宋体" w:hAnsi="宋体" w:cs="宋体"/>
          <w:color w:val="000000" w:themeColor="text1"/>
          <w:highlight w:val="none"/>
          <w14:textFill>
            <w14:solidFill>
              <w14:schemeClr w14:val="tx1"/>
            </w14:solidFill>
          </w14:textFill>
        </w:rPr>
        <w:t>,并在线编写电子评审报告</w:t>
      </w:r>
      <w:r>
        <w:rPr>
          <w:rFonts w:hint="eastAsia" w:ascii="宋体" w:hAnsi="宋体"/>
          <w:bCs/>
          <w:color w:val="000000" w:themeColor="text1"/>
          <w:szCs w:val="21"/>
          <w:highlight w:val="none"/>
          <w14:textFill>
            <w14:solidFill>
              <w14:schemeClr w14:val="tx1"/>
            </w14:solidFill>
          </w14:textFill>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4DC9ABF1">
      <w:pPr>
        <w:spacing w:line="360" w:lineRule="auto"/>
        <w:ind w:firstLine="480" w:firstLineChars="200"/>
        <w:rPr>
          <w:rFonts w:ascii="黑体" w:hAnsi="黑体" w:eastAsia="黑体" w:cs="宋体"/>
          <w:color w:val="000000" w:themeColor="text1"/>
          <w:sz w:val="24"/>
          <w:szCs w:val="32"/>
          <w:highlight w:val="none"/>
          <w14:textFill>
            <w14:solidFill>
              <w14:schemeClr w14:val="tx1"/>
            </w14:solidFill>
          </w14:textFill>
        </w:rPr>
      </w:pPr>
      <w:r>
        <w:rPr>
          <w:rFonts w:hint="eastAsia" w:ascii="黑体" w:hAnsi="黑体" w:eastAsia="黑体" w:cs="宋体"/>
          <w:color w:val="000000" w:themeColor="text1"/>
          <w:sz w:val="24"/>
          <w:szCs w:val="32"/>
          <w:highlight w:val="none"/>
          <w14:textFill>
            <w14:solidFill>
              <w14:schemeClr w14:val="tx1"/>
            </w14:solidFill>
          </w14:textFill>
        </w:rPr>
        <w:t>2.评标争议事项处理</w:t>
      </w:r>
    </w:p>
    <w:p w14:paraId="44357901">
      <w:pPr>
        <w:pStyle w:val="106"/>
        <w:spacing w:before="0"/>
        <w:ind w:firstLine="420"/>
        <w:rPr>
          <w:rFonts w:ascii="宋体" w:hAnsi="宋体" w:cs="宋体"/>
          <w:color w:val="000000" w:themeColor="text1"/>
          <w:kern w:val="2"/>
          <w:sz w:val="21"/>
          <w:szCs w:val="24"/>
          <w:highlight w:val="none"/>
          <w14:textFill>
            <w14:solidFill>
              <w14:schemeClr w14:val="tx1"/>
            </w14:solidFill>
          </w14:textFill>
        </w:rPr>
      </w:pPr>
      <w:r>
        <w:rPr>
          <w:rFonts w:hint="eastAsia" w:ascii="宋体" w:hAnsi="宋体" w:cs="宋体"/>
          <w:color w:val="000000" w:themeColor="text1"/>
          <w:kern w:val="2"/>
          <w:sz w:val="21"/>
          <w:szCs w:val="24"/>
          <w:highlight w:val="none"/>
          <w14:textFill>
            <w14:solidFill>
              <w14:schemeClr w14:val="tx1"/>
            </w14:solidFill>
          </w14:textFill>
        </w:rPr>
        <w:t>磋商小组成员对需要共同认定的事项存在争议的，应当按照少数服从多数的原则作出结论。持不同意见的磋商小组成员应当在评标报告上签署不同意见及理由，否则视为同意评标报告。</w:t>
      </w:r>
    </w:p>
    <w:p w14:paraId="44A1DB21">
      <w:pPr>
        <w:pStyle w:val="5"/>
        <w:spacing w:before="0" w:after="0" w:line="360" w:lineRule="auto"/>
        <w:ind w:firstLine="640" w:firstLineChars="200"/>
        <w:jc w:val="center"/>
        <w:rPr>
          <w:rFonts w:ascii="宋体" w:hAnsi="宋体" w:cs="宋体"/>
          <w:b w:val="0"/>
          <w:color w:val="000000" w:themeColor="text1"/>
          <w:highlight w:val="none"/>
          <w14:textFill>
            <w14:solidFill>
              <w14:schemeClr w14:val="tx1"/>
            </w14:solidFill>
          </w14:textFill>
        </w:rPr>
      </w:pPr>
      <w:bookmarkStart w:id="58" w:name="_Toc213948292"/>
      <w:bookmarkStart w:id="59" w:name="_Toc80205936"/>
      <w:r>
        <w:rPr>
          <w:rFonts w:hint="eastAsia" w:ascii="宋体" w:hAnsi="宋体"/>
          <w:b w:val="0"/>
          <w:color w:val="000000" w:themeColor="text1"/>
          <w:highlight w:val="none"/>
          <w14:textFill>
            <w14:solidFill>
              <w14:schemeClr w14:val="tx1"/>
            </w14:solidFill>
          </w14:textFill>
        </w:rPr>
        <w:t>第三节 评审过程的保密与录像</w:t>
      </w:r>
      <w:bookmarkEnd w:id="58"/>
      <w:bookmarkEnd w:id="59"/>
    </w:p>
    <w:p w14:paraId="02D8A7BC">
      <w:pPr>
        <w:spacing w:line="360" w:lineRule="auto"/>
        <w:ind w:firstLine="480" w:firstLineChars="200"/>
        <w:rPr>
          <w:rFonts w:ascii="黑体" w:hAnsi="黑体" w:eastAsia="黑体" w:cs="宋体"/>
          <w:color w:val="000000" w:themeColor="text1"/>
          <w:sz w:val="24"/>
          <w:szCs w:val="32"/>
          <w:highlight w:val="none"/>
          <w14:textFill>
            <w14:solidFill>
              <w14:schemeClr w14:val="tx1"/>
            </w14:solidFill>
          </w14:textFill>
        </w:rPr>
      </w:pPr>
      <w:r>
        <w:rPr>
          <w:rFonts w:hint="eastAsia" w:ascii="黑体" w:hAnsi="黑体" w:eastAsia="黑体" w:cs="宋体"/>
          <w:color w:val="000000" w:themeColor="text1"/>
          <w:sz w:val="24"/>
          <w:szCs w:val="32"/>
          <w:highlight w:val="none"/>
          <w14:textFill>
            <w14:solidFill>
              <w14:schemeClr w14:val="tx1"/>
            </w14:solidFill>
          </w14:textFill>
        </w:rPr>
        <w:t>1.保密。</w:t>
      </w:r>
    </w:p>
    <w:p w14:paraId="3BB09325">
      <w:pPr>
        <w:widowControl/>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1AA894A9">
      <w:pPr>
        <w:widowControl/>
        <w:spacing w:line="360" w:lineRule="auto"/>
        <w:ind w:firstLine="480" w:firstLineChars="200"/>
        <w:rPr>
          <w:rFonts w:ascii="黑体" w:hAnsi="黑体" w:eastAsia="黑体" w:cs="宋体"/>
          <w:color w:val="000000" w:themeColor="text1"/>
          <w:sz w:val="24"/>
          <w:szCs w:val="32"/>
          <w:highlight w:val="none"/>
          <w14:textFill>
            <w14:solidFill>
              <w14:schemeClr w14:val="tx1"/>
            </w14:solidFill>
          </w14:textFill>
        </w:rPr>
      </w:pPr>
      <w:r>
        <w:rPr>
          <w:rFonts w:hint="eastAsia" w:ascii="黑体" w:hAnsi="黑体" w:eastAsia="黑体" w:cs="宋体"/>
          <w:color w:val="000000" w:themeColor="text1"/>
          <w:sz w:val="24"/>
          <w:szCs w:val="32"/>
          <w:highlight w:val="none"/>
          <w14:textFill>
            <w14:solidFill>
              <w14:schemeClr w14:val="tx1"/>
            </w14:solidFill>
          </w14:textFill>
        </w:rPr>
        <w:t>2.录音录像。</w:t>
      </w:r>
    </w:p>
    <w:p w14:paraId="74CC9675">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采购代理机构对评审工作现场及操作屏幕进行全过程录音录像，录音录像资料作为采购项目文件随其他文件一并存档。</w:t>
      </w:r>
    </w:p>
    <w:p w14:paraId="6913B567">
      <w:pPr>
        <w:spacing w:line="400" w:lineRule="exact"/>
        <w:ind w:firstLine="420" w:firstLineChars="200"/>
        <w:rPr>
          <w:rFonts w:ascii="宋体" w:hAnsi="宋体" w:cs="宋体"/>
          <w:color w:val="000000" w:themeColor="text1"/>
          <w:highlight w:val="none"/>
          <w14:textFill>
            <w14:solidFill>
              <w14:schemeClr w14:val="tx1"/>
            </w14:solidFill>
          </w14:textFill>
        </w:rPr>
      </w:pPr>
    </w:p>
    <w:p w14:paraId="5B6BD737">
      <w:pPr>
        <w:spacing w:line="400" w:lineRule="exact"/>
        <w:ind w:firstLine="420" w:firstLineChars="200"/>
        <w:rPr>
          <w:rFonts w:ascii="宋体" w:hAnsi="宋体" w:cs="宋体"/>
          <w:color w:val="000000" w:themeColor="text1"/>
          <w:highlight w:val="none"/>
          <w14:textFill>
            <w14:solidFill>
              <w14:schemeClr w14:val="tx1"/>
            </w14:solidFill>
          </w14:textFill>
        </w:rPr>
      </w:pPr>
    </w:p>
    <w:p w14:paraId="28676D57">
      <w:pPr>
        <w:pStyle w:val="5"/>
        <w:rPr>
          <w:rFonts w:cs="宋体"/>
          <w:color w:val="000000" w:themeColor="text1"/>
          <w:highlight w:val="none"/>
          <w14:textFill>
            <w14:solidFill>
              <w14:schemeClr w14:val="tx1"/>
            </w14:solidFill>
          </w14:textFill>
        </w:rPr>
      </w:pPr>
    </w:p>
    <w:p w14:paraId="0EDEE9F3">
      <w:pPr>
        <w:pStyle w:val="5"/>
        <w:jc w:val="center"/>
        <w:rPr>
          <w:color w:val="000000" w:themeColor="text1"/>
          <w:highlight w:val="none"/>
          <w14:textFill>
            <w14:solidFill>
              <w14:schemeClr w14:val="tx1"/>
            </w14:solidFill>
          </w14:textFill>
        </w:rPr>
      </w:pPr>
      <w:r>
        <w:rPr>
          <w:b w:val="0"/>
          <w:bCs w:val="0"/>
          <w:color w:val="000000" w:themeColor="text1"/>
          <w:highlight w:val="none"/>
          <w14:textFill>
            <w14:solidFill>
              <w14:schemeClr w14:val="tx1"/>
            </w14:solidFill>
          </w14:textFill>
        </w:rPr>
        <w:br w:type="page"/>
      </w:r>
    </w:p>
    <w:p w14:paraId="31542A71">
      <w:pPr>
        <w:pStyle w:val="5"/>
        <w:jc w:val="center"/>
        <w:rPr>
          <w:color w:val="000000" w:themeColor="text1"/>
          <w:highlight w:val="none"/>
          <w14:textFill>
            <w14:solidFill>
              <w14:schemeClr w14:val="tx1"/>
            </w14:solidFill>
          </w14:textFill>
        </w:rPr>
      </w:pPr>
    </w:p>
    <w:p w14:paraId="59336D87">
      <w:pPr>
        <w:pStyle w:val="5"/>
        <w:jc w:val="center"/>
        <w:rPr>
          <w:color w:val="000000" w:themeColor="text1"/>
          <w:highlight w:val="none"/>
          <w14:textFill>
            <w14:solidFill>
              <w14:schemeClr w14:val="tx1"/>
            </w14:solidFill>
          </w14:textFill>
        </w:rPr>
      </w:pPr>
    </w:p>
    <w:p w14:paraId="464F57B8">
      <w:pPr>
        <w:pStyle w:val="5"/>
        <w:jc w:val="center"/>
        <w:rPr>
          <w:color w:val="000000" w:themeColor="text1"/>
          <w:highlight w:val="none"/>
          <w14:textFill>
            <w14:solidFill>
              <w14:schemeClr w14:val="tx1"/>
            </w14:solidFill>
          </w14:textFill>
        </w:rPr>
      </w:pPr>
    </w:p>
    <w:p w14:paraId="2AED5EFF">
      <w:pPr>
        <w:pStyle w:val="5"/>
        <w:jc w:val="center"/>
        <w:rPr>
          <w:color w:val="000000" w:themeColor="text1"/>
          <w:highlight w:val="none"/>
          <w14:textFill>
            <w14:solidFill>
              <w14:schemeClr w14:val="tx1"/>
            </w14:solidFill>
          </w14:textFill>
        </w:rPr>
      </w:pPr>
    </w:p>
    <w:p w14:paraId="1BEFCE1D">
      <w:pPr>
        <w:pStyle w:val="5"/>
        <w:jc w:val="center"/>
        <w:rPr>
          <w:color w:val="000000" w:themeColor="text1"/>
          <w:highlight w:val="none"/>
          <w14:textFill>
            <w14:solidFill>
              <w14:schemeClr w14:val="tx1"/>
            </w14:solidFill>
          </w14:textFill>
        </w:rPr>
      </w:pPr>
    </w:p>
    <w:p w14:paraId="459A8908">
      <w:pPr>
        <w:pStyle w:val="4"/>
        <w:jc w:val="center"/>
        <w:rPr>
          <w:color w:val="000000" w:themeColor="text1"/>
          <w:highlight w:val="none"/>
          <w14:textFill>
            <w14:solidFill>
              <w14:schemeClr w14:val="tx1"/>
            </w14:solidFill>
          </w14:textFill>
        </w:rPr>
      </w:pPr>
      <w:bookmarkStart w:id="60" w:name="_Toc213948293"/>
      <w:r>
        <w:rPr>
          <w:rFonts w:hint="eastAsia"/>
          <w:color w:val="000000" w:themeColor="text1"/>
          <w:highlight w:val="none"/>
          <w14:textFill>
            <w14:solidFill>
              <w14:schemeClr w14:val="tx1"/>
            </w14:solidFill>
          </w14:textFill>
        </w:rPr>
        <w:t>第五章响应文件格式</w:t>
      </w:r>
      <w:bookmarkEnd w:id="60"/>
    </w:p>
    <w:p w14:paraId="17BD3178">
      <w:pPr>
        <w:widowControl/>
        <w:spacing w:line="576" w:lineRule="auto"/>
        <w:jc w:val="left"/>
        <w:rPr>
          <w:b/>
          <w:bCs/>
          <w:color w:val="000000" w:themeColor="text1"/>
          <w:kern w:val="44"/>
          <w:sz w:val="44"/>
          <w:szCs w:val="44"/>
          <w:highlight w:val="none"/>
          <w14:textFill>
            <w14:solidFill>
              <w14:schemeClr w14:val="tx1"/>
            </w14:solidFill>
          </w14:textFill>
        </w:rPr>
        <w:sectPr>
          <w:pgSz w:w="11910" w:h="16840"/>
          <w:pgMar w:top="1340" w:right="1500" w:bottom="280" w:left="1680" w:header="720" w:footer="720" w:gutter="0"/>
          <w:cols w:space="720" w:num="1"/>
        </w:sectPr>
      </w:pPr>
    </w:p>
    <w:p w14:paraId="64744D35">
      <w:pPr>
        <w:pStyle w:val="5"/>
        <w:jc w:val="center"/>
        <w:rPr>
          <w:rFonts w:ascii="宋体" w:hAnsi="宋体"/>
          <w:b w:val="0"/>
          <w:color w:val="000000" w:themeColor="text1"/>
          <w:highlight w:val="none"/>
          <w14:textFill>
            <w14:solidFill>
              <w14:schemeClr w14:val="tx1"/>
            </w14:solidFill>
          </w14:textFill>
        </w:rPr>
      </w:pPr>
      <w:bookmarkStart w:id="61" w:name="_Toc80205938"/>
      <w:bookmarkStart w:id="62" w:name="_Toc213948294"/>
      <w:r>
        <w:rPr>
          <w:rFonts w:hint="eastAsia" w:ascii="宋体" w:hAnsi="宋体"/>
          <w:b w:val="0"/>
          <w:color w:val="000000" w:themeColor="text1"/>
          <w:highlight w:val="none"/>
          <w14:textFill>
            <w14:solidFill>
              <w14:schemeClr w14:val="tx1"/>
            </w14:solidFill>
          </w14:textFill>
        </w:rPr>
        <w:t>第一节 封面格式</w:t>
      </w:r>
      <w:bookmarkEnd w:id="61"/>
      <w:bookmarkEnd w:id="62"/>
    </w:p>
    <w:p w14:paraId="19825C66">
      <w:pPr>
        <w:snapToGrid w:val="0"/>
        <w:spacing w:before="120" w:beforeLines="50" w:after="50"/>
        <w:rPr>
          <w:rFonts w:ascii="宋体" w:hAnsi="宋体"/>
          <w:color w:val="000000" w:themeColor="text1"/>
          <w:sz w:val="24"/>
          <w:szCs w:val="20"/>
          <w:highlight w:val="none"/>
          <w14:textFill>
            <w14:solidFill>
              <w14:schemeClr w14:val="tx1"/>
            </w14:solidFill>
          </w14:textFill>
        </w:rPr>
      </w:pPr>
    </w:p>
    <w:p w14:paraId="74DC0FB3">
      <w:pPr>
        <w:snapToGrid w:val="0"/>
        <w:spacing w:before="120" w:beforeLines="50" w:after="50"/>
        <w:jc w:val="center"/>
        <w:rPr>
          <w:rFonts w:ascii="宋体" w:hAnsi="宋体"/>
          <w:bCs/>
          <w:color w:val="000000" w:themeColor="text1"/>
          <w:sz w:val="24"/>
          <w:szCs w:val="20"/>
          <w:highlight w:val="none"/>
          <w14:textFill>
            <w14:solidFill>
              <w14:schemeClr w14:val="tx1"/>
            </w14:solidFill>
          </w14:textFill>
        </w:rPr>
      </w:pPr>
    </w:p>
    <w:p w14:paraId="6FDEBEDC">
      <w:pPr>
        <w:snapToGrid w:val="0"/>
        <w:spacing w:before="120" w:beforeLines="50" w:after="50"/>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响  应  文  件</w:t>
      </w:r>
    </w:p>
    <w:p w14:paraId="6F881850">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2B121623">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300A81B4">
      <w:pPr>
        <w:snapToGrid w:val="0"/>
        <w:spacing w:before="120" w:beforeLines="50" w:after="50"/>
        <w:rPr>
          <w:rFonts w:ascii="仿宋_GB2312" w:hAnsi="仿宋_GB2312" w:eastAsia="仿宋_GB2312" w:cs="仿宋_GB2312"/>
          <w:bCs/>
          <w:color w:val="000000" w:themeColor="text1"/>
          <w:sz w:val="32"/>
          <w:szCs w:val="32"/>
          <w:highlight w:val="none"/>
          <w14:textFill>
            <w14:solidFill>
              <w14:schemeClr w14:val="tx1"/>
            </w14:solidFill>
          </w14:textFill>
        </w:rPr>
      </w:pPr>
    </w:p>
    <w:p w14:paraId="580EE353">
      <w:pPr>
        <w:snapToGrid w:val="0"/>
        <w:spacing w:before="120"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bookmarkStart w:id="63" w:name="PO_3000001868_PM002_2"/>
      <w:r>
        <w:rPr>
          <w:rFonts w:hint="eastAsia" w:ascii="宋体" w:hAnsi="宋体" w:cs="仿宋_GB2312"/>
          <w:bCs/>
          <w:color w:val="000000" w:themeColor="text1"/>
          <w:sz w:val="32"/>
          <w:szCs w:val="32"/>
          <w:highlight w:val="none"/>
          <w14:textFill>
            <w14:solidFill>
              <w14:schemeClr w14:val="tx1"/>
            </w14:solidFill>
          </w14:textFill>
        </w:rPr>
        <w:t>[项目采购-项目名称]</w:t>
      </w:r>
      <w:bookmarkEnd w:id="63"/>
    </w:p>
    <w:p w14:paraId="5FFB1787">
      <w:pPr>
        <w:snapToGrid w:val="0"/>
        <w:spacing w:before="120" w:beforeLines="50" w:after="50"/>
        <w:ind w:firstLine="480" w:firstLineChars="150"/>
        <w:rPr>
          <w:rFonts w:ascii="宋体" w:hAnsi="宋体" w:cs="仿宋_GB2312"/>
          <w:bCs/>
          <w:color w:val="000000" w:themeColor="text1"/>
          <w:sz w:val="32"/>
          <w:szCs w:val="32"/>
          <w:highlight w:val="none"/>
          <w14:textFill>
            <w14:solidFill>
              <w14:schemeClr w14:val="tx1"/>
            </w14:solidFill>
          </w14:textFill>
        </w:rPr>
      </w:pPr>
    </w:p>
    <w:p w14:paraId="0208A817">
      <w:pPr>
        <w:snapToGrid w:val="0"/>
        <w:spacing w:before="120"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项目编号：</w:t>
      </w:r>
      <w:bookmarkStart w:id="64" w:name="PO_3000001868_PM001_4"/>
      <w:r>
        <w:rPr>
          <w:rFonts w:hint="eastAsia" w:ascii="宋体" w:hAnsi="宋体" w:cs="仿宋_GB2312"/>
          <w:bCs/>
          <w:color w:val="000000" w:themeColor="text1"/>
          <w:sz w:val="32"/>
          <w:szCs w:val="32"/>
          <w:highlight w:val="none"/>
          <w14:textFill>
            <w14:solidFill>
              <w14:schemeClr w14:val="tx1"/>
            </w14:solidFill>
          </w14:textFill>
        </w:rPr>
        <w:t>[项目采购-项目编号]</w:t>
      </w:r>
      <w:bookmarkEnd w:id="64"/>
    </w:p>
    <w:p w14:paraId="4F0E39C7">
      <w:pPr>
        <w:snapToGrid w:val="0"/>
        <w:spacing w:before="120" w:beforeLines="50" w:after="50"/>
        <w:ind w:firstLine="480" w:firstLineChars="150"/>
        <w:rPr>
          <w:rFonts w:ascii="宋体" w:hAnsi="宋体" w:cs="仿宋_GB2312"/>
          <w:bCs/>
          <w:color w:val="000000" w:themeColor="text1"/>
          <w:sz w:val="32"/>
          <w:szCs w:val="32"/>
          <w:highlight w:val="none"/>
          <w14:textFill>
            <w14:solidFill>
              <w14:schemeClr w14:val="tx1"/>
            </w14:solidFill>
          </w14:textFill>
        </w:rPr>
      </w:pPr>
    </w:p>
    <w:p w14:paraId="1EE34D61">
      <w:pPr>
        <w:snapToGrid w:val="0"/>
        <w:spacing w:before="120"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779CBB68">
      <w:pPr>
        <w:snapToGrid w:val="0"/>
        <w:spacing w:before="120" w:beforeLines="50" w:after="50"/>
        <w:rPr>
          <w:rFonts w:ascii="宋体" w:hAnsi="宋体" w:cs="仿宋_GB2312"/>
          <w:bCs/>
          <w:color w:val="000000" w:themeColor="text1"/>
          <w:sz w:val="32"/>
          <w:szCs w:val="32"/>
          <w:highlight w:val="none"/>
          <w14:textFill>
            <w14:solidFill>
              <w14:schemeClr w14:val="tx1"/>
            </w14:solidFill>
          </w14:textFill>
        </w:rPr>
      </w:pPr>
    </w:p>
    <w:p w14:paraId="060FBA9C">
      <w:pPr>
        <w:snapToGrid w:val="0"/>
        <w:spacing w:before="120"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01AFBA21">
      <w:pPr>
        <w:snapToGrid w:val="0"/>
        <w:spacing w:before="120" w:beforeLines="50" w:after="50"/>
        <w:rPr>
          <w:rFonts w:ascii="宋体" w:hAnsi="宋体" w:cs="仿宋_GB2312"/>
          <w:bCs/>
          <w:color w:val="000000" w:themeColor="text1"/>
          <w:sz w:val="32"/>
          <w:szCs w:val="32"/>
          <w:highlight w:val="none"/>
          <w14:textFill>
            <w14:solidFill>
              <w14:schemeClr w14:val="tx1"/>
            </w14:solidFill>
          </w14:textFill>
        </w:rPr>
      </w:pPr>
    </w:p>
    <w:p w14:paraId="6B2CB0A4">
      <w:pPr>
        <w:snapToGrid w:val="0"/>
        <w:spacing w:before="120" w:beforeLines="50" w:after="50"/>
        <w:ind w:firstLine="480" w:firstLineChars="150"/>
        <w:jc w:val="center"/>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首次响应文件提交截止时间前不得解密</w:t>
      </w:r>
    </w:p>
    <w:p w14:paraId="0FB42FD1">
      <w:pPr>
        <w:snapToGrid w:val="0"/>
        <w:spacing w:before="120" w:beforeLines="50" w:after="50"/>
        <w:ind w:firstLine="5440" w:firstLineChars="1700"/>
        <w:jc w:val="center"/>
        <w:rPr>
          <w:rFonts w:ascii="宋体" w:hAnsi="宋体" w:cs="仿宋_GB2312"/>
          <w:bCs/>
          <w:color w:val="000000" w:themeColor="text1"/>
          <w:sz w:val="32"/>
          <w:szCs w:val="32"/>
          <w:highlight w:val="none"/>
          <w14:textFill>
            <w14:solidFill>
              <w14:schemeClr w14:val="tx1"/>
            </w14:solidFill>
          </w14:textFill>
        </w:rPr>
      </w:pPr>
    </w:p>
    <w:p w14:paraId="70E147AD">
      <w:pPr>
        <w:snapToGrid w:val="0"/>
        <w:spacing w:before="120" w:beforeLines="50" w:after="50"/>
        <w:ind w:firstLine="645"/>
        <w:jc w:val="center"/>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年    月    日</w:t>
      </w:r>
    </w:p>
    <w:p w14:paraId="31AF65E6">
      <w:pPr>
        <w:widowControl/>
        <w:jc w:val="left"/>
        <w:rPr>
          <w:color w:val="000000" w:themeColor="text1"/>
          <w:highlight w:val="none"/>
          <w14:textFill>
            <w14:solidFill>
              <w14:schemeClr w14:val="tx1"/>
            </w14:solidFill>
          </w14:textFill>
        </w:rPr>
        <w:sectPr>
          <w:pgSz w:w="11910" w:h="16840"/>
          <w:pgMar w:top="1340" w:right="1500" w:bottom="280" w:left="1680" w:header="720" w:footer="720" w:gutter="0"/>
          <w:cols w:space="720" w:num="1"/>
        </w:sectPr>
      </w:pPr>
    </w:p>
    <w:p w14:paraId="22CE7A4E">
      <w:pPr>
        <w:pStyle w:val="5"/>
        <w:jc w:val="center"/>
        <w:rPr>
          <w:rFonts w:ascii="宋体" w:hAnsi="宋体" w:cs="宋体"/>
          <w:bCs w:val="0"/>
          <w:color w:val="000000" w:themeColor="text1"/>
          <w:highlight w:val="none"/>
          <w14:textFill>
            <w14:solidFill>
              <w14:schemeClr w14:val="tx1"/>
            </w14:solidFill>
          </w14:textFill>
        </w:rPr>
      </w:pPr>
      <w:bookmarkStart w:id="65" w:name="_Toc80205939"/>
      <w:bookmarkStart w:id="66" w:name="_Toc213948295"/>
      <w:r>
        <w:rPr>
          <w:rFonts w:hint="eastAsia" w:ascii="宋体" w:hAnsi="宋体"/>
          <w:bCs w:val="0"/>
          <w:color w:val="000000" w:themeColor="text1"/>
          <w:highlight w:val="none"/>
          <w14:textFill>
            <w14:solidFill>
              <w14:schemeClr w14:val="tx1"/>
            </w14:solidFill>
          </w14:textFill>
        </w:rPr>
        <w:t>第二节 资格证明文件格式</w:t>
      </w:r>
      <w:bookmarkEnd w:id="65"/>
      <w:bookmarkEnd w:id="66"/>
    </w:p>
    <w:p w14:paraId="4E9FCB5C">
      <w:pPr>
        <w:snapToGrid w:val="0"/>
        <w:spacing w:before="120" w:beforeLines="50" w:after="50"/>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全流程电子文件</w:t>
      </w:r>
    </w:p>
    <w:p w14:paraId="01735269">
      <w:pPr>
        <w:snapToGrid w:val="0"/>
        <w:spacing w:before="120" w:beforeLines="50" w:after="50"/>
        <w:rPr>
          <w:rFonts w:ascii="宋体" w:hAnsi="宋体"/>
          <w:color w:val="000000" w:themeColor="text1"/>
          <w:sz w:val="24"/>
          <w:szCs w:val="20"/>
          <w:highlight w:val="none"/>
          <w14:textFill>
            <w14:solidFill>
              <w14:schemeClr w14:val="tx1"/>
            </w14:solidFill>
          </w14:textFill>
        </w:rPr>
      </w:pPr>
    </w:p>
    <w:p w14:paraId="56FE8D6D">
      <w:pPr>
        <w:snapToGrid w:val="0"/>
        <w:spacing w:before="120" w:beforeLines="50" w:after="50"/>
        <w:rPr>
          <w:rFonts w:ascii="宋体" w:hAnsi="宋体"/>
          <w:color w:val="000000" w:themeColor="text1"/>
          <w:sz w:val="24"/>
          <w:szCs w:val="20"/>
          <w:highlight w:val="none"/>
          <w14:textFill>
            <w14:solidFill>
              <w14:schemeClr w14:val="tx1"/>
            </w14:solidFill>
          </w14:textFill>
        </w:rPr>
      </w:pPr>
    </w:p>
    <w:p w14:paraId="0B2DF272">
      <w:pPr>
        <w:snapToGrid w:val="0"/>
        <w:spacing w:before="120" w:beforeLines="50" w:after="50"/>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资  格  证  明  文  件（封面）</w:t>
      </w:r>
    </w:p>
    <w:p w14:paraId="02853844">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3B8361D9">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1DEC378E">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0E48A3EC">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15286A81">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257416A9">
      <w:pPr>
        <w:snapToGrid w:val="0"/>
        <w:spacing w:before="120"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bookmarkStart w:id="67" w:name="PO_3000001868_PM002_3"/>
      <w:r>
        <w:rPr>
          <w:rFonts w:hint="eastAsia" w:ascii="宋体" w:hAnsi="宋体" w:cs="仿宋_GB2312"/>
          <w:bCs/>
          <w:color w:val="000000" w:themeColor="text1"/>
          <w:sz w:val="32"/>
          <w:szCs w:val="32"/>
          <w:highlight w:val="none"/>
          <w14:textFill>
            <w14:solidFill>
              <w14:schemeClr w14:val="tx1"/>
            </w14:solidFill>
          </w14:textFill>
        </w:rPr>
        <w:t>[项目采购-项目名称]</w:t>
      </w:r>
      <w:bookmarkEnd w:id="67"/>
    </w:p>
    <w:p w14:paraId="3D5F6291">
      <w:pPr>
        <w:snapToGrid w:val="0"/>
        <w:spacing w:before="120"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47943660">
      <w:pPr>
        <w:snapToGrid w:val="0"/>
        <w:spacing w:before="120"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项目编号：</w:t>
      </w:r>
      <w:bookmarkStart w:id="68" w:name="PO_3000001868_PM001_5"/>
      <w:r>
        <w:rPr>
          <w:rFonts w:hint="eastAsia" w:ascii="宋体" w:hAnsi="宋体" w:cs="仿宋_GB2312"/>
          <w:bCs/>
          <w:color w:val="000000" w:themeColor="text1"/>
          <w:sz w:val="32"/>
          <w:szCs w:val="32"/>
          <w:highlight w:val="none"/>
          <w14:textFill>
            <w14:solidFill>
              <w14:schemeClr w14:val="tx1"/>
            </w14:solidFill>
          </w14:textFill>
        </w:rPr>
        <w:t>[项目采购-项目编号]</w:t>
      </w:r>
      <w:bookmarkEnd w:id="68"/>
    </w:p>
    <w:p w14:paraId="2D0E1DF9">
      <w:pPr>
        <w:snapToGrid w:val="0"/>
        <w:spacing w:before="120"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5E67981B">
      <w:pPr>
        <w:snapToGrid w:val="0"/>
        <w:spacing w:before="120"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2F41AF6B">
      <w:pPr>
        <w:snapToGrid w:val="0"/>
        <w:spacing w:before="120"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603AD1B9">
      <w:pPr>
        <w:pStyle w:val="9"/>
        <w:snapToGrid w:val="0"/>
        <w:spacing w:before="50" w:after="50"/>
        <w:ind w:firstLine="720" w:firstLineChars="225"/>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304B7CBC">
      <w:pPr>
        <w:pStyle w:val="9"/>
        <w:snapToGrid w:val="0"/>
        <w:spacing w:before="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7F50B543">
      <w:pPr>
        <w:pStyle w:val="9"/>
        <w:snapToGrid w:val="0"/>
        <w:spacing w:before="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004407F3">
      <w:pPr>
        <w:pStyle w:val="9"/>
        <w:snapToGrid w:val="0"/>
        <w:spacing w:before="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78A3605C">
      <w:pPr>
        <w:pStyle w:val="9"/>
        <w:snapToGrid w:val="0"/>
        <w:spacing w:before="50" w:after="50"/>
        <w:ind w:firstLine="1280" w:firstLineChars="400"/>
        <w:rPr>
          <w:rFonts w:ascii="宋体" w:hAnsi="宋体" w:cs="仿宋_GB2312"/>
          <w:bCs/>
          <w:color w:val="000000" w:themeColor="text1"/>
          <w:sz w:val="32"/>
          <w:szCs w:val="32"/>
          <w:highlight w:val="none"/>
          <w14:textFill>
            <w14:solidFill>
              <w14:schemeClr w14:val="tx1"/>
            </w14:solidFill>
          </w14:textFill>
        </w:rPr>
      </w:pPr>
    </w:p>
    <w:p w14:paraId="344597A6">
      <w:pPr>
        <w:snapToGrid w:val="0"/>
        <w:spacing w:before="120" w:beforeLines="50" w:after="50"/>
        <w:jc w:val="center"/>
        <w:rPr>
          <w:rFonts w:ascii="宋体" w:hAnsi="宋体" w:cs="仿宋_GB2312"/>
          <w:color w:val="000000" w:themeColor="text1"/>
          <w:sz w:val="32"/>
          <w:szCs w:val="32"/>
          <w:highlight w:val="none"/>
          <w14:textFill>
            <w14:solidFill>
              <w14:schemeClr w14:val="tx1"/>
            </w14:solidFill>
          </w14:textFill>
        </w:rPr>
      </w:pPr>
      <w:r>
        <w:rPr>
          <w:rFonts w:hint="eastAsia" w:ascii="宋体" w:hAnsi="宋体" w:cs="仿宋_GB2312"/>
          <w:color w:val="000000" w:themeColor="text1"/>
          <w:sz w:val="32"/>
          <w:szCs w:val="32"/>
          <w:highlight w:val="none"/>
          <w14:textFill>
            <w14:solidFill>
              <w14:schemeClr w14:val="tx1"/>
            </w14:solidFill>
          </w14:textFill>
        </w:rPr>
        <w:t>年    月    日</w:t>
      </w:r>
    </w:p>
    <w:p w14:paraId="3C835D2B">
      <w:pPr>
        <w:snapToGrid w:val="0"/>
        <w:spacing w:before="120" w:beforeLines="50" w:after="50" w:line="360" w:lineRule="auto"/>
        <w:jc w:val="left"/>
        <w:rPr>
          <w:rFonts w:ascii="宋体" w:hAnsi="宋体"/>
          <w:b/>
          <w:bCs/>
          <w:color w:val="000000" w:themeColor="text1"/>
          <w:sz w:val="32"/>
          <w:szCs w:val="32"/>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br w:type="page"/>
      </w:r>
    </w:p>
    <w:p w14:paraId="48CEABD5">
      <w:pPr>
        <w:jc w:val="center"/>
        <w:rPr>
          <w:rFonts w:ascii="仿宋_GB2312" w:hAnsi="仿宋" w:eastAsia="仿宋_GB2312" w:cs="仿宋_GB2312"/>
          <w:b/>
          <w:color w:val="000000" w:themeColor="text1"/>
          <w:kern w:val="0"/>
          <w:sz w:val="36"/>
          <w:szCs w:val="36"/>
          <w:highlight w:val="none"/>
          <w14:textFill>
            <w14:solidFill>
              <w14:schemeClr w14:val="tx1"/>
            </w14:solidFill>
          </w14:textFill>
        </w:rPr>
      </w:pPr>
      <w:r>
        <w:rPr>
          <w:rFonts w:hint="eastAsia" w:ascii="仿宋_GB2312" w:hAnsi="仿宋" w:eastAsia="仿宋_GB2312" w:cs="仿宋_GB2312"/>
          <w:b/>
          <w:color w:val="000000" w:themeColor="text1"/>
          <w:kern w:val="0"/>
          <w:sz w:val="36"/>
          <w:szCs w:val="36"/>
          <w:highlight w:val="none"/>
          <w14:textFill>
            <w14:solidFill>
              <w14:schemeClr w14:val="tx1"/>
            </w14:solidFill>
          </w14:textFill>
        </w:rPr>
        <w:t>资格证明文件目录</w:t>
      </w:r>
    </w:p>
    <w:p w14:paraId="16158784">
      <w:pPr>
        <w:snapToGrid w:val="0"/>
        <w:spacing w:line="360" w:lineRule="auto"/>
        <w:rPr>
          <w:rFonts w:ascii="仿宋_GB2312" w:hAnsi="仿宋" w:eastAsia="仿宋_GB2312" w:cs="仿宋_GB2312"/>
          <w:color w:val="000000" w:themeColor="text1"/>
          <w:kern w:val="0"/>
          <w:sz w:val="24"/>
          <w:highlight w:val="none"/>
          <w14:textFill>
            <w14:solidFill>
              <w14:schemeClr w14:val="tx1"/>
            </w14:solidFill>
          </w14:textFill>
        </w:rPr>
      </w:pPr>
    </w:p>
    <w:p w14:paraId="39E875B8">
      <w:pPr>
        <w:snapToGrid w:val="0"/>
        <w:spacing w:line="36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w:t>
      </w:r>
      <w:r>
        <w:rPr>
          <w:rFonts w:hint="eastAsia" w:ascii="仿宋_GB2312" w:hAnsi="仿宋" w:eastAsia="仿宋_GB2312"/>
          <w:color w:val="000000" w:themeColor="text1"/>
          <w:sz w:val="24"/>
          <w:highlight w:val="none"/>
          <w14:textFill>
            <w14:solidFill>
              <w14:schemeClr w14:val="tx1"/>
            </w14:solidFill>
          </w14:textFill>
        </w:rPr>
        <w:t>营业执照(或事业法人登记证或其他工商等登记证明材料)复印件（供应商为自然人的，须提供</w:t>
      </w:r>
      <w:r>
        <w:rPr>
          <w:rFonts w:hint="eastAsia" w:ascii="仿宋_GB2312" w:hAnsi="仿宋" w:eastAsia="仿宋_GB2312" w:cs="Helvetica"/>
          <w:color w:val="000000" w:themeColor="text1"/>
          <w:kern w:val="0"/>
          <w:sz w:val="24"/>
          <w:highlight w:val="none"/>
          <w14:textFill>
            <w14:solidFill>
              <w14:schemeClr w14:val="tx1"/>
            </w14:solidFill>
          </w14:textFill>
        </w:rPr>
        <w:t>自然人的身份证明</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23867DDA">
      <w:pPr>
        <w:snapToGrid w:val="0"/>
        <w:spacing w:line="36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二、符合参与政府采购活动的资格条件依法缴纳税收、社会保障资金等方面的材料…………………………………………………………………………………（页码）</w:t>
      </w:r>
    </w:p>
    <w:p w14:paraId="462FEF79">
      <w:pPr>
        <w:snapToGrid w:val="0"/>
        <w:spacing w:line="36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三、财务状况报告方面的材料…………………………………………………（页码）</w:t>
      </w:r>
    </w:p>
    <w:p w14:paraId="2771DDE1">
      <w:pPr>
        <w:snapToGrid w:val="0"/>
        <w:spacing w:line="36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四、供应商直接控股股东信息</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262B2C01">
      <w:pPr>
        <w:snapToGrid w:val="0"/>
        <w:spacing w:line="36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五、供应商直接关联关系信息表</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3D48D6D4">
      <w:pPr>
        <w:snapToGrid w:val="0"/>
        <w:spacing w:line="36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六、资格声明函…………………………………………………………………（页码）</w:t>
      </w:r>
    </w:p>
    <w:p w14:paraId="62BFC97E">
      <w:pPr>
        <w:snapToGrid w:val="0"/>
        <w:spacing w:line="36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七、联合体协议书（</w:t>
      </w:r>
      <w:r>
        <w:rPr>
          <w:rFonts w:hint="eastAsia" w:ascii="仿宋_GB2312" w:hAnsi="仿宋" w:eastAsia="仿宋_GB2312" w:cs="仿宋_GB2312"/>
          <w:color w:val="000000" w:themeColor="text1"/>
          <w:sz w:val="24"/>
          <w:highlight w:val="none"/>
          <w14:textFill>
            <w14:solidFill>
              <w14:schemeClr w14:val="tx1"/>
            </w14:solidFill>
          </w14:textFill>
        </w:rPr>
        <w:t>以联合体形式响应的，提供联合体协议；本项目不接受联合体响应或者供应商不以联合体形式响应的，则不需要提供</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13E08414">
      <w:pPr>
        <w:snapToGrid w:val="0"/>
        <w:spacing w:line="36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八、</w:t>
      </w:r>
      <w:r>
        <w:rPr>
          <w:rFonts w:hint="eastAsia" w:ascii="仿宋_GB2312" w:hAnsi="仿宋" w:eastAsia="仿宋_GB2312" w:cs="仿宋_GB2312"/>
          <w:color w:val="000000" w:themeColor="text1"/>
          <w:kern w:val="0"/>
          <w:sz w:val="24"/>
          <w:highlight w:val="none"/>
          <w14:textFill>
            <w14:solidFill>
              <w14:schemeClr w14:val="tx1"/>
            </w14:solidFill>
          </w14:textFill>
        </w:rPr>
        <w:t>有效的</w:t>
      </w:r>
      <w:r>
        <w:rPr>
          <w:rFonts w:hint="eastAsia" w:ascii="仿宋_GB2312" w:hAnsi="仿宋" w:eastAsia="仿宋_GB2312" w:cs="仿宋_GB2312"/>
          <w:color w:val="000000" w:themeColor="text1"/>
          <w:kern w:val="0"/>
          <w:sz w:val="24"/>
          <w:highlight w:val="none"/>
          <w:lang w:eastAsia="zh-CN"/>
          <w14:textFill>
            <w14:solidFill>
              <w14:schemeClr w14:val="tx1"/>
            </w14:solidFill>
          </w14:textFill>
        </w:rPr>
        <w:t>建筑装修装饰工程专业承包贰级(含)以上</w:t>
      </w:r>
      <w:r>
        <w:rPr>
          <w:rFonts w:hint="eastAsia" w:ascii="仿宋_GB2312" w:hAnsi="仿宋" w:eastAsia="仿宋_GB2312" w:cs="仿宋_GB2312"/>
          <w:color w:val="000000" w:themeColor="text1"/>
          <w:kern w:val="0"/>
          <w:sz w:val="24"/>
          <w:highlight w:val="none"/>
          <w14:textFill>
            <w14:solidFill>
              <w14:schemeClr w14:val="tx1"/>
            </w14:solidFill>
          </w14:textFill>
        </w:rPr>
        <w:t>资质证书副本复印件（页码）</w:t>
      </w:r>
    </w:p>
    <w:p w14:paraId="38419FD6">
      <w:pPr>
        <w:snapToGrid w:val="0"/>
        <w:spacing w:line="360" w:lineRule="auto"/>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九、</w:t>
      </w:r>
      <w:r>
        <w:rPr>
          <w:rFonts w:hint="eastAsia" w:ascii="仿宋_GB2312" w:hAnsi="仿宋" w:eastAsia="仿宋_GB2312" w:cs="仿宋_GB2312"/>
          <w:color w:val="000000" w:themeColor="text1"/>
          <w:sz w:val="24"/>
          <w:highlight w:val="none"/>
          <w:lang w:eastAsia="zh-CN"/>
          <w14:textFill>
            <w14:solidFill>
              <w14:schemeClr w14:val="tx1"/>
            </w14:solidFill>
          </w14:textFill>
        </w:rPr>
        <w:t>建筑工程专业</w:t>
      </w:r>
      <w:r>
        <w:rPr>
          <w:rFonts w:hint="eastAsia" w:ascii="仿宋_GB2312" w:hAnsi="仿宋" w:eastAsia="仿宋_GB2312" w:cs="仿宋_GB2312"/>
          <w:color w:val="000000" w:themeColor="text1"/>
          <w:sz w:val="24"/>
          <w:highlight w:val="none"/>
          <w14:textFill>
            <w14:solidFill>
              <w14:schemeClr w14:val="tx1"/>
            </w14:solidFill>
          </w14:textFill>
        </w:rPr>
        <w:t>注册建造师贰级以上（含贰级）注册建造师执业资格证书复印件，有效的安全生产考核合格证书（B类）复印件</w:t>
      </w:r>
    </w:p>
    <w:p w14:paraId="197F0784">
      <w:pPr>
        <w:snapToGrid w:val="0"/>
        <w:spacing w:line="36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十、中小企业声明函或残疾人福利性单位声明函或</w:t>
      </w:r>
      <w:r>
        <w:rPr>
          <w:rFonts w:hint="eastAsia" w:ascii="仿宋_GB2312" w:hAnsi="仿宋" w:eastAsia="仿宋_GB2312" w:cs="仿宋_GB2312"/>
          <w:color w:val="000000" w:themeColor="text1"/>
          <w:sz w:val="24"/>
          <w:highlight w:val="none"/>
          <w:lang w:eastAsia="zh-CN"/>
          <w14:textFill>
            <w14:solidFill>
              <w14:schemeClr w14:val="tx1"/>
            </w14:solidFill>
          </w14:textFill>
        </w:rPr>
        <w:t>供应商</w:t>
      </w:r>
      <w:r>
        <w:rPr>
          <w:rFonts w:hint="eastAsia" w:ascii="仿宋_GB2312" w:hAnsi="仿宋" w:eastAsia="仿宋_GB2312" w:cs="仿宋_GB2312"/>
          <w:color w:val="000000" w:themeColor="text1"/>
          <w:sz w:val="24"/>
          <w:highlight w:val="none"/>
          <w14:textFill>
            <w14:solidFill>
              <w14:schemeClr w14:val="tx1"/>
            </w14:solidFill>
          </w14:textFill>
        </w:rPr>
        <w:t>属于监狱企业的证明材料</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2332E640">
      <w:pPr>
        <w:snapToGrid w:val="0"/>
        <w:spacing w:line="36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十一、符合特定资格条件的有关证明材料（复印件）</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11F90145">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p>
    <w:p w14:paraId="501E3689">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注：以上目录是编制供应商响应文件的基本格式要求，各供应商可根据自身情况进一步细化。</w:t>
      </w:r>
    </w:p>
    <w:p w14:paraId="10DB9825">
      <w:pPr>
        <w:snapToGrid w:val="0"/>
        <w:spacing w:before="120" w:beforeLines="50" w:after="50" w:line="360" w:lineRule="auto"/>
        <w:ind w:left="142" w:firstLine="420" w:firstLineChars="200"/>
        <w:jc w:val="left"/>
        <w:rPr>
          <w:rFonts w:ascii="宋体" w:hAnsi="宋体"/>
          <w:color w:val="000000" w:themeColor="text1"/>
          <w:szCs w:val="21"/>
          <w:highlight w:val="none"/>
          <w14:textFill>
            <w14:solidFill>
              <w14:schemeClr w14:val="tx1"/>
            </w14:solidFill>
          </w14:textFill>
        </w:rPr>
      </w:pPr>
    </w:p>
    <w:p w14:paraId="492F51D5">
      <w:pPr>
        <w:spacing w:line="300" w:lineRule="auto"/>
        <w:rPr>
          <w:rFonts w:ascii="宋体" w:hAnsi="宋体"/>
          <w:color w:val="000000" w:themeColor="text1"/>
          <w:szCs w:val="21"/>
          <w:highlight w:val="none"/>
          <w14:textFill>
            <w14:solidFill>
              <w14:schemeClr w14:val="tx1"/>
            </w14:solidFill>
          </w14:textFill>
        </w:rPr>
      </w:pPr>
    </w:p>
    <w:p w14:paraId="01B30970">
      <w:pPr>
        <w:spacing w:line="300" w:lineRule="auto"/>
        <w:rPr>
          <w:rFonts w:ascii="宋体" w:hAnsi="宋体"/>
          <w:color w:val="000000" w:themeColor="text1"/>
          <w:szCs w:val="21"/>
          <w:highlight w:val="none"/>
          <w14:textFill>
            <w14:solidFill>
              <w14:schemeClr w14:val="tx1"/>
            </w14:solidFill>
          </w14:textFill>
        </w:rPr>
      </w:pPr>
    </w:p>
    <w:p w14:paraId="00427D8F">
      <w:pPr>
        <w:spacing w:line="300" w:lineRule="auto"/>
        <w:rPr>
          <w:rFonts w:ascii="宋体" w:hAnsi="宋体"/>
          <w:color w:val="000000" w:themeColor="text1"/>
          <w:szCs w:val="21"/>
          <w:highlight w:val="none"/>
          <w14:textFill>
            <w14:solidFill>
              <w14:schemeClr w14:val="tx1"/>
            </w14:solidFill>
          </w14:textFill>
        </w:rPr>
      </w:pPr>
    </w:p>
    <w:p w14:paraId="4E8D2D71">
      <w:pPr>
        <w:spacing w:line="300" w:lineRule="auto"/>
        <w:rPr>
          <w:rFonts w:ascii="宋体" w:hAnsi="宋体"/>
          <w:color w:val="000000" w:themeColor="text1"/>
          <w:szCs w:val="21"/>
          <w:highlight w:val="none"/>
          <w14:textFill>
            <w14:solidFill>
              <w14:schemeClr w14:val="tx1"/>
            </w14:solidFill>
          </w14:textFill>
        </w:rPr>
      </w:pPr>
    </w:p>
    <w:p w14:paraId="55E872D3">
      <w:pPr>
        <w:spacing w:line="300" w:lineRule="auto"/>
        <w:rPr>
          <w:rFonts w:ascii="宋体" w:hAnsi="宋体"/>
          <w:color w:val="000000" w:themeColor="text1"/>
          <w:szCs w:val="21"/>
          <w:highlight w:val="none"/>
          <w14:textFill>
            <w14:solidFill>
              <w14:schemeClr w14:val="tx1"/>
            </w14:solidFill>
          </w14:textFill>
        </w:rPr>
      </w:pPr>
    </w:p>
    <w:p w14:paraId="23351F96">
      <w:pPr>
        <w:spacing w:line="300" w:lineRule="auto"/>
        <w:rPr>
          <w:rFonts w:ascii="宋体" w:hAnsi="宋体"/>
          <w:color w:val="000000" w:themeColor="text1"/>
          <w:szCs w:val="21"/>
          <w:highlight w:val="none"/>
          <w14:textFill>
            <w14:solidFill>
              <w14:schemeClr w14:val="tx1"/>
            </w14:solidFill>
          </w14:textFill>
        </w:rPr>
      </w:pPr>
    </w:p>
    <w:p w14:paraId="214DE79E">
      <w:pPr>
        <w:spacing w:line="300" w:lineRule="auto"/>
        <w:rPr>
          <w:rFonts w:ascii="宋体" w:hAnsi="宋体"/>
          <w:color w:val="000000" w:themeColor="text1"/>
          <w:szCs w:val="21"/>
          <w:highlight w:val="none"/>
          <w14:textFill>
            <w14:solidFill>
              <w14:schemeClr w14:val="tx1"/>
            </w14:solidFill>
          </w14:textFill>
        </w:rPr>
      </w:pPr>
    </w:p>
    <w:p w14:paraId="5239079F">
      <w:pPr>
        <w:spacing w:line="300" w:lineRule="auto"/>
        <w:rPr>
          <w:rFonts w:ascii="宋体" w:hAnsi="宋体"/>
          <w:color w:val="000000" w:themeColor="text1"/>
          <w:szCs w:val="21"/>
          <w:highlight w:val="none"/>
          <w14:textFill>
            <w14:solidFill>
              <w14:schemeClr w14:val="tx1"/>
            </w14:solidFill>
          </w14:textFill>
        </w:rPr>
      </w:pPr>
    </w:p>
    <w:p w14:paraId="4518D24C">
      <w:pPr>
        <w:spacing w:line="300" w:lineRule="auto"/>
        <w:rPr>
          <w:rFonts w:ascii="宋体" w:hAnsi="宋体"/>
          <w:color w:val="000000" w:themeColor="text1"/>
          <w:szCs w:val="21"/>
          <w:highlight w:val="none"/>
          <w14:textFill>
            <w14:solidFill>
              <w14:schemeClr w14:val="tx1"/>
            </w14:solidFill>
          </w14:textFill>
        </w:rPr>
      </w:pPr>
    </w:p>
    <w:p w14:paraId="2DBDB5A2">
      <w:pPr>
        <w:pStyle w:val="28"/>
        <w:spacing w:line="360" w:lineRule="auto"/>
        <w:ind w:firstLine="400" w:firstLineChars="200"/>
        <w:rPr>
          <w:rFonts w:ascii="仿宋" w:hAnsi="仿宋" w:eastAsia="仿宋" w:cs="仿宋_GB2312"/>
          <w:b/>
          <w:color w:val="000000" w:themeColor="text1"/>
          <w:sz w:val="30"/>
          <w:szCs w:val="30"/>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br w:type="page"/>
      </w:r>
      <w:r>
        <w:rPr>
          <w:rFonts w:hint="eastAsia" w:ascii="仿宋" w:hAnsi="仿宋" w:eastAsia="仿宋" w:cs="仿宋_GB2312"/>
          <w:b/>
          <w:color w:val="000000" w:themeColor="text1"/>
          <w:sz w:val="30"/>
          <w:szCs w:val="30"/>
          <w:highlight w:val="none"/>
          <w14:textFill>
            <w14:solidFill>
              <w14:schemeClr w14:val="tx1"/>
            </w14:solidFill>
          </w14:textFill>
        </w:rPr>
        <w:t>一、营业执照(或事业法人登记证或其他工商等登记证明材料)复印件（供应商为自然人的，提供自然人的身份证明）</w:t>
      </w:r>
    </w:p>
    <w:p w14:paraId="43562336">
      <w:pPr>
        <w:pStyle w:val="28"/>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79EE8BCD">
      <w:pPr>
        <w:autoSpaceDE w:val="0"/>
        <w:autoSpaceDN w:val="0"/>
        <w:spacing w:line="360" w:lineRule="auto"/>
        <w:ind w:left="4365" w:leftChars="1850" w:hanging="480" w:hangingChars="2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3EC02A0C">
      <w:pPr>
        <w:autoSpaceDE w:val="0"/>
        <w:autoSpaceDN w:val="0"/>
        <w:spacing w:line="360" w:lineRule="auto"/>
        <w:ind w:firstLine="6120" w:firstLineChars="2550"/>
        <w:rPr>
          <w:rFonts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5D2CB157">
      <w:pPr>
        <w:snapToGrid w:val="0"/>
        <w:spacing w:before="120" w:beforeLines="50" w:after="50"/>
        <w:rPr>
          <w:rFonts w:ascii="宋体" w:hAnsi="宋体"/>
          <w:color w:val="000000" w:themeColor="text1"/>
          <w:sz w:val="24"/>
          <w:szCs w:val="20"/>
          <w:highlight w:val="none"/>
          <w14:textFill>
            <w14:solidFill>
              <w14:schemeClr w14:val="tx1"/>
            </w14:solidFill>
          </w14:textFill>
        </w:rPr>
      </w:pPr>
    </w:p>
    <w:p w14:paraId="22E81112">
      <w:pPr>
        <w:pStyle w:val="28"/>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t>二、符合参与政府采购活动的资格条件依法缴纳税收、社会保障资金等方面的材料</w:t>
      </w:r>
    </w:p>
    <w:p w14:paraId="6393800F">
      <w:pPr>
        <w:spacing w:line="300" w:lineRule="auto"/>
        <w:rPr>
          <w:rFonts w:ascii="宋体" w:hAnsi="宋体"/>
          <w:color w:val="000000" w:themeColor="text1"/>
          <w:szCs w:val="21"/>
          <w:highlight w:val="none"/>
          <w14:textFill>
            <w14:solidFill>
              <w14:schemeClr w14:val="tx1"/>
            </w14:solidFill>
          </w14:textFill>
        </w:rPr>
      </w:pPr>
    </w:p>
    <w:p w14:paraId="039E6A90">
      <w:pPr>
        <w:autoSpaceDE w:val="0"/>
        <w:autoSpaceDN w:val="0"/>
        <w:spacing w:line="360" w:lineRule="auto"/>
        <w:ind w:left="4365" w:leftChars="1850" w:hanging="480" w:hangingChars="2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3F0E109B">
      <w:pPr>
        <w:autoSpaceDE w:val="0"/>
        <w:autoSpaceDN w:val="0"/>
        <w:spacing w:line="360" w:lineRule="auto"/>
        <w:ind w:firstLine="6120" w:firstLineChars="2550"/>
        <w:rPr>
          <w:rFonts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511D9EBB">
      <w:pPr>
        <w:spacing w:line="300" w:lineRule="auto"/>
        <w:rPr>
          <w:rFonts w:ascii="宋体" w:hAnsi="宋体"/>
          <w:color w:val="000000" w:themeColor="text1"/>
          <w:szCs w:val="21"/>
          <w:highlight w:val="none"/>
          <w14:textFill>
            <w14:solidFill>
              <w14:schemeClr w14:val="tx1"/>
            </w14:solidFill>
          </w14:textFill>
        </w:rPr>
      </w:pPr>
    </w:p>
    <w:p w14:paraId="40047A93">
      <w:pPr>
        <w:spacing w:line="300" w:lineRule="auto"/>
        <w:ind w:firstLine="596" w:firstLineChars="198"/>
        <w:rPr>
          <w:rFonts w:ascii="仿宋" w:hAnsi="仿宋" w:eastAsia="仿宋" w:cs="仿宋_GB2312"/>
          <w:b/>
          <w:color w:val="000000" w:themeColor="text1"/>
          <w:kern w:val="0"/>
          <w:sz w:val="30"/>
          <w:szCs w:val="30"/>
          <w:highlight w:val="none"/>
          <w14:textFill>
            <w14:solidFill>
              <w14:schemeClr w14:val="tx1"/>
            </w14:solidFill>
          </w14:textFill>
        </w:rPr>
      </w:pPr>
      <w:r>
        <w:rPr>
          <w:rFonts w:hint="eastAsia" w:ascii="仿宋" w:hAnsi="仿宋" w:eastAsia="仿宋" w:cs="仿宋_GB2312"/>
          <w:b/>
          <w:color w:val="000000" w:themeColor="text1"/>
          <w:kern w:val="0"/>
          <w:sz w:val="30"/>
          <w:szCs w:val="30"/>
          <w:highlight w:val="none"/>
          <w14:textFill>
            <w14:solidFill>
              <w14:schemeClr w14:val="tx1"/>
            </w14:solidFill>
          </w14:textFill>
        </w:rPr>
        <w:t>三、财务状况报告方面的材料</w:t>
      </w:r>
    </w:p>
    <w:p w14:paraId="1FD9E4F9">
      <w:pPr>
        <w:spacing w:line="300" w:lineRule="auto"/>
        <w:rPr>
          <w:rFonts w:ascii="宋体" w:hAnsi="宋体"/>
          <w:color w:val="000000" w:themeColor="text1"/>
          <w:szCs w:val="21"/>
          <w:highlight w:val="none"/>
          <w14:textFill>
            <w14:solidFill>
              <w14:schemeClr w14:val="tx1"/>
            </w14:solidFill>
          </w14:textFill>
        </w:rPr>
      </w:pPr>
    </w:p>
    <w:p w14:paraId="2A9D6944">
      <w:pPr>
        <w:autoSpaceDE w:val="0"/>
        <w:autoSpaceDN w:val="0"/>
        <w:spacing w:line="360" w:lineRule="auto"/>
        <w:ind w:left="4365" w:leftChars="1850" w:hanging="480" w:hangingChars="2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19D30FA7">
      <w:pPr>
        <w:autoSpaceDE w:val="0"/>
        <w:autoSpaceDN w:val="0"/>
        <w:spacing w:line="360" w:lineRule="auto"/>
        <w:ind w:firstLine="6120" w:firstLineChars="2550"/>
        <w:rPr>
          <w:rFonts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062F18E9">
      <w:pPr>
        <w:spacing w:line="320" w:lineRule="exact"/>
        <w:jc w:val="left"/>
        <w:rPr>
          <w:rFonts w:ascii="宋体" w:hAnsi="宋体"/>
          <w:color w:val="000000" w:themeColor="text1"/>
          <w:szCs w:val="21"/>
          <w:highlight w:val="none"/>
          <w14:textFill>
            <w14:solidFill>
              <w14:schemeClr w14:val="tx1"/>
            </w14:solidFill>
          </w14:textFill>
        </w:rPr>
      </w:pPr>
    </w:p>
    <w:p w14:paraId="37FB90A1">
      <w:pPr>
        <w:snapToGrid w:val="0"/>
        <w:spacing w:before="120" w:beforeLines="50" w:after="50" w:line="360" w:lineRule="auto"/>
        <w:jc w:val="center"/>
        <w:rPr>
          <w:rFonts w:ascii="宋体" w:hAnsi="宋体"/>
          <w:b/>
          <w:color w:val="000000" w:themeColor="text1"/>
          <w:sz w:val="24"/>
          <w:highlight w:val="none"/>
          <w14:textFill>
            <w14:solidFill>
              <w14:schemeClr w14:val="tx1"/>
            </w14:solidFill>
          </w14:textFill>
        </w:rPr>
      </w:pPr>
    </w:p>
    <w:p w14:paraId="4E6BD920">
      <w:pPr>
        <w:spacing w:line="360" w:lineRule="auto"/>
        <w:ind w:firstLine="596" w:firstLineChars="198"/>
        <w:rPr>
          <w:rFonts w:ascii="仿宋" w:hAnsi="仿宋" w:eastAsia="仿宋" w:cs="仿宋_GB2312"/>
          <w:b/>
          <w:color w:val="000000" w:themeColor="text1"/>
          <w:kern w:val="0"/>
          <w:sz w:val="30"/>
          <w:szCs w:val="30"/>
          <w:highlight w:val="none"/>
          <w14:textFill>
            <w14:solidFill>
              <w14:schemeClr w14:val="tx1"/>
            </w14:solidFill>
          </w14:textFill>
        </w:rPr>
      </w:pPr>
      <w:r>
        <w:rPr>
          <w:rFonts w:hint="eastAsia" w:ascii="仿宋" w:hAnsi="仿宋" w:eastAsia="仿宋" w:cs="仿宋_GB2312"/>
          <w:b/>
          <w:color w:val="000000" w:themeColor="text1"/>
          <w:kern w:val="0"/>
          <w:sz w:val="30"/>
          <w:szCs w:val="30"/>
          <w:highlight w:val="none"/>
          <w14:textFill>
            <w14:solidFill>
              <w14:schemeClr w14:val="tx1"/>
            </w14:solidFill>
          </w14:textFill>
        </w:rPr>
        <w:t>四、供应商直接控股股东信息</w:t>
      </w:r>
    </w:p>
    <w:p w14:paraId="020C1DAC">
      <w:pPr>
        <w:spacing w:line="360" w:lineRule="auto"/>
        <w:jc w:val="center"/>
        <w:rPr>
          <w:rFonts w:ascii="宋体" w:hAnsi="宋体"/>
          <w:b/>
          <w:color w:val="000000" w:themeColor="text1"/>
          <w:sz w:val="24"/>
          <w:highlight w:val="none"/>
          <w14:textFill>
            <w14:solidFill>
              <w14:schemeClr w14:val="tx1"/>
            </w14:solidFill>
          </w14:textFill>
        </w:rPr>
      </w:pPr>
    </w:p>
    <w:tbl>
      <w:tblPr>
        <w:tblStyle w:val="53"/>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305DF686">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CD664C1">
            <w:pPr>
              <w:keepNext w:val="0"/>
              <w:keepLines w:val="0"/>
              <w:widowControl/>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7C16C5BD">
            <w:pPr>
              <w:keepNext w:val="0"/>
              <w:keepLines w:val="0"/>
              <w:widowControl/>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7A8E9FE">
            <w:pPr>
              <w:keepNext w:val="0"/>
              <w:keepLines w:val="0"/>
              <w:widowControl/>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18FE6B37">
            <w:pPr>
              <w:keepNext w:val="0"/>
              <w:keepLines w:val="0"/>
              <w:widowControl/>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44A03005">
            <w:pPr>
              <w:keepNext w:val="0"/>
              <w:keepLines w:val="0"/>
              <w:widowControl/>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4A347CBF">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083C8445">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1B46E111">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7352227C">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0DD766E8">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5A8F42D9">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0C879703">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2D3CA358">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5685E248">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398FD9E5">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34129F46">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7FB517E">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23BB69AB">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435099B5">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0071A00B">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2453BA35">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4FEF8F45">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40E631EC">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3745B6BC">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7A2DA335">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6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4D6BCBB0">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02608429">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ADE26E5">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5041FAD5">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bl>
    <w:p w14:paraId="515372CD">
      <w:pPr>
        <w:spacing w:line="360" w:lineRule="auto"/>
        <w:jc w:val="left"/>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注：</w:t>
      </w:r>
    </w:p>
    <w:p w14:paraId="3516557B">
      <w:pPr>
        <w:spacing w:line="360" w:lineRule="auto"/>
        <w:ind w:firstLine="480" w:firstLineChars="200"/>
        <w:jc w:val="left"/>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F88A215">
      <w:pPr>
        <w:spacing w:line="360" w:lineRule="auto"/>
        <w:ind w:firstLine="480" w:firstLineChars="200"/>
        <w:jc w:val="left"/>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2.本表所指的控股关系仅限于直接控股关系，不包括间接的控股关系。公司实际控制人与公司之间的关系不属于本表所指的直接控股关系。</w:t>
      </w:r>
    </w:p>
    <w:p w14:paraId="6DE7D944">
      <w:pPr>
        <w:spacing w:line="360" w:lineRule="auto"/>
        <w:ind w:firstLine="480" w:firstLineChars="200"/>
        <w:jc w:val="left"/>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3.供应商不存在直接控股股东的，则填“无”。</w:t>
      </w:r>
    </w:p>
    <w:p w14:paraId="34939E3D">
      <w:pPr>
        <w:snapToGrid w:val="0"/>
        <w:spacing w:line="360" w:lineRule="auto"/>
        <w:jc w:val="left"/>
        <w:rPr>
          <w:rFonts w:ascii="宋体" w:hAnsi="宋体" w:cs="宋体"/>
          <w:color w:val="000000" w:themeColor="text1"/>
          <w:sz w:val="24"/>
          <w:highlight w:val="none"/>
          <w14:textFill>
            <w14:solidFill>
              <w14:schemeClr w14:val="tx1"/>
            </w14:solidFill>
          </w14:textFill>
        </w:rPr>
      </w:pPr>
    </w:p>
    <w:p w14:paraId="52D266E4">
      <w:pPr>
        <w:snapToGrid w:val="0"/>
        <w:spacing w:line="360" w:lineRule="auto"/>
        <w:jc w:val="left"/>
        <w:rPr>
          <w:rFonts w:ascii="宋体" w:hAnsi="宋体" w:cs="宋体"/>
          <w:color w:val="000000" w:themeColor="text1"/>
          <w:sz w:val="24"/>
          <w:highlight w:val="none"/>
          <w14:textFill>
            <w14:solidFill>
              <w14:schemeClr w14:val="tx1"/>
            </w14:solidFill>
          </w14:textFill>
        </w:rPr>
      </w:pPr>
    </w:p>
    <w:p w14:paraId="5F23F592">
      <w:pPr>
        <w:snapToGrid w:val="0"/>
        <w:spacing w:line="360" w:lineRule="auto"/>
        <w:jc w:val="left"/>
        <w:rPr>
          <w:rFonts w:ascii="宋体" w:hAnsi="宋体" w:cs="宋体"/>
          <w:color w:val="000000" w:themeColor="text1"/>
          <w:sz w:val="24"/>
          <w:highlight w:val="none"/>
          <w14:textFill>
            <w14:solidFill>
              <w14:schemeClr w14:val="tx1"/>
            </w14:solidFill>
          </w14:textFill>
        </w:rPr>
      </w:pPr>
    </w:p>
    <w:p w14:paraId="6F73D7F0">
      <w:pPr>
        <w:autoSpaceDE w:val="0"/>
        <w:autoSpaceDN w:val="0"/>
        <w:spacing w:line="360" w:lineRule="auto"/>
        <w:ind w:left="4365" w:leftChars="1850" w:hanging="480" w:hangingChars="2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585B8B72">
      <w:pPr>
        <w:autoSpaceDE w:val="0"/>
        <w:autoSpaceDN w:val="0"/>
        <w:spacing w:line="360" w:lineRule="auto"/>
        <w:ind w:firstLine="6120" w:firstLineChars="2550"/>
        <w:rPr>
          <w:rFonts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619A1320">
      <w:pPr>
        <w:snapToGrid w:val="0"/>
        <w:rPr>
          <w:rFonts w:ascii="仿宋" w:hAnsi="仿宋" w:eastAsia="仿宋" w:cs="仿宋_GB2312"/>
          <w:b/>
          <w:color w:val="000000" w:themeColor="text1"/>
          <w:kern w:val="0"/>
          <w:sz w:val="30"/>
          <w:szCs w:val="30"/>
          <w:highlight w:val="none"/>
          <w14:textFill>
            <w14:solidFill>
              <w14:schemeClr w14:val="tx1"/>
            </w14:solidFill>
          </w14:textFill>
        </w:rPr>
      </w:pPr>
    </w:p>
    <w:p w14:paraId="14BB7720">
      <w:pPr>
        <w:snapToGrid w:val="0"/>
        <w:ind w:firstLine="596" w:firstLineChars="198"/>
        <w:rPr>
          <w:rFonts w:ascii="仿宋" w:hAnsi="仿宋" w:eastAsia="仿宋" w:cs="仿宋_GB2312"/>
          <w:b/>
          <w:color w:val="000000" w:themeColor="text1"/>
          <w:kern w:val="0"/>
          <w:sz w:val="30"/>
          <w:szCs w:val="30"/>
          <w:highlight w:val="none"/>
          <w14:textFill>
            <w14:solidFill>
              <w14:schemeClr w14:val="tx1"/>
            </w14:solidFill>
          </w14:textFill>
        </w:rPr>
      </w:pPr>
      <w:r>
        <w:rPr>
          <w:rFonts w:hint="eastAsia" w:ascii="仿宋" w:hAnsi="仿宋" w:eastAsia="仿宋" w:cs="仿宋_GB2312"/>
          <w:b/>
          <w:color w:val="000000" w:themeColor="text1"/>
          <w:kern w:val="0"/>
          <w:sz w:val="30"/>
          <w:szCs w:val="30"/>
          <w:highlight w:val="none"/>
          <w14:textFill>
            <w14:solidFill>
              <w14:schemeClr w14:val="tx1"/>
            </w14:solidFill>
          </w14:textFill>
        </w:rPr>
        <w:t>五、供应商直接管理关系信息表</w:t>
      </w:r>
    </w:p>
    <w:p w14:paraId="52F41AE8">
      <w:pPr>
        <w:snapToGrid w:val="0"/>
        <w:spacing w:line="360" w:lineRule="auto"/>
        <w:jc w:val="center"/>
        <w:rPr>
          <w:rFonts w:ascii="宋体" w:hAnsi="宋体"/>
          <w:b/>
          <w:color w:val="000000" w:themeColor="text1"/>
          <w:sz w:val="24"/>
          <w:highlight w:val="none"/>
          <w14:textFill>
            <w14:solidFill>
              <w14:schemeClr w14:val="tx1"/>
            </w14:solidFill>
          </w14:textFill>
        </w:rPr>
      </w:pPr>
    </w:p>
    <w:tbl>
      <w:tblPr>
        <w:tblStyle w:val="53"/>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7364D880">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47BE64B3">
            <w:pPr>
              <w:keepNext w:val="0"/>
              <w:keepLines w:val="0"/>
              <w:widowControl/>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70BD328B">
            <w:pPr>
              <w:keepNext w:val="0"/>
              <w:keepLines w:val="0"/>
              <w:widowControl/>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3B5F9495">
            <w:pPr>
              <w:keepNext w:val="0"/>
              <w:keepLines w:val="0"/>
              <w:widowControl/>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54F11135">
            <w:pPr>
              <w:keepNext w:val="0"/>
              <w:keepLines w:val="0"/>
              <w:widowControl/>
              <w:suppressLineNumbers w:val="0"/>
              <w:spacing w:before="0" w:beforeAutospacing="0" w:after="0" w:afterAutospacing="0" w:line="36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543BFA1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1B09DD19">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37014367">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249043D1">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1945064C">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4E4B4582">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35FFEB8A">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77240C6A">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3DF60EC3">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500B3E8">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791CD232">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77960643">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F23DCA9">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319E0B17">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1B7A8C9F">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308D0311">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72097A11">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3600"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507E654D">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25F80D0B">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tcMar>
              <w:top w:w="120" w:type="dxa"/>
              <w:left w:w="120" w:type="dxa"/>
              <w:bottom w:w="120" w:type="dxa"/>
              <w:right w:w="120" w:type="dxa"/>
            </w:tcMar>
            <w:vAlign w:val="center"/>
          </w:tcPr>
          <w:p w14:paraId="67D88A91">
            <w:pPr>
              <w:keepNext w:val="0"/>
              <w:keepLines w:val="0"/>
              <w:widowControl/>
              <w:suppressLineNumbers w:val="0"/>
              <w:spacing w:before="0" w:beforeAutospacing="0" w:after="0" w:afterAutospacing="0" w:line="36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bl>
    <w:p w14:paraId="401C67B4">
      <w:pPr>
        <w:spacing w:line="360" w:lineRule="auto"/>
        <w:ind w:firstLine="480" w:firstLineChars="200"/>
        <w:jc w:val="left"/>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注：</w:t>
      </w:r>
    </w:p>
    <w:p w14:paraId="485918E7">
      <w:pPr>
        <w:spacing w:line="360" w:lineRule="auto"/>
        <w:ind w:firstLine="480" w:firstLineChars="200"/>
        <w:jc w:val="left"/>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1.管理关系：是指不具有出资持股关系的其他单位之间存在的管理与被管理关系，如一些上下级关系的事业单位和团体组织。</w:t>
      </w:r>
    </w:p>
    <w:p w14:paraId="0CD08A73">
      <w:pPr>
        <w:spacing w:line="360" w:lineRule="auto"/>
        <w:ind w:firstLine="480" w:firstLineChars="200"/>
        <w:jc w:val="left"/>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2.本表所指的管理关系仅限于直接管理关系，不包括间接的管理关系。</w:t>
      </w:r>
    </w:p>
    <w:p w14:paraId="2CA06C86">
      <w:pPr>
        <w:spacing w:line="360" w:lineRule="auto"/>
        <w:ind w:firstLine="480" w:firstLineChars="200"/>
        <w:jc w:val="left"/>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3.供应商不存在直接管理关系的，则填“无”。</w:t>
      </w:r>
    </w:p>
    <w:p w14:paraId="7D60F4FE">
      <w:pPr>
        <w:spacing w:line="360" w:lineRule="auto"/>
        <w:jc w:val="left"/>
        <w:rPr>
          <w:color w:val="000000" w:themeColor="text1"/>
          <w:sz w:val="24"/>
          <w:highlight w:val="none"/>
          <w14:textFill>
            <w14:solidFill>
              <w14:schemeClr w14:val="tx1"/>
            </w14:solidFill>
          </w14:textFill>
        </w:rPr>
      </w:pPr>
    </w:p>
    <w:p w14:paraId="72C3D1EB">
      <w:pPr>
        <w:autoSpaceDE w:val="0"/>
        <w:autoSpaceDN w:val="0"/>
        <w:spacing w:line="360" w:lineRule="auto"/>
        <w:ind w:left="4365" w:leftChars="1850" w:hanging="480" w:hangingChars="2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76C72149">
      <w:pPr>
        <w:autoSpaceDE w:val="0"/>
        <w:autoSpaceDN w:val="0"/>
        <w:spacing w:line="360" w:lineRule="auto"/>
        <w:ind w:firstLine="6120" w:firstLineChars="2550"/>
        <w:rPr>
          <w:rFonts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62ACE031">
      <w:pPr>
        <w:spacing w:line="360" w:lineRule="auto"/>
        <w:ind w:right="480" w:firstLine="280" w:firstLineChars="100"/>
        <w:contextualSpacing/>
        <w:jc w:val="center"/>
        <w:rPr>
          <w:rFonts w:ascii="宋体" w:hAnsi="宋体"/>
          <w:color w:val="000000" w:themeColor="text1"/>
          <w:sz w:val="28"/>
          <w:szCs w:val="28"/>
          <w:highlight w:val="none"/>
          <w14:textFill>
            <w14:solidFill>
              <w14:schemeClr w14:val="tx1"/>
            </w14:solidFill>
          </w14:textFill>
        </w:rPr>
      </w:pPr>
    </w:p>
    <w:p w14:paraId="433BE9DE">
      <w:pPr>
        <w:spacing w:line="320" w:lineRule="exact"/>
        <w:ind w:firstLine="560" w:firstLineChars="200"/>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br w:type="page"/>
      </w:r>
      <w:r>
        <w:rPr>
          <w:rFonts w:hint="eastAsia" w:ascii="仿宋" w:hAnsi="仿宋" w:eastAsia="仿宋" w:cs="仿宋_GB2312"/>
          <w:b/>
          <w:color w:val="000000" w:themeColor="text1"/>
          <w:kern w:val="0"/>
          <w:sz w:val="30"/>
          <w:szCs w:val="30"/>
          <w:highlight w:val="none"/>
          <w14:textFill>
            <w14:solidFill>
              <w14:schemeClr w14:val="tx1"/>
            </w14:solidFill>
          </w14:textFill>
        </w:rPr>
        <w:t>六、资格声明函</w:t>
      </w:r>
    </w:p>
    <w:p w14:paraId="1F6A0210">
      <w:pPr>
        <w:spacing w:line="320" w:lineRule="exact"/>
        <w:jc w:val="center"/>
        <w:rPr>
          <w:rFonts w:ascii="宋体" w:hAnsi="宋体"/>
          <w:b/>
          <w:color w:val="000000" w:themeColor="text1"/>
          <w:sz w:val="32"/>
          <w:szCs w:val="32"/>
          <w:highlight w:val="none"/>
          <w14:textFill>
            <w14:solidFill>
              <w14:schemeClr w14:val="tx1"/>
            </w14:solidFill>
          </w14:textFill>
        </w:rPr>
      </w:pPr>
    </w:p>
    <w:p w14:paraId="01C1C17C">
      <w:pPr>
        <w:spacing w:line="320" w:lineRule="exact"/>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资格声明函</w:t>
      </w:r>
    </w:p>
    <w:p w14:paraId="0890A4C7">
      <w:pPr>
        <w:spacing w:line="320" w:lineRule="exact"/>
        <w:jc w:val="center"/>
        <w:rPr>
          <w:rFonts w:ascii="宋体" w:hAnsi="宋体"/>
          <w:color w:val="000000" w:themeColor="text1"/>
          <w:sz w:val="24"/>
          <w:szCs w:val="20"/>
          <w:highlight w:val="none"/>
          <w14:textFill>
            <w14:solidFill>
              <w14:schemeClr w14:val="tx1"/>
            </w14:solidFill>
          </w14:textFill>
        </w:rPr>
      </w:pPr>
    </w:p>
    <w:p w14:paraId="34E12738">
      <w:pPr>
        <w:spacing w:line="360" w:lineRule="auto"/>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致：</w:t>
      </w:r>
      <w:bookmarkStart w:id="69" w:name="PO_3000001868_PM031_6"/>
      <w:r>
        <w:rPr>
          <w:rFonts w:hint="eastAsia" w:ascii="仿宋_GB2312" w:hAnsi="宋体" w:eastAsia="仿宋_GB2312" w:cs="宋体"/>
          <w:color w:val="000000" w:themeColor="text1"/>
          <w:sz w:val="24"/>
          <w:highlight w:val="none"/>
          <w:u w:val="single"/>
          <w14:textFill>
            <w14:solidFill>
              <w14:schemeClr w14:val="tx1"/>
            </w14:solidFill>
          </w14:textFill>
        </w:rPr>
        <w:t>[项目采购-采购组织机构]</w:t>
      </w:r>
      <w:bookmarkEnd w:id="69"/>
      <w:r>
        <w:rPr>
          <w:rFonts w:hint="eastAsia" w:ascii="仿宋_GB2312" w:hAnsi="宋体" w:eastAsia="仿宋_GB2312" w:cs="宋体"/>
          <w:color w:val="000000" w:themeColor="text1"/>
          <w:sz w:val="24"/>
          <w:highlight w:val="none"/>
          <w14:textFill>
            <w14:solidFill>
              <w14:schemeClr w14:val="tx1"/>
            </w14:solidFill>
          </w14:textFill>
        </w:rPr>
        <w:t>：</w:t>
      </w:r>
    </w:p>
    <w:p w14:paraId="3C3CACE5">
      <w:pPr>
        <w:spacing w:line="360" w:lineRule="auto"/>
        <w:ind w:firstLine="480" w:firstLineChars="20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u w:val="single"/>
          <w14:textFill>
            <w14:solidFill>
              <w14:schemeClr w14:val="tx1"/>
            </w14:solidFill>
          </w14:textFill>
        </w:rPr>
        <w:t>（供应商名称）</w:t>
      </w:r>
      <w:r>
        <w:rPr>
          <w:rFonts w:hint="eastAsia" w:ascii="仿宋_GB2312" w:hAnsi="宋体" w:eastAsia="仿宋_GB2312" w:cs="宋体"/>
          <w:color w:val="000000" w:themeColor="text1"/>
          <w:sz w:val="24"/>
          <w:highlight w:val="none"/>
          <w14:textFill>
            <w14:solidFill>
              <w14:schemeClr w14:val="tx1"/>
            </w14:solidFill>
          </w14:textFill>
        </w:rPr>
        <w:t>系中华人民共和国合法供应商，经营地址。</w:t>
      </w:r>
    </w:p>
    <w:p w14:paraId="73F10E6E">
      <w:pPr>
        <w:spacing w:line="360" w:lineRule="auto"/>
        <w:ind w:firstLine="480" w:firstLineChars="20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我方愿意参加贵方组织的</w:t>
      </w:r>
      <w:bookmarkStart w:id="70" w:name="PO_3000001868_PM002_4"/>
      <w:r>
        <w:rPr>
          <w:rFonts w:hint="eastAsia" w:ascii="仿宋_GB2312" w:hAnsi="宋体" w:eastAsia="仿宋_GB2312" w:cs="宋体"/>
          <w:color w:val="000000" w:themeColor="text1"/>
          <w:sz w:val="24"/>
          <w:highlight w:val="none"/>
          <w:u w:val="single"/>
          <w14:textFill>
            <w14:solidFill>
              <w14:schemeClr w14:val="tx1"/>
            </w14:solidFill>
          </w14:textFill>
        </w:rPr>
        <w:t>[项目采购-项目名称]</w:t>
      </w:r>
      <w:bookmarkEnd w:id="70"/>
      <w:r>
        <w:rPr>
          <w:rFonts w:hint="eastAsia" w:ascii="仿宋_GB2312" w:hAnsi="宋体" w:eastAsia="仿宋_GB2312" w:cs="宋体"/>
          <w:color w:val="000000" w:themeColor="text1"/>
          <w:sz w:val="24"/>
          <w:highlight w:val="none"/>
          <w:u w:val="single"/>
          <w14:textFill>
            <w14:solidFill>
              <w14:schemeClr w14:val="tx1"/>
            </w14:solidFill>
          </w14:textFill>
        </w:rPr>
        <w:t>）</w:t>
      </w:r>
      <w:r>
        <w:rPr>
          <w:rFonts w:hint="eastAsia" w:ascii="仿宋_GB2312" w:hAnsi="宋体" w:eastAsia="仿宋_GB2312" w:cs="宋体"/>
          <w:color w:val="000000" w:themeColor="text1"/>
          <w:sz w:val="24"/>
          <w:highlight w:val="none"/>
          <w14:textFill>
            <w14:solidFill>
              <w14:schemeClr w14:val="tx1"/>
            </w14:solidFill>
          </w14:textFill>
        </w:rPr>
        <w:t>项目的竞标，为便于贵方公正、择优地确定成交供应商及其竞标产品和服务，我方就本次竞标有关事项郑重声明如下：</w:t>
      </w:r>
    </w:p>
    <w:p w14:paraId="0B226C1A">
      <w:pPr>
        <w:spacing w:line="360" w:lineRule="auto"/>
        <w:ind w:firstLine="480" w:firstLineChars="20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1.我方向贵方提交的所有响应文件、资料都是准确的和真实的。</w:t>
      </w:r>
    </w:p>
    <w:p w14:paraId="62F94C91">
      <w:pPr>
        <w:spacing w:line="360" w:lineRule="auto"/>
        <w:ind w:firstLine="480" w:firstLineChars="20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61EE1B06">
      <w:pPr>
        <w:spacing w:line="360" w:lineRule="auto"/>
        <w:ind w:firstLine="480" w:firstLineChars="20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3.在此，我方宣布同意如下：</w:t>
      </w:r>
    </w:p>
    <w:p w14:paraId="6F4429AA">
      <w:pPr>
        <w:spacing w:line="360" w:lineRule="auto"/>
        <w:ind w:firstLine="480" w:firstLineChars="20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（1）将按磋商文件的约定履行合同责任和义务；</w:t>
      </w:r>
    </w:p>
    <w:p w14:paraId="5FB018D2">
      <w:pPr>
        <w:spacing w:line="360" w:lineRule="auto"/>
        <w:ind w:firstLine="480" w:firstLineChars="20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（2）已详细审查全部磋商文件，包括澄清或者更正公告（如有）；</w:t>
      </w:r>
    </w:p>
    <w:p w14:paraId="300A7EDB">
      <w:pPr>
        <w:spacing w:line="360" w:lineRule="auto"/>
        <w:ind w:firstLine="480" w:firstLineChars="20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（3）同意提供按照贵方可能要求的与谈判有关的一切数据或者资料；</w:t>
      </w:r>
    </w:p>
    <w:p w14:paraId="2498727E">
      <w:pPr>
        <w:spacing w:line="360" w:lineRule="auto"/>
        <w:ind w:firstLine="480" w:firstLineChars="20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（4）响应磋商文件规定的竞标有效期。</w:t>
      </w:r>
    </w:p>
    <w:p w14:paraId="470BBE7A">
      <w:pPr>
        <w:spacing w:line="360" w:lineRule="auto"/>
        <w:ind w:firstLine="480" w:firstLineChars="20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0EA279A9">
      <w:pPr>
        <w:spacing w:line="360" w:lineRule="auto"/>
        <w:ind w:firstLine="480" w:firstLineChars="20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2B8DA707">
      <w:pPr>
        <w:spacing w:line="360" w:lineRule="auto"/>
        <w:ind w:firstLine="480" w:firstLineChars="20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2AD23FC3">
      <w:pPr>
        <w:spacing w:line="360" w:lineRule="auto"/>
        <w:ind w:firstLine="480" w:firstLineChars="20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□我方本次响应文件</w:t>
      </w:r>
      <w:r>
        <w:rPr>
          <w:rFonts w:hint="eastAsia" w:ascii="仿宋_GB2312" w:hAnsi="宋体" w:eastAsia="仿宋_GB2312" w:cs="宋体"/>
          <w:color w:val="000000" w:themeColor="text1"/>
          <w:kern w:val="0"/>
          <w:sz w:val="24"/>
          <w:highlight w:val="none"/>
          <w14:textFill>
            <w14:solidFill>
              <w14:schemeClr w14:val="tx1"/>
            </w14:solidFill>
          </w14:textFill>
        </w:rPr>
        <w:t>内容中</w:t>
      </w:r>
      <w:r>
        <w:rPr>
          <w:rFonts w:hint="eastAsia" w:ascii="仿宋_GB2312" w:hAnsi="宋体" w:eastAsia="仿宋_GB2312" w:cs="宋体"/>
          <w:color w:val="000000" w:themeColor="text1"/>
          <w:sz w:val="24"/>
          <w:highlight w:val="none"/>
          <w14:textFill>
            <w14:solidFill>
              <w14:schemeClr w14:val="tx1"/>
            </w14:solidFill>
          </w14:textFill>
        </w:rPr>
        <w:t>未</w:t>
      </w:r>
      <w:r>
        <w:rPr>
          <w:rFonts w:hint="eastAsia" w:ascii="仿宋_GB2312" w:hAnsi="宋体" w:eastAsia="仿宋_GB2312" w:cs="宋体"/>
          <w:color w:val="000000" w:themeColor="text1"/>
          <w:kern w:val="0"/>
          <w:sz w:val="24"/>
          <w:highlight w:val="none"/>
          <w14:textFill>
            <w14:solidFill>
              <w14:schemeClr w14:val="tx1"/>
            </w14:solidFill>
          </w14:textFill>
        </w:rPr>
        <w:t>涉及商业秘密；</w:t>
      </w:r>
    </w:p>
    <w:p w14:paraId="2C7D0BF7">
      <w:pPr>
        <w:spacing w:line="360" w:lineRule="auto"/>
        <w:ind w:firstLine="480" w:firstLineChars="20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□我方本次响应文件</w:t>
      </w:r>
      <w:r>
        <w:rPr>
          <w:rFonts w:hint="eastAsia" w:ascii="仿宋_GB2312" w:hAnsi="宋体" w:eastAsia="仿宋_GB2312" w:cs="宋体"/>
          <w:color w:val="000000" w:themeColor="text1"/>
          <w:kern w:val="0"/>
          <w:sz w:val="24"/>
          <w:highlight w:val="none"/>
          <w14:textFill>
            <w14:solidFill>
              <w14:schemeClr w14:val="tx1"/>
            </w14:solidFill>
          </w14:textFill>
        </w:rPr>
        <w:t>涉及商业秘密的内容有：；</w:t>
      </w:r>
    </w:p>
    <w:p w14:paraId="658E1B70">
      <w:pPr>
        <w:pStyle w:val="28"/>
        <w:spacing w:line="360" w:lineRule="auto"/>
        <w:ind w:firstLine="480" w:firstLineChars="200"/>
        <w:rPr>
          <w:rFonts w:ascii="仿宋_GB2312" w:hAnsi="宋体" w:eastAsia="仿宋_GB2312" w:cs="宋体"/>
          <w:color w:val="000000" w:themeColor="text1"/>
          <w:sz w:val="24"/>
          <w:szCs w:val="24"/>
          <w:highlight w:val="none"/>
          <w:u w:val="single"/>
          <w14:textFill>
            <w14:solidFill>
              <w14:schemeClr w14:val="tx1"/>
            </w14:solidFill>
          </w14:textFill>
        </w:rPr>
      </w:pPr>
      <w:r>
        <w:rPr>
          <w:rFonts w:hint="eastAsia" w:ascii="仿宋_GB2312" w:hAnsi="宋体" w:eastAsia="仿宋_GB2312" w:cs="宋体"/>
          <w:color w:val="000000" w:themeColor="text1"/>
          <w:sz w:val="24"/>
          <w:szCs w:val="24"/>
          <w:highlight w:val="none"/>
          <w14:textFill>
            <w14:solidFill>
              <w14:schemeClr w14:val="tx1"/>
            </w14:solidFill>
          </w14:textFill>
        </w:rPr>
        <w:t>7.与本磋商有关的一切正式往来信函请寄：邮政编号：</w:t>
      </w:r>
    </w:p>
    <w:p w14:paraId="04E65C16">
      <w:pPr>
        <w:pStyle w:val="28"/>
        <w:spacing w:line="360" w:lineRule="auto"/>
        <w:ind w:firstLine="480" w:firstLineChars="200"/>
        <w:rPr>
          <w:rFonts w:ascii="仿宋_GB2312" w:hAnsi="宋体" w:eastAsia="仿宋_GB2312" w:cs="宋体"/>
          <w:color w:val="000000" w:themeColor="text1"/>
          <w:sz w:val="24"/>
          <w:szCs w:val="24"/>
          <w:highlight w:val="none"/>
          <w14:textFill>
            <w14:solidFill>
              <w14:schemeClr w14:val="tx1"/>
            </w14:solidFill>
          </w14:textFill>
        </w:rPr>
      </w:pPr>
      <w:r>
        <w:rPr>
          <w:rFonts w:hint="eastAsia" w:ascii="仿宋_GB2312" w:hAnsi="宋体" w:eastAsia="仿宋_GB2312" w:cs="宋体"/>
          <w:color w:val="000000" w:themeColor="text1"/>
          <w:sz w:val="24"/>
          <w:szCs w:val="24"/>
          <w:highlight w:val="none"/>
          <w14:textFill>
            <w14:solidFill>
              <w14:schemeClr w14:val="tx1"/>
            </w14:solidFill>
          </w14:textFill>
        </w:rPr>
        <w:t>电话/传真： 电子函件：</w:t>
      </w:r>
    </w:p>
    <w:p w14:paraId="16940239">
      <w:pPr>
        <w:pStyle w:val="23"/>
        <w:tabs>
          <w:tab w:val="left" w:pos="939"/>
        </w:tabs>
        <w:spacing w:line="360" w:lineRule="auto"/>
        <w:ind w:left="141" w:leftChars="67" w:firstLine="360" w:firstLineChars="15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开户银行：  账号：</w:t>
      </w:r>
    </w:p>
    <w:p w14:paraId="2600AF60">
      <w:pPr>
        <w:pStyle w:val="23"/>
        <w:tabs>
          <w:tab w:val="left" w:pos="939"/>
        </w:tabs>
        <w:spacing w:line="360" w:lineRule="auto"/>
        <w:ind w:left="0" w:leftChars="0" w:firstLine="480" w:firstLineChars="20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8.以上事项如有虚假或者隐瞒，我方愿意承担一切后果，并不再寻求任何旨在减轻或者免除法律责任的辩解。</w:t>
      </w:r>
    </w:p>
    <w:p w14:paraId="1633090A">
      <w:pPr>
        <w:pStyle w:val="23"/>
        <w:tabs>
          <w:tab w:val="left" w:pos="939"/>
        </w:tabs>
        <w:spacing w:line="360" w:lineRule="auto"/>
        <w:ind w:left="141" w:leftChars="67" w:firstLine="360" w:firstLineChars="150"/>
        <w:rPr>
          <w:rFonts w:ascii="仿宋_GB2312" w:hAnsi="宋体" w:eastAsia="仿宋_GB2312"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特此承诺。</w:t>
      </w:r>
    </w:p>
    <w:p w14:paraId="11139DC9">
      <w:pPr>
        <w:pStyle w:val="23"/>
        <w:tabs>
          <w:tab w:val="left" w:pos="939"/>
        </w:tabs>
        <w:spacing w:line="360" w:lineRule="auto"/>
        <w:ind w:left="0" w:leftChars="0" w:firstLine="480" w:firstLineChars="200"/>
        <w:rPr>
          <w:rFonts w:ascii="宋体" w:hAnsi="宋体" w:cs="宋体"/>
          <w:color w:val="000000" w:themeColor="text1"/>
          <w:sz w:val="24"/>
          <w:highlight w:val="none"/>
          <w14:textFill>
            <w14:solidFill>
              <w14:schemeClr w14:val="tx1"/>
            </w14:solidFill>
          </w14:textFill>
        </w:rPr>
      </w:pPr>
      <w:r>
        <w:rPr>
          <w:rFonts w:hint="eastAsia" w:ascii="仿宋_GB2312" w:hAnsi="宋体" w:eastAsia="仿宋_GB2312" w:cs="宋体"/>
          <w:color w:val="000000" w:themeColor="text1"/>
          <w:sz w:val="24"/>
          <w:highlight w:val="none"/>
          <w14:textFill>
            <w14:solidFill>
              <w14:schemeClr w14:val="tx1"/>
            </w14:solidFill>
          </w14:textFill>
        </w:rPr>
        <w:t>注：如为联合体竞标，盖章处须加盖联合体各方公章并由联合体各方法定代表人签署，否则其响应文件按无效响应处理。</w:t>
      </w:r>
    </w:p>
    <w:p w14:paraId="06C2AB48">
      <w:pPr>
        <w:pStyle w:val="23"/>
        <w:tabs>
          <w:tab w:val="left" w:pos="939"/>
        </w:tabs>
        <w:spacing w:line="360" w:lineRule="auto"/>
        <w:ind w:left="0" w:leftChars="0" w:firstLine="480" w:firstLineChars="200"/>
        <w:rPr>
          <w:rFonts w:ascii="宋体" w:hAnsi="宋体" w:cs="宋体"/>
          <w:color w:val="000000" w:themeColor="text1"/>
          <w:sz w:val="24"/>
          <w:highlight w:val="none"/>
          <w14:textFill>
            <w14:solidFill>
              <w14:schemeClr w14:val="tx1"/>
            </w14:solidFill>
          </w14:textFill>
        </w:rPr>
      </w:pPr>
    </w:p>
    <w:p w14:paraId="6D6B082A">
      <w:pPr>
        <w:autoSpaceDE w:val="0"/>
        <w:autoSpaceDN w:val="0"/>
        <w:spacing w:line="360" w:lineRule="auto"/>
        <w:ind w:left="4365" w:leftChars="1850" w:hanging="480" w:hangingChars="2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18A902E5">
      <w:pPr>
        <w:autoSpaceDE w:val="0"/>
        <w:autoSpaceDN w:val="0"/>
        <w:spacing w:line="360" w:lineRule="auto"/>
        <w:ind w:firstLine="6120" w:firstLineChars="25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547A8DCF">
      <w:pPr>
        <w:widowControl/>
        <w:spacing w:line="360" w:lineRule="auto"/>
        <w:jc w:val="left"/>
        <w:rPr>
          <w:rFonts w:ascii="仿宋_GB2312" w:hAnsi="仿宋" w:eastAsia="仿宋_GB2312" w:cs="仿宋_GB2312"/>
          <w:color w:val="000000" w:themeColor="text1"/>
          <w:kern w:val="0"/>
          <w:sz w:val="24"/>
          <w:highlight w:val="none"/>
          <w:lang w:val="zh-CN"/>
          <w14:textFill>
            <w14:solidFill>
              <w14:schemeClr w14:val="tx1"/>
            </w14:solidFill>
          </w14:textFill>
        </w:rPr>
        <w:sectPr>
          <w:pgSz w:w="11910" w:h="16840"/>
          <w:pgMar w:top="1340" w:right="1500" w:bottom="280" w:left="1680" w:header="720" w:footer="720" w:gutter="0"/>
          <w:cols w:space="720" w:num="1"/>
        </w:sectPr>
      </w:pPr>
    </w:p>
    <w:p w14:paraId="7553719B">
      <w:pPr>
        <w:pStyle w:val="9"/>
        <w:overflowPunct w:val="0"/>
        <w:spacing w:line="520" w:lineRule="exact"/>
        <w:ind w:firstLine="0"/>
        <w:rPr>
          <w:rFonts w:ascii="宋体" w:hAnsi="宋体"/>
          <w:b/>
          <w:bCs/>
          <w:color w:val="000000" w:themeColor="text1"/>
          <w:sz w:val="32"/>
          <w:szCs w:val="32"/>
          <w:highlight w:val="none"/>
          <w14:textFill>
            <w14:solidFill>
              <w14:schemeClr w14:val="tx1"/>
            </w14:solidFill>
          </w14:textFill>
        </w:rPr>
      </w:pPr>
      <w:r>
        <w:rPr>
          <w:rFonts w:hint="eastAsia" w:ascii="仿宋" w:hAnsi="仿宋" w:eastAsia="仿宋" w:cs="仿宋_GB2312"/>
          <w:b/>
          <w:color w:val="000000" w:themeColor="text1"/>
          <w:kern w:val="0"/>
          <w:sz w:val="30"/>
          <w:szCs w:val="30"/>
          <w:highlight w:val="none"/>
          <w14:textFill>
            <w14:solidFill>
              <w14:schemeClr w14:val="tx1"/>
            </w14:solidFill>
          </w14:textFill>
        </w:rPr>
        <w:t>七、联合体协议书（如有）</w:t>
      </w:r>
    </w:p>
    <w:p w14:paraId="3BB8A92C">
      <w:pPr>
        <w:pStyle w:val="28"/>
        <w:spacing w:line="600" w:lineRule="exact"/>
        <w:jc w:val="center"/>
        <w:rPr>
          <w:rFonts w:ascii="方正小标宋简体" w:hAnsi="方正小标宋简体" w:eastAsia="方正小标宋简体" w:cs="方正小标宋简体"/>
          <w:color w:val="000000" w:themeColor="text1"/>
          <w:kern w:val="2"/>
          <w:sz w:val="44"/>
          <w:szCs w:val="44"/>
          <w:highlight w:val="none"/>
          <w14:textFill>
            <w14:solidFill>
              <w14:schemeClr w14:val="tx1"/>
            </w14:solidFill>
          </w14:textFill>
        </w:rPr>
      </w:pPr>
    </w:p>
    <w:p w14:paraId="58C26DC8">
      <w:pPr>
        <w:pStyle w:val="28"/>
        <w:spacing w:line="600" w:lineRule="exact"/>
        <w:jc w:val="center"/>
        <w:rPr>
          <w:rFonts w:ascii="方正小标宋简体" w:hAnsi="方正小标宋简体" w:eastAsia="方正小标宋简体" w:cs="方正小标宋简体"/>
          <w:color w:val="000000" w:themeColor="text1"/>
          <w:kern w:val="2"/>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kern w:val="2"/>
          <w:sz w:val="44"/>
          <w:szCs w:val="44"/>
          <w:highlight w:val="none"/>
          <w14:textFill>
            <w14:solidFill>
              <w14:schemeClr w14:val="tx1"/>
            </w14:solidFill>
          </w14:textFill>
        </w:rPr>
        <w:t>联合体竞标协议书（格式）</w:t>
      </w:r>
    </w:p>
    <w:p w14:paraId="489EFB4F">
      <w:pPr>
        <w:autoSpaceDE w:val="0"/>
        <w:autoSpaceDN w:val="0"/>
        <w:adjustRightInd w:val="0"/>
        <w:spacing w:line="360" w:lineRule="auto"/>
        <w:jc w:val="left"/>
        <w:rPr>
          <w:rFonts w:ascii="宋体" w:cs="宋体"/>
          <w:color w:val="000000" w:themeColor="text1"/>
          <w:kern w:val="0"/>
          <w:szCs w:val="21"/>
          <w:highlight w:val="none"/>
          <w:u w:val="single"/>
          <w14:textFill>
            <w14:solidFill>
              <w14:schemeClr w14:val="tx1"/>
            </w14:solidFill>
          </w14:textFill>
        </w:rPr>
      </w:pPr>
    </w:p>
    <w:p w14:paraId="22B479A1">
      <w:pPr>
        <w:autoSpaceDE w:val="0"/>
        <w:autoSpaceDN w:val="0"/>
        <w:adjustRightInd w:val="0"/>
        <w:spacing w:line="360" w:lineRule="atLeast"/>
        <w:jc w:val="left"/>
        <w:rPr>
          <w:rFonts w:ascii="仿宋_GB2312" w:hAnsi="仿宋_GB2312" w:eastAsia="仿宋_GB2312" w:cs="宋体"/>
          <w:color w:val="000000" w:themeColor="text1"/>
          <w:kern w:val="0"/>
          <w:sz w:val="24"/>
          <w:highlight w:val="none"/>
          <w14:textFill>
            <w14:solidFill>
              <w14:schemeClr w14:val="tx1"/>
            </w14:solidFill>
          </w14:textFill>
        </w:rPr>
      </w:pPr>
      <w:r>
        <w:rPr>
          <w:rFonts w:hint="eastAsia" w:ascii="仿宋_GB2312" w:hAnsi="仿宋_GB2312" w:eastAsia="仿宋_GB2312" w:cs="宋体"/>
          <w:color w:val="000000" w:themeColor="text1"/>
          <w:kern w:val="0"/>
          <w:sz w:val="24"/>
          <w:highlight w:val="none"/>
          <w14:textFill>
            <w14:solidFill>
              <w14:schemeClr w14:val="tx1"/>
            </w14:solidFill>
          </w14:textFill>
        </w:rPr>
        <w:t>（所有成员单位名称）自愿组成联合体，共同参加</w:t>
      </w:r>
      <w:bookmarkStart w:id="71" w:name="PO_3000001868_PM031"/>
      <w:r>
        <w:rPr>
          <w:rFonts w:hint="eastAsia" w:ascii="仿宋_GB2312" w:hAnsi="仿宋_GB2312" w:eastAsia="仿宋_GB2312" w:cs="宋体"/>
          <w:color w:val="000000" w:themeColor="text1"/>
          <w:kern w:val="0"/>
          <w:sz w:val="24"/>
          <w:highlight w:val="none"/>
          <w:u w:val="single"/>
          <w14:textFill>
            <w14:solidFill>
              <w14:schemeClr w14:val="tx1"/>
            </w14:solidFill>
          </w14:textFill>
        </w:rPr>
        <w:t>[项目采购-采购组织机构]</w:t>
      </w:r>
      <w:bookmarkEnd w:id="71"/>
      <w:r>
        <w:rPr>
          <w:rFonts w:hint="eastAsia" w:ascii="仿宋_GB2312" w:hAnsi="仿宋_GB2312" w:eastAsia="仿宋_GB2312" w:cs="宋体"/>
          <w:color w:val="000000" w:themeColor="text1"/>
          <w:kern w:val="0"/>
          <w:sz w:val="24"/>
          <w:highlight w:val="none"/>
          <w14:textFill>
            <w14:solidFill>
              <w14:schemeClr w14:val="tx1"/>
            </w14:solidFill>
          </w14:textFill>
        </w:rPr>
        <w:t>组织的</w:t>
      </w:r>
      <w:bookmarkStart w:id="72" w:name="PO_3000001868_PM002_5"/>
      <w:r>
        <w:rPr>
          <w:rFonts w:hint="eastAsia" w:ascii="仿宋_GB2312" w:hAnsi="仿宋_GB2312" w:eastAsia="仿宋_GB2312" w:cs="宋体"/>
          <w:color w:val="000000" w:themeColor="text1"/>
          <w:kern w:val="0"/>
          <w:sz w:val="24"/>
          <w:highlight w:val="none"/>
          <w:u w:val="single"/>
          <w14:textFill>
            <w14:solidFill>
              <w14:schemeClr w14:val="tx1"/>
            </w14:solidFill>
          </w14:textFill>
        </w:rPr>
        <w:t>[项目采购-项目名称]</w:t>
      </w:r>
      <w:bookmarkEnd w:id="72"/>
      <w:r>
        <w:rPr>
          <w:rFonts w:hint="eastAsia" w:ascii="仿宋_GB2312" w:hAnsi="仿宋_GB2312" w:eastAsia="仿宋_GB2312" w:cs="宋体"/>
          <w:color w:val="000000" w:themeColor="text1"/>
          <w:kern w:val="0"/>
          <w:sz w:val="24"/>
          <w:highlight w:val="none"/>
          <w14:textFill>
            <w14:solidFill>
              <w14:schemeClr w14:val="tx1"/>
            </w14:solidFill>
          </w14:textFill>
        </w:rPr>
        <w:t>（项目编号：</w:t>
      </w:r>
      <w:bookmarkStart w:id="73" w:name="PO_3000001868_PM001_6"/>
      <w:r>
        <w:rPr>
          <w:rFonts w:hint="eastAsia" w:ascii="仿宋_GB2312" w:hAnsi="仿宋_GB2312" w:eastAsia="仿宋_GB2312" w:cs="宋体"/>
          <w:color w:val="000000" w:themeColor="text1"/>
          <w:kern w:val="0"/>
          <w:sz w:val="24"/>
          <w:highlight w:val="none"/>
          <w:u w:val="single"/>
          <w14:textFill>
            <w14:solidFill>
              <w14:schemeClr w14:val="tx1"/>
            </w14:solidFill>
          </w14:textFill>
        </w:rPr>
        <w:t>[项目采购-项目编号]</w:t>
      </w:r>
      <w:bookmarkEnd w:id="73"/>
      <w:r>
        <w:rPr>
          <w:rFonts w:hint="eastAsia" w:ascii="仿宋_GB2312" w:hAnsi="仿宋_GB2312" w:eastAsia="仿宋_GB2312" w:cs="宋体"/>
          <w:color w:val="000000" w:themeColor="text1"/>
          <w:kern w:val="0"/>
          <w:sz w:val="24"/>
          <w:highlight w:val="none"/>
          <w14:textFill>
            <w14:solidFill>
              <w14:schemeClr w14:val="tx1"/>
            </w14:solidFill>
          </w14:textFill>
        </w:rPr>
        <w:t>）竞争性磋商采购。现就联合体竞标事宜订立如下协议：</w:t>
      </w:r>
    </w:p>
    <w:p w14:paraId="289B4D4B">
      <w:pPr>
        <w:autoSpaceDE w:val="0"/>
        <w:autoSpaceDN w:val="0"/>
        <w:adjustRightInd w:val="0"/>
        <w:spacing w:line="360" w:lineRule="atLeast"/>
        <w:ind w:firstLine="420"/>
        <w:jc w:val="left"/>
        <w:rPr>
          <w:rFonts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TimesNewRomanPSMT"/>
          <w:color w:val="000000" w:themeColor="text1"/>
          <w:kern w:val="0"/>
          <w:sz w:val="24"/>
          <w:highlight w:val="none"/>
          <w14:textFill>
            <w14:solidFill>
              <w14:schemeClr w14:val="tx1"/>
            </w14:solidFill>
          </w14:textFill>
        </w:rPr>
        <w:t>1</w:t>
      </w:r>
      <w:r>
        <w:rPr>
          <w:rFonts w:hint="eastAsia" w:ascii="仿宋_GB2312" w:hAnsi="宋体" w:eastAsia="仿宋_GB2312" w:cs="宋体"/>
          <w:color w:val="000000" w:themeColor="text1"/>
          <w:kern w:val="0"/>
          <w:sz w:val="24"/>
          <w:highlight w:val="none"/>
          <w14:textFill>
            <w14:solidFill>
              <w14:schemeClr w14:val="tx1"/>
            </w14:solidFill>
          </w14:textFill>
        </w:rPr>
        <w:t>、</w:t>
      </w:r>
      <w:r>
        <w:rPr>
          <w:rFonts w:hint="eastAsia" w:ascii="仿宋_GB2312" w:hAnsi="仿宋_GB2312" w:eastAsia="仿宋_GB2312"/>
          <w:color w:val="000000" w:themeColor="text1"/>
          <w:sz w:val="24"/>
          <w:highlight w:val="none"/>
          <w14:textFill>
            <w14:solidFill>
              <w14:schemeClr w14:val="tx1"/>
            </w14:solidFill>
          </w14:textFill>
        </w:rPr>
        <w:t>________________________</w:t>
      </w:r>
      <w:r>
        <w:rPr>
          <w:rFonts w:hint="eastAsia" w:ascii="仿宋_GB2312" w:hAnsi="宋体" w:eastAsia="仿宋_GB2312" w:cs="宋体"/>
          <w:color w:val="000000" w:themeColor="text1"/>
          <w:kern w:val="0"/>
          <w:sz w:val="24"/>
          <w:highlight w:val="none"/>
          <w14:textFill>
            <w14:solidFill>
              <w14:schemeClr w14:val="tx1"/>
            </w14:solidFill>
          </w14:textFill>
        </w:rPr>
        <w:t>（某成员单位名称）为联合体名称牵头人。</w:t>
      </w:r>
    </w:p>
    <w:p w14:paraId="0593A3C1">
      <w:pPr>
        <w:autoSpaceDE w:val="0"/>
        <w:autoSpaceDN w:val="0"/>
        <w:adjustRightInd w:val="0"/>
        <w:spacing w:line="360" w:lineRule="atLeast"/>
        <w:ind w:firstLine="420"/>
        <w:jc w:val="left"/>
        <w:rPr>
          <w:rFonts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TimesNewRomanPSMT"/>
          <w:color w:val="000000" w:themeColor="text1"/>
          <w:kern w:val="0"/>
          <w:sz w:val="24"/>
          <w:highlight w:val="none"/>
          <w14:textFill>
            <w14:solidFill>
              <w14:schemeClr w14:val="tx1"/>
            </w14:solidFill>
          </w14:textFill>
        </w:rPr>
        <w:t>2</w:t>
      </w:r>
      <w:r>
        <w:rPr>
          <w:rFonts w:hint="eastAsia" w:ascii="仿宋_GB2312" w:hAnsi="宋体" w:eastAsia="仿宋_GB2312" w:cs="宋体"/>
          <w:color w:val="000000" w:themeColor="text1"/>
          <w:kern w:val="0"/>
          <w:sz w:val="24"/>
          <w:highlight w:val="none"/>
          <w14:textFill>
            <w14:solidFill>
              <w14:schemeClr w14:val="tx1"/>
            </w14:solidFill>
          </w14:textFill>
        </w:rPr>
        <w:t>、联合体牵头人合法代表联合体各成员负责本磋商项目响应文件编制和合同谈判活动，并代表联合体提交和接收相关的资料、信息及指示，并处理与之有关的一切事务，负责合同实施阶段的主办、组织和协调工作。</w:t>
      </w:r>
    </w:p>
    <w:p w14:paraId="5539B367">
      <w:pPr>
        <w:autoSpaceDE w:val="0"/>
        <w:autoSpaceDN w:val="0"/>
        <w:adjustRightInd w:val="0"/>
        <w:spacing w:line="360" w:lineRule="atLeast"/>
        <w:ind w:firstLine="420"/>
        <w:jc w:val="left"/>
        <w:rPr>
          <w:rFonts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3、联合体牵头人在本项目中签署和盖章的一切文件和处理的一切事宜，联合体各成员均予以承认。 联合体各成员将严格按照磋商文件、响应文件和合同的要求全面履行义务，并向采购人承担连带责任。</w:t>
      </w:r>
    </w:p>
    <w:p w14:paraId="0A9C9E86">
      <w:pPr>
        <w:autoSpaceDE w:val="0"/>
        <w:autoSpaceDN w:val="0"/>
        <w:adjustRightInd w:val="0"/>
        <w:spacing w:line="360" w:lineRule="atLeast"/>
        <w:ind w:firstLine="420"/>
        <w:jc w:val="left"/>
        <w:rPr>
          <w:rFonts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TimesNewRomanPSMT"/>
          <w:color w:val="000000" w:themeColor="text1"/>
          <w:kern w:val="0"/>
          <w:sz w:val="24"/>
          <w:highlight w:val="none"/>
          <w14:textFill>
            <w14:solidFill>
              <w14:schemeClr w14:val="tx1"/>
            </w14:solidFill>
          </w14:textFill>
        </w:rPr>
        <w:t>4</w:t>
      </w:r>
      <w:r>
        <w:rPr>
          <w:rFonts w:hint="eastAsia" w:ascii="仿宋_GB2312" w:hAnsi="宋体" w:eastAsia="仿宋_GB2312" w:cs="宋体"/>
          <w:color w:val="000000" w:themeColor="text1"/>
          <w:kern w:val="0"/>
          <w:sz w:val="24"/>
          <w:highlight w:val="none"/>
          <w14:textFill>
            <w14:solidFill>
              <w14:schemeClr w14:val="tx1"/>
            </w14:solidFill>
          </w14:textFill>
        </w:rPr>
        <w:t>、联合体各成员单位内部的职责分工如下</w:t>
      </w:r>
      <w:r>
        <w:rPr>
          <w:rFonts w:hint="eastAsia" w:ascii="仿宋_GB2312" w:hAnsi="宋体" w:eastAsia="仿宋_GB2312" w:cs="宋体"/>
          <w:color w:val="000000" w:themeColor="text1"/>
          <w:kern w:val="0"/>
          <w:sz w:val="24"/>
          <w:highlight w:val="none"/>
          <w:u w:val="single"/>
          <w14:textFill>
            <w14:solidFill>
              <w14:schemeClr w14:val="tx1"/>
            </w14:solidFill>
          </w14:textFill>
        </w:rPr>
        <w:t>：</w:t>
      </w:r>
      <w:r>
        <w:rPr>
          <w:rFonts w:hint="eastAsia" w:ascii="仿宋_GB2312" w:hAnsi="仿宋_GB2312" w:eastAsia="仿宋_GB2312"/>
          <w:color w:val="000000" w:themeColor="text1"/>
          <w:sz w:val="24"/>
          <w:highlight w:val="none"/>
          <w:u w:val="single"/>
          <w14:textFill>
            <w14:solidFill>
              <w14:schemeClr w14:val="tx1"/>
            </w14:solidFill>
          </w14:textFill>
        </w:rPr>
        <w:t>________________________________________________</w:t>
      </w:r>
      <w:r>
        <w:rPr>
          <w:rFonts w:hint="eastAsia" w:ascii="仿宋_GB2312" w:hAnsi="宋体" w:eastAsia="仿宋_GB2312" w:cs="宋体"/>
          <w:color w:val="000000" w:themeColor="text1"/>
          <w:kern w:val="0"/>
          <w:sz w:val="24"/>
          <w:highlight w:val="none"/>
          <w14:textFill>
            <w14:solidFill>
              <w14:schemeClr w14:val="tx1"/>
            </w14:solidFill>
          </w14:textFill>
        </w:rPr>
        <w:t>。</w:t>
      </w:r>
    </w:p>
    <w:p w14:paraId="60908D14">
      <w:pPr>
        <w:pStyle w:val="28"/>
        <w:spacing w:line="360" w:lineRule="atLeast"/>
        <w:ind w:firstLine="480" w:firstLineChars="200"/>
        <w:rPr>
          <w:rFonts w:ascii="仿宋_GB2312" w:hAnsi="Times New Roman" w:eastAsia="仿宋_GB2312"/>
          <w:color w:val="000000" w:themeColor="text1"/>
          <w:sz w:val="24"/>
          <w:szCs w:val="24"/>
          <w:highlight w:val="none"/>
          <w14:textFill>
            <w14:solidFill>
              <w14:schemeClr w14:val="tx1"/>
            </w14:solidFill>
          </w14:textFill>
        </w:rPr>
      </w:pPr>
      <w:r>
        <w:rPr>
          <w:rFonts w:hint="eastAsia" w:ascii="仿宋_GB2312" w:hAnsi="宋体" w:eastAsia="仿宋_GB2312" w:cs="宋体"/>
          <w:color w:val="000000" w:themeColor="text1"/>
          <w:sz w:val="24"/>
          <w:szCs w:val="24"/>
          <w:highlight w:val="none"/>
          <w14:textFill>
            <w14:solidFill>
              <w14:schemeClr w14:val="tx1"/>
            </w14:solidFill>
          </w14:textFill>
        </w:rPr>
        <w:t>5、本联合体中</w:t>
      </w:r>
      <w:r>
        <w:rPr>
          <w:rFonts w:hint="eastAsia" w:ascii="仿宋_GB2312" w:hAnsi="宋体" w:eastAsia="仿宋_GB2312" w:cs="宋体"/>
          <w:color w:val="000000" w:themeColor="text1"/>
          <w:sz w:val="24"/>
          <w:szCs w:val="24"/>
          <w:highlight w:val="none"/>
          <w:u w:val="single"/>
          <w14:textFill>
            <w14:solidFill>
              <w14:schemeClr w14:val="tx1"/>
            </w14:solidFill>
          </w14:textFill>
        </w:rPr>
        <w:t>，</w:t>
      </w:r>
      <w:r>
        <w:rPr>
          <w:rFonts w:hint="eastAsia" w:ascii="仿宋_GB2312" w:hAnsi="仿宋_GB2312" w:eastAsia="仿宋_GB2312"/>
          <w:color w:val="000000" w:themeColor="text1"/>
          <w:sz w:val="24"/>
          <w:szCs w:val="24"/>
          <w:highlight w:val="none"/>
          <w:u w:val="single"/>
          <w14:textFill>
            <w14:solidFill>
              <w14:schemeClr w14:val="tx1"/>
            </w14:solidFill>
          </w14:textFill>
        </w:rPr>
        <w:t>________________________</w:t>
      </w:r>
      <w:r>
        <w:rPr>
          <w:rFonts w:hint="eastAsia" w:ascii="仿宋_GB2312" w:hAnsi="宋体" w:eastAsia="仿宋_GB2312" w:cs="宋体"/>
          <w:color w:val="000000" w:themeColor="text1"/>
          <w:sz w:val="24"/>
          <w:szCs w:val="24"/>
          <w:highlight w:val="none"/>
          <w:u w:val="single"/>
          <w14:textFill>
            <w14:solidFill>
              <w14:schemeClr w14:val="tx1"/>
            </w14:solidFill>
          </w14:textFill>
        </w:rPr>
        <w:t>（某成员单位名称）为</w:t>
      </w:r>
      <w:r>
        <w:rPr>
          <w:rFonts w:hint="eastAsia" w:ascii="仿宋_GB2312" w:hAnsi="仿宋_GB2312" w:eastAsia="仿宋_GB2312"/>
          <w:color w:val="000000" w:themeColor="text1"/>
          <w:sz w:val="24"/>
          <w:szCs w:val="24"/>
          <w:highlight w:val="none"/>
          <w:u w:val="single"/>
          <w14:textFill>
            <w14:solidFill>
              <w14:schemeClr w14:val="tx1"/>
            </w14:solidFill>
          </w14:textFill>
        </w:rPr>
        <w:t>______</w:t>
      </w:r>
      <w:r>
        <w:rPr>
          <w:rFonts w:hint="eastAsia" w:ascii="仿宋_GB2312" w:hAnsi="仿宋_GB2312" w:eastAsia="仿宋_GB2312"/>
          <w:color w:val="000000" w:themeColor="text1"/>
          <w:sz w:val="24"/>
          <w:szCs w:val="24"/>
          <w:highlight w:val="none"/>
          <w14:textFill>
            <w14:solidFill>
              <w14:schemeClr w14:val="tx1"/>
            </w14:solidFill>
          </w14:textFill>
        </w:rPr>
        <w:t>（请填写：中型、小型、微型）企业，其协议合同金额占联合体协议合同总金额的</w:t>
      </w:r>
      <w:r>
        <w:rPr>
          <w:rFonts w:hint="eastAsia" w:ascii="仿宋_GB2312" w:hAnsi="仿宋_GB2312" w:eastAsia="仿宋_GB2312"/>
          <w:color w:val="000000" w:themeColor="text1"/>
          <w:sz w:val="24"/>
          <w:szCs w:val="24"/>
          <w:highlight w:val="none"/>
          <w:u w:val="single"/>
          <w14:textFill>
            <w14:solidFill>
              <w14:schemeClr w14:val="tx1"/>
            </w14:solidFill>
          </w14:textFill>
        </w:rPr>
        <w:t>______</w:t>
      </w:r>
      <w:r>
        <w:rPr>
          <w:rFonts w:hint="eastAsia" w:ascii="仿宋_GB2312" w:hAnsi="仿宋_GB2312" w:eastAsia="仿宋_GB2312"/>
          <w:color w:val="000000" w:themeColor="text1"/>
          <w:sz w:val="24"/>
          <w:szCs w:val="24"/>
          <w:highlight w:val="none"/>
          <w14:textFill>
            <w14:solidFill>
              <w14:schemeClr w14:val="tx1"/>
            </w14:solidFill>
          </w14:textFill>
        </w:rPr>
        <w:t>%。【如联合体成员中有小型、微型企业的，请填写此条，否则无需填写；如联合体成员中有多个小型、微型企业的，请逐一列出。】</w:t>
      </w:r>
    </w:p>
    <w:p w14:paraId="1E6A245F">
      <w:pPr>
        <w:autoSpaceDE w:val="0"/>
        <w:autoSpaceDN w:val="0"/>
        <w:adjustRightInd w:val="0"/>
        <w:spacing w:line="360" w:lineRule="atLeast"/>
        <w:ind w:firstLine="420"/>
        <w:jc w:val="left"/>
        <w:rPr>
          <w:rFonts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TimesNewRomanPSMT"/>
          <w:color w:val="000000" w:themeColor="text1"/>
          <w:kern w:val="0"/>
          <w:sz w:val="24"/>
          <w:highlight w:val="none"/>
          <w14:textFill>
            <w14:solidFill>
              <w14:schemeClr w14:val="tx1"/>
            </w14:solidFill>
          </w14:textFill>
        </w:rPr>
        <w:t>6</w:t>
      </w:r>
      <w:r>
        <w:rPr>
          <w:rFonts w:hint="eastAsia" w:ascii="仿宋_GB2312" w:hAnsi="宋体" w:eastAsia="仿宋_GB2312" w:cs="宋体"/>
          <w:color w:val="000000" w:themeColor="text1"/>
          <w:kern w:val="0"/>
          <w:sz w:val="24"/>
          <w:highlight w:val="none"/>
          <w14:textFill>
            <w14:solidFill>
              <w14:schemeClr w14:val="tx1"/>
            </w14:solidFill>
          </w14:textFill>
        </w:rPr>
        <w:t>、本协议书自签署之日起生效，合同履行完毕后自动失效。</w:t>
      </w:r>
    </w:p>
    <w:p w14:paraId="7997B7D8">
      <w:pPr>
        <w:autoSpaceDE w:val="0"/>
        <w:autoSpaceDN w:val="0"/>
        <w:adjustRightInd w:val="0"/>
        <w:spacing w:line="360" w:lineRule="atLeast"/>
        <w:ind w:firstLine="420"/>
        <w:jc w:val="left"/>
        <w:rPr>
          <w:rFonts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TimesNewRomanPSMT"/>
          <w:color w:val="000000" w:themeColor="text1"/>
          <w:kern w:val="0"/>
          <w:sz w:val="24"/>
          <w:highlight w:val="none"/>
          <w14:textFill>
            <w14:solidFill>
              <w14:schemeClr w14:val="tx1"/>
            </w14:solidFill>
          </w14:textFill>
        </w:rPr>
        <w:t>7</w:t>
      </w:r>
      <w:r>
        <w:rPr>
          <w:rFonts w:hint="eastAsia" w:ascii="仿宋_GB2312" w:hAnsi="宋体" w:eastAsia="仿宋_GB2312" w:cs="宋体"/>
          <w:color w:val="000000" w:themeColor="text1"/>
          <w:kern w:val="0"/>
          <w:sz w:val="24"/>
          <w:highlight w:val="none"/>
          <w14:textFill>
            <w14:solidFill>
              <w14:schemeClr w14:val="tx1"/>
            </w14:solidFill>
          </w14:textFill>
        </w:rPr>
        <w:t>、本协议书一式份，联合体成员和采购代理机构各执一份。</w:t>
      </w:r>
    </w:p>
    <w:p w14:paraId="29FE9D82">
      <w:pPr>
        <w:autoSpaceDE w:val="0"/>
        <w:autoSpaceDN w:val="0"/>
        <w:adjustRightInd w:val="0"/>
        <w:spacing w:line="360" w:lineRule="atLeast"/>
        <w:ind w:firstLine="420"/>
        <w:jc w:val="left"/>
        <w:rPr>
          <w:rFonts w:ascii="仿宋_GB2312" w:hAnsi="仿宋_GB2312" w:eastAsia="仿宋_GB2312" w:cs="宋体"/>
          <w:color w:val="000000" w:themeColor="text1"/>
          <w:kern w:val="0"/>
          <w:sz w:val="24"/>
          <w:highlight w:val="none"/>
          <w14:textFill>
            <w14:solidFill>
              <w14:schemeClr w14:val="tx1"/>
            </w14:solidFill>
          </w14:textFill>
        </w:rPr>
      </w:pPr>
      <w:r>
        <w:rPr>
          <w:rFonts w:hint="eastAsia" w:ascii="仿宋_GB2312" w:hAnsi="仿宋_GB2312" w:eastAsia="仿宋_GB2312" w:cs="宋体"/>
          <w:color w:val="000000" w:themeColor="text1"/>
          <w:kern w:val="0"/>
          <w:sz w:val="24"/>
          <w:highlight w:val="none"/>
          <w14:textFill>
            <w14:solidFill>
              <w14:schemeClr w14:val="tx1"/>
            </w14:solidFill>
          </w14:textFill>
        </w:rPr>
        <w:t>注：本协议书由法定代表人签字的，应附法定代表人身份证明；本协议书由委托代理人签字的，应附法定代表人授权委托书。</w:t>
      </w:r>
    </w:p>
    <w:p w14:paraId="5689DE66">
      <w:pPr>
        <w:autoSpaceDE w:val="0"/>
        <w:autoSpaceDN w:val="0"/>
        <w:adjustRightInd w:val="0"/>
        <w:spacing w:line="360" w:lineRule="atLeast"/>
        <w:jc w:val="left"/>
        <w:rPr>
          <w:rFonts w:ascii="仿宋_GB2312" w:hAnsi="仿宋_GB2312" w:eastAsia="仿宋_GB2312" w:cs="宋体"/>
          <w:color w:val="000000" w:themeColor="text1"/>
          <w:kern w:val="0"/>
          <w:sz w:val="24"/>
          <w:highlight w:val="none"/>
          <w14:textFill>
            <w14:solidFill>
              <w14:schemeClr w14:val="tx1"/>
            </w14:solidFill>
          </w14:textFill>
        </w:rPr>
      </w:pPr>
      <w:r>
        <w:rPr>
          <w:rFonts w:hint="eastAsia" w:ascii="仿宋_GB2312" w:hAnsi="仿宋_GB2312" w:eastAsia="仿宋_GB2312" w:cs="宋体"/>
          <w:color w:val="000000" w:themeColor="text1"/>
          <w:kern w:val="0"/>
          <w:sz w:val="24"/>
          <w:highlight w:val="none"/>
          <w14:textFill>
            <w14:solidFill>
              <w14:schemeClr w14:val="tx1"/>
            </w14:solidFill>
          </w14:textFill>
        </w:rPr>
        <w:t>牵头人名称：（盖单位公章）</w:t>
      </w:r>
    </w:p>
    <w:p w14:paraId="367A75E3">
      <w:pPr>
        <w:autoSpaceDE w:val="0"/>
        <w:autoSpaceDN w:val="0"/>
        <w:adjustRightInd w:val="0"/>
        <w:spacing w:line="360" w:lineRule="atLeast"/>
        <w:jc w:val="left"/>
        <w:rPr>
          <w:rFonts w:ascii="仿宋_GB2312" w:hAnsi="仿宋_GB2312" w:eastAsia="仿宋_GB2312" w:cs="宋体"/>
          <w:color w:val="000000" w:themeColor="text1"/>
          <w:kern w:val="0"/>
          <w:sz w:val="24"/>
          <w:highlight w:val="none"/>
          <w14:textFill>
            <w14:solidFill>
              <w14:schemeClr w14:val="tx1"/>
            </w14:solidFill>
          </w14:textFill>
        </w:rPr>
      </w:pPr>
      <w:r>
        <w:rPr>
          <w:rFonts w:hint="eastAsia" w:ascii="仿宋_GB2312" w:hAnsi="仿宋_GB2312" w:eastAsia="仿宋_GB2312" w:cs="宋体"/>
          <w:color w:val="000000" w:themeColor="text1"/>
          <w:kern w:val="0"/>
          <w:sz w:val="24"/>
          <w:highlight w:val="none"/>
          <w14:textFill>
            <w14:solidFill>
              <w14:schemeClr w14:val="tx1"/>
            </w14:solidFill>
          </w14:textFill>
        </w:rPr>
        <w:t>法定代表人或其委托代理人：（签字或盖章）</w:t>
      </w:r>
    </w:p>
    <w:p w14:paraId="65799AD6">
      <w:pPr>
        <w:autoSpaceDE w:val="0"/>
        <w:autoSpaceDN w:val="0"/>
        <w:adjustRightInd w:val="0"/>
        <w:spacing w:line="360" w:lineRule="atLeast"/>
        <w:jc w:val="left"/>
        <w:rPr>
          <w:rFonts w:ascii="仿宋_GB2312" w:hAnsi="仿宋_GB2312" w:eastAsia="仿宋_GB2312" w:cs="宋体"/>
          <w:color w:val="000000" w:themeColor="text1"/>
          <w:kern w:val="0"/>
          <w:sz w:val="24"/>
          <w:highlight w:val="none"/>
          <w14:textFill>
            <w14:solidFill>
              <w14:schemeClr w14:val="tx1"/>
            </w14:solidFill>
          </w14:textFill>
        </w:rPr>
      </w:pPr>
    </w:p>
    <w:p w14:paraId="3D898F27">
      <w:pPr>
        <w:autoSpaceDE w:val="0"/>
        <w:autoSpaceDN w:val="0"/>
        <w:adjustRightInd w:val="0"/>
        <w:spacing w:line="360" w:lineRule="atLeast"/>
        <w:jc w:val="left"/>
        <w:rPr>
          <w:rFonts w:ascii="仿宋_GB2312" w:hAnsi="仿宋_GB2312" w:eastAsia="仿宋_GB2312" w:cs="宋体"/>
          <w:color w:val="000000" w:themeColor="text1"/>
          <w:kern w:val="0"/>
          <w:sz w:val="24"/>
          <w:highlight w:val="none"/>
          <w14:textFill>
            <w14:solidFill>
              <w14:schemeClr w14:val="tx1"/>
            </w14:solidFill>
          </w14:textFill>
        </w:rPr>
      </w:pPr>
      <w:r>
        <w:rPr>
          <w:rFonts w:hint="eastAsia" w:ascii="仿宋_GB2312" w:hAnsi="仿宋_GB2312" w:eastAsia="仿宋_GB2312" w:cs="宋体"/>
          <w:color w:val="000000" w:themeColor="text1"/>
          <w:kern w:val="0"/>
          <w:sz w:val="24"/>
          <w:highlight w:val="none"/>
          <w14:textFill>
            <w14:solidFill>
              <w14:schemeClr w14:val="tx1"/>
            </w14:solidFill>
          </w14:textFill>
        </w:rPr>
        <w:t>成员一名称：（盖单位公章）</w:t>
      </w:r>
    </w:p>
    <w:p w14:paraId="08F49AC4">
      <w:pPr>
        <w:autoSpaceDE w:val="0"/>
        <w:autoSpaceDN w:val="0"/>
        <w:adjustRightInd w:val="0"/>
        <w:spacing w:line="360" w:lineRule="atLeast"/>
        <w:jc w:val="left"/>
        <w:rPr>
          <w:rFonts w:ascii="仿宋_GB2312" w:hAnsi="仿宋_GB2312" w:eastAsia="仿宋_GB2312" w:cs="宋体"/>
          <w:color w:val="000000" w:themeColor="text1"/>
          <w:kern w:val="0"/>
          <w:sz w:val="24"/>
          <w:highlight w:val="none"/>
          <w14:textFill>
            <w14:solidFill>
              <w14:schemeClr w14:val="tx1"/>
            </w14:solidFill>
          </w14:textFill>
        </w:rPr>
      </w:pPr>
      <w:r>
        <w:rPr>
          <w:rFonts w:hint="eastAsia" w:ascii="仿宋_GB2312" w:hAnsi="仿宋_GB2312" w:eastAsia="仿宋_GB2312" w:cs="宋体"/>
          <w:color w:val="000000" w:themeColor="text1"/>
          <w:kern w:val="0"/>
          <w:sz w:val="24"/>
          <w:highlight w:val="none"/>
          <w14:textFill>
            <w14:solidFill>
              <w14:schemeClr w14:val="tx1"/>
            </w14:solidFill>
          </w14:textFill>
        </w:rPr>
        <w:t>法定代表人或其委托代理人：（签字或盖章）</w:t>
      </w:r>
    </w:p>
    <w:p w14:paraId="4F2368FE">
      <w:pPr>
        <w:autoSpaceDE w:val="0"/>
        <w:autoSpaceDN w:val="0"/>
        <w:adjustRightInd w:val="0"/>
        <w:spacing w:line="360" w:lineRule="atLeast"/>
        <w:jc w:val="left"/>
        <w:rPr>
          <w:rFonts w:ascii="宋体" w:cs="宋体"/>
          <w:color w:val="000000" w:themeColor="text1"/>
          <w:kern w:val="0"/>
          <w:szCs w:val="21"/>
          <w:highlight w:val="none"/>
          <w14:textFill>
            <w14:solidFill>
              <w14:schemeClr w14:val="tx1"/>
            </w14:solidFill>
          </w14:textFill>
        </w:rPr>
      </w:pPr>
    </w:p>
    <w:p w14:paraId="7BF02210">
      <w:pPr>
        <w:autoSpaceDE w:val="0"/>
        <w:autoSpaceDN w:val="0"/>
        <w:adjustRightInd w:val="0"/>
        <w:spacing w:line="360" w:lineRule="atLeast"/>
        <w:jc w:val="left"/>
        <w:rPr>
          <w:rFonts w:ascii="仿宋_GB2312" w:hAnsi="仿宋_GB2312" w:eastAsia="仿宋_GB2312" w:cs="宋体"/>
          <w:color w:val="000000" w:themeColor="text1"/>
          <w:kern w:val="0"/>
          <w:sz w:val="24"/>
          <w:highlight w:val="none"/>
          <w14:textFill>
            <w14:solidFill>
              <w14:schemeClr w14:val="tx1"/>
            </w14:solidFill>
          </w14:textFill>
        </w:rPr>
      </w:pPr>
      <w:r>
        <w:rPr>
          <w:rFonts w:hint="eastAsia" w:ascii="仿宋_GB2312" w:hAnsi="仿宋_GB2312" w:eastAsia="仿宋_GB2312" w:cs="宋体"/>
          <w:color w:val="000000" w:themeColor="text1"/>
          <w:kern w:val="0"/>
          <w:sz w:val="24"/>
          <w:highlight w:val="none"/>
          <w14:textFill>
            <w14:solidFill>
              <w14:schemeClr w14:val="tx1"/>
            </w14:solidFill>
          </w14:textFill>
        </w:rPr>
        <w:t>成员二名称：（盖单位公章）</w:t>
      </w:r>
    </w:p>
    <w:p w14:paraId="7B792787">
      <w:pPr>
        <w:autoSpaceDE w:val="0"/>
        <w:autoSpaceDN w:val="0"/>
        <w:adjustRightInd w:val="0"/>
        <w:spacing w:line="360" w:lineRule="atLeast"/>
        <w:jc w:val="left"/>
        <w:rPr>
          <w:rFonts w:ascii="仿宋_GB2312" w:hAnsi="仿宋_GB2312" w:eastAsia="仿宋_GB2312" w:cs="宋体"/>
          <w:color w:val="000000" w:themeColor="text1"/>
          <w:kern w:val="0"/>
          <w:sz w:val="24"/>
          <w:highlight w:val="none"/>
          <w14:textFill>
            <w14:solidFill>
              <w14:schemeClr w14:val="tx1"/>
            </w14:solidFill>
          </w14:textFill>
        </w:rPr>
      </w:pPr>
      <w:r>
        <w:rPr>
          <w:rFonts w:hint="eastAsia" w:ascii="仿宋_GB2312" w:hAnsi="仿宋_GB2312" w:eastAsia="仿宋_GB2312" w:cs="宋体"/>
          <w:color w:val="000000" w:themeColor="text1"/>
          <w:kern w:val="0"/>
          <w:sz w:val="24"/>
          <w:highlight w:val="none"/>
          <w14:textFill>
            <w14:solidFill>
              <w14:schemeClr w14:val="tx1"/>
            </w14:solidFill>
          </w14:textFill>
        </w:rPr>
        <w:t>法定代表人或其委托代理人：                         （签字或盖章）</w:t>
      </w:r>
    </w:p>
    <w:p w14:paraId="62163CCF">
      <w:pPr>
        <w:autoSpaceDE w:val="0"/>
        <w:autoSpaceDN w:val="0"/>
        <w:adjustRightInd w:val="0"/>
        <w:spacing w:line="360" w:lineRule="atLeast"/>
        <w:jc w:val="left"/>
        <w:rPr>
          <w:rFonts w:ascii="仿宋_GB2312" w:hAnsi="仿宋_GB2312" w:eastAsia="仿宋_GB2312" w:cs="宋体"/>
          <w:color w:val="000000" w:themeColor="text1"/>
          <w:kern w:val="0"/>
          <w:sz w:val="24"/>
          <w:highlight w:val="none"/>
          <w14:textFill>
            <w14:solidFill>
              <w14:schemeClr w14:val="tx1"/>
            </w14:solidFill>
          </w14:textFill>
        </w:rPr>
      </w:pPr>
    </w:p>
    <w:p w14:paraId="78C2A678">
      <w:pPr>
        <w:autoSpaceDE w:val="0"/>
        <w:autoSpaceDN w:val="0"/>
        <w:adjustRightInd w:val="0"/>
        <w:spacing w:line="360" w:lineRule="atLeast"/>
        <w:jc w:val="left"/>
        <w:rPr>
          <w:rFonts w:ascii="仿宋_GB2312" w:hAnsi="仿宋_GB2312" w:eastAsia="仿宋_GB2312" w:cs="宋体"/>
          <w:color w:val="000000" w:themeColor="text1"/>
          <w:kern w:val="0"/>
          <w:sz w:val="24"/>
          <w:highlight w:val="none"/>
          <w14:textFill>
            <w14:solidFill>
              <w14:schemeClr w14:val="tx1"/>
            </w14:solidFill>
          </w14:textFill>
        </w:rPr>
      </w:pPr>
    </w:p>
    <w:p w14:paraId="5BDDBFFB">
      <w:pPr>
        <w:autoSpaceDE w:val="0"/>
        <w:autoSpaceDN w:val="0"/>
        <w:spacing w:line="360" w:lineRule="atLeast"/>
        <w:ind w:left="4365" w:leftChars="1850" w:hanging="480" w:hangingChars="2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70ABEC3A">
      <w:pPr>
        <w:autoSpaceDE w:val="0"/>
        <w:autoSpaceDN w:val="0"/>
        <w:spacing w:line="360" w:lineRule="atLeast"/>
        <w:ind w:firstLine="6120" w:firstLineChars="25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29A2C9E3">
      <w:pPr>
        <w:autoSpaceDE w:val="0"/>
        <w:autoSpaceDN w:val="0"/>
        <w:spacing w:line="360" w:lineRule="auto"/>
        <w:ind w:firstLine="6120" w:firstLineChars="2550"/>
        <w:rPr>
          <w:rFonts w:ascii="仿宋_GB2312" w:hAnsi="仿宋" w:eastAsia="仿宋_GB2312" w:cs="仿宋_GB2312"/>
          <w:color w:val="000000" w:themeColor="text1"/>
          <w:kern w:val="0"/>
          <w:sz w:val="24"/>
          <w:highlight w:val="none"/>
          <w:lang w:val="zh-CN"/>
          <w14:textFill>
            <w14:solidFill>
              <w14:schemeClr w14:val="tx1"/>
            </w14:solidFill>
          </w14:textFill>
        </w:rPr>
      </w:pPr>
    </w:p>
    <w:p w14:paraId="751FD38C">
      <w:pPr>
        <w:pStyle w:val="28"/>
        <w:spacing w:line="500" w:lineRule="exact"/>
        <w:rPr>
          <w:rFonts w:ascii="仿宋" w:hAnsi="仿宋" w:eastAsia="仿宋" w:cs="仿宋_GB2312"/>
          <w:b/>
          <w:color w:val="000000" w:themeColor="text1"/>
          <w:kern w:val="2"/>
          <w:sz w:val="30"/>
          <w:szCs w:val="30"/>
          <w:highlight w:val="none"/>
          <w14:textFill>
            <w14:solidFill>
              <w14:schemeClr w14:val="tx1"/>
            </w14:solidFill>
          </w14:textFill>
        </w:rPr>
      </w:pPr>
      <w:r>
        <w:rPr>
          <w:rFonts w:hint="eastAsia" w:ascii="仿宋" w:hAnsi="仿宋" w:eastAsia="仿宋" w:cs="仿宋_GB2312"/>
          <w:b/>
          <w:color w:val="000000" w:themeColor="text1"/>
          <w:kern w:val="2"/>
          <w:sz w:val="30"/>
          <w:szCs w:val="30"/>
          <w:highlight w:val="none"/>
          <w14:textFill>
            <w14:solidFill>
              <w14:schemeClr w14:val="tx1"/>
            </w14:solidFill>
          </w14:textFill>
        </w:rPr>
        <w:t>八、中小企业声明函</w:t>
      </w:r>
    </w:p>
    <w:p w14:paraId="55B47E0F">
      <w:pPr>
        <w:spacing w:line="300" w:lineRule="auto"/>
        <w:ind w:firstLine="2200" w:firstLineChars="500"/>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中小企业声明函（工程）</w:t>
      </w:r>
    </w:p>
    <w:p w14:paraId="0373515B">
      <w:pPr>
        <w:pStyle w:val="3"/>
        <w:spacing w:after="0" w:line="360" w:lineRule="auto"/>
        <w:ind w:left="-426" w:right="142" w:firstLine="640"/>
        <w:contextualSpacing/>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本公司（联合体）郑重声明，根据《政府采购促进中小企业发展管理办法》（财库</w:t>
      </w:r>
      <w:r>
        <w:rPr>
          <w:rFonts w:hint="eastAsia" w:ascii="仿宋_GB2312" w:hAnsi="宋体"/>
          <w:color w:val="000000" w:themeColor="text1"/>
          <w:sz w:val="24"/>
          <w:highlight w:val="none"/>
          <w14:textFill>
            <w14:solidFill>
              <w14:schemeClr w14:val="tx1"/>
            </w14:solidFill>
          </w14:textFill>
        </w:rPr>
        <w:t>﹝</w:t>
      </w:r>
      <w:r>
        <w:rPr>
          <w:rFonts w:hint="eastAsia" w:ascii="仿宋_GB2312" w:hAnsi="宋体" w:eastAsia="仿宋_GB2312"/>
          <w:color w:val="000000" w:themeColor="text1"/>
          <w:sz w:val="24"/>
          <w:highlight w:val="none"/>
          <w14:textFill>
            <w14:solidFill>
              <w14:schemeClr w14:val="tx1"/>
            </w14:solidFill>
          </w14:textFill>
        </w:rPr>
        <w:t>2020</w:t>
      </w:r>
      <w:r>
        <w:rPr>
          <w:rFonts w:hint="eastAsia" w:ascii="仿宋_GB2312" w:hAnsi="宋体"/>
          <w:color w:val="000000" w:themeColor="text1"/>
          <w:sz w:val="24"/>
          <w:highlight w:val="none"/>
          <w14:textFill>
            <w14:solidFill>
              <w14:schemeClr w14:val="tx1"/>
            </w14:solidFill>
          </w14:textFill>
        </w:rPr>
        <w:t>﹞</w:t>
      </w:r>
      <w:r>
        <w:rPr>
          <w:rFonts w:hint="eastAsia" w:ascii="仿宋_GB2312" w:hAnsi="宋体" w:eastAsia="仿宋_GB2312"/>
          <w:color w:val="000000" w:themeColor="text1"/>
          <w:sz w:val="24"/>
          <w:highlight w:val="none"/>
          <w14:textFill>
            <w14:solidFill>
              <w14:schemeClr w14:val="tx1"/>
            </w14:solidFill>
          </w14:textFill>
        </w:rPr>
        <w:t>46号）的规定，本公司（联合体）参加</w:t>
      </w:r>
      <w:r>
        <w:rPr>
          <w:rFonts w:hint="eastAsia" w:ascii="仿宋_GB2312" w:hAnsi="宋体" w:eastAsia="仿宋_GB2312"/>
          <w:color w:val="000000" w:themeColor="text1"/>
          <w:sz w:val="24"/>
          <w:highlight w:val="none"/>
          <w:u w:val="single"/>
          <w14:textFill>
            <w14:solidFill>
              <w14:schemeClr w14:val="tx1"/>
            </w14:solidFill>
          </w14:textFill>
        </w:rPr>
        <w:t>[项目采购]</w:t>
      </w:r>
      <w:r>
        <w:rPr>
          <w:rFonts w:hint="eastAsia" w:ascii="仿宋_GB2312" w:hAnsi="宋体" w:eastAsia="仿宋_GB2312"/>
          <w:color w:val="000000" w:themeColor="text1"/>
          <w:sz w:val="24"/>
          <w:highlight w:val="none"/>
          <w14:textFill>
            <w14:solidFill>
              <w14:schemeClr w14:val="tx1"/>
            </w14:solidFill>
          </w14:textFill>
        </w:rPr>
        <w:t>的</w:t>
      </w:r>
      <w:r>
        <w:rPr>
          <w:rFonts w:hint="eastAsia" w:ascii="仿宋_GB2312" w:hAnsi="宋体" w:eastAsia="仿宋_GB2312"/>
          <w:color w:val="000000" w:themeColor="text1"/>
          <w:sz w:val="24"/>
          <w:highlight w:val="none"/>
          <w:u w:val="single"/>
          <w14:textFill>
            <w14:solidFill>
              <w14:schemeClr w14:val="tx1"/>
            </w14:solidFill>
          </w14:textFill>
        </w:rPr>
        <w:t>[项目采购]</w:t>
      </w:r>
      <w:r>
        <w:rPr>
          <w:rFonts w:hint="eastAsia" w:ascii="仿宋_GB2312" w:hAnsi="宋体" w:eastAsia="仿宋_GB2312"/>
          <w:color w:val="000000" w:themeColor="text1"/>
          <w:sz w:val="24"/>
          <w:highlight w:val="none"/>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14:paraId="41FE48DF">
      <w:pPr>
        <w:tabs>
          <w:tab w:val="left" w:pos="1384"/>
          <w:tab w:val="left" w:pos="4562"/>
          <w:tab w:val="left" w:pos="6803"/>
        </w:tabs>
        <w:spacing w:line="360" w:lineRule="auto"/>
        <w:ind w:left="-426" w:right="-58" w:firstLine="655"/>
        <w:contextualSpacing/>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w:t>
      </w:r>
      <w:r>
        <w:rPr>
          <w:rFonts w:hint="eastAsia" w:ascii="仿宋_GB2312" w:hAnsi="宋体" w:eastAsia="仿宋_GB2312"/>
          <w:color w:val="000000" w:themeColor="text1"/>
          <w:sz w:val="24"/>
          <w:highlight w:val="none"/>
          <w:u w:val="single"/>
          <w14:textFill>
            <w14:solidFill>
              <w14:schemeClr w14:val="tx1"/>
            </w14:solidFill>
          </w14:textFill>
        </w:rPr>
        <w:t>（标的名称）</w:t>
      </w:r>
      <w:r>
        <w:rPr>
          <w:rFonts w:hint="eastAsia" w:ascii="仿宋_GB2312" w:hAnsi="宋体" w:eastAsia="仿宋_GB2312"/>
          <w:color w:val="000000" w:themeColor="text1"/>
          <w:sz w:val="24"/>
          <w:highlight w:val="none"/>
          <w14:textFill>
            <w14:solidFill>
              <w14:schemeClr w14:val="tx1"/>
            </w14:solidFill>
          </w14:textFill>
        </w:rPr>
        <w:t>，属于</w:t>
      </w:r>
      <w:r>
        <w:rPr>
          <w:rFonts w:hint="eastAsia" w:ascii="仿宋_GB2312" w:hAnsi="宋体" w:eastAsia="仿宋_GB2312"/>
          <w:color w:val="000000" w:themeColor="text1"/>
          <w:sz w:val="24"/>
          <w:highlight w:val="none"/>
          <w:u w:val="single"/>
          <w14:textFill>
            <w14:solidFill>
              <w14:schemeClr w14:val="tx1"/>
            </w14:solidFill>
          </w14:textFill>
        </w:rPr>
        <w:t>（采购文件中明确的所属行业）</w:t>
      </w:r>
      <w:r>
        <w:rPr>
          <w:rFonts w:hint="eastAsia" w:ascii="仿宋_GB2312" w:hAnsi="宋体" w:eastAsia="仿宋_GB2312"/>
          <w:color w:val="000000" w:themeColor="text1"/>
          <w:sz w:val="24"/>
          <w:highlight w:val="none"/>
          <w14:textFill>
            <w14:solidFill>
              <w14:schemeClr w14:val="tx1"/>
            </w14:solidFill>
          </w14:textFill>
        </w:rPr>
        <w:t>；承建（承接）企业为</w:t>
      </w:r>
      <w:r>
        <w:rPr>
          <w:rFonts w:hint="eastAsia" w:ascii="仿宋_GB2312" w:hAnsi="宋体" w:eastAsia="仿宋_GB2312"/>
          <w:color w:val="000000" w:themeColor="text1"/>
          <w:sz w:val="24"/>
          <w:highlight w:val="none"/>
          <w:u w:val="single"/>
          <w14:textFill>
            <w14:solidFill>
              <w14:schemeClr w14:val="tx1"/>
            </w14:solidFill>
          </w14:textFill>
        </w:rPr>
        <w:t>（企业名称）</w:t>
      </w:r>
      <w:r>
        <w:rPr>
          <w:rFonts w:hint="eastAsia" w:ascii="仿宋_GB2312" w:hAnsi="宋体" w:eastAsia="仿宋_GB2312"/>
          <w:color w:val="000000" w:themeColor="text1"/>
          <w:sz w:val="24"/>
          <w:highlight w:val="none"/>
          <w14:textFill>
            <w14:solidFill>
              <w14:schemeClr w14:val="tx1"/>
            </w14:solidFill>
          </w14:textFill>
        </w:rPr>
        <w:t>，从业人员人，营业收入为万元，资产总额为万元，属于</w:t>
      </w:r>
      <w:r>
        <w:rPr>
          <w:rFonts w:hint="eastAsia" w:ascii="仿宋_GB2312" w:hAnsi="宋体" w:eastAsia="仿宋_GB2312"/>
          <w:color w:val="000000" w:themeColor="text1"/>
          <w:sz w:val="24"/>
          <w:highlight w:val="none"/>
          <w:u w:val="single"/>
          <w14:textFill>
            <w14:solidFill>
              <w14:schemeClr w14:val="tx1"/>
            </w14:solidFill>
          </w14:textFill>
        </w:rPr>
        <w:t>（中型企业、小型企业、微型企业）</w:t>
      </w:r>
      <w:r>
        <w:rPr>
          <w:rFonts w:hint="eastAsia" w:ascii="仿宋_GB2312" w:hAnsi="宋体" w:eastAsia="仿宋_GB2312"/>
          <w:color w:val="000000" w:themeColor="text1"/>
          <w:sz w:val="24"/>
          <w:highlight w:val="none"/>
          <w14:textFill>
            <w14:solidFill>
              <w14:schemeClr w14:val="tx1"/>
            </w14:solidFill>
          </w14:textFill>
        </w:rPr>
        <w:t>；</w:t>
      </w:r>
    </w:p>
    <w:p w14:paraId="40A62012">
      <w:pPr>
        <w:tabs>
          <w:tab w:val="left" w:pos="1065"/>
          <w:tab w:val="left" w:pos="6477"/>
        </w:tabs>
        <w:spacing w:line="360" w:lineRule="auto"/>
        <w:ind w:left="-426" w:right="-58" w:firstLine="655"/>
        <w:contextualSpacing/>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w:t>
      </w:r>
      <w:r>
        <w:rPr>
          <w:rFonts w:hint="eastAsia" w:ascii="仿宋_GB2312" w:hAnsi="宋体" w:eastAsia="仿宋_GB2312"/>
          <w:color w:val="000000" w:themeColor="text1"/>
          <w:sz w:val="24"/>
          <w:highlight w:val="none"/>
          <w:u w:val="single"/>
          <w14:textFill>
            <w14:solidFill>
              <w14:schemeClr w14:val="tx1"/>
            </w14:solidFill>
          </w14:textFill>
        </w:rPr>
        <w:t xml:space="preserve"> （标的名称）</w:t>
      </w:r>
      <w:r>
        <w:rPr>
          <w:rFonts w:hint="eastAsia" w:ascii="仿宋_GB2312" w:hAnsi="宋体" w:eastAsia="仿宋_GB2312"/>
          <w:color w:val="000000" w:themeColor="text1"/>
          <w:sz w:val="24"/>
          <w:highlight w:val="none"/>
          <w14:textFill>
            <w14:solidFill>
              <w14:schemeClr w14:val="tx1"/>
            </w14:solidFill>
          </w14:textFill>
        </w:rPr>
        <w:t>，属于</w:t>
      </w:r>
      <w:r>
        <w:rPr>
          <w:rFonts w:hint="eastAsia" w:ascii="仿宋_GB2312" w:hAnsi="宋体" w:eastAsia="仿宋_GB2312"/>
          <w:color w:val="000000" w:themeColor="text1"/>
          <w:sz w:val="24"/>
          <w:highlight w:val="none"/>
          <w:u w:val="single"/>
          <w14:textFill>
            <w14:solidFill>
              <w14:schemeClr w14:val="tx1"/>
            </w14:solidFill>
          </w14:textFill>
        </w:rPr>
        <w:t>（采购文件中明确的所属行业）</w:t>
      </w:r>
      <w:r>
        <w:rPr>
          <w:rFonts w:hint="eastAsia" w:ascii="仿宋_GB2312" w:hAnsi="宋体" w:eastAsia="仿宋_GB2312"/>
          <w:color w:val="000000" w:themeColor="text1"/>
          <w:sz w:val="24"/>
          <w:highlight w:val="none"/>
          <w14:textFill>
            <w14:solidFill>
              <w14:schemeClr w14:val="tx1"/>
            </w14:solidFill>
          </w14:textFill>
        </w:rPr>
        <w:t>；承建（承接）企业为</w:t>
      </w:r>
      <w:r>
        <w:rPr>
          <w:rFonts w:hint="eastAsia" w:ascii="仿宋_GB2312" w:hAnsi="宋体" w:eastAsia="仿宋_GB2312"/>
          <w:color w:val="000000" w:themeColor="text1"/>
          <w:sz w:val="24"/>
          <w:highlight w:val="none"/>
          <w:u w:val="single"/>
          <w14:textFill>
            <w14:solidFill>
              <w14:schemeClr w14:val="tx1"/>
            </w14:solidFill>
          </w14:textFill>
        </w:rPr>
        <w:t>（企业名称）</w:t>
      </w:r>
      <w:r>
        <w:rPr>
          <w:rFonts w:hint="eastAsia" w:ascii="仿宋_GB2312" w:hAnsi="宋体" w:eastAsia="仿宋_GB2312"/>
          <w:color w:val="000000" w:themeColor="text1"/>
          <w:sz w:val="24"/>
          <w:highlight w:val="none"/>
          <w14:textFill>
            <w14:solidFill>
              <w14:schemeClr w14:val="tx1"/>
            </w14:solidFill>
          </w14:textFill>
        </w:rPr>
        <w:t>，从业人员人，营业收入为万元，资产总额为万元，属于</w:t>
      </w:r>
      <w:r>
        <w:rPr>
          <w:rFonts w:hint="eastAsia" w:ascii="仿宋_GB2312" w:hAnsi="宋体" w:eastAsia="仿宋_GB2312"/>
          <w:color w:val="000000" w:themeColor="text1"/>
          <w:sz w:val="24"/>
          <w:highlight w:val="none"/>
          <w:u w:val="single"/>
          <w14:textFill>
            <w14:solidFill>
              <w14:schemeClr w14:val="tx1"/>
            </w14:solidFill>
          </w14:textFill>
        </w:rPr>
        <w:t>（中型企业、小型企业、微型企业）</w:t>
      </w:r>
    </w:p>
    <w:p w14:paraId="6D32E114">
      <w:pPr>
        <w:pStyle w:val="3"/>
        <w:spacing w:after="0" w:line="360" w:lineRule="auto"/>
        <w:ind w:left="142" w:right="142"/>
        <w:contextualSpacing/>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 xml:space="preserve">…… </w:t>
      </w:r>
    </w:p>
    <w:p w14:paraId="5C95A070">
      <w:pPr>
        <w:pStyle w:val="3"/>
        <w:spacing w:after="0" w:line="360" w:lineRule="auto"/>
        <w:ind w:left="-405" w:leftChars="-193" w:right="142" w:firstLine="453" w:firstLineChars="189"/>
        <w:contextualSpacing/>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7AB9B6B0">
      <w:pPr>
        <w:pStyle w:val="3"/>
        <w:spacing w:after="0" w:line="360" w:lineRule="auto"/>
        <w:ind w:left="-426" w:right="142" w:firstLine="567"/>
        <w:contextualSpacing/>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本企业对上述声明内容的真实性负责。如有虚假，将依法承担相应责任。</w:t>
      </w:r>
    </w:p>
    <w:p w14:paraId="0CB1F321">
      <w:pPr>
        <w:pStyle w:val="3"/>
        <w:spacing w:after="0" w:line="360" w:lineRule="auto"/>
        <w:ind w:left="3960" w:right="1808"/>
        <w:contextualSpacing/>
        <w:rPr>
          <w:rFonts w:ascii="宋体" w:hAnsi="宋体"/>
          <w:color w:val="000000" w:themeColor="text1"/>
          <w:sz w:val="24"/>
          <w:highlight w:val="none"/>
          <w14:textFill>
            <w14:solidFill>
              <w14:schemeClr w14:val="tx1"/>
            </w14:solidFill>
          </w14:textFill>
        </w:rPr>
      </w:pPr>
    </w:p>
    <w:p w14:paraId="56EAF855">
      <w:pPr>
        <w:autoSpaceDE w:val="0"/>
        <w:autoSpaceDN w:val="0"/>
        <w:spacing w:line="360" w:lineRule="auto"/>
        <w:ind w:left="4335" w:leftChars="1950" w:hanging="240" w:hangingChars="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4AFC2EF7">
      <w:pPr>
        <w:autoSpaceDE w:val="0"/>
        <w:autoSpaceDN w:val="0"/>
        <w:spacing w:line="360" w:lineRule="auto"/>
        <w:ind w:firstLine="6480" w:firstLineChars="270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43A8394F">
      <w:pPr>
        <w:pStyle w:val="3"/>
        <w:spacing w:after="0" w:line="360" w:lineRule="auto"/>
        <w:ind w:left="3960" w:right="1808"/>
        <w:contextualSpacing/>
        <w:rPr>
          <w:color w:val="000000" w:themeColor="text1"/>
          <w:highlight w:val="none"/>
          <w14:textFill>
            <w14:solidFill>
              <w14:schemeClr w14:val="tx1"/>
            </w14:solidFill>
          </w14:textFill>
        </w:rPr>
      </w:pPr>
    </w:p>
    <w:p w14:paraId="2517B484">
      <w:pPr>
        <w:spacing w:line="360" w:lineRule="auto"/>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2141624A">
      <w:pPr>
        <w:spacing w:line="360" w:lineRule="auto"/>
        <w:jc w:val="left"/>
        <w:rPr>
          <w:rFonts w:ascii="宋体" w:hAnsi="宋体" w:cs="仿宋_GB2312"/>
          <w:color w:val="000000" w:themeColor="text1"/>
          <w:sz w:val="24"/>
          <w:highlight w:val="none"/>
          <w14:textFill>
            <w14:solidFill>
              <w14:schemeClr w14:val="tx1"/>
            </w14:solidFill>
          </w14:textFill>
        </w:rPr>
      </w:pPr>
    </w:p>
    <w:p w14:paraId="6A20BFBE">
      <w:pPr>
        <w:spacing w:line="360" w:lineRule="auto"/>
        <w:jc w:val="left"/>
        <w:rPr>
          <w:rFonts w:ascii="宋体" w:hAnsi="宋体" w:cs="仿宋_GB2312"/>
          <w:color w:val="000000" w:themeColor="text1"/>
          <w:sz w:val="24"/>
          <w:highlight w:val="none"/>
          <w14:textFill>
            <w14:solidFill>
              <w14:schemeClr w14:val="tx1"/>
            </w14:solidFill>
          </w14:textFill>
        </w:rPr>
      </w:pPr>
    </w:p>
    <w:p w14:paraId="370A99AD">
      <w:pPr>
        <w:spacing w:line="360" w:lineRule="auto"/>
        <w:jc w:val="left"/>
        <w:rPr>
          <w:rFonts w:ascii="仿宋_GB2312" w:hAnsi="仿宋" w:eastAsia="仿宋_GB2312" w:cs="仿宋_GB2312"/>
          <w:color w:val="000000" w:themeColor="text1"/>
          <w:kern w:val="0"/>
          <w:sz w:val="24"/>
          <w:highlight w:val="none"/>
          <w14:textFill>
            <w14:solidFill>
              <w14:schemeClr w14:val="tx1"/>
            </w14:solidFill>
          </w14:textFill>
        </w:rPr>
      </w:pPr>
    </w:p>
    <w:p w14:paraId="5F7CA347">
      <w:pPr>
        <w:widowControl/>
        <w:jc w:val="left"/>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br w:type="page"/>
      </w:r>
    </w:p>
    <w:p w14:paraId="3099DC04">
      <w:pPr>
        <w:spacing w:line="520" w:lineRule="exact"/>
        <w:jc w:val="center"/>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残疾人福利性单位声明函</w:t>
      </w:r>
    </w:p>
    <w:p w14:paraId="789B2AFA">
      <w:pPr>
        <w:spacing w:line="520" w:lineRule="exact"/>
        <w:rPr>
          <w:rFonts w:ascii="仿宋_GB2312" w:hAnsi="仿宋_GB2312" w:eastAsia="仿宋_GB2312" w:cs="仿宋_GB2312"/>
          <w:color w:val="000000" w:themeColor="text1"/>
          <w:sz w:val="32"/>
          <w:szCs w:val="32"/>
          <w:highlight w:val="none"/>
          <w14:textFill>
            <w14:solidFill>
              <w14:schemeClr w14:val="tx1"/>
            </w14:solidFill>
          </w14:textFill>
        </w:rPr>
      </w:pPr>
    </w:p>
    <w:p w14:paraId="06686C96">
      <w:pPr>
        <w:spacing w:line="360" w:lineRule="auto"/>
        <w:ind w:firstLine="480" w:firstLineChars="200"/>
        <w:rPr>
          <w:rFonts w:ascii="仿宋_GB2312" w:hAnsi="宋体" w:eastAsia="仿宋_GB2312" w:cs="仿宋_GB2312"/>
          <w:color w:val="000000" w:themeColor="text1"/>
          <w:sz w:val="24"/>
          <w:highlight w:val="none"/>
          <w14:textFill>
            <w14:solidFill>
              <w14:schemeClr w14:val="tx1"/>
            </w14:solidFill>
          </w14:textFill>
        </w:rPr>
      </w:pPr>
      <w:r>
        <w:rPr>
          <w:rFonts w:hint="eastAsia" w:ascii="仿宋_GB2312" w:hAnsi="宋体" w:eastAsia="仿宋_GB2312" w:cs="仿宋_GB2312"/>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宋体" w:eastAsia="仿宋_GB2312" w:cs="仿宋_GB2312"/>
          <w:color w:val="000000" w:themeColor="text1"/>
          <w:sz w:val="24"/>
          <w:highlight w:val="none"/>
          <w:u w:val="single"/>
          <w14:textFill>
            <w14:solidFill>
              <w14:schemeClr w14:val="tx1"/>
            </w14:solidFill>
          </w14:textFill>
        </w:rPr>
        <w:t>[项目采购-采购人_3]</w:t>
      </w:r>
      <w:r>
        <w:rPr>
          <w:rFonts w:hint="eastAsia" w:ascii="仿宋_GB2312" w:hAnsi="宋体" w:eastAsia="仿宋_GB2312" w:cs="仿宋_GB2312"/>
          <w:color w:val="000000" w:themeColor="text1"/>
          <w:sz w:val="24"/>
          <w:highlight w:val="none"/>
          <w14:textFill>
            <w14:solidFill>
              <w14:schemeClr w14:val="tx1"/>
            </w14:solidFill>
          </w14:textFill>
        </w:rPr>
        <w:t>单位的</w:t>
      </w:r>
      <w:r>
        <w:rPr>
          <w:rFonts w:hint="eastAsia" w:ascii="仿宋_GB2312" w:hAnsi="宋体" w:eastAsia="仿宋_GB2312" w:cs="仿宋_GB2312"/>
          <w:color w:val="000000" w:themeColor="text1"/>
          <w:sz w:val="24"/>
          <w:highlight w:val="none"/>
          <w:u w:val="single"/>
          <w14:textFill>
            <w14:solidFill>
              <w14:schemeClr w14:val="tx1"/>
            </w14:solidFill>
          </w14:textFill>
        </w:rPr>
        <w:t>[项目采购-项目名称_13]</w:t>
      </w:r>
      <w:r>
        <w:rPr>
          <w:rFonts w:hint="eastAsia" w:ascii="仿宋_GB2312" w:hAnsi="宋体" w:eastAsia="仿宋_GB2312" w:cs="仿宋_GB2312"/>
          <w:color w:val="000000" w:themeColor="text1"/>
          <w:sz w:val="24"/>
          <w:highlight w:val="none"/>
          <w14:textFill>
            <w14:solidFill>
              <w14:schemeClr w14:val="tx1"/>
            </w14:solidFill>
          </w14:textFill>
        </w:rPr>
        <w:t>项目采购活动由本单位提供服务。</w:t>
      </w:r>
    </w:p>
    <w:p w14:paraId="3D308ED4">
      <w:pPr>
        <w:spacing w:line="360" w:lineRule="auto"/>
        <w:ind w:firstLine="480" w:firstLineChars="200"/>
        <w:rPr>
          <w:rFonts w:ascii="仿宋_GB2312" w:hAnsi="宋体" w:eastAsia="仿宋_GB2312" w:cs="仿宋_GB2312"/>
          <w:color w:val="000000" w:themeColor="text1"/>
          <w:sz w:val="24"/>
          <w:highlight w:val="none"/>
          <w14:textFill>
            <w14:solidFill>
              <w14:schemeClr w14:val="tx1"/>
            </w14:solidFill>
          </w14:textFill>
        </w:rPr>
      </w:pPr>
      <w:r>
        <w:rPr>
          <w:rFonts w:hint="eastAsia" w:ascii="仿宋_GB2312" w:hAnsi="宋体" w:eastAsia="仿宋_GB2312" w:cs="仿宋_GB2312"/>
          <w:color w:val="000000" w:themeColor="text1"/>
          <w:sz w:val="24"/>
          <w:highlight w:val="none"/>
          <w14:textFill>
            <w14:solidFill>
              <w14:schemeClr w14:val="tx1"/>
            </w14:solidFill>
          </w14:textFill>
        </w:rPr>
        <w:t>本单位对上述声明的真实性负责。如有虚假，将依法承担相应责任。</w:t>
      </w:r>
    </w:p>
    <w:p w14:paraId="256E1773">
      <w:pPr>
        <w:spacing w:line="360" w:lineRule="auto"/>
        <w:rPr>
          <w:rFonts w:ascii="宋体" w:hAnsi="宋体" w:cs="仿宋_GB2312"/>
          <w:color w:val="000000" w:themeColor="text1"/>
          <w:sz w:val="24"/>
          <w:highlight w:val="none"/>
          <w14:textFill>
            <w14:solidFill>
              <w14:schemeClr w14:val="tx1"/>
            </w14:solidFill>
          </w14:textFill>
        </w:rPr>
      </w:pPr>
    </w:p>
    <w:p w14:paraId="414D3D16">
      <w:pPr>
        <w:spacing w:line="360" w:lineRule="auto"/>
        <w:rPr>
          <w:rFonts w:ascii="宋体" w:hAnsi="宋体" w:cs="仿宋_GB2312"/>
          <w:color w:val="000000" w:themeColor="text1"/>
          <w:sz w:val="24"/>
          <w:highlight w:val="none"/>
          <w14:textFill>
            <w14:solidFill>
              <w14:schemeClr w14:val="tx1"/>
            </w14:solidFill>
          </w14:textFill>
        </w:rPr>
      </w:pPr>
    </w:p>
    <w:p w14:paraId="6F1AC3C8">
      <w:pPr>
        <w:spacing w:line="360" w:lineRule="auto"/>
        <w:rPr>
          <w:rFonts w:ascii="宋体" w:hAnsi="宋体" w:cs="仿宋_GB2312"/>
          <w:color w:val="000000" w:themeColor="text1"/>
          <w:sz w:val="24"/>
          <w:highlight w:val="none"/>
          <w14:textFill>
            <w14:solidFill>
              <w14:schemeClr w14:val="tx1"/>
            </w14:solidFill>
          </w14:textFill>
        </w:rPr>
      </w:pPr>
    </w:p>
    <w:p w14:paraId="33A9F8F9">
      <w:pPr>
        <w:spacing w:line="360" w:lineRule="auto"/>
        <w:ind w:firstLine="2400" w:firstLineChars="10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供应商名称（电子签章）：</w:t>
      </w:r>
    </w:p>
    <w:p w14:paraId="7EE1BF26">
      <w:pPr>
        <w:spacing w:line="360" w:lineRule="auto"/>
        <w:ind w:firstLine="4320" w:firstLineChars="18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日  期：     年   月   日</w:t>
      </w:r>
    </w:p>
    <w:p w14:paraId="48691759">
      <w:pPr>
        <w:spacing w:line="360" w:lineRule="auto"/>
        <w:rPr>
          <w:rFonts w:ascii="宋体" w:hAnsi="宋体" w:cs="仿宋_GB2312"/>
          <w:color w:val="000000" w:themeColor="text1"/>
          <w:sz w:val="24"/>
          <w:highlight w:val="none"/>
          <w14:textFill>
            <w14:solidFill>
              <w14:schemeClr w14:val="tx1"/>
            </w14:solidFill>
          </w14:textFill>
        </w:rPr>
      </w:pPr>
    </w:p>
    <w:p w14:paraId="290148C9">
      <w:pPr>
        <w:spacing w:line="360" w:lineRule="auto"/>
        <w:rPr>
          <w:rFonts w:ascii="宋体" w:hAnsi="宋体" w:cs="仿宋_GB2312"/>
          <w:color w:val="000000" w:themeColor="text1"/>
          <w:sz w:val="24"/>
          <w:highlight w:val="none"/>
          <w14:textFill>
            <w14:solidFill>
              <w14:schemeClr w14:val="tx1"/>
            </w14:solidFill>
          </w14:textFill>
        </w:rPr>
      </w:pPr>
    </w:p>
    <w:p w14:paraId="33502C45">
      <w:pPr>
        <w:spacing w:line="360" w:lineRule="auto"/>
        <w:rPr>
          <w:rFonts w:ascii="宋体" w:hAnsi="宋体" w:cs="仿宋_GB2312"/>
          <w:color w:val="000000" w:themeColor="text1"/>
          <w:sz w:val="24"/>
          <w:highlight w:val="none"/>
          <w14:textFill>
            <w14:solidFill>
              <w14:schemeClr w14:val="tx1"/>
            </w14:solidFill>
          </w14:textFill>
        </w:rPr>
      </w:pPr>
    </w:p>
    <w:p w14:paraId="48CF723C">
      <w:pPr>
        <w:spacing w:line="360" w:lineRule="auto"/>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w:t>
      </w:r>
      <w:r>
        <w:rPr>
          <w:rFonts w:hint="eastAsia" w:ascii="宋体" w:hAnsi="宋体" w:cs="仿宋_GB2312"/>
          <w:color w:val="000000" w:themeColor="text1"/>
          <w:sz w:val="24"/>
          <w:highlight w:val="none"/>
          <w:lang w:eastAsia="zh-CN"/>
          <w14:textFill>
            <w14:solidFill>
              <w14:schemeClr w14:val="tx1"/>
            </w14:solidFill>
          </w14:textFill>
        </w:rPr>
        <w:t>供应商</w:t>
      </w:r>
      <w:r>
        <w:rPr>
          <w:rFonts w:hint="eastAsia" w:ascii="宋体" w:hAnsi="宋体" w:cs="仿宋_GB2312"/>
          <w:color w:val="000000" w:themeColor="text1"/>
          <w:sz w:val="24"/>
          <w:highlight w:val="none"/>
          <w14:textFill>
            <w14:solidFill>
              <w14:schemeClr w14:val="tx1"/>
            </w14:solidFill>
          </w14:textFill>
        </w:rPr>
        <w:t>提供由省级以上监狱管理局、戒毒管理局（含新疆生产建设兵团）出具的属于监狱企业证明文件的，视同为小型和微型企业。</w:t>
      </w:r>
    </w:p>
    <w:p w14:paraId="1832072A">
      <w:pPr>
        <w:spacing w:line="520" w:lineRule="exact"/>
        <w:jc w:val="center"/>
        <w:rPr>
          <w:rFonts w:ascii="宋体" w:hAnsi="宋体"/>
          <w:color w:val="000000" w:themeColor="text1"/>
          <w:sz w:val="24"/>
          <w:highlight w:val="none"/>
          <w14:textFill>
            <w14:solidFill>
              <w14:schemeClr w14:val="tx1"/>
            </w14:solidFill>
          </w14:textFill>
        </w:rPr>
      </w:pPr>
    </w:p>
    <w:p w14:paraId="5F1221E5">
      <w:pPr>
        <w:spacing w:line="520" w:lineRule="exact"/>
        <w:jc w:val="center"/>
        <w:rPr>
          <w:rFonts w:ascii="宋体" w:hAnsi="宋体"/>
          <w:color w:val="000000" w:themeColor="text1"/>
          <w:sz w:val="24"/>
          <w:highlight w:val="none"/>
          <w14:textFill>
            <w14:solidFill>
              <w14:schemeClr w14:val="tx1"/>
            </w14:solidFill>
          </w14:textFill>
        </w:rPr>
      </w:pPr>
    </w:p>
    <w:p w14:paraId="497DC51B">
      <w:pPr>
        <w:autoSpaceDE w:val="0"/>
        <w:autoSpaceDN w:val="0"/>
        <w:spacing w:line="360" w:lineRule="auto"/>
        <w:ind w:firstLine="6120" w:firstLineChars="2550"/>
        <w:rPr>
          <w:rFonts w:ascii="仿宋_GB2312" w:hAnsi="仿宋" w:eastAsia="仿宋_GB2312" w:cs="仿宋_GB2312"/>
          <w:color w:val="000000" w:themeColor="text1"/>
          <w:kern w:val="0"/>
          <w:sz w:val="24"/>
          <w:highlight w:val="none"/>
          <w14:textFill>
            <w14:solidFill>
              <w14:schemeClr w14:val="tx1"/>
            </w14:solidFill>
          </w14:textFill>
        </w:rPr>
      </w:pPr>
    </w:p>
    <w:p w14:paraId="1F9D3237">
      <w:pPr>
        <w:autoSpaceDE w:val="0"/>
        <w:autoSpaceDN w:val="0"/>
        <w:spacing w:line="360" w:lineRule="auto"/>
        <w:ind w:firstLine="6120" w:firstLineChars="2550"/>
        <w:rPr>
          <w:rFonts w:ascii="仿宋_GB2312" w:hAnsi="仿宋" w:eastAsia="仿宋_GB2312" w:cs="仿宋_GB2312"/>
          <w:color w:val="000000" w:themeColor="text1"/>
          <w:kern w:val="0"/>
          <w:sz w:val="24"/>
          <w:highlight w:val="none"/>
          <w14:textFill>
            <w14:solidFill>
              <w14:schemeClr w14:val="tx1"/>
            </w14:solidFill>
          </w14:textFill>
        </w:rPr>
      </w:pPr>
    </w:p>
    <w:p w14:paraId="64C6A64C">
      <w:pPr>
        <w:autoSpaceDE w:val="0"/>
        <w:autoSpaceDN w:val="0"/>
        <w:spacing w:line="360" w:lineRule="auto"/>
        <w:ind w:firstLine="6120" w:firstLineChars="2550"/>
        <w:rPr>
          <w:rFonts w:ascii="仿宋_GB2312" w:hAnsi="仿宋" w:eastAsia="仿宋_GB2312" w:cs="仿宋_GB2312"/>
          <w:color w:val="000000" w:themeColor="text1"/>
          <w:kern w:val="0"/>
          <w:sz w:val="24"/>
          <w:highlight w:val="none"/>
          <w14:textFill>
            <w14:solidFill>
              <w14:schemeClr w14:val="tx1"/>
            </w14:solidFill>
          </w14:textFill>
        </w:rPr>
      </w:pPr>
    </w:p>
    <w:p w14:paraId="162B6CDD">
      <w:pPr>
        <w:autoSpaceDE w:val="0"/>
        <w:autoSpaceDN w:val="0"/>
        <w:spacing w:line="360" w:lineRule="auto"/>
        <w:ind w:firstLine="6120" w:firstLineChars="2550"/>
        <w:rPr>
          <w:rFonts w:ascii="仿宋_GB2312" w:hAnsi="仿宋" w:eastAsia="仿宋_GB2312" w:cs="仿宋_GB2312"/>
          <w:color w:val="000000" w:themeColor="text1"/>
          <w:kern w:val="0"/>
          <w:sz w:val="24"/>
          <w:highlight w:val="none"/>
          <w14:textFill>
            <w14:solidFill>
              <w14:schemeClr w14:val="tx1"/>
            </w14:solidFill>
          </w14:textFill>
        </w:rPr>
      </w:pPr>
    </w:p>
    <w:p w14:paraId="7282112B">
      <w:pPr>
        <w:autoSpaceDE w:val="0"/>
        <w:autoSpaceDN w:val="0"/>
        <w:spacing w:line="360" w:lineRule="auto"/>
        <w:ind w:firstLine="6120" w:firstLineChars="2550"/>
        <w:rPr>
          <w:rFonts w:ascii="仿宋_GB2312" w:hAnsi="仿宋" w:eastAsia="仿宋_GB2312" w:cs="仿宋_GB2312"/>
          <w:color w:val="000000" w:themeColor="text1"/>
          <w:kern w:val="0"/>
          <w:sz w:val="24"/>
          <w:highlight w:val="none"/>
          <w14:textFill>
            <w14:solidFill>
              <w14:schemeClr w14:val="tx1"/>
            </w14:solidFill>
          </w14:textFill>
        </w:rPr>
      </w:pPr>
    </w:p>
    <w:p w14:paraId="073D924B">
      <w:pPr>
        <w:autoSpaceDE w:val="0"/>
        <w:autoSpaceDN w:val="0"/>
        <w:spacing w:line="360" w:lineRule="auto"/>
        <w:ind w:firstLine="6120" w:firstLineChars="2550"/>
        <w:rPr>
          <w:rFonts w:ascii="仿宋_GB2312" w:hAnsi="仿宋" w:eastAsia="仿宋_GB2312" w:cs="仿宋_GB2312"/>
          <w:color w:val="000000" w:themeColor="text1"/>
          <w:kern w:val="0"/>
          <w:sz w:val="24"/>
          <w:highlight w:val="none"/>
          <w14:textFill>
            <w14:solidFill>
              <w14:schemeClr w14:val="tx1"/>
            </w14:solidFill>
          </w14:textFill>
        </w:rPr>
      </w:pPr>
    </w:p>
    <w:p w14:paraId="1F0AE8BF">
      <w:pPr>
        <w:autoSpaceDE w:val="0"/>
        <w:autoSpaceDN w:val="0"/>
        <w:spacing w:line="360" w:lineRule="auto"/>
        <w:ind w:firstLine="6120" w:firstLineChars="2550"/>
        <w:rPr>
          <w:rFonts w:ascii="仿宋_GB2312" w:hAnsi="仿宋" w:eastAsia="仿宋_GB2312" w:cs="仿宋_GB2312"/>
          <w:color w:val="000000" w:themeColor="text1"/>
          <w:kern w:val="0"/>
          <w:sz w:val="24"/>
          <w:highlight w:val="none"/>
          <w14:textFill>
            <w14:solidFill>
              <w14:schemeClr w14:val="tx1"/>
            </w14:solidFill>
          </w14:textFill>
        </w:rPr>
      </w:pPr>
    </w:p>
    <w:p w14:paraId="2846D28D">
      <w:pPr>
        <w:autoSpaceDE w:val="0"/>
        <w:autoSpaceDN w:val="0"/>
        <w:spacing w:line="360" w:lineRule="auto"/>
        <w:ind w:firstLine="6120" w:firstLineChars="2550"/>
        <w:rPr>
          <w:rFonts w:ascii="仿宋_GB2312" w:hAnsi="仿宋" w:eastAsia="仿宋_GB2312" w:cs="仿宋_GB2312"/>
          <w:color w:val="000000" w:themeColor="text1"/>
          <w:kern w:val="0"/>
          <w:sz w:val="24"/>
          <w:highlight w:val="none"/>
          <w14:textFill>
            <w14:solidFill>
              <w14:schemeClr w14:val="tx1"/>
            </w14:solidFill>
          </w14:textFill>
        </w:rPr>
      </w:pPr>
    </w:p>
    <w:p w14:paraId="4A02E3A3">
      <w:pPr>
        <w:autoSpaceDE w:val="0"/>
        <w:autoSpaceDN w:val="0"/>
        <w:spacing w:line="360" w:lineRule="auto"/>
        <w:ind w:firstLine="6120" w:firstLineChars="2550"/>
        <w:rPr>
          <w:rFonts w:ascii="仿宋_GB2312" w:hAnsi="仿宋" w:eastAsia="仿宋_GB2312" w:cs="仿宋_GB2312"/>
          <w:color w:val="000000" w:themeColor="text1"/>
          <w:kern w:val="0"/>
          <w:sz w:val="24"/>
          <w:highlight w:val="none"/>
          <w14:textFill>
            <w14:solidFill>
              <w14:schemeClr w14:val="tx1"/>
            </w14:solidFill>
          </w14:textFill>
        </w:rPr>
      </w:pPr>
    </w:p>
    <w:p w14:paraId="38D7FEE3">
      <w:pPr>
        <w:autoSpaceDE w:val="0"/>
        <w:autoSpaceDN w:val="0"/>
        <w:spacing w:line="360" w:lineRule="auto"/>
        <w:ind w:firstLine="6120" w:firstLineChars="2550"/>
        <w:rPr>
          <w:rFonts w:ascii="仿宋_GB2312" w:hAnsi="仿宋" w:eastAsia="仿宋_GB2312" w:cs="仿宋_GB2312"/>
          <w:color w:val="000000" w:themeColor="text1"/>
          <w:kern w:val="0"/>
          <w:sz w:val="24"/>
          <w:highlight w:val="none"/>
          <w:lang w:val="zh-CN"/>
          <w14:textFill>
            <w14:solidFill>
              <w14:schemeClr w14:val="tx1"/>
            </w14:solidFill>
          </w14:textFill>
        </w:rPr>
      </w:pPr>
    </w:p>
    <w:p w14:paraId="206E5968">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t>九、符合特定资格条件（如果项目要求）的有关证明材料（复印件）</w:t>
      </w:r>
    </w:p>
    <w:p w14:paraId="727C8021">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4AF886AD">
      <w:pPr>
        <w:autoSpaceDE w:val="0"/>
        <w:autoSpaceDN w:val="0"/>
        <w:spacing w:line="360" w:lineRule="auto"/>
        <w:ind w:left="4335" w:leftChars="1950" w:hanging="240" w:hangingChars="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396BBEC2">
      <w:pPr>
        <w:autoSpaceDE w:val="0"/>
        <w:autoSpaceDN w:val="0"/>
        <w:spacing w:line="360" w:lineRule="auto"/>
        <w:ind w:firstLine="6480" w:firstLineChars="270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04733F70">
      <w:pPr>
        <w:widowControl/>
        <w:spacing w:line="360" w:lineRule="auto"/>
        <w:jc w:val="left"/>
        <w:rPr>
          <w:rFonts w:ascii="仿宋_GB2312" w:hAnsi="仿宋" w:eastAsia="仿宋_GB2312" w:cs="仿宋_GB2312"/>
          <w:color w:val="000000" w:themeColor="text1"/>
          <w:kern w:val="0"/>
          <w:sz w:val="24"/>
          <w:highlight w:val="none"/>
          <w:lang w:val="zh-CN"/>
          <w14:textFill>
            <w14:solidFill>
              <w14:schemeClr w14:val="tx1"/>
            </w14:solidFill>
          </w14:textFill>
        </w:rPr>
        <w:sectPr>
          <w:pgSz w:w="11910" w:h="16840"/>
          <w:pgMar w:top="1340" w:right="1500" w:bottom="280" w:left="1680" w:header="720" w:footer="720" w:gutter="0"/>
          <w:cols w:space="720" w:num="1"/>
        </w:sectPr>
      </w:pPr>
    </w:p>
    <w:p w14:paraId="623459E0">
      <w:pPr>
        <w:pStyle w:val="5"/>
        <w:jc w:val="center"/>
        <w:rPr>
          <w:rFonts w:ascii="宋体" w:hAnsi="宋体" w:cs="宋体"/>
          <w:b w:val="0"/>
          <w:color w:val="000000" w:themeColor="text1"/>
          <w:highlight w:val="none"/>
          <w14:textFill>
            <w14:solidFill>
              <w14:schemeClr w14:val="tx1"/>
            </w14:solidFill>
          </w14:textFill>
        </w:rPr>
      </w:pPr>
      <w:bookmarkStart w:id="74" w:name="_Toc213948296"/>
      <w:bookmarkStart w:id="75" w:name="_Toc80205940"/>
      <w:r>
        <w:rPr>
          <w:rFonts w:hint="eastAsia" w:ascii="宋体" w:hAnsi="宋体"/>
          <w:b w:val="0"/>
          <w:bCs w:val="0"/>
          <w:color w:val="000000" w:themeColor="text1"/>
          <w:highlight w:val="none"/>
          <w14:textFill>
            <w14:solidFill>
              <w14:schemeClr w14:val="tx1"/>
            </w14:solidFill>
          </w14:textFill>
        </w:rPr>
        <w:t xml:space="preserve">第三节 </w:t>
      </w:r>
      <w:r>
        <w:rPr>
          <w:rFonts w:hint="eastAsia" w:ascii="宋体" w:hAnsi="宋体"/>
          <w:b w:val="0"/>
          <w:color w:val="000000" w:themeColor="text1"/>
          <w:highlight w:val="none"/>
          <w14:textFill>
            <w14:solidFill>
              <w14:schemeClr w14:val="tx1"/>
            </w14:solidFill>
          </w14:textFill>
        </w:rPr>
        <w:t>商务技术文件格式</w:t>
      </w:r>
      <w:bookmarkEnd w:id="74"/>
      <w:bookmarkEnd w:id="75"/>
    </w:p>
    <w:p w14:paraId="403F65FD">
      <w:pPr>
        <w:snapToGrid w:val="0"/>
        <w:spacing w:before="120" w:beforeLines="50" w:after="50"/>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全流程电子文件</w:t>
      </w:r>
    </w:p>
    <w:p w14:paraId="58126061">
      <w:pPr>
        <w:snapToGrid w:val="0"/>
        <w:spacing w:before="120" w:beforeLines="50" w:after="50"/>
        <w:rPr>
          <w:rFonts w:ascii="宋体" w:hAnsi="宋体"/>
          <w:color w:val="000000" w:themeColor="text1"/>
          <w:sz w:val="24"/>
          <w:szCs w:val="20"/>
          <w:highlight w:val="none"/>
          <w14:textFill>
            <w14:solidFill>
              <w14:schemeClr w14:val="tx1"/>
            </w14:solidFill>
          </w14:textFill>
        </w:rPr>
      </w:pPr>
    </w:p>
    <w:p w14:paraId="37207FBC">
      <w:pPr>
        <w:snapToGrid w:val="0"/>
        <w:spacing w:before="120" w:beforeLines="50" w:after="50"/>
        <w:rPr>
          <w:rFonts w:ascii="宋体" w:hAnsi="宋体"/>
          <w:color w:val="000000" w:themeColor="text1"/>
          <w:sz w:val="24"/>
          <w:szCs w:val="20"/>
          <w:highlight w:val="none"/>
          <w14:textFill>
            <w14:solidFill>
              <w14:schemeClr w14:val="tx1"/>
            </w14:solidFill>
          </w14:textFill>
        </w:rPr>
      </w:pPr>
    </w:p>
    <w:p w14:paraId="490F70BA">
      <w:pPr>
        <w:snapToGrid w:val="0"/>
        <w:spacing w:before="120" w:beforeLines="50" w:after="50"/>
        <w:rPr>
          <w:rFonts w:ascii="宋体" w:hAnsi="宋体"/>
          <w:color w:val="000000" w:themeColor="text1"/>
          <w:sz w:val="24"/>
          <w:szCs w:val="20"/>
          <w:highlight w:val="none"/>
          <w14:textFill>
            <w14:solidFill>
              <w14:schemeClr w14:val="tx1"/>
            </w14:solidFill>
          </w14:textFill>
        </w:rPr>
      </w:pPr>
    </w:p>
    <w:p w14:paraId="547B146F">
      <w:pPr>
        <w:snapToGrid w:val="0"/>
        <w:spacing w:before="120" w:beforeLines="50" w:after="50"/>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商  务  技  术  文  件（封面）</w:t>
      </w:r>
    </w:p>
    <w:p w14:paraId="43F8AFBD">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784A7003">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5BDA5580">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69ECE87B">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26456458">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2B021B5D">
      <w:pPr>
        <w:snapToGrid w:val="0"/>
        <w:spacing w:before="120"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bookmarkStart w:id="76" w:name="PO_3000001868_PM002_6"/>
      <w:r>
        <w:rPr>
          <w:rFonts w:hint="eastAsia" w:ascii="宋体" w:hAnsi="宋体" w:cs="仿宋_GB2312"/>
          <w:bCs/>
          <w:color w:val="000000" w:themeColor="text1"/>
          <w:sz w:val="32"/>
          <w:szCs w:val="32"/>
          <w:highlight w:val="none"/>
          <w14:textFill>
            <w14:solidFill>
              <w14:schemeClr w14:val="tx1"/>
            </w14:solidFill>
          </w14:textFill>
        </w:rPr>
        <w:t>[项目采购-项目名称]</w:t>
      </w:r>
      <w:bookmarkEnd w:id="76"/>
    </w:p>
    <w:p w14:paraId="37FE604B">
      <w:pPr>
        <w:snapToGrid w:val="0"/>
        <w:spacing w:before="120"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75CBCAE5">
      <w:pPr>
        <w:snapToGrid w:val="0"/>
        <w:spacing w:before="120"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项目编号：</w:t>
      </w:r>
      <w:bookmarkStart w:id="77" w:name="PO_3000001868_PM001_7"/>
      <w:r>
        <w:rPr>
          <w:rFonts w:hint="eastAsia" w:ascii="宋体" w:hAnsi="宋体" w:cs="仿宋_GB2312"/>
          <w:bCs/>
          <w:color w:val="000000" w:themeColor="text1"/>
          <w:sz w:val="32"/>
          <w:szCs w:val="32"/>
          <w:highlight w:val="none"/>
          <w14:textFill>
            <w14:solidFill>
              <w14:schemeClr w14:val="tx1"/>
            </w14:solidFill>
          </w14:textFill>
        </w:rPr>
        <w:t>[项目采购-项目编号]</w:t>
      </w:r>
      <w:bookmarkEnd w:id="77"/>
    </w:p>
    <w:p w14:paraId="35767332">
      <w:pPr>
        <w:snapToGrid w:val="0"/>
        <w:spacing w:before="120"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33AD6127">
      <w:pPr>
        <w:snapToGrid w:val="0"/>
        <w:spacing w:before="120"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295D6E00">
      <w:pPr>
        <w:snapToGrid w:val="0"/>
        <w:spacing w:before="120"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018EA74E">
      <w:pPr>
        <w:pStyle w:val="9"/>
        <w:snapToGrid w:val="0"/>
        <w:spacing w:before="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0CBAD0BF">
      <w:pPr>
        <w:pStyle w:val="9"/>
        <w:snapToGrid w:val="0"/>
        <w:spacing w:before="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25A89D08">
      <w:pPr>
        <w:pStyle w:val="9"/>
        <w:snapToGrid w:val="0"/>
        <w:spacing w:before="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11262E57">
      <w:pPr>
        <w:pStyle w:val="9"/>
        <w:snapToGrid w:val="0"/>
        <w:spacing w:before="50" w:after="50"/>
        <w:ind w:firstLine="1280" w:firstLineChars="400"/>
        <w:rPr>
          <w:rFonts w:ascii="宋体" w:hAnsi="宋体" w:cs="仿宋_GB2312"/>
          <w:bCs/>
          <w:color w:val="000000" w:themeColor="text1"/>
          <w:sz w:val="32"/>
          <w:szCs w:val="32"/>
          <w:highlight w:val="none"/>
          <w14:textFill>
            <w14:solidFill>
              <w14:schemeClr w14:val="tx1"/>
            </w14:solidFill>
          </w14:textFill>
        </w:rPr>
      </w:pPr>
    </w:p>
    <w:p w14:paraId="73801017">
      <w:pPr>
        <w:snapToGrid w:val="0"/>
        <w:spacing w:before="120" w:beforeLines="50" w:after="50"/>
        <w:jc w:val="center"/>
        <w:rPr>
          <w:rFonts w:ascii="宋体" w:hAnsi="宋体" w:cs="仿宋_GB2312"/>
          <w:color w:val="000000" w:themeColor="text1"/>
          <w:sz w:val="32"/>
          <w:szCs w:val="32"/>
          <w:highlight w:val="none"/>
          <w14:textFill>
            <w14:solidFill>
              <w14:schemeClr w14:val="tx1"/>
            </w14:solidFill>
          </w14:textFill>
        </w:rPr>
      </w:pPr>
      <w:r>
        <w:rPr>
          <w:rFonts w:hint="eastAsia" w:ascii="宋体" w:hAnsi="宋体" w:cs="仿宋_GB2312"/>
          <w:color w:val="000000" w:themeColor="text1"/>
          <w:sz w:val="32"/>
          <w:szCs w:val="32"/>
          <w:highlight w:val="none"/>
          <w14:textFill>
            <w14:solidFill>
              <w14:schemeClr w14:val="tx1"/>
            </w14:solidFill>
          </w14:textFill>
        </w:rPr>
        <w:t>年    月    日</w:t>
      </w:r>
    </w:p>
    <w:p w14:paraId="2681AAC4">
      <w:pPr>
        <w:widowControl/>
        <w:spacing w:line="360" w:lineRule="auto"/>
        <w:jc w:val="left"/>
        <w:rPr>
          <w:rFonts w:ascii="宋体" w:hAnsi="宋体"/>
          <w:b/>
          <w:bCs/>
          <w:color w:val="000000" w:themeColor="text1"/>
          <w:sz w:val="32"/>
          <w:szCs w:val="32"/>
          <w:highlight w:val="none"/>
          <w14:textFill>
            <w14:solidFill>
              <w14:schemeClr w14:val="tx1"/>
            </w14:solidFill>
          </w14:textFill>
        </w:rPr>
        <w:sectPr>
          <w:pgSz w:w="11910" w:h="16840"/>
          <w:pgMar w:top="1340" w:right="1500" w:bottom="280" w:left="1680" w:header="720" w:footer="720" w:gutter="0"/>
          <w:cols w:space="720" w:num="1"/>
        </w:sectPr>
      </w:pPr>
    </w:p>
    <w:p w14:paraId="0D038D4A">
      <w:pPr>
        <w:jc w:val="center"/>
        <w:rPr>
          <w:rFonts w:ascii="仿宋_GB2312" w:hAnsi="仿宋" w:eastAsia="仿宋_GB2312" w:cs="仿宋_GB2312"/>
          <w:b/>
          <w:color w:val="000000" w:themeColor="text1"/>
          <w:kern w:val="0"/>
          <w:sz w:val="28"/>
          <w:szCs w:val="28"/>
          <w:highlight w:val="none"/>
          <w14:textFill>
            <w14:solidFill>
              <w14:schemeClr w14:val="tx1"/>
            </w14:solidFill>
          </w14:textFill>
        </w:rPr>
      </w:pPr>
      <w:r>
        <w:rPr>
          <w:rFonts w:hint="eastAsia" w:ascii="仿宋_GB2312" w:hAnsi="仿宋" w:eastAsia="仿宋_GB2312" w:cs="仿宋_GB2312"/>
          <w:b/>
          <w:color w:val="000000" w:themeColor="text1"/>
          <w:kern w:val="0"/>
          <w:sz w:val="28"/>
          <w:szCs w:val="28"/>
          <w:highlight w:val="none"/>
          <w14:textFill>
            <w14:solidFill>
              <w14:schemeClr w14:val="tx1"/>
            </w14:solidFill>
          </w14:textFill>
        </w:rPr>
        <w:t>商务技术文件目录</w:t>
      </w:r>
    </w:p>
    <w:p w14:paraId="291F239A">
      <w:pPr>
        <w:jc w:val="center"/>
        <w:rPr>
          <w:rFonts w:ascii="仿宋_GB2312" w:hAnsi="仿宋" w:eastAsia="仿宋_GB2312" w:cs="仿宋_GB2312"/>
          <w:b/>
          <w:color w:val="000000" w:themeColor="text1"/>
          <w:kern w:val="0"/>
          <w:sz w:val="28"/>
          <w:szCs w:val="28"/>
          <w:highlight w:val="none"/>
          <w14:textFill>
            <w14:solidFill>
              <w14:schemeClr w14:val="tx1"/>
            </w14:solidFill>
          </w14:textFill>
        </w:rPr>
      </w:pPr>
    </w:p>
    <w:p w14:paraId="2B7611FF">
      <w:pPr>
        <w:pStyle w:val="107"/>
        <w:spacing w:line="36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一、无串标行为承诺函………………………………………………………（页码）</w:t>
      </w:r>
    </w:p>
    <w:p w14:paraId="7105EA09">
      <w:pPr>
        <w:pStyle w:val="107"/>
        <w:spacing w:line="36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二、法定代表人身份证明及法定代表人有效身份证正反面复印件………（页码）</w:t>
      </w:r>
    </w:p>
    <w:p w14:paraId="4B80D564">
      <w:pPr>
        <w:pStyle w:val="107"/>
        <w:spacing w:line="36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三、法定代表人授权委托书（如有委托时）………………………………（页码）</w:t>
      </w:r>
    </w:p>
    <w:p w14:paraId="2E0E29EC">
      <w:pPr>
        <w:pStyle w:val="107"/>
        <w:spacing w:line="36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四、</w:t>
      </w:r>
      <w:r>
        <w:rPr>
          <w:rFonts w:hint="eastAsia" w:cs="仿宋_GB2312"/>
          <w:color w:val="000000" w:themeColor="text1"/>
          <w:highlight w:val="none"/>
          <w:lang w:val="zh-CN"/>
          <w14:textFill>
            <w14:solidFill>
              <w14:schemeClr w14:val="tx1"/>
            </w14:solidFill>
          </w14:textFill>
        </w:rPr>
        <w:t>商务条款偏离表………………………………</w:t>
      </w:r>
      <w:r>
        <w:rPr>
          <w:rFonts w:hint="eastAsia" w:cs="仿宋_GB2312"/>
          <w:color w:val="000000" w:themeColor="text1"/>
          <w:highlight w:val="none"/>
          <w14:textFill>
            <w14:solidFill>
              <w14:schemeClr w14:val="tx1"/>
            </w14:solidFill>
          </w14:textFill>
        </w:rPr>
        <w:t>…………………………（页码）</w:t>
      </w:r>
    </w:p>
    <w:p w14:paraId="28BC796C">
      <w:pPr>
        <w:pStyle w:val="107"/>
        <w:spacing w:line="360" w:lineRule="auto"/>
        <w:rPr>
          <w:rFonts w:cs="仿宋_GB2312"/>
          <w:color w:val="000000" w:themeColor="text1"/>
          <w:highlight w:val="none"/>
          <w14:textFill>
            <w14:solidFill>
              <w14:schemeClr w14:val="tx1"/>
            </w14:solidFill>
          </w14:textFill>
        </w:rPr>
      </w:pPr>
      <w:bookmarkStart w:id="78" w:name="OLE_LINK6"/>
      <w:bookmarkStart w:id="79" w:name="OLE_LINK7"/>
      <w:bookmarkStart w:id="80" w:name="OLE_LINK5"/>
      <w:r>
        <w:rPr>
          <w:rFonts w:hint="eastAsia" w:cs="仿宋_GB2312"/>
          <w:color w:val="000000" w:themeColor="text1"/>
          <w:highlight w:val="none"/>
          <w14:textFill>
            <w14:solidFill>
              <w14:schemeClr w14:val="tx1"/>
            </w14:solidFill>
          </w14:textFill>
        </w:rPr>
        <w:t>五、</w:t>
      </w:r>
      <w:r>
        <w:rPr>
          <w:rFonts w:hint="eastAsia" w:cs="仿宋_GB2312"/>
          <w:color w:val="000000" w:themeColor="text1"/>
          <w:highlight w:val="none"/>
          <w:lang w:eastAsia="zh-CN"/>
          <w14:textFill>
            <w14:solidFill>
              <w14:schemeClr w14:val="tx1"/>
            </w14:solidFill>
          </w14:textFill>
        </w:rPr>
        <w:t>供应商</w:t>
      </w:r>
      <w:r>
        <w:rPr>
          <w:rFonts w:hint="eastAsia" w:cs="仿宋_GB2312"/>
          <w:color w:val="000000" w:themeColor="text1"/>
          <w:highlight w:val="none"/>
          <w14:textFill>
            <w14:solidFill>
              <w14:schemeClr w14:val="tx1"/>
            </w14:solidFill>
          </w14:textFill>
        </w:rPr>
        <w:t>情况介绍</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08581313">
      <w:pPr>
        <w:pStyle w:val="107"/>
        <w:spacing w:line="36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六、</w:t>
      </w:r>
      <w:r>
        <w:rPr>
          <w:rFonts w:hint="eastAsia" w:ascii="宋体" w:hAnsi="宋体" w:cs="宋体"/>
          <w:color w:val="000000" w:themeColor="text1"/>
          <w:szCs w:val="21"/>
          <w:highlight w:val="none"/>
          <w14:textFill>
            <w14:solidFill>
              <w14:schemeClr w14:val="tx1"/>
            </w14:solidFill>
          </w14:textFill>
        </w:rPr>
        <w:t>企业概况表</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bookmarkEnd w:id="78"/>
      <w:bookmarkEnd w:id="79"/>
    </w:p>
    <w:bookmarkEnd w:id="80"/>
    <w:p w14:paraId="3E489A75">
      <w:pPr>
        <w:pStyle w:val="107"/>
        <w:spacing w:line="36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七、</w:t>
      </w:r>
      <w:r>
        <w:rPr>
          <w:rFonts w:hint="eastAsia" w:ascii="宋体" w:hAnsi="宋体" w:cs="宋体"/>
          <w:color w:val="000000" w:themeColor="text1"/>
          <w:szCs w:val="21"/>
          <w:highlight w:val="none"/>
          <w14:textFill>
            <w14:solidFill>
              <w14:schemeClr w14:val="tx1"/>
            </w14:solidFill>
          </w14:textFill>
        </w:rPr>
        <w:t>近三年来施工企业承建的项目竣工工程情况表</w:t>
      </w:r>
      <w:r>
        <w:rPr>
          <w:rFonts w:hint="eastAsia" w:cs="仿宋_GB2312"/>
          <w:color w:val="000000" w:themeColor="text1"/>
          <w:highlight w:val="none"/>
          <w14:textFill>
            <w14:solidFill>
              <w14:schemeClr w14:val="tx1"/>
            </w14:solidFill>
          </w14:textFill>
        </w:rPr>
        <w:t>……………………（页码）</w:t>
      </w:r>
    </w:p>
    <w:p w14:paraId="15ED6B99">
      <w:pPr>
        <w:pStyle w:val="107"/>
        <w:spacing w:line="36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八、</w:t>
      </w:r>
      <w:r>
        <w:rPr>
          <w:rFonts w:hint="eastAsia" w:ascii="宋体" w:hAnsi="宋体" w:cs="宋体"/>
          <w:color w:val="000000" w:themeColor="text1"/>
          <w:szCs w:val="21"/>
          <w:highlight w:val="none"/>
          <w14:textFill>
            <w14:solidFill>
              <w14:schemeClr w14:val="tx1"/>
            </w14:solidFill>
          </w14:textFill>
        </w:rPr>
        <w:t>项目经理（或建造师）简历表</w:t>
      </w:r>
      <w:r>
        <w:rPr>
          <w:rFonts w:hint="eastAsia" w:cs="仿宋_GB2312"/>
          <w:color w:val="000000" w:themeColor="text1"/>
          <w:highlight w:val="none"/>
          <w14:textFill>
            <w14:solidFill>
              <w14:schemeClr w14:val="tx1"/>
            </w14:solidFill>
          </w14:textFill>
        </w:rPr>
        <w:t>…………………………………………（页码）</w:t>
      </w:r>
    </w:p>
    <w:p w14:paraId="40EF14E5">
      <w:pPr>
        <w:pStyle w:val="107"/>
        <w:spacing w:line="36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九、</w:t>
      </w:r>
      <w:r>
        <w:rPr>
          <w:rFonts w:hint="eastAsia" w:ascii="宋体" w:hAnsi="宋体" w:cs="宋体"/>
          <w:color w:val="000000" w:themeColor="text1"/>
          <w:szCs w:val="21"/>
          <w:highlight w:val="none"/>
          <w14:textFill>
            <w14:solidFill>
              <w14:schemeClr w14:val="tx1"/>
            </w14:solidFill>
          </w14:textFill>
        </w:rPr>
        <w:t>施工组织设计</w:t>
      </w:r>
      <w:r>
        <w:rPr>
          <w:rFonts w:hint="eastAsia" w:cs="仿宋_GB2312"/>
          <w:color w:val="000000" w:themeColor="text1"/>
          <w:highlight w:val="none"/>
          <w14:textFill>
            <w14:solidFill>
              <w14:schemeClr w14:val="tx1"/>
            </w14:solidFill>
          </w14:textFill>
        </w:rPr>
        <w:t>……………………………</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7A2AF644">
      <w:pPr>
        <w:pStyle w:val="107"/>
        <w:spacing w:line="36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十、按本竞争性磋商文件规定提交的其它资料</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0208279A">
      <w:pPr>
        <w:spacing w:line="360" w:lineRule="auto"/>
        <w:rPr>
          <w:rFonts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注：以上目录是基本格式要求，各供应商可根据自身情况进一步向下增加内容或细化。</w:t>
      </w:r>
    </w:p>
    <w:p w14:paraId="7CC3F493">
      <w:pPr>
        <w:spacing w:line="400" w:lineRule="exact"/>
        <w:rPr>
          <w:rFonts w:ascii="仿宋_GB2312" w:hAnsi="仿宋_GB2312" w:eastAsia="仿宋_GB2312" w:cs="仿宋_GB2312"/>
          <w:color w:val="000000" w:themeColor="text1"/>
          <w:sz w:val="32"/>
          <w:szCs w:val="32"/>
          <w:highlight w:val="none"/>
          <w14:textFill>
            <w14:solidFill>
              <w14:schemeClr w14:val="tx1"/>
            </w14:solidFill>
          </w14:textFill>
        </w:rPr>
      </w:pPr>
    </w:p>
    <w:p w14:paraId="2F0A4D58">
      <w:pPr>
        <w:spacing w:line="520" w:lineRule="exact"/>
        <w:ind w:firstLine="880" w:firstLineChars="200"/>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br w:type="page"/>
      </w:r>
      <w:r>
        <w:rPr>
          <w:rFonts w:hint="eastAsia" w:ascii="仿宋" w:hAnsi="仿宋" w:eastAsia="仿宋" w:cs="仿宋_GB2312"/>
          <w:b/>
          <w:color w:val="000000" w:themeColor="text1"/>
          <w:sz w:val="30"/>
          <w:szCs w:val="30"/>
          <w:highlight w:val="none"/>
          <w14:textFill>
            <w14:solidFill>
              <w14:schemeClr w14:val="tx1"/>
            </w14:solidFill>
          </w14:textFill>
        </w:rPr>
        <w:t>一、无串标行为承诺函</w:t>
      </w:r>
    </w:p>
    <w:p w14:paraId="43B8FE2A">
      <w:pPr>
        <w:spacing w:line="520" w:lineRule="exact"/>
        <w:jc w:val="center"/>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pPr>
    </w:p>
    <w:p w14:paraId="50F86B3C">
      <w:pPr>
        <w:spacing w:line="520" w:lineRule="exact"/>
        <w:jc w:val="center"/>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无串通竞标行为的承诺函</w:t>
      </w:r>
    </w:p>
    <w:p w14:paraId="3C2AC16D">
      <w:pPr>
        <w:spacing w:line="520" w:lineRule="exact"/>
        <w:ind w:firstLine="640" w:firstLineChars="200"/>
        <w:rPr>
          <w:rFonts w:ascii="仿宋_GB2312" w:hAnsi="仿宋_GB2312" w:eastAsia="仿宋_GB2312" w:cs="仿宋_GB2312"/>
          <w:color w:val="000000" w:themeColor="text1"/>
          <w:sz w:val="32"/>
          <w:szCs w:val="32"/>
          <w:highlight w:val="none"/>
          <w14:textFill>
            <w14:solidFill>
              <w14:schemeClr w14:val="tx1"/>
            </w14:solidFill>
          </w14:textFill>
        </w:rPr>
      </w:pPr>
    </w:p>
    <w:p w14:paraId="73AE7174">
      <w:pPr>
        <w:spacing w:line="360" w:lineRule="auto"/>
        <w:ind w:firstLine="482" w:firstLineChars="200"/>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一、我方承诺无下列相互串通竞标的情形：</w:t>
      </w:r>
    </w:p>
    <w:p w14:paraId="4CC80523">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1.不同供应商的响应文件由同一单位或者个人编制；</w:t>
      </w:r>
      <w:r>
        <w:rPr>
          <w:rFonts w:hint="eastAsia" w:ascii="宋体" w:hAnsi="宋体"/>
          <w:color w:val="000000" w:themeColor="text1"/>
          <w:sz w:val="24"/>
          <w:highlight w:val="none"/>
          <w14:textFill>
            <w14:solidFill>
              <w14:schemeClr w14:val="tx1"/>
            </w14:solidFill>
          </w14:textFill>
        </w:rPr>
        <w:t>或者不同供应商报名的IP地址一致的；或者编制响应文件硬件设备CPU编号、硬盘编号、网卡地址一致的情况。</w:t>
      </w:r>
    </w:p>
    <w:p w14:paraId="78AD56A2">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2.不同供应商委托同一单位或者个人办理竞标事宜；</w:t>
      </w:r>
    </w:p>
    <w:p w14:paraId="17697EED">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3.不同供应商的响应文件载明的项目管理员为同一个人；</w:t>
      </w:r>
    </w:p>
    <w:p w14:paraId="4A5F2211">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4.不</w:t>
      </w:r>
      <w:r>
        <w:rPr>
          <w:rFonts w:hint="eastAsia" w:ascii="宋体" w:hAnsi="宋体" w:cs="仿宋_GB2312"/>
          <w:color w:val="000000" w:themeColor="text1"/>
          <w:spacing w:val="-6"/>
          <w:sz w:val="24"/>
          <w:highlight w:val="none"/>
          <w14:textFill>
            <w14:solidFill>
              <w14:schemeClr w14:val="tx1"/>
            </w14:solidFill>
          </w14:textFill>
        </w:rPr>
        <w:t>同供应商的响应文件异常一致或者响应报价呈规律性差异；</w:t>
      </w:r>
    </w:p>
    <w:p w14:paraId="1EE89E2A">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5.不同供应商的响应文件相互混装；</w:t>
      </w:r>
    </w:p>
    <w:p w14:paraId="79B2A5CE">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6.不同供应商的磋商保证金从同一单位或者个人账户转出。</w:t>
      </w:r>
    </w:p>
    <w:p w14:paraId="524E70CD">
      <w:pPr>
        <w:spacing w:line="360" w:lineRule="auto"/>
        <w:ind w:firstLine="482" w:firstLineChars="200"/>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二、我方承诺无下列恶意串通的情形：</w:t>
      </w:r>
    </w:p>
    <w:p w14:paraId="6817F14F">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1.供应商直接或者间接从采购人或者采购代理机构处获得其他供应商的相关信息并修改其响应文件；</w:t>
      </w:r>
    </w:p>
    <w:p w14:paraId="4BE11718">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2.供应商按照采购人或者采购代理机构的授意撤换、修改响应文件；</w:t>
      </w:r>
    </w:p>
    <w:p w14:paraId="09E62004">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3.供</w:t>
      </w:r>
      <w:r>
        <w:rPr>
          <w:rFonts w:hint="eastAsia" w:ascii="宋体" w:hAnsi="宋体" w:cs="仿宋_GB2312"/>
          <w:color w:val="000000" w:themeColor="text1"/>
          <w:spacing w:val="-6"/>
          <w:sz w:val="24"/>
          <w:highlight w:val="none"/>
          <w14:textFill>
            <w14:solidFill>
              <w14:schemeClr w14:val="tx1"/>
            </w14:solidFill>
          </w14:textFill>
        </w:rPr>
        <w:t>应商之间协商报价、技术方案等响应文件的实质性内容；</w:t>
      </w:r>
    </w:p>
    <w:p w14:paraId="034E5600">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4.属于同一集团、协会、商会等组织成员的供应商按照该组织要求协同参加政府采购活动；</w:t>
      </w:r>
    </w:p>
    <w:p w14:paraId="28C28266">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5.供应商之间事先约定一致抬高或者压低响应报价，或者在竞争性磋商项目中事先约定轮流以高价位或者低价位成交，或者事先约定由某一特定供应商成交，然后再参加竞标；</w:t>
      </w:r>
    </w:p>
    <w:p w14:paraId="203BBDA5">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6.供应商之间商定部分供应商放弃参加政府采购活动或者放弃成交；</w:t>
      </w:r>
    </w:p>
    <w:p w14:paraId="45B8E174">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7.供应商与采购人或者采购代理机构之间、供应商相互之间，为</w:t>
      </w:r>
      <w:r>
        <w:rPr>
          <w:rFonts w:hint="eastAsia" w:ascii="宋体" w:hAnsi="宋体" w:cs="仿宋_GB2312"/>
          <w:color w:val="000000" w:themeColor="text1"/>
          <w:spacing w:val="-6"/>
          <w:sz w:val="24"/>
          <w:highlight w:val="none"/>
          <w14:textFill>
            <w14:solidFill>
              <w14:schemeClr w14:val="tx1"/>
            </w14:solidFill>
          </w14:textFill>
        </w:rPr>
        <w:t>谋求特定供应商成交或者排斥其他供应商的其他串通行为。</w:t>
      </w:r>
    </w:p>
    <w:p w14:paraId="46D0CDBD">
      <w:pPr>
        <w:spacing w:line="360" w:lineRule="auto"/>
        <w:ind w:firstLine="482" w:firstLineChars="200"/>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以上情形一经核查属实，接受政府采购监管部门对我方认定存在围标串标行为，我方愿意承担一切后果，并不再寻求任何旨在减轻或者免除法律责任的辩解。</w:t>
      </w:r>
    </w:p>
    <w:p w14:paraId="4A15D563">
      <w:pPr>
        <w:autoSpaceDE w:val="0"/>
        <w:autoSpaceDN w:val="0"/>
        <w:spacing w:line="360" w:lineRule="auto"/>
        <w:ind w:left="4335" w:leftChars="1950" w:hanging="240" w:hangingChars="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6E6B30C6">
      <w:pPr>
        <w:spacing w:line="520" w:lineRule="exact"/>
        <w:ind w:left="239" w:leftChars="114" w:firstLine="6120" w:firstLineChars="2550"/>
        <w:jc w:val="left"/>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日期：  年  月   日   </w:t>
      </w:r>
      <w:r>
        <w:rPr>
          <w:rFonts w:hint="eastAsia" w:ascii="宋体" w:hAnsi="宋体"/>
          <w:b/>
          <w:bCs/>
          <w:color w:val="000000" w:themeColor="text1"/>
          <w:sz w:val="32"/>
          <w:szCs w:val="32"/>
          <w:highlight w:val="none"/>
          <w14:textFill>
            <w14:solidFill>
              <w14:schemeClr w14:val="tx1"/>
            </w14:solidFill>
          </w14:textFill>
        </w:rPr>
        <w:br w:type="page"/>
      </w:r>
      <w:r>
        <w:rPr>
          <w:rFonts w:hint="eastAsia" w:ascii="仿宋" w:hAnsi="仿宋" w:eastAsia="仿宋" w:cs="仿宋_GB2312"/>
          <w:b/>
          <w:color w:val="000000" w:themeColor="text1"/>
          <w:sz w:val="30"/>
          <w:szCs w:val="30"/>
          <w:highlight w:val="none"/>
          <w14:textFill>
            <w14:solidFill>
              <w14:schemeClr w14:val="tx1"/>
            </w14:solidFill>
          </w14:textFill>
        </w:rPr>
        <w:t>二、法定代表人身份证明及法定代表人有效身份证正反面复印件</w:t>
      </w:r>
    </w:p>
    <w:p w14:paraId="42E8A678">
      <w:pPr>
        <w:spacing w:line="520" w:lineRule="exact"/>
        <w:jc w:val="center"/>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法定代表人证明书</w:t>
      </w:r>
    </w:p>
    <w:p w14:paraId="57BF560D">
      <w:pPr>
        <w:spacing w:line="360" w:lineRule="auto"/>
        <w:ind w:left="540"/>
        <w:contextualSpacing/>
        <w:rPr>
          <w:rFonts w:ascii="仿宋_GB2312" w:hAnsi="仿宋_GB2312" w:eastAsia="仿宋_GB2312" w:cs="仿宋_GB2312"/>
          <w:color w:val="000000" w:themeColor="text1"/>
          <w:sz w:val="32"/>
          <w:szCs w:val="32"/>
          <w:highlight w:val="none"/>
          <w14:textFill>
            <w14:solidFill>
              <w14:schemeClr w14:val="tx1"/>
            </w14:solidFill>
          </w14:textFill>
        </w:rPr>
      </w:pPr>
    </w:p>
    <w:p w14:paraId="77E1BAF9">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供应商名称：</w:t>
      </w:r>
    </w:p>
    <w:p w14:paraId="078A243C">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地    址：</w:t>
      </w:r>
    </w:p>
    <w:p w14:paraId="5FC308E7">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姓    名：性     别：</w:t>
      </w:r>
    </w:p>
    <w:p w14:paraId="630C7084">
      <w:pPr>
        <w:spacing w:line="360" w:lineRule="auto"/>
        <w:ind w:left="540"/>
        <w:contextualSpacing/>
        <w:rPr>
          <w:rFonts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年    龄：职     务：</w:t>
      </w:r>
    </w:p>
    <w:p w14:paraId="7FB6B8CE">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身份证号码：</w:t>
      </w:r>
    </w:p>
    <w:p w14:paraId="14868C4E">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系</w:t>
      </w:r>
      <w:r>
        <w:rPr>
          <w:rFonts w:hint="eastAsia" w:ascii="宋体" w:hAnsi="宋体" w:cs="仿宋_GB2312"/>
          <w:color w:val="000000" w:themeColor="text1"/>
          <w:sz w:val="24"/>
          <w:highlight w:val="none"/>
          <w:u w:val="single"/>
          <w14:textFill>
            <w14:solidFill>
              <w14:schemeClr w14:val="tx1"/>
            </w14:solidFill>
          </w14:textFill>
        </w:rPr>
        <w:t>（供应商名称）</w:t>
      </w:r>
      <w:r>
        <w:rPr>
          <w:rFonts w:hint="eastAsia" w:ascii="宋体" w:hAnsi="宋体" w:cs="仿宋_GB2312"/>
          <w:color w:val="000000" w:themeColor="text1"/>
          <w:sz w:val="24"/>
          <w:highlight w:val="none"/>
          <w14:textFill>
            <w14:solidFill>
              <w14:schemeClr w14:val="tx1"/>
            </w14:solidFill>
          </w14:textFill>
        </w:rPr>
        <w:t>的法定代表人。</w:t>
      </w:r>
    </w:p>
    <w:p w14:paraId="1F9D0368">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特此证明。</w:t>
      </w:r>
    </w:p>
    <w:p w14:paraId="4F52D521">
      <w:pPr>
        <w:spacing w:line="360" w:lineRule="auto"/>
        <w:ind w:left="540"/>
        <w:contextualSpacing/>
        <w:rPr>
          <w:rFonts w:ascii="宋体" w:hAnsi="宋体" w:cs="仿宋_GB2312"/>
          <w:color w:val="000000" w:themeColor="text1"/>
          <w:sz w:val="24"/>
          <w:highlight w:val="none"/>
          <w14:textFill>
            <w14:solidFill>
              <w14:schemeClr w14:val="tx1"/>
            </w14:solidFill>
          </w14:textFill>
        </w:rPr>
      </w:pPr>
    </w:p>
    <w:p w14:paraId="3FE6C3EC">
      <w:pPr>
        <w:spacing w:line="360" w:lineRule="auto"/>
        <w:ind w:left="540"/>
        <w:contextualSpacing/>
        <w:rPr>
          <w:rFonts w:ascii="宋体" w:hAnsi="宋体" w:cs="仿宋_GB2312"/>
          <w:color w:val="000000" w:themeColor="text1"/>
          <w:sz w:val="24"/>
          <w:highlight w:val="none"/>
          <w14:textFill>
            <w14:solidFill>
              <w14:schemeClr w14:val="tx1"/>
            </w14:solidFill>
          </w14:textFill>
        </w:rPr>
      </w:pPr>
    </w:p>
    <w:p w14:paraId="208D0B49">
      <w:pPr>
        <w:spacing w:line="360" w:lineRule="auto"/>
        <w:ind w:left="540"/>
        <w:contextualSpacing/>
        <w:rPr>
          <w:rFonts w:ascii="宋体" w:hAnsi="宋体" w:cs="仿宋_GB2312"/>
          <w:color w:val="000000" w:themeColor="text1"/>
          <w:sz w:val="24"/>
          <w:highlight w:val="none"/>
          <w14:textFill>
            <w14:solidFill>
              <w14:schemeClr w14:val="tx1"/>
            </w14:solidFill>
          </w14:textFill>
        </w:rPr>
      </w:pPr>
    </w:p>
    <w:p w14:paraId="7150ED0E">
      <w:pPr>
        <w:spacing w:line="360" w:lineRule="auto"/>
        <w:ind w:left="54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附件：法定代表人有效身份证正反面复印件</w:t>
      </w:r>
    </w:p>
    <w:p w14:paraId="2152301A">
      <w:pPr>
        <w:spacing w:line="360" w:lineRule="auto"/>
        <w:ind w:left="540"/>
        <w:contextualSpacing/>
        <w:rPr>
          <w:rFonts w:ascii="宋体" w:hAnsi="宋体" w:cs="仿宋_GB2312"/>
          <w:color w:val="000000" w:themeColor="text1"/>
          <w:sz w:val="24"/>
          <w:highlight w:val="none"/>
          <w14:textFill>
            <w14:solidFill>
              <w14:schemeClr w14:val="tx1"/>
            </w14:solidFill>
          </w14:textFill>
        </w:rPr>
      </w:pPr>
    </w:p>
    <w:p w14:paraId="53AC418A">
      <w:pPr>
        <w:autoSpaceDE w:val="0"/>
        <w:autoSpaceDN w:val="0"/>
        <w:spacing w:line="360" w:lineRule="auto"/>
        <w:ind w:left="4335" w:leftChars="1950" w:hanging="240" w:hangingChars="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5B79D32C">
      <w:pPr>
        <w:spacing w:line="360" w:lineRule="auto"/>
        <w:jc w:val="center"/>
        <w:rPr>
          <w:rFonts w:ascii="宋体" w:hAnsi="宋体" w:cs="仿宋_GB2312"/>
          <w:b/>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  年  月   日</w:t>
      </w:r>
    </w:p>
    <w:p w14:paraId="336D4E8B">
      <w:pPr>
        <w:spacing w:line="360" w:lineRule="auto"/>
        <w:jc w:val="left"/>
        <w:rPr>
          <w:rFonts w:ascii="宋体" w:hAnsi="宋体" w:cs="仿宋_GB2312"/>
          <w:color w:val="000000" w:themeColor="text1"/>
          <w:sz w:val="24"/>
          <w:highlight w:val="none"/>
          <w14:textFill>
            <w14:solidFill>
              <w14:schemeClr w14:val="tx1"/>
            </w14:solidFill>
          </w14:textFill>
        </w:rPr>
      </w:pPr>
    </w:p>
    <w:p w14:paraId="45F58561">
      <w:pPr>
        <w:spacing w:line="360" w:lineRule="auto"/>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注：1.自然人竞标的无需提供，联合体竞标的只需牵头人出具。</w:t>
      </w:r>
    </w:p>
    <w:p w14:paraId="0965ABD7">
      <w:pPr>
        <w:spacing w:line="360" w:lineRule="auto"/>
        <w:ind w:firstLine="480" w:firstLineChars="200"/>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9A4D798">
      <w:pPr>
        <w:widowControl/>
        <w:spacing w:line="360" w:lineRule="auto"/>
        <w:jc w:val="left"/>
        <w:rPr>
          <w:rFonts w:ascii="宋体" w:hAnsi="宋体" w:cs="仿宋_GB2312"/>
          <w:color w:val="000000" w:themeColor="text1"/>
          <w:sz w:val="24"/>
          <w:highlight w:val="none"/>
          <w14:textFill>
            <w14:solidFill>
              <w14:schemeClr w14:val="tx1"/>
            </w14:solidFill>
          </w14:textFill>
        </w:rPr>
        <w:sectPr>
          <w:pgSz w:w="11910" w:h="16840"/>
          <w:pgMar w:top="1340" w:right="1500" w:bottom="280" w:left="1680" w:header="720" w:footer="720" w:gutter="0"/>
          <w:cols w:space="720" w:num="1"/>
        </w:sectPr>
      </w:pPr>
    </w:p>
    <w:tbl>
      <w:tblPr>
        <w:tblStyle w:val="53"/>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0059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tcPr>
          <w:p w14:paraId="3B188EA0">
            <w:pPr>
              <w:keepNext w:val="0"/>
              <w:keepLines w:val="0"/>
              <w:suppressLineNumbers w:val="0"/>
              <w:spacing w:before="0" w:beforeAutospacing="0" w:after="0" w:afterAutospacing="0" w:line="360" w:lineRule="auto"/>
              <w:ind w:left="0" w:right="0"/>
              <w:rPr>
                <w:rFonts w:hint="default" w:ascii="宋体"/>
                <w:b/>
                <w:color w:val="000000" w:themeColor="text1"/>
                <w:sz w:val="24"/>
                <w:highlight w:val="none"/>
                <w14:textFill>
                  <w14:solidFill>
                    <w14:schemeClr w14:val="tx1"/>
                  </w14:solidFill>
                </w14:textFill>
              </w:rPr>
            </w:pPr>
          </w:p>
          <w:p w14:paraId="5EB7119A">
            <w:pPr>
              <w:keepNext w:val="0"/>
              <w:keepLines w:val="0"/>
              <w:suppressLineNumbers w:val="0"/>
              <w:spacing w:before="0" w:beforeAutospacing="0" w:after="0" w:afterAutospacing="0" w:line="360" w:lineRule="auto"/>
              <w:ind w:left="0" w:right="0"/>
              <w:rPr>
                <w:rFonts w:hint="default"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法定代表身份证复印件粘帖处（正、反面）</w:t>
            </w:r>
          </w:p>
        </w:tc>
      </w:tr>
    </w:tbl>
    <w:p w14:paraId="610C52F5">
      <w:pPr>
        <w:spacing w:line="360" w:lineRule="auto"/>
        <w:ind w:firstLine="482" w:firstLineChars="200"/>
        <w:jc w:val="left"/>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附件：</w:t>
      </w:r>
    </w:p>
    <w:p w14:paraId="2D3B0724">
      <w:pPr>
        <w:adjustRightInd w:val="0"/>
        <w:snapToGrid w:val="0"/>
        <w:spacing w:line="300" w:lineRule="auto"/>
        <w:jc w:val="left"/>
        <w:rPr>
          <w:rFonts w:ascii="宋体" w:hAnsi="宋体"/>
          <w:b/>
          <w:color w:val="000000" w:themeColor="text1"/>
          <w:szCs w:val="21"/>
          <w:highlight w:val="none"/>
          <w14:textFill>
            <w14:solidFill>
              <w14:schemeClr w14:val="tx1"/>
            </w14:solidFill>
          </w14:textFill>
        </w:rPr>
      </w:pPr>
    </w:p>
    <w:p w14:paraId="13048A41">
      <w:pPr>
        <w:spacing w:line="520" w:lineRule="exact"/>
        <w:ind w:firstLine="880"/>
        <w:jc w:val="left"/>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br w:type="page"/>
      </w:r>
      <w:r>
        <w:rPr>
          <w:rFonts w:hint="eastAsia" w:ascii="仿宋" w:hAnsi="仿宋" w:eastAsia="仿宋" w:cs="仿宋_GB2312"/>
          <w:b/>
          <w:color w:val="000000" w:themeColor="text1"/>
          <w:sz w:val="30"/>
          <w:szCs w:val="30"/>
          <w:highlight w:val="none"/>
          <w14:textFill>
            <w14:solidFill>
              <w14:schemeClr w14:val="tx1"/>
            </w14:solidFill>
          </w14:textFill>
        </w:rPr>
        <w:t>三、法定代表人授权委托书</w:t>
      </w:r>
    </w:p>
    <w:p w14:paraId="292C8C02">
      <w:pPr>
        <w:spacing w:line="500" w:lineRule="exact"/>
        <w:jc w:val="center"/>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pPr>
    </w:p>
    <w:p w14:paraId="3C031105">
      <w:pPr>
        <w:spacing w:line="520" w:lineRule="exact"/>
        <w:jc w:val="center"/>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授权委托书（非联合体竞标格式）</w:t>
      </w:r>
    </w:p>
    <w:p w14:paraId="0726F6F3">
      <w:pPr>
        <w:spacing w:line="520" w:lineRule="exact"/>
        <w:jc w:val="center"/>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（如有委托时）</w:t>
      </w:r>
    </w:p>
    <w:p w14:paraId="2E4F34BE">
      <w:pPr>
        <w:spacing w:line="520" w:lineRule="exact"/>
        <w:rPr>
          <w:rFonts w:ascii="仿宋_GB2312" w:hAnsi="仿宋_GB2312" w:eastAsia="仿宋_GB2312" w:cs="仿宋_GB2312"/>
          <w:color w:val="000000" w:themeColor="text1"/>
          <w:sz w:val="32"/>
          <w:szCs w:val="32"/>
          <w:highlight w:val="none"/>
          <w14:textFill>
            <w14:solidFill>
              <w14:schemeClr w14:val="tx1"/>
            </w14:solidFill>
          </w14:textFill>
        </w:rPr>
      </w:pPr>
    </w:p>
    <w:p w14:paraId="59F4AA4C">
      <w:pPr>
        <w:spacing w:line="360" w:lineRule="auto"/>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致：</w:t>
      </w:r>
      <w:bookmarkStart w:id="81" w:name="PO_3000001868_PM031_7"/>
      <w:r>
        <w:rPr>
          <w:rFonts w:hint="eastAsia" w:ascii="宋体" w:hAnsi="宋体" w:cs="仿宋_GB2312"/>
          <w:color w:val="000000" w:themeColor="text1"/>
          <w:sz w:val="24"/>
          <w:highlight w:val="none"/>
          <w:u w:val="single"/>
          <w14:textFill>
            <w14:solidFill>
              <w14:schemeClr w14:val="tx1"/>
            </w14:solidFill>
          </w14:textFill>
        </w:rPr>
        <w:t>[项目采购-采购组织机构]</w:t>
      </w:r>
      <w:bookmarkEnd w:id="81"/>
      <w:r>
        <w:rPr>
          <w:rFonts w:hint="eastAsia" w:ascii="宋体" w:hAnsi="宋体" w:cs="仿宋_GB2312"/>
          <w:color w:val="000000" w:themeColor="text1"/>
          <w:sz w:val="24"/>
          <w:highlight w:val="none"/>
          <w14:textFill>
            <w14:solidFill>
              <w14:schemeClr w14:val="tx1"/>
            </w14:solidFill>
          </w14:textFill>
        </w:rPr>
        <w:t>：</w:t>
      </w:r>
    </w:p>
    <w:p w14:paraId="10F457E3">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我</w:t>
      </w:r>
      <w:r>
        <w:rPr>
          <w:rFonts w:hint="eastAsia" w:ascii="宋体" w:hAnsi="宋体" w:cs="仿宋_GB2312"/>
          <w:color w:val="000000" w:themeColor="text1"/>
          <w:sz w:val="24"/>
          <w:highlight w:val="none"/>
          <w:u w:val="single"/>
          <w14:textFill>
            <w14:solidFill>
              <w14:schemeClr w14:val="tx1"/>
            </w14:solidFill>
          </w14:textFill>
        </w:rPr>
        <w:t xml:space="preserve">  （姓名）  </w:t>
      </w:r>
      <w:r>
        <w:rPr>
          <w:rFonts w:hint="eastAsia" w:ascii="宋体" w:hAnsi="宋体" w:cs="仿宋_GB2312"/>
          <w:color w:val="000000" w:themeColor="text1"/>
          <w:sz w:val="24"/>
          <w:highlight w:val="none"/>
          <w14:textFill>
            <w14:solidFill>
              <w14:schemeClr w14:val="tx1"/>
            </w14:solidFill>
          </w14:textFill>
        </w:rPr>
        <w:t>系</w:t>
      </w:r>
      <w:r>
        <w:rPr>
          <w:rFonts w:hint="eastAsia" w:ascii="宋体" w:hAnsi="宋体" w:cs="仿宋_GB2312"/>
          <w:color w:val="000000" w:themeColor="text1"/>
          <w:sz w:val="24"/>
          <w:highlight w:val="none"/>
          <w:u w:val="single"/>
          <w14:textFill>
            <w14:solidFill>
              <w14:schemeClr w14:val="tx1"/>
            </w14:solidFill>
          </w14:textFill>
        </w:rPr>
        <w:t xml:space="preserve">  （供应商名称）  </w:t>
      </w:r>
      <w:r>
        <w:rPr>
          <w:rFonts w:hint="eastAsia" w:ascii="宋体" w:hAnsi="宋体" w:cs="仿宋_GB2312"/>
          <w:color w:val="000000" w:themeColor="text1"/>
          <w:sz w:val="24"/>
          <w:highlight w:val="none"/>
          <w14:textFill>
            <w14:solidFill>
              <w14:schemeClr w14:val="tx1"/>
            </w14:solidFill>
          </w14:textFill>
        </w:rPr>
        <w:t>的（</w:t>
      </w:r>
      <w:r>
        <w:rPr>
          <w:rFonts w:hint="eastAsia" w:ascii="宋体" w:hAnsi="宋体" w:cs="仿宋_GB2312"/>
          <w:color w:val="000000" w:themeColor="text1"/>
          <w:sz w:val="24"/>
          <w:highlight w:val="none"/>
          <w:u w:val="single"/>
          <w14:textFill>
            <w14:solidFill>
              <w14:schemeClr w14:val="tx1"/>
            </w14:solidFill>
          </w14:textFill>
        </w:rPr>
        <w:t>□法定代表人/□负责人/□自然人本人</w:t>
      </w:r>
      <w:r>
        <w:rPr>
          <w:rFonts w:hint="eastAsia" w:ascii="宋体" w:hAnsi="宋体" w:cs="仿宋_GB2312"/>
          <w:color w:val="000000" w:themeColor="text1"/>
          <w:sz w:val="24"/>
          <w:highlight w:val="none"/>
          <w14:textFill>
            <w14:solidFill>
              <w14:schemeClr w14:val="tx1"/>
            </w14:solidFill>
          </w14:textFill>
        </w:rPr>
        <w:t>），现授权</w:t>
      </w:r>
      <w:r>
        <w:rPr>
          <w:rFonts w:hint="eastAsia" w:ascii="宋体" w:hAnsi="宋体" w:cs="仿宋_GB2312"/>
          <w:color w:val="000000" w:themeColor="text1"/>
          <w:sz w:val="24"/>
          <w:highlight w:val="none"/>
          <w:u w:val="single"/>
          <w14:textFill>
            <w14:solidFill>
              <w14:schemeClr w14:val="tx1"/>
            </w14:solidFill>
          </w14:textFill>
        </w:rPr>
        <w:t xml:space="preserve"> （姓名） </w:t>
      </w:r>
      <w:r>
        <w:rPr>
          <w:rFonts w:hint="eastAsia" w:ascii="宋体" w:hAnsi="宋体" w:cs="仿宋_GB2312"/>
          <w:color w:val="000000" w:themeColor="text1"/>
          <w:sz w:val="24"/>
          <w:highlight w:val="none"/>
          <w14:textFill>
            <w14:solidFill>
              <w14:schemeClr w14:val="tx1"/>
            </w14:solidFill>
          </w14:textFill>
        </w:rPr>
        <w:t>以我方的名义参加</w:t>
      </w:r>
      <w:bookmarkStart w:id="82" w:name="PO_3000001868_PM002_7"/>
      <w:r>
        <w:rPr>
          <w:rFonts w:hint="eastAsia" w:ascii="宋体" w:hAnsi="宋体" w:cs="仿宋_GB2312"/>
          <w:color w:val="000000" w:themeColor="text1"/>
          <w:sz w:val="24"/>
          <w:highlight w:val="none"/>
          <w:u w:val="single"/>
          <w14:textFill>
            <w14:solidFill>
              <w14:schemeClr w14:val="tx1"/>
            </w14:solidFill>
          </w14:textFill>
        </w:rPr>
        <w:t>[项目采购-项目名称_7]</w:t>
      </w:r>
      <w:bookmarkEnd w:id="82"/>
      <w:r>
        <w:rPr>
          <w:rFonts w:hint="eastAsia" w:ascii="宋体" w:hAnsi="宋体" w:cs="仿宋_GB2312"/>
          <w:color w:val="000000" w:themeColor="text1"/>
          <w:sz w:val="24"/>
          <w:highlight w:val="none"/>
          <w14:textFill>
            <w14:solidFill>
              <w14:schemeClr w14:val="tx1"/>
            </w14:solidFill>
          </w14:textFill>
        </w:rPr>
        <w:t>项目的竞标活动，并代表我方全权办理针对上述项目的所有采购程序和环节的具体事务和签署相关文件。</w:t>
      </w:r>
    </w:p>
    <w:p w14:paraId="4F28CB92">
      <w:pPr>
        <w:spacing w:line="360" w:lineRule="auto"/>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我方对委托代理人的签字事项负全部责任。</w:t>
      </w:r>
    </w:p>
    <w:p w14:paraId="7990C067">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本授权书自签署之日起生效，在撤销授权的书面通知以前，本授权书一直有效。委托代理人在授权书有效期内签署的所有文件不因授权的撤销而失效。</w:t>
      </w:r>
    </w:p>
    <w:p w14:paraId="0F545E50">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委托代理人无转委托权，特此委托。</w:t>
      </w:r>
    </w:p>
    <w:p w14:paraId="33940E6C">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附：法定代表人身份证明书及委托代理人有效身份证正反面复印件</w:t>
      </w:r>
    </w:p>
    <w:p w14:paraId="68C96107">
      <w:pPr>
        <w:spacing w:line="360" w:lineRule="auto"/>
        <w:rPr>
          <w:rFonts w:ascii="宋体" w:hAnsi="宋体" w:cs="仿宋_GB2312"/>
          <w:color w:val="000000" w:themeColor="text1"/>
          <w:sz w:val="24"/>
          <w:highlight w:val="none"/>
          <w14:textFill>
            <w14:solidFill>
              <w14:schemeClr w14:val="tx1"/>
            </w14:solidFill>
          </w14:textFill>
        </w:rPr>
      </w:pPr>
    </w:p>
    <w:p w14:paraId="0BDA1CBC">
      <w:pPr>
        <w:spacing w:line="360" w:lineRule="auto"/>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委托代理人（签字）：         法定代表人（签字或盖章）：                    </w:t>
      </w:r>
    </w:p>
    <w:p w14:paraId="109772D3">
      <w:pPr>
        <w:spacing w:line="360" w:lineRule="auto"/>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委托代理人身份证号码：                              </w:t>
      </w:r>
    </w:p>
    <w:p w14:paraId="3448F214">
      <w:pPr>
        <w:spacing w:line="360" w:lineRule="auto"/>
        <w:rPr>
          <w:rFonts w:ascii="宋体" w:hAnsi="宋体" w:cs="仿宋_GB2312"/>
          <w:color w:val="000000" w:themeColor="text1"/>
          <w:sz w:val="24"/>
          <w:highlight w:val="none"/>
          <w14:textFill>
            <w14:solidFill>
              <w14:schemeClr w14:val="tx1"/>
            </w14:solidFill>
          </w14:textFill>
        </w:rPr>
      </w:pPr>
    </w:p>
    <w:p w14:paraId="402C0CB8">
      <w:pPr>
        <w:spacing w:line="360" w:lineRule="auto"/>
        <w:rPr>
          <w:rFonts w:ascii="宋体" w:hAnsi="宋体"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02ACD03C">
      <w:pPr>
        <w:spacing w:line="360" w:lineRule="auto"/>
        <w:jc w:val="center"/>
        <w:rPr>
          <w:rFonts w:ascii="宋体" w:hAnsi="宋体" w:cs="仿宋_GB2312"/>
          <w:b/>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  年  月   日</w:t>
      </w:r>
    </w:p>
    <w:p w14:paraId="47C39B24">
      <w:pPr>
        <w:spacing w:line="360" w:lineRule="auto"/>
        <w:rPr>
          <w:rFonts w:ascii="宋体" w:hAnsi="宋体" w:cs="仿宋_GB2312"/>
          <w:color w:val="000000" w:themeColor="text1"/>
          <w:sz w:val="24"/>
          <w:highlight w:val="none"/>
          <w14:textFill>
            <w14:solidFill>
              <w14:schemeClr w14:val="tx1"/>
            </w14:solidFill>
          </w14:textFill>
        </w:rPr>
      </w:pPr>
    </w:p>
    <w:p w14:paraId="2C6DC4FC">
      <w:pPr>
        <w:spacing w:line="360" w:lineRule="auto"/>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注：1. 法定代表人必须在授权委托书上亲笔签字或盖章，委托代理人必须在授权委托书上亲笔签字，</w:t>
      </w:r>
      <w:r>
        <w:rPr>
          <w:rFonts w:hint="eastAsia" w:ascii="宋体" w:hAnsi="宋体" w:cs="仿宋_GB2312"/>
          <w:b/>
          <w:color w:val="000000" w:themeColor="text1"/>
          <w:sz w:val="24"/>
          <w:highlight w:val="none"/>
          <w14:textFill>
            <w14:solidFill>
              <w14:schemeClr w14:val="tx1"/>
            </w14:solidFill>
          </w14:textFill>
        </w:rPr>
        <w:t>否则其响应文件按无效响应处理。</w:t>
      </w:r>
    </w:p>
    <w:p w14:paraId="5537A7E4">
      <w:pPr>
        <w:spacing w:line="360" w:lineRule="auto"/>
        <w:ind w:firstLine="480" w:firstLineChars="200"/>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7A18EDD">
      <w:pPr>
        <w:spacing w:line="360" w:lineRule="auto"/>
        <w:ind w:firstLine="480" w:firstLineChars="200"/>
        <w:jc w:val="left"/>
        <w:rPr>
          <w:rFonts w:ascii="仿宋_GB2312" w:hAnsi="仿宋_GB2312" w:eastAsia="仿宋_GB2312"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3. 法人、其他组织竞标时“我方”是指“我单位”，自然人竞标时“我方”是指“本人”。</w:t>
      </w:r>
    </w:p>
    <w:p w14:paraId="0B4B1D48">
      <w:pPr>
        <w:spacing w:line="500" w:lineRule="exact"/>
        <w:jc w:val="center"/>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br w:type="page"/>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授权委托书（联合体竞标格式）</w:t>
      </w:r>
    </w:p>
    <w:p w14:paraId="7A6AC945">
      <w:pPr>
        <w:spacing w:line="500" w:lineRule="exact"/>
        <w:jc w:val="center"/>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（如有委托时）</w:t>
      </w:r>
    </w:p>
    <w:p w14:paraId="1B30A367">
      <w:pPr>
        <w:spacing w:line="500" w:lineRule="exact"/>
        <w:jc w:val="center"/>
        <w:rPr>
          <w:rFonts w:ascii="方正小标宋简体" w:hAnsi="方正小标宋简体" w:eastAsia="方正小标宋简体" w:cs="方正小标宋简体"/>
          <w:color w:val="000000" w:themeColor="text1"/>
          <w:sz w:val="44"/>
          <w:szCs w:val="44"/>
          <w:highlight w:val="none"/>
          <w14:textFill>
            <w14:solidFill>
              <w14:schemeClr w14:val="tx1"/>
            </w14:solidFill>
          </w14:textFill>
        </w:rPr>
      </w:pPr>
    </w:p>
    <w:p w14:paraId="0D11CE1B">
      <w:pPr>
        <w:spacing w:line="500" w:lineRule="exact"/>
        <w:jc w:val="center"/>
        <w:rPr>
          <w:rFonts w:ascii="仿宋_GB2312" w:hAnsi="仿宋_GB2312" w:eastAsia="仿宋_GB2312" w:cs="仿宋_GB2312"/>
          <w:color w:val="000000" w:themeColor="text1"/>
          <w:sz w:val="32"/>
          <w:szCs w:val="32"/>
          <w:highlight w:val="none"/>
          <w14:textFill>
            <w14:solidFill>
              <w14:schemeClr w14:val="tx1"/>
            </w14:solidFill>
          </w14:textFill>
        </w:rPr>
      </w:pPr>
    </w:p>
    <w:p w14:paraId="7B4A188F">
      <w:pPr>
        <w:spacing w:line="360" w:lineRule="auto"/>
        <w:ind w:firstLine="480" w:firstLineChars="200"/>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本授权委托书声明：根据（牵头人名称）与（联合体其他成员名称）签订的《联合体竞标协议书》的内容，（牵头人名称）的法定代表人（姓名）现授权（姓名）为联合委托代理人，并代表我方全权办理针对上述项目的所有采购程序和环节的具体事务和签署相关文件。</w:t>
      </w:r>
    </w:p>
    <w:p w14:paraId="38009C26">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我方对委托代理人的签字事项负全部责任。</w:t>
      </w:r>
    </w:p>
    <w:p w14:paraId="231B728D">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本授权书自签署之日起生效，在撤销授权的书面通知以前，本授权书一直有效。委托代理人在授权书有效期内签署的所有文件不因授权的撤销而失效。</w:t>
      </w:r>
    </w:p>
    <w:p w14:paraId="53AA12E7">
      <w:pPr>
        <w:spacing w:line="360" w:lineRule="auto"/>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委托代理人无转委托权，特此委托。</w:t>
      </w:r>
    </w:p>
    <w:p w14:paraId="0631CC7C">
      <w:pPr>
        <w:spacing w:line="360" w:lineRule="auto"/>
        <w:rPr>
          <w:rFonts w:ascii="宋体" w:hAnsi="宋体" w:cs="仿宋_GB2312"/>
          <w:color w:val="000000" w:themeColor="text1"/>
          <w:sz w:val="24"/>
          <w:highlight w:val="none"/>
          <w14:textFill>
            <w14:solidFill>
              <w14:schemeClr w14:val="tx1"/>
            </w14:solidFill>
          </w14:textFill>
        </w:rPr>
      </w:pPr>
    </w:p>
    <w:p w14:paraId="3B894044">
      <w:pPr>
        <w:spacing w:line="360" w:lineRule="auto"/>
        <w:ind w:firstLine="1560" w:firstLineChars="65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牵头人法定代表人（签字或盖章）：</w:t>
      </w:r>
    </w:p>
    <w:p w14:paraId="4BBB4C9B">
      <w:pPr>
        <w:spacing w:line="360" w:lineRule="auto"/>
        <w:ind w:firstLine="3120" w:firstLineChars="13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牵头人（电子签章）：</w:t>
      </w:r>
    </w:p>
    <w:p w14:paraId="488B5571">
      <w:pPr>
        <w:spacing w:line="360" w:lineRule="auto"/>
        <w:ind w:firstLine="3840" w:firstLineChars="16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日期：    年   月   日</w:t>
      </w:r>
    </w:p>
    <w:p w14:paraId="206EA493">
      <w:pPr>
        <w:spacing w:line="360" w:lineRule="auto"/>
        <w:rPr>
          <w:rFonts w:ascii="宋体" w:hAnsi="宋体" w:cs="仿宋_GB2312"/>
          <w:color w:val="000000" w:themeColor="text1"/>
          <w:sz w:val="24"/>
          <w:highlight w:val="none"/>
          <w14:textFill>
            <w14:solidFill>
              <w14:schemeClr w14:val="tx1"/>
            </w14:solidFill>
          </w14:textFill>
        </w:rPr>
      </w:pPr>
    </w:p>
    <w:p w14:paraId="6C4564DF">
      <w:pPr>
        <w:spacing w:line="360" w:lineRule="auto"/>
        <w:ind w:firstLine="3120" w:firstLineChars="13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被授权人（签字）：</w:t>
      </w:r>
    </w:p>
    <w:p w14:paraId="707FFC8F">
      <w:pPr>
        <w:spacing w:line="360" w:lineRule="auto"/>
        <w:ind w:firstLine="3840" w:firstLineChars="16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日期：    年   月   日</w:t>
      </w:r>
    </w:p>
    <w:p w14:paraId="437BC4F2">
      <w:pPr>
        <w:spacing w:line="360" w:lineRule="auto"/>
        <w:rPr>
          <w:rFonts w:ascii="宋体" w:hAnsi="宋体" w:cs="仿宋_GB2312"/>
          <w:color w:val="000000" w:themeColor="text1"/>
          <w:sz w:val="24"/>
          <w:highlight w:val="none"/>
          <w14:textFill>
            <w14:solidFill>
              <w14:schemeClr w14:val="tx1"/>
            </w14:solidFill>
          </w14:textFill>
        </w:rPr>
      </w:pPr>
    </w:p>
    <w:p w14:paraId="3E55A799">
      <w:pPr>
        <w:spacing w:line="360" w:lineRule="auto"/>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注：1. 法定代表人必须在授权委托书上亲笔签字或盖章，委托代理人必须在授权委托书上亲笔签字，</w:t>
      </w:r>
      <w:r>
        <w:rPr>
          <w:rFonts w:hint="eastAsia" w:ascii="宋体" w:hAnsi="宋体" w:cs="仿宋_GB2312"/>
          <w:b/>
          <w:color w:val="000000" w:themeColor="text1"/>
          <w:sz w:val="24"/>
          <w:highlight w:val="none"/>
          <w14:textFill>
            <w14:solidFill>
              <w14:schemeClr w14:val="tx1"/>
            </w14:solidFill>
          </w14:textFill>
        </w:rPr>
        <w:t>否则其响应文件按无效响应处理。</w:t>
      </w:r>
    </w:p>
    <w:p w14:paraId="5FD2FFD8">
      <w:pPr>
        <w:spacing w:line="360" w:lineRule="auto"/>
        <w:ind w:firstLine="480" w:firstLineChars="200"/>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2.本授权委托书应由联合体牵头人的法定代表人按上述规定签署。</w:t>
      </w:r>
    </w:p>
    <w:p w14:paraId="249C10A2">
      <w:pPr>
        <w:spacing w:line="360" w:lineRule="auto"/>
        <w:ind w:firstLine="480" w:firstLineChars="200"/>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69F74A9">
      <w:pPr>
        <w:spacing w:line="360" w:lineRule="auto"/>
        <w:ind w:firstLine="480" w:firstLineChars="200"/>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4.法人、其他组织竞标时“我方”是指“我单位”，自然人竞标时“我方”是指“本人”。</w:t>
      </w:r>
    </w:p>
    <w:p w14:paraId="65B56A9E">
      <w:pPr>
        <w:spacing w:line="360" w:lineRule="auto"/>
        <w:ind w:firstLine="420" w:firstLineChars="200"/>
        <w:jc w:val="left"/>
        <w:rPr>
          <w:rFonts w:ascii="仿宋_GB2312" w:hAnsi="仿宋_GB2312" w:eastAsia="仿宋_GB2312" w:cs="仿宋_GB2312"/>
          <w:color w:val="000000" w:themeColor="text1"/>
          <w:szCs w:val="21"/>
          <w:highlight w:val="none"/>
          <w14:textFill>
            <w14:solidFill>
              <w14:schemeClr w14:val="tx1"/>
            </w14:solidFill>
          </w14:textFill>
        </w:rPr>
      </w:pPr>
    </w:p>
    <w:p w14:paraId="31028A27">
      <w:pPr>
        <w:spacing w:line="520" w:lineRule="exact"/>
        <w:ind w:firstLine="640" w:firstLineChars="200"/>
        <w:jc w:val="left"/>
        <w:rPr>
          <w:rFonts w:ascii="仿宋" w:hAnsi="仿宋" w:eastAsia="仿宋"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br w:type="page"/>
      </w:r>
      <w:r>
        <w:rPr>
          <w:rFonts w:hint="eastAsia" w:ascii="仿宋" w:hAnsi="仿宋" w:eastAsia="仿宋" w:cs="仿宋_GB2312"/>
          <w:b/>
          <w:color w:val="000000" w:themeColor="text1"/>
          <w:sz w:val="30"/>
          <w:szCs w:val="30"/>
          <w:highlight w:val="none"/>
          <w14:textFill>
            <w14:solidFill>
              <w14:schemeClr w14:val="tx1"/>
            </w14:solidFill>
          </w14:textFill>
        </w:rPr>
        <w:t>四、商务条款偏离表</w:t>
      </w:r>
    </w:p>
    <w:p w14:paraId="5A8D5556">
      <w:pPr>
        <w:spacing w:line="500" w:lineRule="exact"/>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商务条款偏离表</w:t>
      </w:r>
    </w:p>
    <w:p w14:paraId="2F743183">
      <w:pPr>
        <w:spacing w:line="520" w:lineRule="exact"/>
        <w:rPr>
          <w:rFonts w:ascii="仿宋_GB2312" w:hAnsi="仿宋_GB2312" w:eastAsia="仿宋_GB2312" w:cs="仿宋_GB2312"/>
          <w:color w:val="000000" w:themeColor="text1"/>
          <w:sz w:val="32"/>
          <w:szCs w:val="32"/>
          <w:highlight w:val="none"/>
          <w14:textFill>
            <w14:solidFill>
              <w14:schemeClr w14:val="tx1"/>
            </w14:solidFill>
          </w14:textFill>
        </w:rPr>
      </w:pPr>
    </w:p>
    <w:p w14:paraId="65776E12">
      <w:pPr>
        <w:spacing w:line="360" w:lineRule="auto"/>
        <w:rPr>
          <w:rFonts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采购项目编号：</w:t>
      </w:r>
      <w:bookmarkStart w:id="83" w:name="PO_3000001868_PM001_8"/>
      <w:r>
        <w:rPr>
          <w:rFonts w:hint="eastAsia" w:ascii="宋体" w:hAnsi="宋体" w:cs="仿宋_GB2312"/>
          <w:color w:val="000000" w:themeColor="text1"/>
          <w:sz w:val="24"/>
          <w:highlight w:val="none"/>
          <w:u w:val="single"/>
          <w14:textFill>
            <w14:solidFill>
              <w14:schemeClr w14:val="tx1"/>
            </w14:solidFill>
          </w14:textFill>
        </w:rPr>
        <w:t>[项目采购-项目编号]</w:t>
      </w:r>
      <w:bookmarkEnd w:id="83"/>
    </w:p>
    <w:p w14:paraId="786E2340">
      <w:pPr>
        <w:spacing w:line="360" w:lineRule="auto"/>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采购项目名称：</w:t>
      </w:r>
      <w:bookmarkStart w:id="84" w:name="PO_3000001868_PM002_8"/>
      <w:r>
        <w:rPr>
          <w:rFonts w:hint="eastAsia" w:ascii="宋体" w:hAnsi="宋体" w:cs="仿宋_GB2312"/>
          <w:color w:val="000000" w:themeColor="text1"/>
          <w:sz w:val="24"/>
          <w:highlight w:val="none"/>
          <w:u w:val="single"/>
          <w14:textFill>
            <w14:solidFill>
              <w14:schemeClr w14:val="tx1"/>
            </w14:solidFill>
          </w14:textFill>
        </w:rPr>
        <w:t>[项目采购-项目名称]</w:t>
      </w:r>
      <w:bookmarkEnd w:id="84"/>
    </w:p>
    <w:p w14:paraId="250BF059">
      <w:pPr>
        <w:spacing w:line="360" w:lineRule="auto"/>
        <w:rPr>
          <w:rFonts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分标号</w:t>
      </w:r>
      <w:r>
        <w:rPr>
          <w:rFonts w:hint="eastAsia" w:ascii="宋体" w:hAnsi="宋体"/>
          <w:color w:val="000000" w:themeColor="text1"/>
          <w:szCs w:val="21"/>
          <w:highlight w:val="none"/>
          <w14:textFill>
            <w14:solidFill>
              <w14:schemeClr w14:val="tx1"/>
            </w14:solidFill>
          </w14:textFill>
        </w:rPr>
        <w:t>（此处有分标时填写具体分标号，无分标时填写“无”）</w:t>
      </w:r>
      <w:r>
        <w:rPr>
          <w:rFonts w:hint="eastAsia" w:ascii="宋体" w:hAnsi="宋体" w:cs="仿宋_GB2312"/>
          <w:color w:val="000000" w:themeColor="text1"/>
          <w:sz w:val="24"/>
          <w:highlight w:val="none"/>
          <w14:textFill>
            <w14:solidFill>
              <w14:schemeClr w14:val="tx1"/>
            </w14:solidFill>
          </w14:textFill>
        </w:rPr>
        <w:t>：</w:t>
      </w:r>
    </w:p>
    <w:tbl>
      <w:tblPr>
        <w:tblStyle w:val="53"/>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606"/>
        <w:gridCol w:w="2426"/>
      </w:tblGrid>
      <w:tr w14:paraId="2F6C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tcBorders>
              <w:top w:val="single" w:color="auto" w:sz="4" w:space="0"/>
              <w:left w:val="single" w:color="auto" w:sz="4" w:space="0"/>
              <w:right w:val="single" w:color="auto" w:sz="4" w:space="0"/>
            </w:tcBorders>
            <w:noWrap/>
          </w:tcPr>
          <w:p w14:paraId="4A12B17B">
            <w:pPr>
              <w:keepNext w:val="0"/>
              <w:keepLines w:val="0"/>
              <w:suppressLineNumbers w:val="0"/>
              <w:spacing w:before="0" w:beforeAutospacing="0" w:after="0" w:afterAutospacing="0" w:line="34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757" w:type="dxa"/>
            <w:tcBorders>
              <w:top w:val="single" w:color="auto" w:sz="4" w:space="0"/>
              <w:left w:val="single" w:color="auto" w:sz="4" w:space="0"/>
              <w:bottom w:val="single" w:color="auto" w:sz="4" w:space="0"/>
              <w:right w:val="single" w:color="auto" w:sz="4" w:space="0"/>
            </w:tcBorders>
            <w:noWrap/>
          </w:tcPr>
          <w:p w14:paraId="4D12E03C">
            <w:pPr>
              <w:keepNext w:val="0"/>
              <w:keepLines w:val="0"/>
              <w:suppressLineNumbers w:val="0"/>
              <w:spacing w:before="0" w:beforeAutospacing="0" w:after="0" w:afterAutospacing="0" w:line="34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竞争性磋商采购文件的商务需求</w:t>
            </w:r>
          </w:p>
        </w:tc>
        <w:tc>
          <w:tcPr>
            <w:tcW w:w="2606" w:type="dxa"/>
            <w:tcBorders>
              <w:top w:val="single" w:color="auto" w:sz="4" w:space="0"/>
              <w:left w:val="single" w:color="auto" w:sz="4" w:space="0"/>
              <w:right w:val="single" w:color="auto" w:sz="4" w:space="0"/>
            </w:tcBorders>
          </w:tcPr>
          <w:p w14:paraId="53781A65">
            <w:pPr>
              <w:keepNext w:val="0"/>
              <w:keepLines w:val="0"/>
              <w:suppressLineNumbers w:val="0"/>
              <w:spacing w:before="0" w:beforeAutospacing="0" w:after="0" w:afterAutospacing="0" w:line="34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响应文件承诺的商务条款</w:t>
            </w:r>
          </w:p>
        </w:tc>
        <w:tc>
          <w:tcPr>
            <w:tcW w:w="2426" w:type="dxa"/>
            <w:tcBorders>
              <w:top w:val="single" w:color="auto" w:sz="4" w:space="0"/>
              <w:left w:val="single" w:color="auto" w:sz="4" w:space="0"/>
              <w:right w:val="single" w:color="auto" w:sz="4" w:space="0"/>
            </w:tcBorders>
          </w:tcPr>
          <w:p w14:paraId="233807E7">
            <w:pPr>
              <w:keepNext w:val="0"/>
              <w:keepLines w:val="0"/>
              <w:suppressLineNumbers w:val="0"/>
              <w:spacing w:before="0" w:beforeAutospacing="0" w:after="0" w:afterAutospacing="0" w:line="300" w:lineRule="exact"/>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0A84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vMerge w:val="restart"/>
            <w:tcBorders>
              <w:top w:val="single" w:color="auto" w:sz="4" w:space="0"/>
              <w:left w:val="single" w:color="auto" w:sz="4" w:space="0"/>
              <w:right w:val="single" w:color="auto" w:sz="4" w:space="0"/>
            </w:tcBorders>
            <w:noWrap/>
          </w:tcPr>
          <w:p w14:paraId="5BC91572">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w:t>
            </w:r>
          </w:p>
        </w:tc>
        <w:tc>
          <w:tcPr>
            <w:tcW w:w="3757" w:type="dxa"/>
            <w:tcBorders>
              <w:top w:val="single" w:color="auto" w:sz="4" w:space="0"/>
              <w:left w:val="single" w:color="auto" w:sz="4" w:space="0"/>
              <w:bottom w:val="single" w:color="auto" w:sz="4" w:space="0"/>
              <w:right w:val="single" w:color="auto" w:sz="4" w:space="0"/>
            </w:tcBorders>
            <w:noWrap/>
          </w:tcPr>
          <w:p w14:paraId="04F2C6B8">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606" w:type="dxa"/>
            <w:tcBorders>
              <w:top w:val="single" w:color="auto" w:sz="4" w:space="0"/>
              <w:left w:val="single" w:color="auto" w:sz="4" w:space="0"/>
              <w:right w:val="single" w:color="auto" w:sz="4" w:space="0"/>
            </w:tcBorders>
          </w:tcPr>
          <w:p w14:paraId="48718225">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426" w:type="dxa"/>
            <w:tcBorders>
              <w:top w:val="single" w:color="auto" w:sz="4" w:space="0"/>
              <w:left w:val="single" w:color="auto" w:sz="4" w:space="0"/>
              <w:right w:val="single" w:color="auto" w:sz="4" w:space="0"/>
            </w:tcBorders>
          </w:tcPr>
          <w:p w14:paraId="64B7AB69">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4F9F9C09">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1BB7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vMerge w:val="continue"/>
            <w:tcBorders>
              <w:left w:val="single" w:color="auto" w:sz="4" w:space="0"/>
              <w:right w:val="single" w:color="auto" w:sz="4" w:space="0"/>
            </w:tcBorders>
            <w:noWrap/>
          </w:tcPr>
          <w:p w14:paraId="0EAAA23B">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56801F20">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1A2BD804">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606" w:type="dxa"/>
            <w:tcBorders>
              <w:left w:val="single" w:color="auto" w:sz="4" w:space="0"/>
              <w:right w:val="single" w:color="auto" w:sz="4" w:space="0"/>
            </w:tcBorders>
          </w:tcPr>
          <w:p w14:paraId="26FBB06D">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0D359095">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426" w:type="dxa"/>
            <w:tcBorders>
              <w:left w:val="single" w:color="auto" w:sz="4" w:space="0"/>
              <w:right w:val="single" w:color="auto" w:sz="4" w:space="0"/>
            </w:tcBorders>
          </w:tcPr>
          <w:p w14:paraId="13EB3243">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0A084383">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4D7D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vMerge w:val="continue"/>
            <w:tcBorders>
              <w:left w:val="single" w:color="auto" w:sz="4" w:space="0"/>
              <w:right w:val="single" w:color="auto" w:sz="4" w:space="0"/>
            </w:tcBorders>
            <w:noWrap/>
          </w:tcPr>
          <w:p w14:paraId="312BC9A0">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4AE42B75">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57F33CF">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606" w:type="dxa"/>
            <w:tcBorders>
              <w:left w:val="single" w:color="auto" w:sz="4" w:space="0"/>
              <w:right w:val="single" w:color="auto" w:sz="4" w:space="0"/>
            </w:tcBorders>
          </w:tcPr>
          <w:p w14:paraId="6E2BCEA3">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346E8147">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426" w:type="dxa"/>
            <w:tcBorders>
              <w:left w:val="single" w:color="auto" w:sz="4" w:space="0"/>
              <w:right w:val="single" w:color="auto" w:sz="4" w:space="0"/>
            </w:tcBorders>
          </w:tcPr>
          <w:p w14:paraId="2DCAC174">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624D58E">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0F03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vMerge w:val="continue"/>
            <w:tcBorders>
              <w:left w:val="single" w:color="auto" w:sz="4" w:space="0"/>
              <w:bottom w:val="single" w:color="auto" w:sz="4" w:space="0"/>
              <w:right w:val="single" w:color="auto" w:sz="4" w:space="0"/>
            </w:tcBorders>
            <w:noWrap/>
          </w:tcPr>
          <w:p w14:paraId="676278F3">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488B179B">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606" w:type="dxa"/>
            <w:tcBorders>
              <w:left w:val="single" w:color="auto" w:sz="4" w:space="0"/>
              <w:bottom w:val="single" w:color="auto" w:sz="4" w:space="0"/>
              <w:right w:val="single" w:color="auto" w:sz="4" w:space="0"/>
            </w:tcBorders>
          </w:tcPr>
          <w:p w14:paraId="1D6BF3AA">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426" w:type="dxa"/>
            <w:tcBorders>
              <w:left w:val="single" w:color="auto" w:sz="4" w:space="0"/>
              <w:bottom w:val="single" w:color="auto" w:sz="4" w:space="0"/>
              <w:right w:val="single" w:color="auto" w:sz="4" w:space="0"/>
            </w:tcBorders>
          </w:tcPr>
          <w:p w14:paraId="05B4F46D">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276870CA">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265B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vMerge w:val="restart"/>
            <w:tcBorders>
              <w:top w:val="single" w:color="auto" w:sz="4" w:space="0"/>
              <w:left w:val="single" w:color="auto" w:sz="4" w:space="0"/>
              <w:right w:val="single" w:color="auto" w:sz="4" w:space="0"/>
            </w:tcBorders>
            <w:noWrap/>
          </w:tcPr>
          <w:p w14:paraId="47486C4B">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w:t>
            </w:r>
          </w:p>
        </w:tc>
        <w:tc>
          <w:tcPr>
            <w:tcW w:w="3757" w:type="dxa"/>
            <w:tcBorders>
              <w:top w:val="single" w:color="auto" w:sz="4" w:space="0"/>
              <w:left w:val="single" w:color="auto" w:sz="4" w:space="0"/>
              <w:bottom w:val="single" w:color="auto" w:sz="4" w:space="0"/>
              <w:right w:val="single" w:color="auto" w:sz="4" w:space="0"/>
            </w:tcBorders>
            <w:noWrap/>
          </w:tcPr>
          <w:p w14:paraId="35FC2967">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606" w:type="dxa"/>
            <w:tcBorders>
              <w:top w:val="single" w:color="auto" w:sz="4" w:space="0"/>
              <w:left w:val="single" w:color="auto" w:sz="4" w:space="0"/>
              <w:right w:val="single" w:color="auto" w:sz="4" w:space="0"/>
            </w:tcBorders>
          </w:tcPr>
          <w:p w14:paraId="70E9528E">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426" w:type="dxa"/>
            <w:tcBorders>
              <w:top w:val="single" w:color="auto" w:sz="4" w:space="0"/>
              <w:left w:val="single" w:color="auto" w:sz="4" w:space="0"/>
              <w:right w:val="single" w:color="auto" w:sz="4" w:space="0"/>
            </w:tcBorders>
          </w:tcPr>
          <w:p w14:paraId="34FB184B">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0E597446">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7749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vMerge w:val="continue"/>
            <w:tcBorders>
              <w:left w:val="single" w:color="auto" w:sz="4" w:space="0"/>
              <w:right w:val="single" w:color="auto" w:sz="4" w:space="0"/>
            </w:tcBorders>
            <w:noWrap/>
          </w:tcPr>
          <w:p w14:paraId="4D98ABBF">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6B38E07B">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41C889CF">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606" w:type="dxa"/>
            <w:tcBorders>
              <w:left w:val="single" w:color="auto" w:sz="4" w:space="0"/>
              <w:right w:val="single" w:color="auto" w:sz="4" w:space="0"/>
            </w:tcBorders>
          </w:tcPr>
          <w:p w14:paraId="02AFAEC3">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4C9D5589">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426" w:type="dxa"/>
            <w:tcBorders>
              <w:left w:val="single" w:color="auto" w:sz="4" w:space="0"/>
              <w:right w:val="single" w:color="auto" w:sz="4" w:space="0"/>
            </w:tcBorders>
          </w:tcPr>
          <w:p w14:paraId="71D71F3C">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42ECDE3D">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6830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vMerge w:val="continue"/>
            <w:tcBorders>
              <w:left w:val="single" w:color="auto" w:sz="4" w:space="0"/>
              <w:right w:val="single" w:color="auto" w:sz="4" w:space="0"/>
            </w:tcBorders>
            <w:noWrap/>
          </w:tcPr>
          <w:p w14:paraId="5C11812A">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79728F9F">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0613639A">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606" w:type="dxa"/>
            <w:tcBorders>
              <w:left w:val="single" w:color="auto" w:sz="4" w:space="0"/>
              <w:right w:val="single" w:color="auto" w:sz="4" w:space="0"/>
            </w:tcBorders>
          </w:tcPr>
          <w:p w14:paraId="02D6716B">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205F9F2F">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426" w:type="dxa"/>
            <w:tcBorders>
              <w:left w:val="single" w:color="auto" w:sz="4" w:space="0"/>
              <w:right w:val="single" w:color="auto" w:sz="4" w:space="0"/>
            </w:tcBorders>
          </w:tcPr>
          <w:p w14:paraId="388B70A3">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91191FF">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44AF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vMerge w:val="continue"/>
            <w:tcBorders>
              <w:left w:val="single" w:color="auto" w:sz="4" w:space="0"/>
              <w:bottom w:val="single" w:color="auto" w:sz="4" w:space="0"/>
              <w:right w:val="single" w:color="auto" w:sz="4" w:space="0"/>
            </w:tcBorders>
            <w:noWrap/>
          </w:tcPr>
          <w:p w14:paraId="4A19DB07">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506204B3">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606" w:type="dxa"/>
            <w:tcBorders>
              <w:left w:val="single" w:color="auto" w:sz="4" w:space="0"/>
              <w:bottom w:val="single" w:color="auto" w:sz="4" w:space="0"/>
              <w:right w:val="single" w:color="auto" w:sz="4" w:space="0"/>
            </w:tcBorders>
          </w:tcPr>
          <w:p w14:paraId="7BB22772">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426" w:type="dxa"/>
            <w:tcBorders>
              <w:left w:val="single" w:color="auto" w:sz="4" w:space="0"/>
              <w:bottom w:val="single" w:color="auto" w:sz="4" w:space="0"/>
              <w:right w:val="single" w:color="auto" w:sz="4" w:space="0"/>
            </w:tcBorders>
          </w:tcPr>
          <w:p w14:paraId="310E855D">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2FC31A1A">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1FB0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vMerge w:val="restart"/>
            <w:tcBorders>
              <w:top w:val="single" w:color="auto" w:sz="4" w:space="0"/>
              <w:left w:val="single" w:color="auto" w:sz="4" w:space="0"/>
              <w:right w:val="single" w:color="auto" w:sz="4" w:space="0"/>
            </w:tcBorders>
            <w:noWrap/>
          </w:tcPr>
          <w:p w14:paraId="37C57AB6">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757" w:type="dxa"/>
            <w:tcBorders>
              <w:top w:val="single" w:color="auto" w:sz="4" w:space="0"/>
              <w:left w:val="single" w:color="auto" w:sz="4" w:space="0"/>
              <w:bottom w:val="single" w:color="auto" w:sz="4" w:space="0"/>
              <w:right w:val="single" w:color="auto" w:sz="4" w:space="0"/>
            </w:tcBorders>
            <w:noWrap/>
          </w:tcPr>
          <w:p w14:paraId="6B7A3CA4">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606" w:type="dxa"/>
            <w:tcBorders>
              <w:top w:val="single" w:color="auto" w:sz="4" w:space="0"/>
              <w:left w:val="single" w:color="auto" w:sz="4" w:space="0"/>
              <w:right w:val="single" w:color="auto" w:sz="4" w:space="0"/>
            </w:tcBorders>
          </w:tcPr>
          <w:p w14:paraId="3A08256F">
            <w:pPr>
              <w:keepNext w:val="0"/>
              <w:keepLines w:val="0"/>
              <w:suppressLineNumbers w:val="0"/>
              <w:spacing w:before="0" w:beforeAutospacing="0" w:after="0" w:afterAutospacing="0"/>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426" w:type="dxa"/>
            <w:tcBorders>
              <w:top w:val="single" w:color="auto" w:sz="4" w:space="0"/>
              <w:left w:val="single" w:color="auto" w:sz="4" w:space="0"/>
              <w:right w:val="single" w:color="auto" w:sz="4" w:space="0"/>
            </w:tcBorders>
          </w:tcPr>
          <w:p w14:paraId="3DB96C38">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4AAFF7E4">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0479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vMerge w:val="continue"/>
            <w:tcBorders>
              <w:left w:val="single" w:color="auto" w:sz="4" w:space="0"/>
              <w:right w:val="single" w:color="auto" w:sz="4" w:space="0"/>
            </w:tcBorders>
            <w:noWrap/>
          </w:tcPr>
          <w:p w14:paraId="3D2C82A7">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7485FFC4">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226EB251">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606" w:type="dxa"/>
            <w:tcBorders>
              <w:left w:val="single" w:color="auto" w:sz="4" w:space="0"/>
              <w:right w:val="single" w:color="auto" w:sz="4" w:space="0"/>
            </w:tcBorders>
          </w:tcPr>
          <w:p w14:paraId="3C9080DD">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79B046EA">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426" w:type="dxa"/>
            <w:tcBorders>
              <w:left w:val="single" w:color="auto" w:sz="4" w:space="0"/>
              <w:right w:val="single" w:color="auto" w:sz="4" w:space="0"/>
            </w:tcBorders>
          </w:tcPr>
          <w:p w14:paraId="36323A36">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2B748B5C">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043F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vMerge w:val="continue"/>
            <w:tcBorders>
              <w:left w:val="single" w:color="auto" w:sz="4" w:space="0"/>
              <w:right w:val="single" w:color="auto" w:sz="4" w:space="0"/>
            </w:tcBorders>
            <w:noWrap/>
          </w:tcPr>
          <w:p w14:paraId="2575A00B">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669D7925">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002AE040">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2606" w:type="dxa"/>
            <w:tcBorders>
              <w:left w:val="single" w:color="auto" w:sz="4" w:space="0"/>
              <w:right w:val="single" w:color="auto" w:sz="4" w:space="0"/>
            </w:tcBorders>
          </w:tcPr>
          <w:p w14:paraId="4B049CC7">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77A6EB4C">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c>
          <w:tcPr>
            <w:tcW w:w="2426" w:type="dxa"/>
            <w:tcBorders>
              <w:left w:val="single" w:color="auto" w:sz="4" w:space="0"/>
              <w:right w:val="single" w:color="auto" w:sz="4" w:space="0"/>
            </w:tcBorders>
          </w:tcPr>
          <w:p w14:paraId="5C60F5B7">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D0E329F">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732F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1" w:type="dxa"/>
            <w:vMerge w:val="continue"/>
            <w:tcBorders>
              <w:left w:val="single" w:color="auto" w:sz="4" w:space="0"/>
              <w:bottom w:val="single" w:color="auto" w:sz="4" w:space="0"/>
              <w:right w:val="single" w:color="auto" w:sz="4" w:space="0"/>
            </w:tcBorders>
            <w:noWrap/>
          </w:tcPr>
          <w:p w14:paraId="55FDAC81">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1C66F9BC">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606" w:type="dxa"/>
            <w:tcBorders>
              <w:left w:val="single" w:color="auto" w:sz="4" w:space="0"/>
              <w:bottom w:val="single" w:color="auto" w:sz="4" w:space="0"/>
              <w:right w:val="single" w:color="auto" w:sz="4" w:space="0"/>
            </w:tcBorders>
          </w:tcPr>
          <w:p w14:paraId="0E64CA37">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426" w:type="dxa"/>
            <w:tcBorders>
              <w:left w:val="single" w:color="auto" w:sz="4" w:space="0"/>
              <w:bottom w:val="single" w:color="auto" w:sz="4" w:space="0"/>
              <w:right w:val="single" w:color="auto" w:sz="4" w:space="0"/>
            </w:tcBorders>
          </w:tcPr>
          <w:p w14:paraId="5BEF52EC">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021E1A35">
            <w:pPr>
              <w:keepNext w:val="0"/>
              <w:keepLines w:val="0"/>
              <w:suppressLineNumbers w:val="0"/>
              <w:spacing w:before="0" w:beforeAutospacing="0" w:after="0" w:afterAutospacing="0" w:line="300" w:lineRule="exact"/>
              <w:ind w:left="0" w:right="0"/>
              <w:rPr>
                <w:rFonts w:hint="default" w:ascii="宋体" w:hAnsi="宋体"/>
                <w:color w:val="000000" w:themeColor="text1"/>
                <w:szCs w:val="21"/>
                <w:highlight w:val="none"/>
                <w14:textFill>
                  <w14:solidFill>
                    <w14:schemeClr w14:val="tx1"/>
                  </w14:solidFill>
                </w14:textFill>
              </w:rPr>
            </w:pPr>
          </w:p>
        </w:tc>
      </w:tr>
      <w:tr w14:paraId="051E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226FA275">
            <w:pPr>
              <w:keepNext w:val="0"/>
              <w:keepLines w:val="0"/>
              <w:suppressLineNumbers w:val="0"/>
              <w:spacing w:before="0" w:beforeAutospacing="0" w:after="0" w:afterAutospacing="0" w:line="340" w:lineRule="exact"/>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75F4DDAA">
      <w:pPr>
        <w:pStyle w:val="21"/>
        <w:spacing w:line="400" w:lineRule="exact"/>
        <w:ind w:firstLine="0" w:firstLineChars="0"/>
        <w:rPr>
          <w:rFonts w:ascii="宋体" w:hAnsi="宋体" w:eastAsia="宋体" w:cs="仿宋_GB2312"/>
          <w:color w:val="000000" w:themeColor="text1"/>
          <w:sz w:val="24"/>
          <w:szCs w:val="24"/>
          <w:highlight w:val="none"/>
          <w14:textFill>
            <w14:solidFill>
              <w14:schemeClr w14:val="tx1"/>
            </w14:solidFill>
          </w14:textFill>
        </w:rPr>
      </w:pPr>
    </w:p>
    <w:p w14:paraId="558222B2">
      <w:pPr>
        <w:pStyle w:val="21"/>
        <w:spacing w:line="400" w:lineRule="exact"/>
        <w:ind w:firstLine="0" w:firstLineChars="0"/>
        <w:rPr>
          <w:rFonts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注：</w:t>
      </w:r>
    </w:p>
    <w:p w14:paraId="66FE6DA6">
      <w:pPr>
        <w:pStyle w:val="21"/>
        <w:spacing w:line="400" w:lineRule="exact"/>
        <w:ind w:firstLine="0" w:firstLineChars="0"/>
        <w:rPr>
          <w:rFonts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1.说明：应对照磋商文件“第二章 采购需求”中的商务条款逐条作出明确响应，并作出偏离说明。</w:t>
      </w:r>
    </w:p>
    <w:p w14:paraId="65E2B438">
      <w:pPr>
        <w:pStyle w:val="21"/>
        <w:spacing w:line="400" w:lineRule="exact"/>
        <w:ind w:firstLine="0" w:firstLineChars="0"/>
        <w:rPr>
          <w:rFonts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2.供应商应根据自身的承诺，对照磋商文件要求，在“偏离说明”中注明“正偏离”、“负偏离”或者“无偏离”。既不属于“正偏离”也不属于“负偏离”即为“无偏离”。</w:t>
      </w:r>
      <w:r>
        <w:rPr>
          <w:rFonts w:hint="eastAsia" w:ascii="宋体" w:hAnsi="宋体" w:cs="仿宋_GB2312"/>
          <w:color w:val="000000" w:themeColor="text1"/>
          <w:sz w:val="24"/>
          <w:szCs w:val="24"/>
          <w:highlight w:val="none"/>
          <w14:textFill>
            <w14:solidFill>
              <w14:schemeClr w14:val="tx1"/>
            </w14:solidFill>
          </w14:textFill>
        </w:rPr>
        <w:t>当响应文件的</w:t>
      </w:r>
      <w:r>
        <w:rPr>
          <w:rFonts w:hint="eastAsia" w:ascii="宋体" w:hAnsi="宋体" w:eastAsia="宋体" w:cs="仿宋_GB2312"/>
          <w:color w:val="000000" w:themeColor="text1"/>
          <w:sz w:val="24"/>
          <w:szCs w:val="24"/>
          <w:highlight w:val="none"/>
          <w14:textFill>
            <w14:solidFill>
              <w14:schemeClr w14:val="tx1"/>
            </w14:solidFill>
          </w14:textFill>
        </w:rPr>
        <w:t>商务内容低于竞争性磋商采购文件要求时，</w:t>
      </w:r>
      <w:r>
        <w:rPr>
          <w:rFonts w:hint="eastAsia" w:ascii="宋体" w:hAnsi="宋体" w:eastAsia="宋体" w:cs="仿宋_GB2312"/>
          <w:color w:val="000000" w:themeColor="text1"/>
          <w:sz w:val="24"/>
          <w:szCs w:val="24"/>
          <w:highlight w:val="none"/>
          <w:lang w:eastAsia="zh-CN"/>
          <w14:textFill>
            <w14:solidFill>
              <w14:schemeClr w14:val="tx1"/>
            </w14:solidFill>
          </w14:textFill>
        </w:rPr>
        <w:t>供应商</w:t>
      </w:r>
      <w:r>
        <w:rPr>
          <w:rFonts w:hint="eastAsia" w:ascii="宋体" w:hAnsi="宋体" w:eastAsia="宋体" w:cs="仿宋_GB2312"/>
          <w:color w:val="000000" w:themeColor="text1"/>
          <w:sz w:val="24"/>
          <w:szCs w:val="24"/>
          <w:highlight w:val="none"/>
          <w14:textFill>
            <w14:solidFill>
              <w14:schemeClr w14:val="tx1"/>
            </w14:solidFill>
          </w14:textFill>
        </w:rPr>
        <w:t>应当如实写明“负偏离”，否则视为虚假应标</w:t>
      </w:r>
    </w:p>
    <w:p w14:paraId="3B092C29">
      <w:pPr>
        <w:spacing w:line="400" w:lineRule="exact"/>
        <w:rPr>
          <w:rFonts w:ascii="宋体" w:hAnsi="宋体" w:cs="仿宋_GB2312"/>
          <w:color w:val="000000" w:themeColor="text1"/>
          <w:kern w:val="0"/>
          <w:sz w:val="24"/>
          <w:highlight w:val="none"/>
          <w14:textFill>
            <w14:solidFill>
              <w14:schemeClr w14:val="tx1"/>
            </w14:solidFill>
          </w14:textFill>
        </w:rPr>
      </w:pPr>
      <w:r>
        <w:rPr>
          <w:rFonts w:hint="eastAsia" w:ascii="宋体" w:hAnsi="宋体" w:cs="仿宋_GB2312"/>
          <w:color w:val="000000" w:themeColor="text1"/>
          <w:kern w:val="0"/>
          <w:sz w:val="24"/>
          <w:highlight w:val="none"/>
          <w14:textFill>
            <w14:solidFill>
              <w14:schemeClr w14:val="tx1"/>
            </w14:solidFill>
          </w14:textFill>
        </w:rPr>
        <w:t>3.表格内容均需按要求填写，不得留空，否则按竞标无效处理。</w:t>
      </w:r>
    </w:p>
    <w:p w14:paraId="58BD0547">
      <w:pPr>
        <w:pStyle w:val="28"/>
        <w:spacing w:line="400" w:lineRule="exact"/>
        <w:rPr>
          <w:rFonts w:hAnsi="宋体" w:cs="仿宋_GB2312"/>
          <w:color w:val="000000" w:themeColor="text1"/>
          <w:sz w:val="24"/>
          <w:highlight w:val="none"/>
          <w14:textFill>
            <w14:solidFill>
              <w14:schemeClr w14:val="tx1"/>
            </w14:solidFill>
          </w14:textFill>
        </w:rPr>
      </w:pPr>
      <w:r>
        <w:rPr>
          <w:rFonts w:hint="eastAsia" w:hAnsi="宋体" w:cs="仿宋_GB2312"/>
          <w:color w:val="000000" w:themeColor="text1"/>
          <w:sz w:val="24"/>
          <w:szCs w:val="24"/>
          <w:highlight w:val="none"/>
          <w14:textFill>
            <w14:solidFill>
              <w14:schemeClr w14:val="tx1"/>
            </w14:solidFill>
          </w14:textFill>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06348EE0">
      <w:pPr>
        <w:spacing w:line="360" w:lineRule="auto"/>
        <w:ind w:firstLine="3840" w:firstLineChars="1600"/>
        <w:rPr>
          <w:rFonts w:ascii="宋体" w:hAnsi="宋体"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7A5F2F53">
      <w:pPr>
        <w:spacing w:line="360" w:lineRule="auto"/>
        <w:jc w:val="center"/>
        <w:rPr>
          <w:rFonts w:ascii="宋体" w:hAnsi="宋体" w:cs="仿宋_GB2312"/>
          <w:b/>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  年  月   日</w:t>
      </w:r>
    </w:p>
    <w:p w14:paraId="2EE1D6D0">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47E67BF6">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126EBF64">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5D711037">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668FA213">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6F0B7D98">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5E0E898E">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14433417">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38CB9DBC">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0568C3DA">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6B12CF41">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54BD420A">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586E8634">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t>五、企 业 概 况 表</w:t>
      </w:r>
    </w:p>
    <w:tbl>
      <w:tblPr>
        <w:tblStyle w:val="53"/>
        <w:tblW w:w="0" w:type="auto"/>
        <w:jc w:val="center"/>
        <w:tblLayout w:type="fixed"/>
        <w:tblCellMar>
          <w:top w:w="0" w:type="dxa"/>
          <w:left w:w="0" w:type="dxa"/>
          <w:bottom w:w="0" w:type="dxa"/>
          <w:right w:w="0" w:type="dxa"/>
        </w:tblCellMar>
      </w:tblPr>
      <w:tblGrid>
        <w:gridCol w:w="2008"/>
        <w:gridCol w:w="1318"/>
        <w:gridCol w:w="1382"/>
        <w:gridCol w:w="1400"/>
        <w:gridCol w:w="1513"/>
        <w:gridCol w:w="1187"/>
      </w:tblGrid>
      <w:tr w14:paraId="3749BE01">
        <w:trPr>
          <w:jc w:val="center"/>
        </w:trPr>
        <w:tc>
          <w:tcPr>
            <w:tcW w:w="20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4EAC279">
            <w:pPr>
              <w:keepNext w:val="0"/>
              <w:keepLines w:val="0"/>
              <w:suppressLineNumbers w:val="0"/>
              <w:spacing w:before="0" w:beforeAutospacing="0" w:after="0" w:afterAutospacing="0" w:line="500" w:lineRule="exact"/>
              <w:ind w:left="0" w:right="0"/>
              <w:jc w:val="center"/>
              <w:rPr>
                <w:rFonts w:hint="default" w:ascii="新宋体" w:hAnsi="新宋体" w:eastAsia="新宋体"/>
                <w:color w:val="000000" w:themeColor="text1"/>
                <w:highlight w:val="none"/>
                <w14:textFill>
                  <w14:solidFill>
                    <w14:schemeClr w14:val="tx1"/>
                  </w14:solidFill>
                </w14:textFill>
              </w:rPr>
            </w:pPr>
            <w:r>
              <w:rPr>
                <w:rFonts w:hint="eastAsia" w:ascii="新宋体" w:hAnsi="新宋体" w:eastAsia="新宋体"/>
                <w:color w:val="000000" w:themeColor="text1"/>
                <w:highlight w:val="none"/>
                <w14:textFill>
                  <w14:solidFill>
                    <w14:schemeClr w14:val="tx1"/>
                  </w14:solidFill>
                </w14:textFill>
              </w:rPr>
              <w:t>企业注册名称</w:t>
            </w:r>
          </w:p>
        </w:tc>
        <w:tc>
          <w:tcPr>
            <w:tcW w:w="4100"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089875C">
            <w:pPr>
              <w:keepNext w:val="0"/>
              <w:keepLines w:val="0"/>
              <w:suppressLineNumbers w:val="0"/>
              <w:spacing w:before="0" w:beforeAutospacing="0" w:after="0" w:afterAutospacing="0" w:line="500" w:lineRule="exact"/>
              <w:ind w:left="0" w:right="0"/>
              <w:jc w:val="center"/>
              <w:rPr>
                <w:rFonts w:hint="default" w:ascii="新宋体" w:hAnsi="新宋体" w:eastAsia="新宋体"/>
                <w:color w:val="000000" w:themeColor="text1"/>
                <w:highlight w:val="none"/>
                <w14:textFill>
                  <w14:solidFill>
                    <w14:schemeClr w14:val="tx1"/>
                  </w14:solidFill>
                </w14:textFill>
              </w:rPr>
            </w:pPr>
          </w:p>
        </w:tc>
        <w:tc>
          <w:tcPr>
            <w:tcW w:w="15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592DC7C">
            <w:pPr>
              <w:keepNext w:val="0"/>
              <w:keepLines w:val="0"/>
              <w:suppressLineNumbers w:val="0"/>
              <w:spacing w:before="0" w:beforeAutospacing="0" w:after="0" w:afterAutospacing="0" w:line="500" w:lineRule="exact"/>
              <w:ind w:left="72" w:right="0"/>
              <w:jc w:val="center"/>
              <w:rPr>
                <w:rFonts w:hint="default" w:ascii="新宋体" w:hAnsi="新宋体" w:eastAsia="新宋体"/>
                <w:color w:val="000000" w:themeColor="text1"/>
                <w:highlight w:val="none"/>
                <w14:textFill>
                  <w14:solidFill>
                    <w14:schemeClr w14:val="tx1"/>
                  </w14:solidFill>
                </w14:textFill>
              </w:rPr>
            </w:pPr>
            <w:r>
              <w:rPr>
                <w:rFonts w:hint="eastAsia" w:ascii="新宋体" w:hAnsi="新宋体" w:eastAsia="新宋体"/>
                <w:color w:val="000000" w:themeColor="text1"/>
                <w:highlight w:val="none"/>
                <w14:textFill>
                  <w14:solidFill>
                    <w14:schemeClr w14:val="tx1"/>
                  </w14:solidFill>
                </w14:textFill>
              </w:rPr>
              <w:t>建立日期</w:t>
            </w:r>
          </w:p>
        </w:tc>
        <w:tc>
          <w:tcPr>
            <w:tcW w:w="11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6C4DDDD">
            <w:pPr>
              <w:keepNext w:val="0"/>
              <w:keepLines w:val="0"/>
              <w:suppressLineNumbers w:val="0"/>
              <w:spacing w:before="0" w:beforeAutospacing="0" w:after="0" w:afterAutospacing="0" w:line="500" w:lineRule="exact"/>
              <w:ind w:left="0" w:right="0"/>
              <w:jc w:val="center"/>
              <w:rPr>
                <w:rFonts w:hint="default" w:ascii="新宋体" w:hAnsi="新宋体" w:eastAsia="新宋体"/>
                <w:color w:val="000000" w:themeColor="text1"/>
                <w:highlight w:val="none"/>
                <w14:textFill>
                  <w14:solidFill>
                    <w14:schemeClr w14:val="tx1"/>
                  </w14:solidFill>
                </w14:textFill>
              </w:rPr>
            </w:pPr>
          </w:p>
        </w:tc>
      </w:tr>
      <w:tr w14:paraId="0D807BF1">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3E4D528">
            <w:pPr>
              <w:keepNext w:val="0"/>
              <w:keepLines w:val="0"/>
              <w:suppressLineNumbers w:val="0"/>
              <w:spacing w:before="0" w:beforeAutospacing="0" w:after="0" w:afterAutospacing="0" w:line="500" w:lineRule="exact"/>
              <w:ind w:left="0" w:right="0"/>
              <w:jc w:val="center"/>
              <w:rPr>
                <w:rFonts w:hint="default" w:ascii="新宋体" w:hAnsi="新宋体" w:eastAsia="新宋体"/>
                <w:color w:val="000000" w:themeColor="text1"/>
                <w:highlight w:val="none"/>
                <w14:textFill>
                  <w14:solidFill>
                    <w14:schemeClr w14:val="tx1"/>
                  </w14:solidFill>
                </w14:textFill>
              </w:rPr>
            </w:pPr>
            <w:r>
              <w:rPr>
                <w:rFonts w:hint="eastAsia" w:ascii="新宋体" w:hAnsi="新宋体" w:eastAsia="新宋体"/>
                <w:color w:val="000000" w:themeColor="text1"/>
                <w:highlight w:val="none"/>
                <w14:textFill>
                  <w14:solidFill>
                    <w14:schemeClr w14:val="tx1"/>
                  </w14:solidFill>
                </w14:textFill>
              </w:rPr>
              <w:t>企业法人代表</w:t>
            </w:r>
          </w:p>
        </w:tc>
        <w:tc>
          <w:tcPr>
            <w:tcW w:w="13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4EC4BAC">
            <w:pPr>
              <w:keepNext w:val="0"/>
              <w:keepLines w:val="0"/>
              <w:suppressLineNumbers w:val="0"/>
              <w:spacing w:before="0" w:beforeAutospacing="0" w:after="0" w:afterAutospacing="0" w:line="500" w:lineRule="exact"/>
              <w:ind w:left="0" w:right="0"/>
              <w:rPr>
                <w:rFonts w:hint="default" w:ascii="新宋体" w:hAnsi="新宋体" w:eastAsia="新宋体"/>
                <w:color w:val="000000" w:themeColor="text1"/>
                <w:highlight w:val="none"/>
                <w14:textFill>
                  <w14:solidFill>
                    <w14:schemeClr w14:val="tx1"/>
                  </w14:solidFill>
                </w14:textFill>
              </w:rPr>
            </w:pPr>
          </w:p>
        </w:tc>
        <w:tc>
          <w:tcPr>
            <w:tcW w:w="138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95A1DC1">
            <w:pPr>
              <w:keepNext w:val="0"/>
              <w:keepLines w:val="0"/>
              <w:suppressLineNumbers w:val="0"/>
              <w:spacing w:before="0" w:beforeAutospacing="0" w:after="0" w:afterAutospacing="0" w:line="500" w:lineRule="exact"/>
              <w:ind w:left="0" w:right="0"/>
              <w:jc w:val="center"/>
              <w:rPr>
                <w:rFonts w:hint="default" w:ascii="新宋体" w:hAnsi="新宋体" w:eastAsia="新宋体"/>
                <w:color w:val="000000" w:themeColor="text1"/>
                <w:highlight w:val="none"/>
                <w14:textFill>
                  <w14:solidFill>
                    <w14:schemeClr w14:val="tx1"/>
                  </w14:solidFill>
                </w14:textFill>
              </w:rPr>
            </w:pPr>
            <w:r>
              <w:rPr>
                <w:rFonts w:hint="eastAsia" w:ascii="新宋体" w:hAnsi="新宋体" w:eastAsia="新宋体"/>
                <w:color w:val="000000" w:themeColor="text1"/>
                <w:highlight w:val="none"/>
                <w14:textFill>
                  <w14:solidFill>
                    <w14:schemeClr w14:val="tx1"/>
                  </w14:solidFill>
                </w14:textFill>
              </w:rPr>
              <w:t>职    称</w:t>
            </w:r>
          </w:p>
        </w:tc>
        <w:tc>
          <w:tcPr>
            <w:tcW w:w="140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FF9D0FD">
            <w:pPr>
              <w:keepNext w:val="0"/>
              <w:keepLines w:val="0"/>
              <w:suppressLineNumbers w:val="0"/>
              <w:spacing w:before="0" w:beforeAutospacing="0" w:after="0" w:afterAutospacing="0" w:line="500" w:lineRule="exact"/>
              <w:ind w:left="0" w:right="0"/>
              <w:jc w:val="center"/>
              <w:rPr>
                <w:rFonts w:hint="default" w:ascii="新宋体" w:hAnsi="新宋体" w:eastAsia="新宋体"/>
                <w:color w:val="000000" w:themeColor="text1"/>
                <w:highlight w:val="none"/>
                <w14:textFill>
                  <w14:solidFill>
                    <w14:schemeClr w14:val="tx1"/>
                  </w14:solidFill>
                </w14:textFill>
              </w:rPr>
            </w:pPr>
          </w:p>
        </w:tc>
        <w:tc>
          <w:tcPr>
            <w:tcW w:w="151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7869BB">
            <w:pPr>
              <w:keepNext w:val="0"/>
              <w:keepLines w:val="0"/>
              <w:suppressLineNumbers w:val="0"/>
              <w:spacing w:before="0" w:beforeAutospacing="0" w:after="0" w:afterAutospacing="0" w:line="500" w:lineRule="exact"/>
              <w:ind w:left="72" w:right="0"/>
              <w:jc w:val="center"/>
              <w:rPr>
                <w:rFonts w:hint="default" w:ascii="新宋体" w:hAnsi="新宋体" w:eastAsia="新宋体"/>
                <w:color w:val="000000" w:themeColor="text1"/>
                <w:highlight w:val="none"/>
                <w14:textFill>
                  <w14:solidFill>
                    <w14:schemeClr w14:val="tx1"/>
                  </w14:solidFill>
                </w14:textFill>
              </w:rPr>
            </w:pPr>
            <w:r>
              <w:rPr>
                <w:rFonts w:hint="eastAsia" w:ascii="新宋体" w:hAnsi="新宋体" w:eastAsia="新宋体"/>
                <w:color w:val="000000" w:themeColor="text1"/>
                <w:highlight w:val="none"/>
                <w14:textFill>
                  <w14:solidFill>
                    <w14:schemeClr w14:val="tx1"/>
                  </w14:solidFill>
                </w14:textFill>
              </w:rPr>
              <w:t>企业性质</w:t>
            </w:r>
          </w:p>
        </w:tc>
        <w:tc>
          <w:tcPr>
            <w:tcW w:w="11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32046E5">
            <w:pPr>
              <w:keepNext w:val="0"/>
              <w:keepLines w:val="0"/>
              <w:suppressLineNumbers w:val="0"/>
              <w:spacing w:before="0" w:beforeAutospacing="0" w:after="0" w:afterAutospacing="0" w:line="500" w:lineRule="exact"/>
              <w:ind w:left="0" w:right="0"/>
              <w:jc w:val="center"/>
              <w:rPr>
                <w:rFonts w:hint="default" w:ascii="新宋体" w:hAnsi="新宋体" w:eastAsia="新宋体"/>
                <w:color w:val="000000" w:themeColor="text1"/>
                <w:highlight w:val="none"/>
                <w14:textFill>
                  <w14:solidFill>
                    <w14:schemeClr w14:val="tx1"/>
                  </w14:solidFill>
                </w14:textFill>
              </w:rPr>
            </w:pPr>
          </w:p>
        </w:tc>
      </w:tr>
      <w:tr w14:paraId="33B099EC">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C038BB6">
            <w:pPr>
              <w:keepNext w:val="0"/>
              <w:keepLines w:val="0"/>
              <w:suppressLineNumbers w:val="0"/>
              <w:spacing w:before="0" w:beforeAutospacing="0" w:after="0" w:afterAutospacing="0" w:line="500" w:lineRule="exact"/>
              <w:ind w:left="0" w:right="0"/>
              <w:jc w:val="center"/>
              <w:rPr>
                <w:rFonts w:hint="default" w:ascii="新宋体" w:hAnsi="新宋体" w:eastAsia="新宋体"/>
                <w:color w:val="000000" w:themeColor="text1"/>
                <w:highlight w:val="none"/>
                <w14:textFill>
                  <w14:solidFill>
                    <w14:schemeClr w14:val="tx1"/>
                  </w14:solidFill>
                </w14:textFill>
              </w:rPr>
            </w:pPr>
            <w:r>
              <w:rPr>
                <w:rFonts w:hint="eastAsia" w:ascii="新宋体" w:hAnsi="新宋体" w:eastAsia="新宋体"/>
                <w:color w:val="000000" w:themeColor="text1"/>
                <w:highlight w:val="none"/>
                <w14:textFill>
                  <w14:solidFill>
                    <w14:schemeClr w14:val="tx1"/>
                  </w14:solidFill>
                </w14:textFill>
              </w:rPr>
              <w:t>企业资质等级</w:t>
            </w:r>
          </w:p>
        </w:tc>
        <w:tc>
          <w:tcPr>
            <w:tcW w:w="13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11ED5D3">
            <w:pPr>
              <w:keepNext w:val="0"/>
              <w:keepLines w:val="0"/>
              <w:suppressLineNumbers w:val="0"/>
              <w:spacing w:before="0" w:beforeAutospacing="0" w:after="0" w:afterAutospacing="0" w:line="500" w:lineRule="exact"/>
              <w:ind w:left="0" w:right="0"/>
              <w:rPr>
                <w:rFonts w:hint="default" w:ascii="新宋体" w:hAnsi="新宋体" w:eastAsia="新宋体"/>
                <w:color w:val="000000" w:themeColor="text1"/>
                <w:highlight w:val="none"/>
                <w14:textFill>
                  <w14:solidFill>
                    <w14:schemeClr w14:val="tx1"/>
                  </w14:solidFill>
                </w14:textFill>
              </w:rPr>
            </w:pPr>
          </w:p>
        </w:tc>
        <w:tc>
          <w:tcPr>
            <w:tcW w:w="138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6E7EEBE">
            <w:pPr>
              <w:keepNext w:val="0"/>
              <w:keepLines w:val="0"/>
              <w:suppressLineNumbers w:val="0"/>
              <w:spacing w:before="0" w:beforeAutospacing="0" w:after="0" w:afterAutospacing="0" w:line="500" w:lineRule="exact"/>
              <w:ind w:left="0" w:right="0"/>
              <w:jc w:val="center"/>
              <w:rPr>
                <w:rFonts w:hint="default" w:ascii="新宋体" w:hAnsi="新宋体" w:eastAsia="新宋体"/>
                <w:color w:val="000000" w:themeColor="text1"/>
                <w:highlight w:val="none"/>
                <w14:textFill>
                  <w14:solidFill>
                    <w14:schemeClr w14:val="tx1"/>
                  </w14:solidFill>
                </w14:textFill>
              </w:rPr>
            </w:pPr>
            <w:r>
              <w:rPr>
                <w:rFonts w:hint="eastAsia" w:ascii="新宋体" w:hAnsi="新宋体" w:eastAsia="新宋体"/>
                <w:color w:val="000000" w:themeColor="text1"/>
                <w:highlight w:val="none"/>
                <w14:textFill>
                  <w14:solidFill>
                    <w14:schemeClr w14:val="tx1"/>
                  </w14:solidFill>
                </w14:textFill>
              </w:rPr>
              <w:t>经营方式</w:t>
            </w:r>
          </w:p>
        </w:tc>
        <w:tc>
          <w:tcPr>
            <w:tcW w:w="4100"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7D5B87A">
            <w:pPr>
              <w:keepNext w:val="0"/>
              <w:keepLines w:val="0"/>
              <w:suppressLineNumbers w:val="0"/>
              <w:spacing w:before="0" w:beforeAutospacing="0" w:after="0" w:afterAutospacing="0" w:line="500" w:lineRule="exact"/>
              <w:ind w:left="0" w:right="0"/>
              <w:jc w:val="center"/>
              <w:rPr>
                <w:rFonts w:hint="default" w:ascii="新宋体" w:hAnsi="新宋体" w:eastAsia="新宋体"/>
                <w:color w:val="000000" w:themeColor="text1"/>
                <w:highlight w:val="none"/>
                <w14:textFill>
                  <w14:solidFill>
                    <w14:schemeClr w14:val="tx1"/>
                  </w14:solidFill>
                </w14:textFill>
              </w:rPr>
            </w:pPr>
          </w:p>
        </w:tc>
      </w:tr>
      <w:tr w14:paraId="2961712A">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F720E15">
            <w:pPr>
              <w:keepNext w:val="0"/>
              <w:keepLines w:val="0"/>
              <w:suppressLineNumbers w:val="0"/>
              <w:spacing w:before="0" w:beforeAutospacing="0" w:after="0" w:afterAutospacing="0" w:line="500" w:lineRule="exact"/>
              <w:ind w:left="0" w:right="0"/>
              <w:jc w:val="center"/>
              <w:rPr>
                <w:rFonts w:hint="default" w:ascii="新宋体" w:hAnsi="新宋体" w:eastAsia="新宋体"/>
                <w:color w:val="000000" w:themeColor="text1"/>
                <w:highlight w:val="none"/>
                <w14:textFill>
                  <w14:solidFill>
                    <w14:schemeClr w14:val="tx1"/>
                  </w14:solidFill>
                </w14:textFill>
              </w:rPr>
            </w:pPr>
            <w:r>
              <w:rPr>
                <w:rFonts w:hint="eastAsia" w:ascii="新宋体" w:hAnsi="新宋体" w:eastAsia="新宋体"/>
                <w:color w:val="000000" w:themeColor="text1"/>
                <w:highlight w:val="none"/>
                <w14:textFill>
                  <w14:solidFill>
                    <w14:schemeClr w14:val="tx1"/>
                  </w14:solidFill>
                </w14:textFill>
              </w:rPr>
              <w:t>上级主管部门</w:t>
            </w:r>
          </w:p>
        </w:tc>
        <w:tc>
          <w:tcPr>
            <w:tcW w:w="6800"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841278A">
            <w:pPr>
              <w:keepNext w:val="0"/>
              <w:keepLines w:val="0"/>
              <w:suppressLineNumbers w:val="0"/>
              <w:spacing w:before="0" w:beforeAutospacing="0" w:after="0" w:afterAutospacing="0" w:line="500" w:lineRule="exact"/>
              <w:ind w:left="0" w:right="0"/>
              <w:jc w:val="center"/>
              <w:rPr>
                <w:rFonts w:hint="default" w:ascii="新宋体" w:hAnsi="新宋体" w:eastAsia="新宋体"/>
                <w:color w:val="000000" w:themeColor="text1"/>
                <w:highlight w:val="none"/>
                <w14:textFill>
                  <w14:solidFill>
                    <w14:schemeClr w14:val="tx1"/>
                  </w14:solidFill>
                </w14:textFill>
              </w:rPr>
            </w:pPr>
          </w:p>
        </w:tc>
      </w:tr>
      <w:tr w14:paraId="4605CCC7">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3C0B021">
            <w:pPr>
              <w:keepNext w:val="0"/>
              <w:keepLines w:val="0"/>
              <w:suppressLineNumbers w:val="0"/>
              <w:spacing w:before="0" w:beforeAutospacing="0" w:after="0" w:afterAutospacing="0" w:line="500" w:lineRule="exact"/>
              <w:ind w:left="0" w:right="0"/>
              <w:jc w:val="center"/>
              <w:rPr>
                <w:rFonts w:hint="default" w:ascii="新宋体" w:hAnsi="新宋体" w:eastAsia="新宋体"/>
                <w:color w:val="000000" w:themeColor="text1"/>
                <w:highlight w:val="none"/>
                <w14:textFill>
                  <w14:solidFill>
                    <w14:schemeClr w14:val="tx1"/>
                  </w14:solidFill>
                </w14:textFill>
              </w:rPr>
            </w:pPr>
            <w:r>
              <w:rPr>
                <w:rFonts w:hint="eastAsia" w:ascii="新宋体" w:hAnsi="新宋体" w:eastAsia="新宋体"/>
                <w:color w:val="000000" w:themeColor="text1"/>
                <w:highlight w:val="none"/>
                <w14:textFill>
                  <w14:solidFill>
                    <w14:schemeClr w14:val="tx1"/>
                  </w14:solidFill>
                </w14:textFill>
              </w:rPr>
              <w:t>批准成立机构</w:t>
            </w:r>
          </w:p>
        </w:tc>
        <w:tc>
          <w:tcPr>
            <w:tcW w:w="6800"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917D5CF">
            <w:pPr>
              <w:keepNext w:val="0"/>
              <w:keepLines w:val="0"/>
              <w:suppressLineNumbers w:val="0"/>
              <w:spacing w:before="0" w:beforeAutospacing="0" w:after="0" w:afterAutospacing="0" w:line="500" w:lineRule="exact"/>
              <w:ind w:left="0" w:right="0"/>
              <w:rPr>
                <w:rFonts w:hint="default" w:ascii="新宋体" w:hAnsi="新宋体" w:eastAsia="新宋体"/>
                <w:color w:val="000000" w:themeColor="text1"/>
                <w:highlight w:val="none"/>
                <w14:textFill>
                  <w14:solidFill>
                    <w14:schemeClr w14:val="tx1"/>
                  </w14:solidFill>
                </w14:textFill>
              </w:rPr>
            </w:pPr>
          </w:p>
        </w:tc>
      </w:tr>
      <w:tr w14:paraId="2B54379E">
        <w:tblPrEx>
          <w:tblCellMar>
            <w:top w:w="0" w:type="dxa"/>
            <w:left w:w="0" w:type="dxa"/>
            <w:bottom w:w="0" w:type="dxa"/>
            <w:right w:w="0" w:type="dxa"/>
          </w:tblCellMar>
        </w:tblPrEx>
        <w:trPr>
          <w:trHeight w:val="1334" w:hRule="atLeast"/>
          <w:jc w:val="center"/>
        </w:trPr>
        <w:tc>
          <w:tcPr>
            <w:tcW w:w="20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E3ABBC6">
            <w:pPr>
              <w:keepNext w:val="0"/>
              <w:keepLines w:val="0"/>
              <w:suppressLineNumbers w:val="0"/>
              <w:spacing w:before="0" w:beforeAutospacing="0" w:after="0" w:afterAutospacing="0" w:line="500" w:lineRule="exact"/>
              <w:ind w:left="0" w:right="0"/>
              <w:jc w:val="center"/>
              <w:rPr>
                <w:rFonts w:hint="default" w:ascii="新宋体" w:hAnsi="新宋体" w:eastAsia="新宋体"/>
                <w:color w:val="000000" w:themeColor="text1"/>
                <w:highlight w:val="none"/>
                <w14:textFill>
                  <w14:solidFill>
                    <w14:schemeClr w14:val="tx1"/>
                  </w14:solidFill>
                </w14:textFill>
              </w:rPr>
            </w:pPr>
            <w:r>
              <w:rPr>
                <w:rFonts w:hint="eastAsia" w:ascii="新宋体" w:hAnsi="新宋体" w:eastAsia="新宋体"/>
                <w:color w:val="000000" w:themeColor="text1"/>
                <w:highlight w:val="none"/>
                <w14:textFill>
                  <w14:solidFill>
                    <w14:schemeClr w14:val="tx1"/>
                  </w14:solidFill>
                </w14:textFill>
              </w:rPr>
              <w:t>经营范围</w:t>
            </w:r>
          </w:p>
        </w:tc>
        <w:tc>
          <w:tcPr>
            <w:tcW w:w="6800"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08E23AA">
            <w:pPr>
              <w:keepNext w:val="0"/>
              <w:keepLines w:val="0"/>
              <w:suppressLineNumbers w:val="0"/>
              <w:spacing w:before="0" w:beforeAutospacing="0" w:after="0" w:afterAutospacing="0" w:line="500" w:lineRule="exact"/>
              <w:ind w:left="0" w:right="0"/>
              <w:rPr>
                <w:rFonts w:hint="default" w:ascii="新宋体" w:hAnsi="新宋体" w:eastAsia="新宋体"/>
                <w:color w:val="000000" w:themeColor="text1"/>
                <w:highlight w:val="none"/>
                <w14:textFill>
                  <w14:solidFill>
                    <w14:schemeClr w14:val="tx1"/>
                  </w14:solidFill>
                </w14:textFill>
              </w:rPr>
            </w:pPr>
          </w:p>
        </w:tc>
      </w:tr>
      <w:tr w14:paraId="685CC9B4">
        <w:tblPrEx>
          <w:tblCellMar>
            <w:top w:w="0" w:type="dxa"/>
            <w:left w:w="0" w:type="dxa"/>
            <w:bottom w:w="0" w:type="dxa"/>
            <w:right w:w="0" w:type="dxa"/>
          </w:tblCellMar>
        </w:tblPrEx>
        <w:trPr>
          <w:trHeight w:val="5620" w:hRule="atLeast"/>
          <w:jc w:val="center"/>
        </w:trPr>
        <w:tc>
          <w:tcPr>
            <w:tcW w:w="20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7340BFC">
            <w:pPr>
              <w:keepNext w:val="0"/>
              <w:keepLines w:val="0"/>
              <w:suppressLineNumbers w:val="0"/>
              <w:spacing w:before="0" w:beforeAutospacing="0" w:after="0" w:afterAutospacing="0" w:line="500" w:lineRule="exact"/>
              <w:ind w:left="0" w:right="0"/>
              <w:jc w:val="center"/>
              <w:rPr>
                <w:rFonts w:hint="default" w:ascii="新宋体" w:hAnsi="新宋体" w:eastAsia="新宋体"/>
                <w:color w:val="000000" w:themeColor="text1"/>
                <w:highlight w:val="none"/>
                <w14:textFill>
                  <w14:solidFill>
                    <w14:schemeClr w14:val="tx1"/>
                  </w14:solidFill>
                </w14:textFill>
              </w:rPr>
            </w:pPr>
            <w:r>
              <w:rPr>
                <w:rFonts w:hint="eastAsia" w:ascii="新宋体" w:hAnsi="新宋体" w:eastAsia="新宋体"/>
                <w:color w:val="000000" w:themeColor="text1"/>
                <w:highlight w:val="none"/>
                <w14:textFill>
                  <w14:solidFill>
                    <w14:schemeClr w14:val="tx1"/>
                  </w14:solidFill>
                </w14:textFill>
              </w:rPr>
              <w:t>企业简介</w:t>
            </w:r>
          </w:p>
        </w:tc>
        <w:tc>
          <w:tcPr>
            <w:tcW w:w="6800"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864CC82">
            <w:pPr>
              <w:keepNext w:val="0"/>
              <w:keepLines w:val="0"/>
              <w:suppressLineNumbers w:val="0"/>
              <w:spacing w:before="0" w:beforeAutospacing="0" w:after="0" w:afterAutospacing="0" w:line="500" w:lineRule="exact"/>
              <w:ind w:left="0" w:right="0"/>
              <w:rPr>
                <w:rFonts w:hint="default" w:ascii="新宋体" w:hAnsi="新宋体" w:eastAsia="新宋体"/>
                <w:color w:val="000000" w:themeColor="text1"/>
                <w:highlight w:val="none"/>
                <w14:textFill>
                  <w14:solidFill>
                    <w14:schemeClr w14:val="tx1"/>
                  </w14:solidFill>
                </w14:textFill>
              </w:rPr>
            </w:pPr>
          </w:p>
        </w:tc>
      </w:tr>
    </w:tbl>
    <w:p w14:paraId="217CF3EF">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5A79B1AC">
      <w:pPr>
        <w:autoSpaceDE w:val="0"/>
        <w:autoSpaceDN w:val="0"/>
        <w:spacing w:line="360" w:lineRule="auto"/>
        <w:ind w:left="4335" w:leftChars="1950" w:hanging="240" w:hangingChars="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3107DE25">
      <w:pPr>
        <w:autoSpaceDE w:val="0"/>
        <w:autoSpaceDN w:val="0"/>
        <w:spacing w:line="360" w:lineRule="auto"/>
        <w:ind w:firstLine="6480" w:firstLineChars="2700"/>
        <w:rPr>
          <w:rFonts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050B59F4">
      <w:pPr>
        <w:snapToGrid w:val="0"/>
        <w:spacing w:before="120" w:beforeLines="50" w:after="50"/>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4B0B0D77">
      <w:pPr>
        <w:snapToGrid w:val="0"/>
        <w:spacing w:before="120" w:beforeLines="50" w:after="50"/>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657B1073">
      <w:pPr>
        <w:snapToGrid w:val="0"/>
        <w:spacing w:before="120" w:beforeLines="50" w:after="50"/>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5B125998">
      <w:pPr>
        <w:snapToGrid w:val="0"/>
        <w:spacing w:before="120" w:beforeLines="50" w:after="50"/>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4A3DDDAB">
      <w:pPr>
        <w:snapToGrid w:val="0"/>
        <w:spacing w:before="120" w:beforeLines="50" w:after="50"/>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0EF190B7">
      <w:pPr>
        <w:snapToGrid w:val="0"/>
        <w:spacing w:before="120" w:beforeLines="50" w:after="50"/>
        <w:ind w:firstLine="602" w:firstLineChars="200"/>
        <w:rPr>
          <w:rFonts w:ascii="仿宋" w:hAnsi="仿宋" w:eastAsia="仿宋" w:cs="仿宋_GB2312"/>
          <w:b/>
          <w:color w:val="000000" w:themeColor="text1"/>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t>六、近三年来施工企业承建的项目竣工工程情况表</w:t>
      </w:r>
    </w:p>
    <w:p w14:paraId="48DE85A2">
      <w:pPr>
        <w:snapToGrid w:val="0"/>
        <w:spacing w:before="120" w:beforeLines="50" w:after="50"/>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tbl>
      <w:tblPr>
        <w:tblStyle w:val="53"/>
        <w:tblW w:w="0" w:type="auto"/>
        <w:jc w:val="center"/>
        <w:tblLayout w:type="fixed"/>
        <w:tblCellMar>
          <w:top w:w="0" w:type="dxa"/>
          <w:left w:w="0" w:type="dxa"/>
          <w:bottom w:w="0" w:type="dxa"/>
          <w:right w:w="0" w:type="dxa"/>
        </w:tblCellMar>
      </w:tblPr>
      <w:tblGrid>
        <w:gridCol w:w="1788"/>
        <w:gridCol w:w="1260"/>
        <w:gridCol w:w="1173"/>
        <w:gridCol w:w="1137"/>
        <w:gridCol w:w="1575"/>
        <w:gridCol w:w="1509"/>
        <w:gridCol w:w="1221"/>
      </w:tblGrid>
      <w:tr w14:paraId="4253A1CD">
        <w:tblPrEx>
          <w:tblCellMar>
            <w:top w:w="0" w:type="dxa"/>
            <w:left w:w="0" w:type="dxa"/>
            <w:bottom w:w="0" w:type="dxa"/>
            <w:right w:w="0" w:type="dxa"/>
          </w:tblCellMar>
        </w:tblPrEx>
        <w:trPr>
          <w:trHeight w:val="623"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08788AF">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建设单位</w:t>
            </w: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27C28B3">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项目名称</w:t>
            </w: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73EBBDA">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结构类型及跨度</w:t>
            </w: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0406397">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建筑面积</w:t>
            </w: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2E638F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开、竣工日期</w:t>
            </w: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2091E14">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合同价款</w:t>
            </w: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814C4B0">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质量等级</w:t>
            </w:r>
          </w:p>
        </w:tc>
      </w:tr>
      <w:tr w14:paraId="437D1B08">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3AD814F">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58BC268">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4E3CDB8">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25B69AF">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BF1D0DC">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084A7F8">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D72549D">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51683BE3">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F6831CD">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B1D0756">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DF06ABB">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2E96740">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4253826">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9D090E8">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5DF0124">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5FCE10D4">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10CB895">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87482C4">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576E73D">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1E204A7">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697C2C3">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3FBBA98">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6AAFD8F">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5297A96F">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E9652A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4CD2B90">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5046E04">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1FD1C47">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C3DC027">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94D2EE0">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E730219">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53B823D8">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40552EF">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99EE0C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6765219">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FB8D7F1">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7443C6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5DD8EAD">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1C5EA71">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6091BA6D">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190920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D9011B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39C97A0">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EF187F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492947C">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4A984B8">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F37473D">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270683EC">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A1D7544">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AF3C013">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88C5DA1">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C94A19A">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AB443A9">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4A95E5D">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EE198BA">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452888A7">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128056E">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27435A0">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810F635">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5C66FCF">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6074EF7">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B438044">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A21AFD7">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695C01CE">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0152A0D">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0DB69CB">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D0D6826">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0A7A224">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2BE47EF">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685FC74">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306354B">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489AC5C1">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6C75710">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271D48F">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71CD39A">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05BA4E4">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BAF1DAF">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974D14A">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C88A836">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4E816630">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1E90A1D">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4B8E887">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F0A1A85">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34BCE6D">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408B103">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5FD9183">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9251093">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0F36F654">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A8884C0">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655BAC9">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2D34A65">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E8CBD3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E7F729B">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A534039">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BF9DCB0">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7A0D0C38">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2100DF9">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B2DCCAE">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CD5C1D3">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2EFB7A6">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E33C67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E23FB9">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D2B58F0">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257B1C10">
        <w:tblPrEx>
          <w:tblCellMar>
            <w:top w:w="0" w:type="dxa"/>
            <w:left w:w="0" w:type="dxa"/>
            <w:bottom w:w="0" w:type="dxa"/>
            <w:right w:w="0" w:type="dxa"/>
          </w:tblCellMar>
        </w:tblPrEx>
        <w:trPr>
          <w:trHeight w:val="500" w:hRule="exact"/>
          <w:jc w:val="center"/>
        </w:trPr>
        <w:tc>
          <w:tcPr>
            <w:tcW w:w="1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82BE7F6">
            <w:pPr>
              <w:keepNext w:val="0"/>
              <w:keepLines w:val="0"/>
              <w:suppressLineNumbers w:val="0"/>
              <w:spacing w:before="0" w:beforeAutospacing="0" w:after="0" w:afterAutospacing="0"/>
              <w:ind w:left="0" w:right="0"/>
              <w:jc w:val="center"/>
              <w:rPr>
                <w:rFonts w:hint="default" w:hAnsi="Courier New"/>
                <w:color w:val="000000" w:themeColor="text1"/>
                <w:sz w:val="32"/>
                <w:highlight w:val="none"/>
                <w14:textFill>
                  <w14:solidFill>
                    <w14:schemeClr w14:val="tx1"/>
                  </w14:solidFill>
                </w14:textFill>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96933D0">
            <w:pPr>
              <w:keepNext w:val="0"/>
              <w:keepLines w:val="0"/>
              <w:suppressLineNumbers w:val="0"/>
              <w:spacing w:before="0" w:beforeAutospacing="0" w:after="0" w:afterAutospacing="0"/>
              <w:ind w:left="0" w:right="0"/>
              <w:jc w:val="center"/>
              <w:rPr>
                <w:rFonts w:hint="default" w:hAnsi="Courier New"/>
                <w:color w:val="000000" w:themeColor="text1"/>
                <w:sz w:val="32"/>
                <w:highlight w:val="none"/>
                <w14:textFill>
                  <w14:solidFill>
                    <w14:schemeClr w14:val="tx1"/>
                  </w14:solidFill>
                </w14:textFill>
              </w:rPr>
            </w:pPr>
          </w:p>
        </w:tc>
        <w:tc>
          <w:tcPr>
            <w:tcW w:w="11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3CF9F6E">
            <w:pPr>
              <w:keepNext w:val="0"/>
              <w:keepLines w:val="0"/>
              <w:suppressLineNumbers w:val="0"/>
              <w:spacing w:before="0" w:beforeAutospacing="0" w:after="0" w:afterAutospacing="0"/>
              <w:ind w:left="0" w:right="0"/>
              <w:jc w:val="center"/>
              <w:rPr>
                <w:rFonts w:hint="default" w:hAnsi="Courier New"/>
                <w:color w:val="000000" w:themeColor="text1"/>
                <w:sz w:val="32"/>
                <w:highlight w:val="none"/>
                <w14:textFill>
                  <w14:solidFill>
                    <w14:schemeClr w14:val="tx1"/>
                  </w14:solidFill>
                </w14:textFill>
              </w:rPr>
            </w:pPr>
          </w:p>
        </w:tc>
        <w:tc>
          <w:tcPr>
            <w:tcW w:w="11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76F50CB">
            <w:pPr>
              <w:keepNext w:val="0"/>
              <w:keepLines w:val="0"/>
              <w:suppressLineNumbers w:val="0"/>
              <w:spacing w:before="0" w:beforeAutospacing="0" w:after="0" w:afterAutospacing="0"/>
              <w:ind w:left="0" w:right="0"/>
              <w:jc w:val="center"/>
              <w:rPr>
                <w:rFonts w:hint="default" w:hAnsi="Courier New"/>
                <w:color w:val="000000" w:themeColor="text1"/>
                <w:sz w:val="32"/>
                <w:highlight w:val="none"/>
                <w14:textFill>
                  <w14:solidFill>
                    <w14:schemeClr w14:val="tx1"/>
                  </w14:solidFill>
                </w14:textFill>
              </w:rPr>
            </w:pPr>
          </w:p>
        </w:tc>
        <w:tc>
          <w:tcPr>
            <w:tcW w:w="15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FE02DB9">
            <w:pPr>
              <w:keepNext w:val="0"/>
              <w:keepLines w:val="0"/>
              <w:suppressLineNumbers w:val="0"/>
              <w:spacing w:before="0" w:beforeAutospacing="0" w:after="0" w:afterAutospacing="0"/>
              <w:ind w:left="0" w:right="0"/>
              <w:jc w:val="center"/>
              <w:rPr>
                <w:rFonts w:hint="default" w:hAnsi="Courier New"/>
                <w:color w:val="000000" w:themeColor="text1"/>
                <w:sz w:val="32"/>
                <w:highlight w:val="none"/>
                <w14:textFill>
                  <w14:solidFill>
                    <w14:schemeClr w14:val="tx1"/>
                  </w14:solidFill>
                </w14:textFill>
              </w:rPr>
            </w:pPr>
          </w:p>
        </w:tc>
        <w:tc>
          <w:tcPr>
            <w:tcW w:w="15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7B6552C">
            <w:pPr>
              <w:keepNext w:val="0"/>
              <w:keepLines w:val="0"/>
              <w:suppressLineNumbers w:val="0"/>
              <w:spacing w:before="0" w:beforeAutospacing="0" w:after="0" w:afterAutospacing="0"/>
              <w:ind w:left="0" w:right="0"/>
              <w:jc w:val="center"/>
              <w:rPr>
                <w:rFonts w:hint="default" w:hAnsi="Courier New"/>
                <w:color w:val="000000" w:themeColor="text1"/>
                <w:sz w:val="32"/>
                <w:highlight w:val="none"/>
                <w14:textFill>
                  <w14:solidFill>
                    <w14:schemeClr w14:val="tx1"/>
                  </w14:solidFill>
                </w14:textFill>
              </w:rPr>
            </w:pPr>
          </w:p>
        </w:tc>
        <w:tc>
          <w:tcPr>
            <w:tcW w:w="122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2D8EC69">
            <w:pPr>
              <w:keepNext w:val="0"/>
              <w:keepLines w:val="0"/>
              <w:suppressLineNumbers w:val="0"/>
              <w:spacing w:before="0" w:beforeAutospacing="0" w:after="0" w:afterAutospacing="0"/>
              <w:ind w:left="0" w:right="0"/>
              <w:jc w:val="center"/>
              <w:rPr>
                <w:rFonts w:hint="default" w:hAnsi="Courier New"/>
                <w:color w:val="000000" w:themeColor="text1"/>
                <w:sz w:val="32"/>
                <w:highlight w:val="none"/>
                <w14:textFill>
                  <w14:solidFill>
                    <w14:schemeClr w14:val="tx1"/>
                  </w14:solidFill>
                </w14:textFill>
              </w:rPr>
            </w:pPr>
          </w:p>
        </w:tc>
      </w:tr>
    </w:tbl>
    <w:p w14:paraId="72490037">
      <w:pPr>
        <w:jc w:val="center"/>
        <w:rPr>
          <w:rFonts w:hAnsi="Courier New"/>
          <w:color w:val="000000" w:themeColor="text1"/>
          <w:sz w:val="32"/>
          <w:szCs w:val="20"/>
          <w:highlight w:val="none"/>
          <w14:textFill>
            <w14:solidFill>
              <w14:schemeClr w14:val="tx1"/>
            </w14:solidFill>
          </w14:textFill>
        </w:rPr>
      </w:pPr>
    </w:p>
    <w:p w14:paraId="69EF5EED">
      <w:pPr>
        <w:rPr>
          <w:rFonts w:hAnsi="Courier New"/>
          <w:color w:val="000000" w:themeColor="text1"/>
          <w:highlight w:val="none"/>
          <w14:textFill>
            <w14:solidFill>
              <w14:schemeClr w14:val="tx1"/>
            </w14:solidFill>
          </w14:textFill>
        </w:rPr>
      </w:pPr>
    </w:p>
    <w:p w14:paraId="3503F4E8">
      <w:pPr>
        <w:autoSpaceDE w:val="0"/>
        <w:autoSpaceDN w:val="0"/>
        <w:spacing w:line="360" w:lineRule="auto"/>
        <w:ind w:left="4335" w:leftChars="1950" w:hanging="240" w:hangingChars="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458E482E">
      <w:pPr>
        <w:autoSpaceDE w:val="0"/>
        <w:autoSpaceDN w:val="0"/>
        <w:spacing w:line="360" w:lineRule="auto"/>
        <w:ind w:firstLine="6480" w:firstLineChars="270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50B45C29">
      <w:pPr>
        <w:rPr>
          <w:rFonts w:hAnsi="Courier New"/>
          <w:color w:val="000000" w:themeColor="text1"/>
          <w:highlight w:val="none"/>
          <w14:textFill>
            <w14:solidFill>
              <w14:schemeClr w14:val="tx1"/>
            </w14:solidFill>
          </w14:textFill>
        </w:rPr>
      </w:pPr>
    </w:p>
    <w:p w14:paraId="6CADB122">
      <w:pPr>
        <w:widowControl/>
        <w:jc w:val="left"/>
        <w:rPr>
          <w:rFonts w:ascii="仿宋_GB2312" w:hAnsi="仿宋_GB2312" w:eastAsia="仿宋_GB2312" w:cs="仿宋_GB2312"/>
          <w:color w:val="000000" w:themeColor="text1"/>
          <w:sz w:val="32"/>
          <w:szCs w:val="32"/>
          <w:highlight w:val="none"/>
          <w14:textFill>
            <w14:solidFill>
              <w14:schemeClr w14:val="tx1"/>
            </w14:solidFill>
          </w14:textFill>
        </w:rPr>
        <w:sectPr>
          <w:pgSz w:w="11910" w:h="16840"/>
          <w:pgMar w:top="1340" w:right="1500" w:bottom="280" w:left="1680" w:header="720" w:footer="720" w:gutter="0"/>
          <w:cols w:space="720" w:num="1"/>
        </w:sectPr>
      </w:pPr>
    </w:p>
    <w:p w14:paraId="35F1393A">
      <w:pPr>
        <w:snapToGrid w:val="0"/>
        <w:spacing w:line="360" w:lineRule="auto"/>
        <w:ind w:firstLine="602" w:firstLineChars="20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t>七、项目经理（或建造师）简历表</w:t>
      </w:r>
    </w:p>
    <w:tbl>
      <w:tblPr>
        <w:tblStyle w:val="53"/>
        <w:tblW w:w="0" w:type="auto"/>
        <w:jc w:val="center"/>
        <w:tblLayout w:type="fixed"/>
        <w:tblCellMar>
          <w:top w:w="0" w:type="dxa"/>
          <w:left w:w="0" w:type="dxa"/>
          <w:bottom w:w="0" w:type="dxa"/>
          <w:right w:w="0" w:type="dxa"/>
        </w:tblCellMar>
      </w:tblPr>
      <w:tblGrid>
        <w:gridCol w:w="1158"/>
        <w:gridCol w:w="2005"/>
        <w:gridCol w:w="1155"/>
        <w:gridCol w:w="1565"/>
        <w:gridCol w:w="1060"/>
        <w:gridCol w:w="1670"/>
      </w:tblGrid>
      <w:tr w14:paraId="77399E17">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7EAFAE6">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姓名</w:t>
            </w: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A099CF7">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83B8C0D">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性别</w:t>
            </w:r>
          </w:p>
        </w:tc>
        <w:tc>
          <w:tcPr>
            <w:tcW w:w="15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8BB4690">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F7AD70">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年龄</w:t>
            </w: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B788EBF">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5468A19D">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0F7720C">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职务</w:t>
            </w: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CB68687">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1B9A905">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职称</w:t>
            </w:r>
          </w:p>
        </w:tc>
        <w:tc>
          <w:tcPr>
            <w:tcW w:w="15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846DEF8">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639E409">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学历</w:t>
            </w: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98FBA9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08D9DE05">
        <w:tblPrEx>
          <w:tblCellMar>
            <w:top w:w="0" w:type="dxa"/>
            <w:left w:w="0" w:type="dxa"/>
            <w:bottom w:w="0" w:type="dxa"/>
            <w:right w:w="0" w:type="dxa"/>
          </w:tblCellMar>
        </w:tblPrEx>
        <w:trPr>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B335877">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参加工作时间</w:t>
            </w: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2458BA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ED0AE45">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从事项目经理（或建造师）年限</w:t>
            </w:r>
          </w:p>
        </w:tc>
        <w:tc>
          <w:tcPr>
            <w:tcW w:w="15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0FA35F1">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0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0A471C6">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资质等级</w:t>
            </w: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D9DD288">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6CE05007">
        <w:tblPrEx>
          <w:tblCellMar>
            <w:top w:w="0" w:type="dxa"/>
            <w:left w:w="0" w:type="dxa"/>
            <w:bottom w:w="0" w:type="dxa"/>
            <w:right w:w="0" w:type="dxa"/>
          </w:tblCellMar>
        </w:tblPrEx>
        <w:trPr>
          <w:trHeight w:val="500" w:hRule="exact"/>
          <w:jc w:val="center"/>
        </w:trPr>
        <w:tc>
          <w:tcPr>
            <w:tcW w:w="4318"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4EF8B60">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拟在本工程中担任的工作和职务</w:t>
            </w:r>
          </w:p>
        </w:tc>
        <w:tc>
          <w:tcPr>
            <w:tcW w:w="4295"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9C509A3">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56566ECC">
        <w:tblPrEx>
          <w:tblCellMar>
            <w:top w:w="0" w:type="dxa"/>
            <w:left w:w="0" w:type="dxa"/>
            <w:bottom w:w="0" w:type="dxa"/>
            <w:right w:w="0" w:type="dxa"/>
          </w:tblCellMar>
        </w:tblPrEx>
        <w:trPr>
          <w:trHeight w:val="500" w:hRule="atLeast"/>
          <w:jc w:val="center"/>
        </w:trPr>
        <w:tc>
          <w:tcPr>
            <w:tcW w:w="8613" w:type="dxa"/>
            <w:gridSpan w:val="6"/>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F7F532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已完工程项目情况</w:t>
            </w:r>
          </w:p>
        </w:tc>
      </w:tr>
      <w:tr w14:paraId="32D7DE51">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8A31E6">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建设单位</w:t>
            </w: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6E26FAF">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项目名称</w:t>
            </w: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84798C7">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建筑规模</w:t>
            </w: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F7C3211">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开竣工日期</w:t>
            </w: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096F9B">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质量等级</w:t>
            </w:r>
          </w:p>
        </w:tc>
      </w:tr>
      <w:tr w14:paraId="1A8D9ACB">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2CBB36D">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22E9D8C">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DEE2D1F">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27DC2A7">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1CD6E2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44C9BF71">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72EF34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4241DAD">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0F2827F">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934D7E6">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1067976">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09489AD6">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7C42D71">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C6057C5">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6E6DEE">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2D3299B">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B74CE6A">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56384E90">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9C6CAA">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9E52CA9">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B62D6F7">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005DCDA">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CC4A881">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26346253">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2CC900B">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0ADE038">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7762C70">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4D73A1E">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631B721">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6B5EC2BF">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0CAF2A5">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20BFB8A">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722AD55">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620A06D">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CDE999D">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7CEF421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708DA74">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0E1985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3B50779">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D7C8B9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67F8FE">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195DE33D">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7C948F2">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1B4419B">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620DD0B">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18878B3">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0B8FB35">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07E7281E">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2E1E14E">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60838E8">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118711C">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4C62046">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3ABBF08">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33D48BAB">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3F627B8">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BC4BD2B">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8E82C5D">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3672387">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CCC08C1">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4A8F87A5">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3B96A0A">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4D2C4A5">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4CDCE0F">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8C32C38">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B94DBBA">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3D39E9F2">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FA6C58B">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0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B6C44E6">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508810F">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262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59093B5">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6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505EFAA">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21F86A29">
        <w:tblPrEx>
          <w:tblCellMar>
            <w:top w:w="0" w:type="dxa"/>
            <w:left w:w="0" w:type="dxa"/>
            <w:bottom w:w="0" w:type="dxa"/>
            <w:right w:w="0" w:type="dxa"/>
          </w:tblCellMar>
        </w:tblPrEx>
        <w:trPr>
          <w:trHeight w:val="2291" w:hRule="exact"/>
          <w:jc w:val="center"/>
        </w:trPr>
        <w:tc>
          <w:tcPr>
            <w:tcW w:w="8613" w:type="dxa"/>
            <w:gridSpan w:val="6"/>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D29B2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hAnsi="Courier New"/>
                <w:color w:val="000000" w:themeColor="text1"/>
                <w:highlight w:val="none"/>
                <w14:textFill>
                  <w14:solidFill>
                    <w14:schemeClr w14:val="tx1"/>
                  </w14:solidFill>
                </w14:textFill>
              </w:rPr>
            </w:pPr>
            <w:r>
              <w:rPr>
                <w:rFonts w:hint="default" w:hAnsi="Courier New"/>
                <w:color w:val="000000" w:themeColor="text1"/>
                <w:highlight w:val="none"/>
                <w14:textFill>
                  <w14:solidFill>
                    <w14:schemeClr w14:val="tx1"/>
                  </w14:solidFill>
                </w14:textFill>
              </w:rPr>
              <w:t>供应商拟派的项目经理须具备建筑工程专业贰级(含)以上注册建造师执业资格及有效的安全生产考核合格证书（B类），本项目不接受在建、已中标未开工或已列为其他项目成交候选人第一名的建造师作为项目经理。符合《广西壮族自治区建筑市场诚信卡管理暂行办法》第十六条第一款及桂建管﹝2016﹞70号文除外</w:t>
            </w:r>
          </w:p>
          <w:p w14:paraId="1E6B81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hAnsi="Courier New"/>
                <w:color w:val="000000" w:themeColor="text1"/>
                <w:highlight w:val="none"/>
                <w14:textFill>
                  <w14:solidFill>
                    <w14:schemeClr w14:val="tx1"/>
                  </w14:solidFill>
                </w14:textFill>
              </w:rPr>
            </w:pPr>
            <w:r>
              <w:rPr>
                <w:rFonts w:hint="default" w:hAnsi="Courier New"/>
                <w:color w:val="000000" w:themeColor="text1"/>
                <w:highlight w:val="none"/>
                <w14:textFill>
                  <w14:solidFill>
                    <w14:schemeClr w14:val="tx1"/>
                  </w14:solidFill>
                </w14:textFill>
              </w:rPr>
              <w:t>一旦我单位成交，将实行项目经理负责制，我方保证并配备上述</w:t>
            </w:r>
            <w:r>
              <w:rPr>
                <w:rFonts w:hint="eastAsia" w:hAnsi="Courier New"/>
                <w:color w:val="000000" w:themeColor="text1"/>
                <w:highlight w:val="none"/>
                <w:lang w:val="en-US" w:eastAsia="zh-CN"/>
                <w14:textFill>
                  <w14:solidFill>
                    <w14:schemeClr w14:val="tx1"/>
                  </w14:solidFill>
                </w14:textFill>
              </w:rPr>
              <w:t>人员</w:t>
            </w:r>
            <w:r>
              <w:rPr>
                <w:rFonts w:hint="default" w:hAnsi="Courier New"/>
                <w:color w:val="000000" w:themeColor="text1"/>
                <w:highlight w:val="none"/>
                <w14:textFill>
                  <w14:solidFill>
                    <w14:schemeClr w14:val="tx1"/>
                  </w14:solidFill>
                </w14:textFill>
              </w:rPr>
              <w:t>。上述填报内容真实，若不真实，愿按有关规定接受处理。</w:t>
            </w:r>
          </w:p>
          <w:p w14:paraId="2B1EA6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hAnsi="Courier New"/>
                <w:color w:val="000000" w:themeColor="text1"/>
                <w:highlight w:val="none"/>
                <w14:textFill>
                  <w14:solidFill>
                    <w14:schemeClr w14:val="tx1"/>
                  </w14:solidFill>
                </w14:textFill>
              </w:rPr>
            </w:pPr>
            <w:r>
              <w:rPr>
                <w:rFonts w:hint="default" w:hAnsi="Courier New"/>
                <w:color w:val="000000" w:themeColor="text1"/>
                <w:highlight w:val="none"/>
                <w14:textFill>
                  <w14:solidFill>
                    <w14:schemeClr w14:val="tx1"/>
                  </w14:solidFill>
                </w14:textFill>
              </w:rPr>
              <w:t>项目经理（或建造师）或注册建造师资质等级证书复印件及资质等级年检情况等情况</w:t>
            </w:r>
            <w:r>
              <w:rPr>
                <w:rFonts w:hint="eastAsia" w:hAnsi="Courier New"/>
                <w:color w:val="000000" w:themeColor="text1"/>
                <w:highlight w:val="none"/>
                <w:lang w:val="en-US" w:eastAsia="zh-CN"/>
                <w14:textFill>
                  <w14:solidFill>
                    <w14:schemeClr w14:val="tx1"/>
                  </w14:solidFill>
                </w14:textFill>
              </w:rPr>
              <w:t>附后</w:t>
            </w:r>
            <w:r>
              <w:rPr>
                <w:rFonts w:hint="default" w:hAnsi="Courier New"/>
                <w:color w:val="000000" w:themeColor="text1"/>
                <w:highlight w:val="none"/>
                <w14:textFill>
                  <w14:solidFill>
                    <w14:schemeClr w14:val="tx1"/>
                  </w14:solidFill>
                </w14:textFill>
              </w:rPr>
              <w:t>。</w:t>
            </w:r>
          </w:p>
        </w:tc>
      </w:tr>
    </w:tbl>
    <w:p w14:paraId="1C8E24D8">
      <w:pPr>
        <w:rPr>
          <w:rFonts w:hAnsi="Courier New"/>
          <w:color w:val="000000" w:themeColor="text1"/>
          <w:szCs w:val="20"/>
          <w:highlight w:val="none"/>
          <w14:textFill>
            <w14:solidFill>
              <w14:schemeClr w14:val="tx1"/>
            </w14:solidFill>
          </w14:textFill>
        </w:rPr>
      </w:pPr>
    </w:p>
    <w:p w14:paraId="015B34B4">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782469AE">
      <w:pPr>
        <w:autoSpaceDE w:val="0"/>
        <w:autoSpaceDN w:val="0"/>
        <w:spacing w:line="360" w:lineRule="auto"/>
        <w:ind w:left="4335" w:leftChars="1950" w:hanging="240" w:hangingChars="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76E234C0">
      <w:pPr>
        <w:autoSpaceDE w:val="0"/>
        <w:autoSpaceDN w:val="0"/>
        <w:spacing w:line="360" w:lineRule="auto"/>
        <w:ind w:firstLine="6480" w:firstLineChars="2700"/>
        <w:rPr>
          <w:rFonts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60352064">
      <w:pPr>
        <w:adjustRightInd w:val="0"/>
        <w:snapToGrid w:val="0"/>
        <w:spacing w:line="520" w:lineRule="exact"/>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53CBA3EC">
      <w:pPr>
        <w:adjustRightInd w:val="0"/>
        <w:snapToGrid w:val="0"/>
        <w:spacing w:line="520" w:lineRule="exact"/>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02C73185">
      <w:pPr>
        <w:adjustRightInd w:val="0"/>
        <w:snapToGrid w:val="0"/>
        <w:spacing w:line="520" w:lineRule="exact"/>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1C0B067F">
      <w:pPr>
        <w:adjustRightInd w:val="0"/>
        <w:snapToGrid w:val="0"/>
        <w:spacing w:line="520" w:lineRule="exact"/>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110CA6DA">
      <w:pPr>
        <w:widowControl/>
        <w:jc w:val="left"/>
        <w:rPr>
          <w:rFonts w:ascii="仿宋_GB2312" w:hAnsi="仿宋" w:eastAsia="仿宋_GB2312" w:cs="仿宋_GB2312"/>
          <w:color w:val="000000" w:themeColor="text1"/>
          <w:kern w:val="0"/>
          <w:sz w:val="24"/>
          <w:highlight w:val="none"/>
          <w:lang w:val="zh-CN"/>
          <w14:textFill>
            <w14:solidFill>
              <w14:schemeClr w14:val="tx1"/>
            </w14:solidFill>
          </w14:textFill>
        </w:rPr>
        <w:sectPr>
          <w:pgSz w:w="11910" w:h="16840"/>
          <w:pgMar w:top="1340" w:right="1500" w:bottom="280" w:left="1680" w:header="720" w:footer="720" w:gutter="0"/>
          <w:cols w:space="720" w:num="1"/>
        </w:sectPr>
      </w:pPr>
    </w:p>
    <w:p w14:paraId="696FE341">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t>八、主要施工管理人员表</w:t>
      </w:r>
    </w:p>
    <w:tbl>
      <w:tblPr>
        <w:tblStyle w:val="53"/>
        <w:tblW w:w="9663" w:type="dxa"/>
        <w:jc w:val="center"/>
        <w:tblLayout w:type="fixed"/>
        <w:tblCellMar>
          <w:top w:w="0" w:type="dxa"/>
          <w:left w:w="0" w:type="dxa"/>
          <w:bottom w:w="0" w:type="dxa"/>
          <w:right w:w="0" w:type="dxa"/>
        </w:tblCellMar>
      </w:tblPr>
      <w:tblGrid>
        <w:gridCol w:w="1745"/>
        <w:gridCol w:w="1155"/>
        <w:gridCol w:w="1155"/>
        <w:gridCol w:w="1155"/>
        <w:gridCol w:w="4453"/>
      </w:tblGrid>
      <w:tr w14:paraId="373D1F68">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6D6E664">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职务</w:t>
            </w: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AFD05EA">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姓名</w:t>
            </w: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720DB15">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证书编号</w:t>
            </w: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0C2F250">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职称</w:t>
            </w: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7FB22A4">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r>
              <w:rPr>
                <w:rFonts w:hint="eastAsia" w:hAnsi="Courier New"/>
                <w:color w:val="000000" w:themeColor="text1"/>
                <w:highlight w:val="none"/>
                <w14:textFill>
                  <w14:solidFill>
                    <w14:schemeClr w14:val="tx1"/>
                  </w14:solidFill>
                </w14:textFill>
              </w:rPr>
              <w:t>证书名称</w:t>
            </w:r>
          </w:p>
        </w:tc>
      </w:tr>
      <w:tr w14:paraId="1F1C9683">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25B205D">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6215C25">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1344AF">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615167C">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6EA10F9">
            <w:pPr>
              <w:keepNext w:val="0"/>
              <w:keepLines w:val="0"/>
              <w:suppressLineNumbers w:val="0"/>
              <w:spacing w:before="0" w:beforeAutospacing="0" w:after="0" w:afterAutospacing="0"/>
              <w:ind w:left="0" w:right="0"/>
              <w:jc w:val="center"/>
              <w:rPr>
                <w:rFonts w:hint="default" w:hAnsi="Courier New"/>
                <w:color w:val="000000" w:themeColor="text1"/>
                <w:highlight w:val="none"/>
                <w14:textFill>
                  <w14:solidFill>
                    <w14:schemeClr w14:val="tx1"/>
                  </w14:solidFill>
                </w14:textFill>
              </w:rPr>
            </w:pPr>
          </w:p>
        </w:tc>
      </w:tr>
      <w:tr w14:paraId="0DDD1DBC">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21EFEAA">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8E635EF">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16082FE">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34C9856">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AB7BDD0">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79E3B423">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BE46827">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BC0C0ED">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62B496B">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DE776DD">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30E6260">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645D932D">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B07CDF5">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DF9B4B8">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52BFD11">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4EE6C76">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850A0CF">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597884D4">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166B441">
            <w:pPr>
              <w:keepNext w:val="0"/>
              <w:keepLines w:val="0"/>
              <w:suppressLineNumbers w:val="0"/>
              <w:spacing w:before="0" w:beforeAutospacing="0" w:after="0" w:afterAutospacing="0"/>
              <w:ind w:left="0" w:right="0" w:firstLine="377"/>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C4F60D2">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9C6B9CF">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ACBE60E">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8513ABA">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38F90827">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33EDD2D">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130FC65">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037811B">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C665B90">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9B99BC8">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54E48A8B">
        <w:tblPrEx>
          <w:tblCellMar>
            <w:top w:w="0" w:type="dxa"/>
            <w:left w:w="0" w:type="dxa"/>
            <w:bottom w:w="0" w:type="dxa"/>
            <w:right w:w="0" w:type="dxa"/>
          </w:tblCellMar>
        </w:tblPrEx>
        <w:trPr>
          <w:trHeight w:val="701"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57925F2">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ACA679D">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1636D05">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D781083">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AC014EE">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3AB98D2B">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C9CC138">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DD04804">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FE4A985">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661CB46">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27F2540">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09784C5B">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2BE5D4F">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E0CC6E4">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A6E2E3E">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720823F">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311E813">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0ECF27CB">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40BE8C6">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57A93EB">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339F53B">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C1B0774">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09A555B">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3DAD3823">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4A36FB4">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1A1BD62">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D2B333C">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7CC0CE8">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9BC9635">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31BC8D8A">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6900BCD">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23DCDF7">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1C0694B">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5E650AA">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F148954">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6A743D50">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F4001A2">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0E908D8">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CB62A40">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7766899">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1EC17A5">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7EB983A9">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47B31C2">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9532AD3">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3838A50">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31CDB23">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5F120A4">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5191A2C5">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40B4BE8">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57335A0">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614CB28">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3B126F7">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942ED22">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3AB8AB76">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4A0F395">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r>
              <w:rPr>
                <w:rFonts w:hint="default" w:hAnsi="Courier New"/>
                <w:color w:val="000000" w:themeColor="text1"/>
                <w:highlight w:val="none"/>
                <w14:textFill>
                  <w14:solidFill>
                    <w14:schemeClr w14:val="tx1"/>
                  </w14:solidFill>
                </w14:textFill>
              </w:rPr>
              <w:t>.....</w:t>
            </w: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C37F8F5">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D6C6824">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A6F8BA5">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B4942A8">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2A19C2B5">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A01B95D">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A4C60E4">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09898F0">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207354F">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54B775E">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77FD28F0">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B82E209">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160F63A">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50F7F40">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BC363D8">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AE9E888">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6621BE19">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AAB02DE">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BF8E566">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A2B4F94">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76B4DC5">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251D5F4">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0E2EBCD2">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25DA551">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1BC7680">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C3A6695">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538D1AC">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27AFF45">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r w14:paraId="64A1E70D">
        <w:tblPrEx>
          <w:tblCellMar>
            <w:top w:w="0" w:type="dxa"/>
            <w:left w:w="0" w:type="dxa"/>
            <w:bottom w:w="0" w:type="dxa"/>
            <w:right w:w="0" w:type="dxa"/>
          </w:tblCellMar>
        </w:tblPrEx>
        <w:trPr>
          <w:trHeight w:val="500" w:hRule="exact"/>
          <w:jc w:val="center"/>
        </w:trPr>
        <w:tc>
          <w:tcPr>
            <w:tcW w:w="17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A9B9566">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8522605">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7EB4FF4">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11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B72991D">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c>
          <w:tcPr>
            <w:tcW w:w="44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750B384">
            <w:pPr>
              <w:keepNext w:val="0"/>
              <w:keepLines w:val="0"/>
              <w:suppressLineNumbers w:val="0"/>
              <w:spacing w:before="0" w:beforeAutospacing="0" w:after="0" w:afterAutospacing="0"/>
              <w:ind w:left="0" w:right="0"/>
              <w:rPr>
                <w:rFonts w:hint="default" w:hAnsi="Courier New"/>
                <w:color w:val="000000" w:themeColor="text1"/>
                <w:highlight w:val="none"/>
                <w14:textFill>
                  <w14:solidFill>
                    <w14:schemeClr w14:val="tx1"/>
                  </w14:solidFill>
                </w14:textFill>
              </w:rPr>
            </w:pPr>
          </w:p>
        </w:tc>
      </w:tr>
    </w:tbl>
    <w:p w14:paraId="3B70F7D3">
      <w:pPr>
        <w:tabs>
          <w:tab w:val="left" w:pos="0"/>
        </w:tabs>
        <w:spacing w:line="360" w:lineRule="auto"/>
        <w:ind w:right="-210"/>
        <w:rPr>
          <w:rFonts w:eastAsia="楷体_GB2312"/>
          <w:color w:val="000000" w:themeColor="text1"/>
          <w:highlight w:val="none"/>
          <w14:textFill>
            <w14:solidFill>
              <w14:schemeClr w14:val="tx1"/>
            </w14:solidFill>
          </w14:textFill>
        </w:rPr>
      </w:pPr>
      <w:r>
        <w:rPr>
          <w:rFonts w:hint="eastAsia" w:eastAsia="楷体_GB2312" w:cs="楷体_GB2312"/>
          <w:color w:val="000000" w:themeColor="text1"/>
          <w:highlight w:val="none"/>
          <w14:textFill>
            <w14:solidFill>
              <w14:schemeClr w14:val="tx1"/>
            </w14:solidFill>
          </w14:textFill>
        </w:rPr>
        <w:t>【备注：附各岗位人员资格证件（如有）扫描件。以上扫描件均为原件的扫描件】</w:t>
      </w:r>
    </w:p>
    <w:p w14:paraId="2DE7737A">
      <w:pPr>
        <w:spacing w:line="500" w:lineRule="exact"/>
        <w:rPr>
          <w:rFonts w:ascii="仿宋_GB2312" w:hAnsi="仿宋_GB2312" w:eastAsia="仿宋_GB2312" w:cs="仿宋_GB2312"/>
          <w:color w:val="000000" w:themeColor="text1"/>
          <w:sz w:val="32"/>
          <w:szCs w:val="32"/>
          <w:highlight w:val="none"/>
          <w14:textFill>
            <w14:solidFill>
              <w14:schemeClr w14:val="tx1"/>
            </w14:solidFill>
          </w14:textFill>
        </w:rPr>
      </w:pPr>
    </w:p>
    <w:p w14:paraId="2BF723D8">
      <w:pPr>
        <w:autoSpaceDE w:val="0"/>
        <w:autoSpaceDN w:val="0"/>
        <w:spacing w:line="360" w:lineRule="auto"/>
        <w:ind w:left="4335" w:leftChars="1950" w:hanging="240" w:hangingChars="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133F23DD">
      <w:pPr>
        <w:autoSpaceDE w:val="0"/>
        <w:autoSpaceDN w:val="0"/>
        <w:spacing w:line="360" w:lineRule="auto"/>
        <w:ind w:firstLine="6480" w:firstLineChars="2700"/>
        <w:rPr>
          <w:rFonts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64F5F979">
      <w:pPr>
        <w:spacing w:line="500" w:lineRule="exact"/>
        <w:rPr>
          <w:rFonts w:ascii="仿宋_GB2312" w:hAnsi="仿宋_GB2312" w:eastAsia="仿宋_GB2312" w:cs="仿宋_GB2312"/>
          <w:color w:val="000000" w:themeColor="text1"/>
          <w:sz w:val="32"/>
          <w:szCs w:val="32"/>
          <w:highlight w:val="none"/>
          <w14:textFill>
            <w14:solidFill>
              <w14:schemeClr w14:val="tx1"/>
            </w14:solidFill>
          </w14:textFill>
        </w:rPr>
      </w:pPr>
    </w:p>
    <w:p w14:paraId="79F58B12">
      <w:pPr>
        <w:spacing w:line="500" w:lineRule="exact"/>
        <w:rPr>
          <w:rFonts w:ascii="仿宋_GB2312" w:hAnsi="仿宋_GB2312" w:eastAsia="仿宋_GB2312" w:cs="仿宋_GB2312"/>
          <w:color w:val="000000" w:themeColor="text1"/>
          <w:sz w:val="32"/>
          <w:szCs w:val="32"/>
          <w:highlight w:val="none"/>
          <w14:textFill>
            <w14:solidFill>
              <w14:schemeClr w14:val="tx1"/>
            </w14:solidFill>
          </w14:textFill>
        </w:rPr>
      </w:pPr>
    </w:p>
    <w:p w14:paraId="65B29A71">
      <w:pPr>
        <w:spacing w:line="500" w:lineRule="exact"/>
        <w:rPr>
          <w:rFonts w:ascii="仿宋_GB2312" w:hAnsi="仿宋_GB2312" w:eastAsia="仿宋_GB2312" w:cs="仿宋_GB2312"/>
          <w:color w:val="000000" w:themeColor="text1"/>
          <w:sz w:val="32"/>
          <w:szCs w:val="32"/>
          <w:highlight w:val="none"/>
          <w14:textFill>
            <w14:solidFill>
              <w14:schemeClr w14:val="tx1"/>
            </w14:solidFill>
          </w14:textFill>
        </w:rPr>
      </w:pPr>
    </w:p>
    <w:p w14:paraId="595337A4">
      <w:pPr>
        <w:snapToGrid w:val="0"/>
        <w:spacing w:before="120" w:beforeLines="50" w:after="50"/>
        <w:ind w:left="143" w:leftChars="68" w:firstLine="596" w:firstLineChars="198"/>
        <w:rPr>
          <w:rFonts w:ascii="仿宋" w:hAnsi="仿宋" w:eastAsia="仿宋" w:cs="仿宋_GB2312"/>
          <w:b/>
          <w:color w:val="000000" w:themeColor="text1"/>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t>九、施工组织设计</w:t>
      </w:r>
    </w:p>
    <w:p w14:paraId="529E87A4">
      <w:pPr>
        <w:snapToGrid w:val="0"/>
        <w:spacing w:before="120" w:beforeLines="50" w:after="50"/>
        <w:ind w:left="143" w:leftChars="68"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由</w:t>
      </w:r>
      <w:r>
        <w:rPr>
          <w:rFonts w:hint="eastAsia" w:hAnsi="宋体"/>
          <w:color w:val="000000" w:themeColor="text1"/>
          <w:highlight w:val="none"/>
          <w:lang w:eastAsia="zh-CN"/>
          <w14:textFill>
            <w14:solidFill>
              <w14:schemeClr w14:val="tx1"/>
            </w14:solidFill>
          </w14:textFill>
        </w:rPr>
        <w:t>供应商</w:t>
      </w:r>
      <w:r>
        <w:rPr>
          <w:rFonts w:hint="eastAsia" w:hAnsi="宋体"/>
          <w:color w:val="000000" w:themeColor="text1"/>
          <w:highlight w:val="none"/>
          <w14:textFill>
            <w14:solidFill>
              <w14:schemeClr w14:val="tx1"/>
            </w14:solidFill>
          </w14:textFill>
        </w:rPr>
        <w:t>按本项目竞争性磋商采购文件第二章“采购需求”要求自行填写。</w:t>
      </w:r>
    </w:p>
    <w:p w14:paraId="3269AAA3">
      <w:pPr>
        <w:spacing w:line="500" w:lineRule="exact"/>
        <w:rPr>
          <w:rFonts w:ascii="仿宋_GB2312" w:hAnsi="仿宋_GB2312" w:eastAsia="仿宋_GB2312" w:cs="仿宋_GB2312"/>
          <w:color w:val="000000" w:themeColor="text1"/>
          <w:sz w:val="32"/>
          <w:szCs w:val="32"/>
          <w:highlight w:val="none"/>
          <w14:textFill>
            <w14:solidFill>
              <w14:schemeClr w14:val="tx1"/>
            </w14:solidFill>
          </w14:textFill>
        </w:rPr>
      </w:pPr>
    </w:p>
    <w:p w14:paraId="2FC44073">
      <w:pPr>
        <w:autoSpaceDE w:val="0"/>
        <w:autoSpaceDN w:val="0"/>
        <w:spacing w:line="360" w:lineRule="auto"/>
        <w:ind w:left="4335" w:leftChars="1950" w:hanging="240" w:hangingChars="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798069F7">
      <w:pPr>
        <w:snapToGrid w:val="0"/>
        <w:spacing w:line="360" w:lineRule="auto"/>
        <w:ind w:firstLine="6120" w:firstLineChars="25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2F01A56B">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p>
    <w:p w14:paraId="613B8884">
      <w:pPr>
        <w:snapToGrid w:val="0"/>
        <w:spacing w:line="360" w:lineRule="auto"/>
        <w:ind w:firstLine="602" w:firstLineChars="200"/>
        <w:rPr>
          <w:rFonts w:ascii="仿宋" w:hAnsi="仿宋" w:eastAsia="仿宋" w:cs="仿宋_GB2312"/>
          <w:b/>
          <w:color w:val="000000" w:themeColor="text1"/>
          <w:sz w:val="30"/>
          <w:szCs w:val="30"/>
          <w:highlight w:val="none"/>
          <w14:textFill>
            <w14:solidFill>
              <w14:schemeClr w14:val="tx1"/>
            </w14:solidFill>
          </w14:textFill>
        </w:rPr>
      </w:pPr>
      <w:r>
        <w:rPr>
          <w:rFonts w:hint="eastAsia" w:ascii="仿宋" w:hAnsi="仿宋" w:eastAsia="仿宋" w:cs="仿宋_GB2312"/>
          <w:b/>
          <w:color w:val="000000" w:themeColor="text1"/>
          <w:sz w:val="30"/>
          <w:szCs w:val="30"/>
          <w:highlight w:val="none"/>
          <w14:textFill>
            <w14:solidFill>
              <w14:schemeClr w14:val="tx1"/>
            </w14:solidFill>
          </w14:textFill>
        </w:rPr>
        <w:t>十、按本竞争性磋商文件规定提交的其它资料。</w:t>
      </w:r>
    </w:p>
    <w:p w14:paraId="22CB464D">
      <w:pPr>
        <w:autoSpaceDE w:val="0"/>
        <w:autoSpaceDN w:val="0"/>
        <w:spacing w:line="360" w:lineRule="auto"/>
        <w:ind w:left="4335" w:leftChars="1950" w:hanging="240" w:hangingChars="100"/>
        <w:rPr>
          <w:rFonts w:ascii="仿宋_GB2312" w:hAnsi="仿宋" w:eastAsia="仿宋_GB2312" w:cs="仿宋_GB2312"/>
          <w:color w:val="000000" w:themeColor="text1"/>
          <w:kern w:val="0"/>
          <w:sz w:val="24"/>
          <w:highlight w:val="none"/>
          <w14:textFill>
            <w14:solidFill>
              <w14:schemeClr w14:val="tx1"/>
            </w14:solidFill>
          </w14:textFill>
        </w:rPr>
      </w:pPr>
    </w:p>
    <w:p w14:paraId="7520A671">
      <w:pPr>
        <w:autoSpaceDE w:val="0"/>
        <w:autoSpaceDN w:val="0"/>
        <w:spacing w:line="360" w:lineRule="auto"/>
        <w:ind w:left="4335" w:leftChars="1950" w:hanging="240" w:hangingChars="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4A96031E">
      <w:pPr>
        <w:autoSpaceDE w:val="0"/>
        <w:autoSpaceDN w:val="0"/>
        <w:spacing w:line="360" w:lineRule="auto"/>
        <w:ind w:firstLine="6480" w:firstLineChars="270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0C6D3244">
      <w:pPr>
        <w:widowControl/>
        <w:spacing w:line="360" w:lineRule="auto"/>
        <w:jc w:val="left"/>
        <w:rPr>
          <w:rFonts w:ascii="仿宋_GB2312" w:hAnsi="仿宋" w:eastAsia="仿宋_GB2312" w:cs="仿宋_GB2312"/>
          <w:b/>
          <w:bCs/>
          <w:color w:val="000000" w:themeColor="text1"/>
          <w:sz w:val="24"/>
          <w:highlight w:val="none"/>
          <w14:textFill>
            <w14:solidFill>
              <w14:schemeClr w14:val="tx1"/>
            </w14:solidFill>
          </w14:textFill>
        </w:rPr>
        <w:sectPr>
          <w:pgSz w:w="11910" w:h="16840"/>
          <w:pgMar w:top="1340" w:right="1500" w:bottom="280" w:left="1680" w:header="720" w:footer="720" w:gutter="0"/>
          <w:cols w:space="720" w:num="1"/>
        </w:sectPr>
      </w:pPr>
    </w:p>
    <w:p w14:paraId="7FB5D26F">
      <w:pPr>
        <w:autoSpaceDE w:val="0"/>
        <w:autoSpaceDN w:val="0"/>
        <w:spacing w:line="360" w:lineRule="auto"/>
        <w:ind w:firstLine="6505" w:firstLineChars="2700"/>
        <w:rPr>
          <w:rFonts w:ascii="仿宋_GB2312" w:hAnsi="仿宋" w:eastAsia="仿宋_GB2312" w:cs="仿宋_GB2312"/>
          <w:b/>
          <w:bCs/>
          <w:color w:val="000000" w:themeColor="text1"/>
          <w:sz w:val="24"/>
          <w:highlight w:val="none"/>
          <w14:textFill>
            <w14:solidFill>
              <w14:schemeClr w14:val="tx1"/>
            </w14:solidFill>
          </w14:textFill>
        </w:rPr>
      </w:pPr>
    </w:p>
    <w:p w14:paraId="580AE4A3">
      <w:pPr>
        <w:pStyle w:val="5"/>
        <w:jc w:val="center"/>
        <w:rPr>
          <w:rFonts w:ascii="宋体" w:hAnsi="宋体" w:cs="宋体"/>
          <w:color w:val="000000" w:themeColor="text1"/>
          <w:highlight w:val="none"/>
          <w14:textFill>
            <w14:solidFill>
              <w14:schemeClr w14:val="tx1"/>
            </w14:solidFill>
          </w14:textFill>
        </w:rPr>
      </w:pPr>
      <w:bookmarkStart w:id="85" w:name="_Toc80205941"/>
      <w:bookmarkStart w:id="86" w:name="_Toc213948297"/>
      <w:r>
        <w:rPr>
          <w:rFonts w:hint="eastAsia" w:ascii="宋体" w:hAnsi="宋体"/>
          <w:color w:val="000000" w:themeColor="text1"/>
          <w:highlight w:val="none"/>
          <w14:textFill>
            <w14:solidFill>
              <w14:schemeClr w14:val="tx1"/>
            </w14:solidFill>
          </w14:textFill>
        </w:rPr>
        <w:t>第四节 报价文件格式</w:t>
      </w:r>
      <w:bookmarkEnd w:id="85"/>
      <w:bookmarkEnd w:id="86"/>
    </w:p>
    <w:p w14:paraId="7005AA45">
      <w:pPr>
        <w:snapToGrid w:val="0"/>
        <w:spacing w:before="120" w:beforeLines="50" w:after="50"/>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全流程电子文件</w:t>
      </w:r>
    </w:p>
    <w:p w14:paraId="50FD4F21">
      <w:pPr>
        <w:snapToGrid w:val="0"/>
        <w:spacing w:before="120" w:beforeLines="50" w:after="50"/>
        <w:rPr>
          <w:rFonts w:ascii="宋体" w:hAnsi="宋体"/>
          <w:color w:val="000000" w:themeColor="text1"/>
          <w:sz w:val="24"/>
          <w:szCs w:val="20"/>
          <w:highlight w:val="none"/>
          <w14:textFill>
            <w14:solidFill>
              <w14:schemeClr w14:val="tx1"/>
            </w14:solidFill>
          </w14:textFill>
        </w:rPr>
      </w:pPr>
    </w:p>
    <w:p w14:paraId="56FEF8BC">
      <w:pPr>
        <w:snapToGrid w:val="0"/>
        <w:spacing w:before="120" w:beforeLines="50" w:after="50"/>
        <w:rPr>
          <w:rFonts w:ascii="宋体" w:hAnsi="宋体"/>
          <w:color w:val="000000" w:themeColor="text1"/>
          <w:sz w:val="24"/>
          <w:szCs w:val="20"/>
          <w:highlight w:val="none"/>
          <w14:textFill>
            <w14:solidFill>
              <w14:schemeClr w14:val="tx1"/>
            </w14:solidFill>
          </w14:textFill>
        </w:rPr>
      </w:pPr>
    </w:p>
    <w:p w14:paraId="3F05D96A">
      <w:pPr>
        <w:snapToGrid w:val="0"/>
        <w:spacing w:before="120" w:beforeLines="50" w:after="50"/>
        <w:rPr>
          <w:rFonts w:ascii="宋体" w:hAnsi="宋体"/>
          <w:color w:val="000000" w:themeColor="text1"/>
          <w:sz w:val="24"/>
          <w:szCs w:val="20"/>
          <w:highlight w:val="none"/>
          <w14:textFill>
            <w14:solidFill>
              <w14:schemeClr w14:val="tx1"/>
            </w14:solidFill>
          </w14:textFill>
        </w:rPr>
      </w:pPr>
    </w:p>
    <w:p w14:paraId="65F336BF">
      <w:pPr>
        <w:snapToGrid w:val="0"/>
        <w:spacing w:before="120" w:beforeLines="50" w:after="50"/>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报  价  文  件（封面）</w:t>
      </w:r>
    </w:p>
    <w:p w14:paraId="5BCAD4FA">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36466A29">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012D2709">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3F3BDE99">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4D2B1A90">
      <w:pPr>
        <w:snapToGrid w:val="0"/>
        <w:spacing w:before="120" w:beforeLines="50" w:after="50"/>
        <w:rPr>
          <w:rFonts w:ascii="宋体" w:hAnsi="宋体"/>
          <w:bCs/>
          <w:color w:val="000000" w:themeColor="text1"/>
          <w:sz w:val="24"/>
          <w:szCs w:val="20"/>
          <w:highlight w:val="none"/>
          <w14:textFill>
            <w14:solidFill>
              <w14:schemeClr w14:val="tx1"/>
            </w14:solidFill>
          </w14:textFill>
        </w:rPr>
      </w:pPr>
    </w:p>
    <w:p w14:paraId="6C5AA873">
      <w:pPr>
        <w:snapToGrid w:val="0"/>
        <w:spacing w:before="120"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bookmarkStart w:id="87" w:name="PO_3000001868_PM002_9"/>
      <w:r>
        <w:rPr>
          <w:rFonts w:hint="eastAsia" w:ascii="宋体" w:hAnsi="宋体" w:cs="仿宋_GB2312"/>
          <w:bCs/>
          <w:color w:val="000000" w:themeColor="text1"/>
          <w:sz w:val="32"/>
          <w:szCs w:val="32"/>
          <w:highlight w:val="none"/>
          <w14:textFill>
            <w14:solidFill>
              <w14:schemeClr w14:val="tx1"/>
            </w14:solidFill>
          </w14:textFill>
        </w:rPr>
        <w:t>[项目采购-项目名称_9]</w:t>
      </w:r>
      <w:bookmarkEnd w:id="87"/>
    </w:p>
    <w:p w14:paraId="66073685">
      <w:pPr>
        <w:snapToGrid w:val="0"/>
        <w:spacing w:before="120"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4A2481DF">
      <w:pPr>
        <w:snapToGrid w:val="0"/>
        <w:spacing w:before="120"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项目编号：</w:t>
      </w:r>
      <w:bookmarkStart w:id="88" w:name="PO_3000001868_PM001_9"/>
      <w:r>
        <w:rPr>
          <w:rFonts w:hint="eastAsia" w:ascii="宋体" w:hAnsi="宋体" w:cs="仿宋_GB2312"/>
          <w:bCs/>
          <w:color w:val="000000" w:themeColor="text1"/>
          <w:sz w:val="32"/>
          <w:szCs w:val="32"/>
          <w:highlight w:val="none"/>
          <w14:textFill>
            <w14:solidFill>
              <w14:schemeClr w14:val="tx1"/>
            </w14:solidFill>
          </w14:textFill>
        </w:rPr>
        <w:t>[项目采购-项目编号_9]</w:t>
      </w:r>
      <w:bookmarkEnd w:id="88"/>
    </w:p>
    <w:p w14:paraId="15F84104">
      <w:pPr>
        <w:snapToGrid w:val="0"/>
        <w:spacing w:before="120"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72D2EA1C">
      <w:pPr>
        <w:snapToGrid w:val="0"/>
        <w:spacing w:before="120" w:beforeLines="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30AF70DF">
      <w:pPr>
        <w:snapToGrid w:val="0"/>
        <w:spacing w:before="120" w:beforeLines="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2B29BD6D">
      <w:pPr>
        <w:pStyle w:val="9"/>
        <w:snapToGrid w:val="0"/>
        <w:spacing w:before="50" w:after="50"/>
        <w:ind w:firstLine="640" w:firstLineChars="200"/>
        <w:rPr>
          <w:rFonts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27EF18B4">
      <w:pPr>
        <w:pStyle w:val="9"/>
        <w:snapToGrid w:val="0"/>
        <w:spacing w:before="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00995EAE">
      <w:pPr>
        <w:pStyle w:val="9"/>
        <w:snapToGrid w:val="0"/>
        <w:spacing w:before="50" w:after="50"/>
        <w:ind w:firstLine="720" w:firstLineChars="225"/>
        <w:rPr>
          <w:rFonts w:ascii="宋体" w:hAnsi="宋体" w:cs="仿宋_GB2312"/>
          <w:bCs/>
          <w:color w:val="000000" w:themeColor="text1"/>
          <w:sz w:val="32"/>
          <w:szCs w:val="32"/>
          <w:highlight w:val="none"/>
          <w14:textFill>
            <w14:solidFill>
              <w14:schemeClr w14:val="tx1"/>
            </w14:solidFill>
          </w14:textFill>
        </w:rPr>
      </w:pPr>
    </w:p>
    <w:p w14:paraId="4340D9DB">
      <w:pPr>
        <w:pStyle w:val="9"/>
        <w:snapToGrid w:val="0"/>
        <w:spacing w:before="50" w:after="50"/>
        <w:ind w:firstLine="1280" w:firstLineChars="400"/>
        <w:rPr>
          <w:rFonts w:ascii="宋体" w:hAnsi="宋体" w:cs="仿宋_GB2312"/>
          <w:bCs/>
          <w:color w:val="000000" w:themeColor="text1"/>
          <w:sz w:val="32"/>
          <w:szCs w:val="32"/>
          <w:highlight w:val="none"/>
          <w14:textFill>
            <w14:solidFill>
              <w14:schemeClr w14:val="tx1"/>
            </w14:solidFill>
          </w14:textFill>
        </w:rPr>
      </w:pPr>
    </w:p>
    <w:p w14:paraId="5AB5167F">
      <w:pPr>
        <w:snapToGrid w:val="0"/>
        <w:spacing w:before="120" w:beforeLines="50" w:after="50"/>
        <w:jc w:val="center"/>
        <w:rPr>
          <w:rFonts w:ascii="宋体" w:hAnsi="宋体" w:cs="仿宋_GB2312"/>
          <w:color w:val="000000" w:themeColor="text1"/>
          <w:sz w:val="32"/>
          <w:szCs w:val="32"/>
          <w:highlight w:val="none"/>
          <w14:textFill>
            <w14:solidFill>
              <w14:schemeClr w14:val="tx1"/>
            </w14:solidFill>
          </w14:textFill>
        </w:rPr>
      </w:pPr>
      <w:r>
        <w:rPr>
          <w:rFonts w:hint="eastAsia" w:ascii="宋体" w:hAnsi="宋体" w:cs="仿宋_GB2312"/>
          <w:color w:val="000000" w:themeColor="text1"/>
          <w:sz w:val="32"/>
          <w:szCs w:val="32"/>
          <w:highlight w:val="none"/>
          <w14:textFill>
            <w14:solidFill>
              <w14:schemeClr w14:val="tx1"/>
            </w14:solidFill>
          </w14:textFill>
        </w:rPr>
        <w:t>年    月    日</w:t>
      </w:r>
    </w:p>
    <w:p w14:paraId="23B5C798">
      <w:pPr>
        <w:snapToGrid w:val="0"/>
        <w:spacing w:before="120" w:beforeLines="50" w:after="50" w:line="400" w:lineRule="exact"/>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br w:type="page"/>
      </w:r>
      <w:r>
        <w:rPr>
          <w:rFonts w:hint="eastAsia" w:ascii="宋体" w:hAnsi="宋体"/>
          <w:b/>
          <w:bCs/>
          <w:color w:val="000000" w:themeColor="text1"/>
          <w:sz w:val="32"/>
          <w:szCs w:val="32"/>
          <w:highlight w:val="none"/>
          <w14:textFill>
            <w14:solidFill>
              <w14:schemeClr w14:val="tx1"/>
            </w14:solidFill>
          </w14:textFill>
        </w:rPr>
        <w:t>报价文件目录</w:t>
      </w:r>
    </w:p>
    <w:p w14:paraId="335CA166">
      <w:pPr>
        <w:rPr>
          <w:rFonts w:ascii="宋体" w:hAnsi="宋体" w:cs="宋体"/>
          <w:color w:val="000000" w:themeColor="text1"/>
          <w:highlight w:val="none"/>
          <w14:textFill>
            <w14:solidFill>
              <w14:schemeClr w14:val="tx1"/>
            </w14:solidFill>
          </w14:textFill>
        </w:rPr>
      </w:pPr>
    </w:p>
    <w:p w14:paraId="6A840BBC">
      <w:pPr>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一、响应函………………………………………………………（页码）</w:t>
      </w:r>
    </w:p>
    <w:p w14:paraId="2DD32D2A">
      <w:pPr>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二、响应报价表…………………………………………………（页码）</w:t>
      </w:r>
    </w:p>
    <w:p w14:paraId="40973E8C">
      <w:pPr>
        <w:spacing w:line="360" w:lineRule="auto"/>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三、工程量清单报价有关资料…………………………………（页码）</w:t>
      </w:r>
    </w:p>
    <w:p w14:paraId="5ED347FC">
      <w:pPr>
        <w:snapToGrid w:val="0"/>
        <w:spacing w:before="120" w:beforeLines="50" w:after="50" w:line="360" w:lineRule="auto"/>
        <w:ind w:left="142" w:firstLine="640" w:firstLineChars="200"/>
        <w:jc w:val="left"/>
        <w:rPr>
          <w:rFonts w:ascii="仿宋_GB2312" w:hAnsi="仿宋_GB2312" w:eastAsia="仿宋_GB2312" w:cs="仿宋_GB2312"/>
          <w:color w:val="000000" w:themeColor="text1"/>
          <w:sz w:val="32"/>
          <w:szCs w:val="32"/>
          <w:highlight w:val="none"/>
          <w14:textFill>
            <w14:solidFill>
              <w14:schemeClr w14:val="tx1"/>
            </w14:solidFill>
          </w14:textFill>
        </w:rPr>
      </w:pPr>
    </w:p>
    <w:p w14:paraId="65AEDF93">
      <w:pPr>
        <w:snapToGrid w:val="0"/>
        <w:spacing w:before="120" w:beforeLines="50" w:after="50" w:line="360" w:lineRule="auto"/>
        <w:ind w:left="142" w:firstLine="480" w:firstLineChars="200"/>
        <w:jc w:val="left"/>
        <w:rPr>
          <w:rFonts w:hAnsi="宋体" w:cs="仿宋_GB2312"/>
          <w:color w:val="000000" w:themeColor="text1"/>
          <w:sz w:val="24"/>
          <w:highlight w:val="none"/>
          <w14:textFill>
            <w14:solidFill>
              <w14:schemeClr w14:val="tx1"/>
            </w14:solidFill>
          </w14:textFill>
        </w:rPr>
      </w:pPr>
      <w:r>
        <w:rPr>
          <w:rFonts w:hAnsi="宋体" w:cs="仿宋_GB2312"/>
          <w:color w:val="000000" w:themeColor="text1"/>
          <w:sz w:val="24"/>
          <w:highlight w:val="none"/>
          <w14:textFill>
            <w14:solidFill>
              <w14:schemeClr w14:val="tx1"/>
            </w14:solidFill>
          </w14:textFill>
        </w:rPr>
        <w:br w:type="page"/>
      </w:r>
      <w:r>
        <w:rPr>
          <w:rFonts w:hint="eastAsia" w:hAnsi="宋体"/>
          <w:b/>
          <w:bCs/>
          <w:color w:val="000000" w:themeColor="text1"/>
          <w:sz w:val="32"/>
          <w:szCs w:val="32"/>
          <w:highlight w:val="none"/>
          <w14:textFill>
            <w14:solidFill>
              <w14:schemeClr w14:val="tx1"/>
            </w14:solidFill>
          </w14:textFill>
        </w:rPr>
        <w:t>一、响应函</w:t>
      </w:r>
    </w:p>
    <w:p w14:paraId="4364D52A">
      <w:pPr>
        <w:pStyle w:val="28"/>
        <w:spacing w:line="5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响应函</w:t>
      </w:r>
    </w:p>
    <w:p w14:paraId="1B1CDAE4">
      <w:pPr>
        <w:pStyle w:val="28"/>
        <w:spacing w:line="440" w:lineRule="exact"/>
        <w:ind w:firstLine="420" w:firstLineChars="200"/>
        <w:rPr>
          <w:rFonts w:ascii="Times New Roman" w:hAnsi="Times New Roman"/>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 xml:space="preserve">我方已仔细阅读了贵方组织的项目（项目编号：）的竞争性磋商采购文件的全部内容，现正式递交下述文件参加贵方组织的本次政府采购活动： </w:t>
      </w:r>
    </w:p>
    <w:p w14:paraId="5E610319">
      <w:pPr>
        <w:pStyle w:val="28"/>
        <w:spacing w:line="440" w:lineRule="exact"/>
        <w:ind w:firstLine="420" w:firstLineChars="200"/>
        <w:rPr>
          <w:rFonts w:ascii="Times New Roman" w:hAnsi="Times New Roman"/>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一、首次报价文件电子版份（包含按“第三章 供应商须知”提交的全部文件）；</w:t>
      </w:r>
    </w:p>
    <w:p w14:paraId="684FE441">
      <w:pPr>
        <w:pStyle w:val="28"/>
        <w:spacing w:line="440" w:lineRule="exact"/>
        <w:ind w:firstLine="420" w:firstLineChars="200"/>
        <w:rPr>
          <w:rFonts w:ascii="Times New Roman" w:hAnsi="Times New Roman"/>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二、</w:t>
      </w:r>
      <w:r>
        <w:rPr>
          <w:rFonts w:hint="eastAsia" w:hAnsi="宋体"/>
          <w:color w:val="000000" w:themeColor="text1"/>
          <w:sz w:val="21"/>
          <w:highlight w:val="none"/>
          <w14:textFill>
            <w14:solidFill>
              <w14:schemeClr w14:val="tx1"/>
            </w14:solidFill>
          </w14:textFill>
        </w:rPr>
        <w:t>技术</w:t>
      </w:r>
      <w:r>
        <w:rPr>
          <w:rFonts w:hint="eastAsia"/>
          <w:color w:val="000000" w:themeColor="text1"/>
          <w:sz w:val="21"/>
          <w:highlight w:val="none"/>
          <w14:textFill>
            <w14:solidFill>
              <w14:schemeClr w14:val="tx1"/>
            </w14:solidFill>
          </w14:textFill>
        </w:rPr>
        <w:t>文件电子版份（包含按“第三章 供应商须知”提交的全部文件）；商务</w:t>
      </w:r>
      <w:r>
        <w:rPr>
          <w:rFonts w:hint="eastAsia" w:hAnsi="宋体"/>
          <w:color w:val="000000" w:themeColor="text1"/>
          <w:sz w:val="21"/>
          <w:highlight w:val="none"/>
          <w14:textFill>
            <w14:solidFill>
              <w14:schemeClr w14:val="tx1"/>
            </w14:solidFill>
          </w14:textFill>
        </w:rPr>
        <w:t>文件</w:t>
      </w:r>
      <w:r>
        <w:rPr>
          <w:rFonts w:hint="eastAsia"/>
          <w:color w:val="000000" w:themeColor="text1"/>
          <w:sz w:val="21"/>
          <w:highlight w:val="none"/>
          <w14:textFill>
            <w14:solidFill>
              <w14:schemeClr w14:val="tx1"/>
            </w14:solidFill>
          </w14:textFill>
        </w:rPr>
        <w:t>电子版份（包含按“第三章 供应商须知”提交的全部文件）；（商务技术文件已合并装订成册）</w:t>
      </w:r>
    </w:p>
    <w:p w14:paraId="43AF9450">
      <w:pPr>
        <w:pStyle w:val="28"/>
        <w:spacing w:line="440" w:lineRule="exact"/>
        <w:ind w:firstLine="420" w:firstLineChars="200"/>
        <w:rPr>
          <w:rFonts w:ascii="Times New Roman" w:hAnsi="Times New Roman"/>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据此函，签字人兹宣布：</w:t>
      </w:r>
    </w:p>
    <w:p w14:paraId="39EEF206">
      <w:pPr>
        <w:spacing w:line="420" w:lineRule="exact"/>
        <w:ind w:firstLine="535"/>
        <w:rPr>
          <w:rFonts w:ascii="宋体" w:hAnsi="Courier New"/>
          <w:color w:val="000000" w:themeColor="text1"/>
          <w:kern w:val="0"/>
          <w:szCs w:val="21"/>
          <w:highlight w:val="none"/>
          <w14:textFill>
            <w14:solidFill>
              <w14:schemeClr w14:val="tx1"/>
            </w14:solidFill>
          </w14:textFill>
        </w:rPr>
      </w:pPr>
      <w:r>
        <w:rPr>
          <w:rFonts w:hint="eastAsia"/>
          <w:color w:val="000000" w:themeColor="text1"/>
          <w:spacing w:val="2"/>
          <w:szCs w:val="21"/>
          <w:highlight w:val="none"/>
          <w14:textFill>
            <w14:solidFill>
              <w14:schemeClr w14:val="tx1"/>
            </w14:solidFill>
          </w14:textFill>
        </w:rPr>
        <w:t>1</w:t>
      </w:r>
      <w:r>
        <w:rPr>
          <w:rFonts w:hint="eastAsia" w:ascii="宋体" w:hAnsi="宋体"/>
          <w:color w:val="000000" w:themeColor="text1"/>
          <w:spacing w:val="2"/>
          <w:szCs w:val="21"/>
          <w:highlight w:val="none"/>
          <w14:textFill>
            <w14:solidFill>
              <w14:schemeClr w14:val="tx1"/>
            </w14:solidFill>
          </w14:textFill>
        </w:rPr>
        <w:t>、</w:t>
      </w:r>
      <w:r>
        <w:rPr>
          <w:rFonts w:hint="eastAsia" w:ascii="宋体" w:hAnsi="宋体"/>
          <w:color w:val="000000" w:themeColor="text1"/>
          <w:spacing w:val="8"/>
          <w:szCs w:val="21"/>
          <w:highlight w:val="none"/>
          <w14:textFill>
            <w14:solidFill>
              <w14:schemeClr w14:val="tx1"/>
            </w14:solidFill>
          </w14:textFill>
        </w:rPr>
        <w:t>我单位经考察现场和研究上述工程竞争性磋商文件的</w:t>
      </w:r>
      <w:r>
        <w:rPr>
          <w:rFonts w:hint="eastAsia" w:ascii="宋体" w:hAnsi="宋体"/>
          <w:color w:val="000000" w:themeColor="text1"/>
          <w:szCs w:val="21"/>
          <w:highlight w:val="none"/>
          <w14:textFill>
            <w14:solidFill>
              <w14:schemeClr w14:val="tx1"/>
            </w14:solidFill>
          </w14:textFill>
        </w:rPr>
        <w:t>磋商</w:t>
      </w:r>
      <w:r>
        <w:rPr>
          <w:rFonts w:hint="eastAsia" w:ascii="宋体" w:hAnsi="宋体"/>
          <w:color w:val="000000" w:themeColor="text1"/>
          <w:spacing w:val="8"/>
          <w:szCs w:val="21"/>
          <w:highlight w:val="none"/>
          <w14:textFill>
            <w14:solidFill>
              <w14:schemeClr w14:val="tx1"/>
            </w14:solidFill>
          </w14:textFill>
        </w:rPr>
        <w:t>须知、合同条件、技术规范、图纸和其他有关文件后，我方承接本项目分标（如有）</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分标名称</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pacing w:val="8"/>
          <w:szCs w:val="21"/>
          <w:highlight w:val="none"/>
          <w14:textFill>
            <w14:solidFill>
              <w14:schemeClr w14:val="tx1"/>
            </w14:solidFill>
          </w14:textFill>
        </w:rPr>
        <w:t>磋商报价为人民币</w:t>
      </w:r>
      <w:r>
        <w:rPr>
          <w:rFonts w:hint="eastAsia" w:ascii="宋体" w:hAnsi="宋体"/>
          <w:color w:val="000000" w:themeColor="text1"/>
          <w:spacing w:val="8"/>
          <w:szCs w:val="21"/>
          <w:highlight w:val="none"/>
          <w:u w:val="single"/>
          <w14:textFill>
            <w14:solidFill>
              <w14:schemeClr w14:val="tx1"/>
            </w14:solidFill>
          </w14:textFill>
        </w:rPr>
        <w:t>（大写）        （￥         ）</w:t>
      </w:r>
      <w:r>
        <w:rPr>
          <w:rFonts w:hint="eastAsia" w:ascii="宋体" w:hAnsi="宋体"/>
          <w:color w:val="000000" w:themeColor="text1"/>
          <w:spacing w:val="8"/>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按上述合同条件、技术规范、图纸的条件承包本采购范围内全部工程的施工、竣工和保修。</w:t>
      </w:r>
    </w:p>
    <w:p w14:paraId="39D58B13">
      <w:pPr>
        <w:spacing w:line="420" w:lineRule="exact"/>
        <w:ind w:firstLine="525"/>
        <w:rPr>
          <w:rFonts w:ascii="宋体" w:hAnsi="Courier New"/>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、一旦我方成交，我方保证在签订合同后天内开工，天（日历天）内竣工并移交整个工程，并保证工程质量。</w:t>
      </w:r>
    </w:p>
    <w:p w14:paraId="11BC710E">
      <w:pPr>
        <w:pStyle w:val="28"/>
        <w:spacing w:line="440" w:lineRule="exact"/>
        <w:ind w:firstLine="482"/>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3、我方同意自本项目竞争性磋商采购文件采购公告规定的递交响应文件截止时间起遵循</w:t>
      </w:r>
      <w:r>
        <w:rPr>
          <w:rFonts w:hint="eastAsia" w:hAnsi="宋体"/>
          <w:color w:val="000000" w:themeColor="text1"/>
          <w:sz w:val="21"/>
          <w:highlight w:val="none"/>
          <w14:textFill>
            <w14:solidFill>
              <w14:schemeClr w14:val="tx1"/>
            </w14:solidFill>
          </w14:textFill>
        </w:rPr>
        <w:t>本响应函</w:t>
      </w:r>
      <w:r>
        <w:rPr>
          <w:rFonts w:hint="eastAsia"/>
          <w:color w:val="000000" w:themeColor="text1"/>
          <w:sz w:val="21"/>
          <w:highlight w:val="none"/>
          <w14:textFill>
            <w14:solidFill>
              <w14:schemeClr w14:val="tx1"/>
            </w14:solidFill>
          </w14:textFill>
        </w:rPr>
        <w:t>，并承诺在“第三章 供应商须知”规定的响应有效期内不修改、撤销响应文件。</w:t>
      </w:r>
    </w:p>
    <w:p w14:paraId="53F68844">
      <w:pPr>
        <w:pStyle w:val="28"/>
        <w:spacing w:line="440" w:lineRule="exact"/>
        <w:ind w:firstLine="482"/>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4</w:t>
      </w:r>
      <w:r>
        <w:rPr>
          <w:rFonts w:hint="eastAsia"/>
          <w:color w:val="000000" w:themeColor="text1"/>
          <w:sz w:val="21"/>
          <w:highlight w:val="none"/>
          <w14:textFill>
            <w14:solidFill>
              <w14:schemeClr w14:val="tx1"/>
            </w14:solidFill>
          </w14:textFill>
        </w:rPr>
        <w:t>、我方在此声明，所递交的响应文件及有关资料内容完整、真实和准确。</w:t>
      </w:r>
    </w:p>
    <w:p w14:paraId="4A879826">
      <w:pPr>
        <w:pStyle w:val="28"/>
        <w:spacing w:line="440" w:lineRule="exact"/>
        <w:ind w:firstLine="482"/>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5</w:t>
      </w:r>
      <w:r>
        <w:rPr>
          <w:rFonts w:hint="eastAsia"/>
          <w:color w:val="000000" w:themeColor="text1"/>
          <w:sz w:val="21"/>
          <w:highlight w:val="none"/>
          <w14:textFill>
            <w14:solidFill>
              <w14:schemeClr w14:val="tx1"/>
            </w14:solidFill>
          </w14:textFill>
        </w:rPr>
        <w:t>、如本项目采购内容涉及须符合国家强制规定的，我方承诺我方本次竞标均符合国家有关强制规定。</w:t>
      </w:r>
    </w:p>
    <w:p w14:paraId="2F4F0196">
      <w:pPr>
        <w:pStyle w:val="28"/>
        <w:spacing w:line="440" w:lineRule="exact"/>
        <w:ind w:firstLine="482"/>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6</w:t>
      </w:r>
      <w:r>
        <w:rPr>
          <w:rFonts w:hint="eastAsia"/>
          <w:color w:val="000000" w:themeColor="text1"/>
          <w:sz w:val="21"/>
          <w:highlight w:val="none"/>
          <w14:textFill>
            <w14:solidFill>
              <w14:schemeClr w14:val="tx1"/>
            </w14:solidFill>
          </w14:textFill>
        </w:rPr>
        <w:t>、我方承诺未被列入失信被执行人、重大税收违法失信主体、政府采购严重违法失信行为记录名单，并已经具备《中华人民共和国政府采购法》中规定的参加政府采购活动的供应商应当具备的条件：</w:t>
      </w:r>
    </w:p>
    <w:p w14:paraId="009F5C91">
      <w:pPr>
        <w:pStyle w:val="28"/>
        <w:numPr>
          <w:ilvl w:val="0"/>
          <w:numId w:val="2"/>
        </w:numPr>
        <w:tabs>
          <w:tab w:val="left" w:pos="945"/>
        </w:tabs>
        <w:spacing w:line="440" w:lineRule="exact"/>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具有独立承担民事责任的能力；</w:t>
      </w:r>
    </w:p>
    <w:p w14:paraId="6E3A6ADA">
      <w:pPr>
        <w:pStyle w:val="28"/>
        <w:numPr>
          <w:ilvl w:val="0"/>
          <w:numId w:val="2"/>
        </w:numPr>
        <w:tabs>
          <w:tab w:val="left" w:pos="945"/>
        </w:tabs>
        <w:spacing w:line="440" w:lineRule="exact"/>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具有良好的商业信誉和健全的财务会计制度；</w:t>
      </w:r>
    </w:p>
    <w:p w14:paraId="205CFF62">
      <w:pPr>
        <w:pStyle w:val="28"/>
        <w:numPr>
          <w:ilvl w:val="0"/>
          <w:numId w:val="2"/>
        </w:numPr>
        <w:tabs>
          <w:tab w:val="left" w:pos="945"/>
        </w:tabs>
        <w:spacing w:line="440" w:lineRule="exact"/>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具有履行合同所必需的设备和专业技术能力；</w:t>
      </w:r>
    </w:p>
    <w:p w14:paraId="5C678A56">
      <w:pPr>
        <w:pStyle w:val="28"/>
        <w:numPr>
          <w:ilvl w:val="0"/>
          <w:numId w:val="2"/>
        </w:numPr>
        <w:tabs>
          <w:tab w:val="left" w:pos="945"/>
        </w:tabs>
        <w:spacing w:line="440" w:lineRule="exact"/>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有依法缴纳税收和社会保障资金的良好记录；</w:t>
      </w:r>
    </w:p>
    <w:p w14:paraId="67D12257">
      <w:pPr>
        <w:pStyle w:val="28"/>
        <w:numPr>
          <w:ilvl w:val="0"/>
          <w:numId w:val="2"/>
        </w:numPr>
        <w:tabs>
          <w:tab w:val="left" w:pos="945"/>
        </w:tabs>
        <w:spacing w:line="440" w:lineRule="exact"/>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参加政府采购活动前三年内，在经营活动中没有重大违法记录；</w:t>
      </w:r>
    </w:p>
    <w:p w14:paraId="7E5AD0AC">
      <w:pPr>
        <w:pStyle w:val="28"/>
        <w:numPr>
          <w:ilvl w:val="0"/>
          <w:numId w:val="2"/>
        </w:numPr>
        <w:tabs>
          <w:tab w:val="left" w:pos="945"/>
        </w:tabs>
        <w:spacing w:line="440" w:lineRule="exact"/>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法律、行政法规规定的其他条件。</w:t>
      </w:r>
    </w:p>
    <w:p w14:paraId="768EA337">
      <w:pPr>
        <w:pStyle w:val="28"/>
        <w:spacing w:line="440" w:lineRule="exact"/>
        <w:ind w:firstLine="482"/>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7</w:t>
      </w:r>
      <w:r>
        <w:rPr>
          <w:rFonts w:hint="eastAsia"/>
          <w:color w:val="000000" w:themeColor="text1"/>
          <w:sz w:val="21"/>
          <w:highlight w:val="none"/>
          <w14:textFill>
            <w14:solidFill>
              <w14:schemeClr w14:val="tx1"/>
            </w14:solidFill>
          </w14:textFill>
        </w:rPr>
        <w:t>、如我方成交，我方承诺在收到成交通知书后，在成交通知书规定的期限内，</w:t>
      </w:r>
      <w:r>
        <w:rPr>
          <w:rFonts w:hint="eastAsia" w:hAnsi="宋体"/>
          <w:color w:val="000000" w:themeColor="text1"/>
          <w:sz w:val="21"/>
          <w:highlight w:val="none"/>
          <w14:textFill>
            <w14:solidFill>
              <w14:schemeClr w14:val="tx1"/>
            </w14:solidFill>
          </w14:textFill>
        </w:rPr>
        <w:t>根据竞争性磋商采购文件、我方的响应文件及有关澄清承诺书的要求按第六章“合同文本”与采购人订立书面合同，并按照合同约定</w:t>
      </w:r>
      <w:r>
        <w:rPr>
          <w:rFonts w:hint="eastAsia"/>
          <w:color w:val="000000" w:themeColor="text1"/>
          <w:sz w:val="21"/>
          <w:highlight w:val="none"/>
          <w14:textFill>
            <w14:solidFill>
              <w14:schemeClr w14:val="tx1"/>
            </w14:solidFill>
          </w14:textFill>
        </w:rPr>
        <w:t>承担完成合同的责任和义务。</w:t>
      </w:r>
    </w:p>
    <w:p w14:paraId="2B1824E1">
      <w:pPr>
        <w:pStyle w:val="28"/>
        <w:spacing w:line="440" w:lineRule="exact"/>
        <w:ind w:firstLine="482"/>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8</w:t>
      </w:r>
      <w:r>
        <w:rPr>
          <w:rFonts w:hint="eastAsia"/>
          <w:color w:val="000000" w:themeColor="text1"/>
          <w:sz w:val="21"/>
          <w:highlight w:val="none"/>
          <w14:textFill>
            <w14:solidFill>
              <w14:schemeClr w14:val="tx1"/>
            </w14:solidFill>
          </w14:textFill>
        </w:rPr>
        <w:t>、我方已详细审核竞争性磋商采购文件，我方知道必须放弃提出含糊不清或误解问题的权利。</w:t>
      </w:r>
    </w:p>
    <w:p w14:paraId="1A4A6ECA">
      <w:pPr>
        <w:pStyle w:val="28"/>
        <w:spacing w:line="440" w:lineRule="exact"/>
        <w:ind w:firstLine="482"/>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9</w:t>
      </w:r>
      <w:r>
        <w:rPr>
          <w:rFonts w:hint="eastAsia"/>
          <w:color w:val="000000" w:themeColor="text1"/>
          <w:sz w:val="21"/>
          <w:highlight w:val="none"/>
          <w14:textFill>
            <w14:solidFill>
              <w14:schemeClr w14:val="tx1"/>
            </w14:solidFill>
          </w14:textFill>
        </w:rPr>
        <w:t>、我方承诺满足竞争性磋商采购文件</w:t>
      </w:r>
      <w:r>
        <w:rPr>
          <w:rFonts w:hint="eastAsia" w:hAnsi="宋体"/>
          <w:color w:val="000000" w:themeColor="text1"/>
          <w:sz w:val="21"/>
          <w:highlight w:val="none"/>
          <w14:textFill>
            <w14:solidFill>
              <w14:schemeClr w14:val="tx1"/>
            </w14:solidFill>
          </w14:textFill>
        </w:rPr>
        <w:t>第六章“合同文本”</w:t>
      </w:r>
      <w:r>
        <w:rPr>
          <w:rFonts w:hint="eastAsia"/>
          <w:color w:val="000000" w:themeColor="text1"/>
          <w:sz w:val="21"/>
          <w:highlight w:val="none"/>
          <w14:textFill>
            <w14:solidFill>
              <w14:schemeClr w14:val="tx1"/>
            </w14:solidFill>
          </w14:textFill>
        </w:rPr>
        <w:t>的条款，承担完成合同的责任和义务。</w:t>
      </w:r>
    </w:p>
    <w:p w14:paraId="436CB8AA">
      <w:pPr>
        <w:pStyle w:val="28"/>
        <w:spacing w:line="440" w:lineRule="exact"/>
        <w:ind w:firstLine="482"/>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10</w:t>
      </w:r>
      <w:r>
        <w:rPr>
          <w:rFonts w:hint="eastAsia"/>
          <w:color w:val="000000" w:themeColor="text1"/>
          <w:sz w:val="21"/>
          <w:highlight w:val="none"/>
          <w14:textFill>
            <w14:solidFill>
              <w14:schemeClr w14:val="tx1"/>
            </w14:solidFill>
          </w14:textFill>
        </w:rPr>
        <w:t>、我方同意应贵方要求提供与本竞标有关的任何数据或资料。若贵方需要，我方愿意提供我方作出的一切承诺的证明材料。</w:t>
      </w:r>
    </w:p>
    <w:p w14:paraId="0AB96F4F">
      <w:pPr>
        <w:pStyle w:val="28"/>
        <w:spacing w:line="440" w:lineRule="exact"/>
        <w:ind w:firstLine="482"/>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1</w:t>
      </w:r>
      <w:r>
        <w:rPr>
          <w:color w:val="000000" w:themeColor="text1"/>
          <w:sz w:val="21"/>
          <w:highlight w:val="none"/>
          <w14:textFill>
            <w14:solidFill>
              <w14:schemeClr w14:val="tx1"/>
            </w14:solidFill>
          </w14:textFill>
        </w:rPr>
        <w:t>1</w:t>
      </w:r>
      <w:r>
        <w:rPr>
          <w:rFonts w:hint="eastAsia"/>
          <w:color w:val="000000" w:themeColor="text1"/>
          <w:sz w:val="21"/>
          <w:highlight w:val="none"/>
          <w14:textFill>
            <w14:solidFill>
              <w14:schemeClr w14:val="tx1"/>
            </w14:solidFill>
          </w14:textFill>
        </w:rPr>
        <w:t>、我方完全理解贵方不一定接受响应报价最低的</w:t>
      </w:r>
      <w:r>
        <w:rPr>
          <w:rFonts w:hint="eastAsia"/>
          <w:color w:val="000000" w:themeColor="text1"/>
          <w:sz w:val="21"/>
          <w:highlight w:val="none"/>
          <w:lang w:eastAsia="zh-CN"/>
          <w14:textFill>
            <w14:solidFill>
              <w14:schemeClr w14:val="tx1"/>
            </w14:solidFill>
          </w14:textFill>
        </w:rPr>
        <w:t>供应商</w:t>
      </w:r>
      <w:r>
        <w:rPr>
          <w:rFonts w:hint="eastAsia"/>
          <w:color w:val="000000" w:themeColor="text1"/>
          <w:sz w:val="21"/>
          <w:highlight w:val="none"/>
          <w14:textFill>
            <w14:solidFill>
              <w14:schemeClr w14:val="tx1"/>
            </w14:solidFill>
          </w14:textFill>
        </w:rPr>
        <w:t>为成交供应商的行为。</w:t>
      </w:r>
    </w:p>
    <w:p w14:paraId="1B8386E0">
      <w:pPr>
        <w:pStyle w:val="28"/>
        <w:spacing w:line="440" w:lineRule="exact"/>
        <w:ind w:firstLine="482"/>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1</w:t>
      </w:r>
      <w:r>
        <w:rPr>
          <w:color w:val="000000" w:themeColor="text1"/>
          <w:sz w:val="21"/>
          <w:highlight w:val="none"/>
          <w14:textFill>
            <w14:solidFill>
              <w14:schemeClr w14:val="tx1"/>
            </w14:solidFill>
          </w14:textFill>
        </w:rPr>
        <w:t>2</w:t>
      </w:r>
      <w:r>
        <w:rPr>
          <w:rFonts w:hint="eastAsia"/>
          <w:color w:val="000000" w:themeColor="text1"/>
          <w:sz w:val="21"/>
          <w:highlight w:val="none"/>
          <w14:textFill>
            <w14:solidFill>
              <w14:schemeClr w14:val="tx1"/>
            </w14:solidFill>
          </w14:textFill>
        </w:rPr>
        <w:t>、我方将严格遵守《中华人民共和国政府采购法》第七十七条的规定，即供应商有下列情形之一的，处以采购金额千分之五以上千分之十</w:t>
      </w:r>
      <w:r>
        <w:rPr>
          <w:rFonts w:hint="eastAsia" w:hAnsi="宋体"/>
          <w:color w:val="000000" w:themeColor="text1"/>
          <w:sz w:val="21"/>
          <w:highlight w:val="none"/>
          <w14:textFill>
            <w14:solidFill>
              <w14:schemeClr w14:val="tx1"/>
            </w14:solidFill>
          </w14:textFill>
        </w:rPr>
        <w:t>以下的罚款，列入不良行为记录名单，在一至三年内禁止参加政府采购活动，有违法所得的，并处没收违法所得，情节严重的，由工商行政管理机关吊销营业执照；构成犯罪的，依法追究刑事责任：</w:t>
      </w:r>
    </w:p>
    <w:p w14:paraId="54CD3EE9">
      <w:pPr>
        <w:pStyle w:val="28"/>
        <w:numPr>
          <w:ilvl w:val="0"/>
          <w:numId w:val="3"/>
        </w:numPr>
        <w:tabs>
          <w:tab w:val="left" w:pos="945"/>
        </w:tabs>
        <w:spacing w:line="44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提供虚假材料谋取中标、成交的；</w:t>
      </w:r>
    </w:p>
    <w:p w14:paraId="4894D946">
      <w:pPr>
        <w:pStyle w:val="28"/>
        <w:numPr>
          <w:ilvl w:val="0"/>
          <w:numId w:val="3"/>
        </w:numPr>
        <w:tabs>
          <w:tab w:val="left" w:pos="945"/>
        </w:tabs>
        <w:spacing w:line="44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采取不正当手段诋毁、排挤其他供应商的；</w:t>
      </w:r>
    </w:p>
    <w:p w14:paraId="25D3F95D">
      <w:pPr>
        <w:pStyle w:val="28"/>
        <w:numPr>
          <w:ilvl w:val="0"/>
          <w:numId w:val="3"/>
        </w:numPr>
        <w:tabs>
          <w:tab w:val="left" w:pos="945"/>
        </w:tabs>
        <w:spacing w:line="440" w:lineRule="exact"/>
        <w:rPr>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与采购人、其他供应商或者采购代理机构恶意串通的；</w:t>
      </w:r>
    </w:p>
    <w:p w14:paraId="4B285EE5">
      <w:pPr>
        <w:pStyle w:val="28"/>
        <w:numPr>
          <w:ilvl w:val="0"/>
          <w:numId w:val="3"/>
        </w:numPr>
        <w:tabs>
          <w:tab w:val="left" w:pos="945"/>
        </w:tabs>
        <w:spacing w:line="440" w:lineRule="exact"/>
        <w:rPr>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向采购人、采购代理机构行贿或者提供其他不正当利益的；</w:t>
      </w:r>
    </w:p>
    <w:p w14:paraId="662CC58B">
      <w:pPr>
        <w:pStyle w:val="28"/>
        <w:numPr>
          <w:ilvl w:val="0"/>
          <w:numId w:val="3"/>
        </w:numPr>
        <w:tabs>
          <w:tab w:val="left" w:pos="945"/>
        </w:tabs>
        <w:spacing w:line="440" w:lineRule="exact"/>
        <w:rPr>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在采购过程中与采购人进行协商谈判的；</w:t>
      </w:r>
    </w:p>
    <w:p w14:paraId="744BC34A">
      <w:pPr>
        <w:pStyle w:val="28"/>
        <w:numPr>
          <w:ilvl w:val="0"/>
          <w:numId w:val="3"/>
        </w:numPr>
        <w:tabs>
          <w:tab w:val="left" w:pos="945"/>
        </w:tabs>
        <w:spacing w:line="440" w:lineRule="exact"/>
        <w:rPr>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拒绝有关部门监督检查或提供虚假情况的。</w:t>
      </w:r>
    </w:p>
    <w:p w14:paraId="52534B95">
      <w:pPr>
        <w:pStyle w:val="28"/>
        <w:spacing w:line="360" w:lineRule="auto"/>
        <w:ind w:firstLine="420"/>
        <w:rPr>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1</w:t>
      </w:r>
      <w:r>
        <w:rPr>
          <w:rFonts w:hAnsi="宋体" w:cs="宋体"/>
          <w:color w:val="000000" w:themeColor="text1"/>
          <w:sz w:val="21"/>
          <w:highlight w:val="none"/>
          <w14:textFill>
            <w14:solidFill>
              <w14:schemeClr w14:val="tx1"/>
            </w14:solidFill>
          </w14:textFill>
        </w:rPr>
        <w:t>3</w:t>
      </w:r>
      <w:r>
        <w:rPr>
          <w:rFonts w:hint="eastAsia" w:hAnsi="宋体" w:cs="宋体"/>
          <w:color w:val="000000" w:themeColor="text1"/>
          <w:sz w:val="21"/>
          <w:highlight w:val="none"/>
          <w14:textFill>
            <w14:solidFill>
              <w14:schemeClr w14:val="tx1"/>
            </w14:solidFill>
          </w14:textFill>
        </w:rPr>
        <w:t>.与本磋商有关的一切正式往来信函请寄</w:t>
      </w:r>
      <w:r>
        <w:rPr>
          <w:rFonts w:hint="eastAsia"/>
          <w:color w:val="000000" w:themeColor="text1"/>
          <w:sz w:val="21"/>
          <w:highlight w:val="none"/>
          <w14:textFill>
            <w14:solidFill>
              <w14:schemeClr w14:val="tx1"/>
            </w14:solidFill>
          </w14:textFill>
        </w:rPr>
        <w:t>：</w:t>
      </w:r>
    </w:p>
    <w:p w14:paraId="26E3CD42">
      <w:pPr>
        <w:pStyle w:val="28"/>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p>
    <w:p w14:paraId="3392558C">
      <w:pPr>
        <w:pStyle w:val="28"/>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电话：</w:t>
      </w:r>
      <w:r>
        <w:rPr>
          <w:rFonts w:hint="eastAsia"/>
          <w:color w:val="000000" w:themeColor="text1"/>
          <w:highlight w:val="none"/>
          <w:u w:val="single"/>
          <w14:textFill>
            <w14:solidFill>
              <w14:schemeClr w14:val="tx1"/>
            </w14:solidFill>
          </w14:textFill>
        </w:rPr>
        <w:t xml:space="preserve">                                      　　　　　　　　　</w:t>
      </w:r>
    </w:p>
    <w:p w14:paraId="65E08203">
      <w:pPr>
        <w:pStyle w:val="28"/>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传真：</w:t>
      </w:r>
      <w:r>
        <w:rPr>
          <w:rFonts w:hint="eastAsia"/>
          <w:color w:val="000000" w:themeColor="text1"/>
          <w:highlight w:val="none"/>
          <w:u w:val="single"/>
          <w14:textFill>
            <w14:solidFill>
              <w14:schemeClr w14:val="tx1"/>
            </w14:solidFill>
          </w14:textFill>
        </w:rPr>
        <w:t>　　　　　　　　　　　　　　　　　　　　　　　　　　　　</w:t>
      </w:r>
    </w:p>
    <w:p w14:paraId="08A61716">
      <w:pPr>
        <w:pStyle w:val="28"/>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邮政编码：</w:t>
      </w:r>
    </w:p>
    <w:p w14:paraId="6F1ABD2E">
      <w:pPr>
        <w:pStyle w:val="28"/>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开户名称：</w:t>
      </w:r>
    </w:p>
    <w:p w14:paraId="1C3FF97D">
      <w:pPr>
        <w:pStyle w:val="28"/>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开户银行：</w:t>
      </w:r>
    </w:p>
    <w:p w14:paraId="5006AB8D">
      <w:pPr>
        <w:pStyle w:val="28"/>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银行账号：</w:t>
      </w:r>
    </w:p>
    <w:p w14:paraId="6F31126D">
      <w:pPr>
        <w:pStyle w:val="23"/>
        <w:tabs>
          <w:tab w:val="left" w:pos="939"/>
        </w:tabs>
        <w:spacing w:line="360" w:lineRule="auto"/>
        <w:ind w:left="141" w:leftChars="67" w:firstLine="315" w:firstLineChars="1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特此承诺。</w:t>
      </w:r>
    </w:p>
    <w:p w14:paraId="0A334900">
      <w:pPr>
        <w:spacing w:line="360" w:lineRule="auto"/>
        <w:jc w:val="left"/>
        <w:rPr>
          <w:rFonts w:ascii="宋体" w:hAnsi="宋体" w:cs="宋体"/>
          <w:color w:val="000000" w:themeColor="text1"/>
          <w:szCs w:val="21"/>
          <w:highlight w:val="none"/>
          <w14:textFill>
            <w14:solidFill>
              <w14:schemeClr w14:val="tx1"/>
            </w14:solidFill>
          </w14:textFill>
        </w:rPr>
      </w:pPr>
    </w:p>
    <w:p w14:paraId="57E720E2">
      <w:pPr>
        <w:autoSpaceDE w:val="0"/>
        <w:autoSpaceDN w:val="0"/>
        <w:spacing w:line="360" w:lineRule="auto"/>
        <w:ind w:left="4335" w:leftChars="1950" w:hanging="240" w:hangingChars="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3F52DC33">
      <w:pPr>
        <w:autoSpaceDE w:val="0"/>
        <w:autoSpaceDN w:val="0"/>
        <w:spacing w:line="360" w:lineRule="auto"/>
        <w:ind w:firstLine="6480" w:firstLineChars="270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5E572010">
      <w:pPr>
        <w:widowControl/>
        <w:spacing w:line="360" w:lineRule="auto"/>
        <w:jc w:val="left"/>
        <w:rPr>
          <w:rFonts w:ascii="仿宋_GB2312" w:hAnsi="仿宋" w:eastAsia="仿宋_GB2312" w:cs="仿宋_GB2312"/>
          <w:color w:val="000000" w:themeColor="text1"/>
          <w:kern w:val="0"/>
          <w:sz w:val="24"/>
          <w:highlight w:val="none"/>
          <w:lang w:val="zh-CN"/>
          <w14:textFill>
            <w14:solidFill>
              <w14:schemeClr w14:val="tx1"/>
            </w14:solidFill>
          </w14:textFill>
        </w:rPr>
        <w:sectPr>
          <w:pgSz w:w="11910" w:h="16840"/>
          <w:pgMar w:top="1340" w:right="1500" w:bottom="280" w:left="1680" w:header="720" w:footer="720" w:gutter="0"/>
          <w:cols w:space="720" w:num="1"/>
        </w:sectPr>
      </w:pPr>
    </w:p>
    <w:p w14:paraId="09BE7C3F">
      <w:pPr>
        <w:autoSpaceDE w:val="0"/>
        <w:autoSpaceDN w:val="0"/>
        <w:spacing w:line="360" w:lineRule="auto"/>
        <w:ind w:firstLine="6480" w:firstLineChars="2700"/>
        <w:rPr>
          <w:rFonts w:ascii="仿宋_GB2312" w:hAnsi="仿宋" w:eastAsia="仿宋_GB2312" w:cs="仿宋_GB2312"/>
          <w:color w:val="000000" w:themeColor="text1"/>
          <w:kern w:val="0"/>
          <w:sz w:val="24"/>
          <w:highlight w:val="none"/>
          <w:lang w:val="zh-CN"/>
          <w14:textFill>
            <w14:solidFill>
              <w14:schemeClr w14:val="tx1"/>
            </w14:solidFill>
          </w14:textFill>
        </w:rPr>
      </w:pPr>
    </w:p>
    <w:p w14:paraId="3F1B8CC6">
      <w:pPr>
        <w:spacing w:line="520" w:lineRule="exact"/>
        <w:ind w:firstLine="420" w:firstLineChars="200"/>
        <w:rPr>
          <w:rFonts w:ascii="宋体" w:hAnsi="宋体"/>
          <w:b/>
          <w:bCs/>
          <w:color w:val="000000" w:themeColor="text1"/>
          <w:sz w:val="32"/>
          <w:szCs w:val="32"/>
          <w:highlight w:val="none"/>
          <w14:textFill>
            <w14:solidFill>
              <w14:schemeClr w14:val="tx1"/>
            </w14:solidFill>
          </w14:textFill>
        </w:rPr>
      </w:pPr>
      <w:r>
        <w:rPr>
          <w:rFonts w:hint="eastAsia"/>
          <w:color w:val="000000" w:themeColor="text1"/>
          <w:highlight w:val="none"/>
          <w14:textFill>
            <w14:solidFill>
              <w14:schemeClr w14:val="tx1"/>
            </w14:solidFill>
          </w14:textFill>
        </w:rPr>
        <w:t>二</w:t>
      </w:r>
      <w:r>
        <w:rPr>
          <w:rFonts w:hint="eastAsia" w:ascii="宋体" w:hAnsi="宋体"/>
          <w:b/>
          <w:bCs/>
          <w:color w:val="000000" w:themeColor="text1"/>
          <w:sz w:val="32"/>
          <w:szCs w:val="32"/>
          <w:highlight w:val="none"/>
          <w14:textFill>
            <w14:solidFill>
              <w14:schemeClr w14:val="tx1"/>
            </w14:solidFill>
          </w14:textFill>
        </w:rPr>
        <w:t>、响应报价表</w:t>
      </w:r>
    </w:p>
    <w:p w14:paraId="4F7B1E5D">
      <w:pPr>
        <w:snapToGrid w:val="0"/>
        <w:spacing w:before="50" w:after="50" w:line="360" w:lineRule="auto"/>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bookmarkStart w:id="89" w:name="PO_3000001868_PM002_11"/>
      <w:r>
        <w:rPr>
          <w:rFonts w:hint="eastAsia" w:ascii="宋体" w:hAnsi="宋体"/>
          <w:color w:val="000000" w:themeColor="text1"/>
          <w:sz w:val="24"/>
          <w:highlight w:val="none"/>
          <w:u w:val="single"/>
          <w14:textFill>
            <w14:solidFill>
              <w14:schemeClr w14:val="tx1"/>
            </w14:solidFill>
          </w14:textFill>
        </w:rPr>
        <w:t>[项目采购-项目名称_11]</w:t>
      </w:r>
      <w:bookmarkEnd w:id="89"/>
      <w:r>
        <w:rPr>
          <w:rFonts w:hint="eastAsia" w:ascii="宋体" w:hAnsi="宋体"/>
          <w:color w:val="000000" w:themeColor="text1"/>
          <w:sz w:val="24"/>
          <w:highlight w:val="none"/>
          <w14:textFill>
            <w14:solidFill>
              <w14:schemeClr w14:val="tx1"/>
            </w14:solidFill>
          </w14:textFill>
        </w:rPr>
        <w:t xml:space="preserve">      项目编号：</w:t>
      </w:r>
      <w:bookmarkStart w:id="90" w:name="PO_3000001868_PM001_11"/>
      <w:r>
        <w:rPr>
          <w:rFonts w:hint="eastAsia" w:ascii="宋体" w:hAnsi="宋体"/>
          <w:color w:val="000000" w:themeColor="text1"/>
          <w:sz w:val="24"/>
          <w:highlight w:val="none"/>
          <w:u w:val="single"/>
          <w14:textFill>
            <w14:solidFill>
              <w14:schemeClr w14:val="tx1"/>
            </w14:solidFill>
          </w14:textFill>
        </w:rPr>
        <w:t>[项目采购-项目编号_11]</w:t>
      </w:r>
      <w:bookmarkEnd w:id="90"/>
    </w:p>
    <w:p w14:paraId="64DFC22E">
      <w:pPr>
        <w:snapToGrid w:val="0"/>
        <w:spacing w:before="50" w:after="50" w:line="360" w:lineRule="auto"/>
        <w:rPr>
          <w:rFonts w:hAnsi="宋体"/>
          <w:color w:val="000000" w:themeColor="text1"/>
          <w:sz w:val="24"/>
          <w:highlight w:val="none"/>
          <w:u w:val="single"/>
          <w14:textFill>
            <w14:solidFill>
              <w14:schemeClr w14:val="tx1"/>
            </w14:solidFill>
          </w14:textFill>
        </w:rPr>
      </w:pPr>
      <w:r>
        <w:rPr>
          <w:rFonts w:hint="eastAsia" w:hAnsi="宋体"/>
          <w:color w:val="000000" w:themeColor="text1"/>
          <w:sz w:val="24"/>
          <w:highlight w:val="none"/>
          <w14:textFill>
            <w14:solidFill>
              <w14:schemeClr w14:val="tx1"/>
            </w14:solidFill>
          </w14:textFill>
        </w:rPr>
        <w:t>供应商名称：</w:t>
      </w:r>
    </w:p>
    <w:p w14:paraId="1E497595">
      <w:pPr>
        <w:spacing w:line="340" w:lineRule="exact"/>
        <w:ind w:left="238" w:hanging="240"/>
        <w:jc w:val="right"/>
        <w:rPr>
          <w:rFonts w:ascii="宋体" w:hAnsi="宋体"/>
          <w:color w:val="000000" w:themeColor="text1"/>
          <w:kern w:val="0"/>
          <w:sz w:val="24"/>
          <w:highlight w:val="none"/>
          <w:vertAlign w:val="superscript"/>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币种：人民币</w:t>
      </w:r>
    </w:p>
    <w:tbl>
      <w:tblPr>
        <w:tblStyle w:val="5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7"/>
        <w:gridCol w:w="2174"/>
        <w:gridCol w:w="1716"/>
        <w:gridCol w:w="3244"/>
        <w:gridCol w:w="1065"/>
      </w:tblGrid>
      <w:tr w14:paraId="5E96C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18" w:type="pct"/>
          </w:tcPr>
          <w:p w14:paraId="477A67BB">
            <w:pPr>
              <w:keepNext w:val="0"/>
              <w:keepLines w:val="0"/>
              <w:suppressLineNumbers w:val="0"/>
              <w:snapToGrid w:val="0"/>
              <w:spacing w:before="50" w:beforeAutospacing="0" w:after="50" w:afterAutospacing="0" w:line="360" w:lineRule="auto"/>
              <w:ind w:left="0" w:right="0"/>
              <w:rPr>
                <w:rFonts w:hint="default"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序号</w:t>
            </w:r>
          </w:p>
        </w:tc>
        <w:tc>
          <w:tcPr>
            <w:tcW w:w="1215" w:type="pct"/>
          </w:tcPr>
          <w:p w14:paraId="43F08D10">
            <w:pPr>
              <w:keepNext w:val="0"/>
              <w:keepLines w:val="0"/>
              <w:suppressLineNumbers w:val="0"/>
              <w:snapToGrid w:val="0"/>
              <w:spacing w:before="50" w:beforeAutospacing="0" w:after="50" w:afterAutospacing="0" w:line="360" w:lineRule="auto"/>
              <w:ind w:left="0" w:right="0"/>
              <w:rPr>
                <w:rFonts w:hint="default"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工程名称</w:t>
            </w:r>
          </w:p>
        </w:tc>
        <w:tc>
          <w:tcPr>
            <w:tcW w:w="959" w:type="pct"/>
          </w:tcPr>
          <w:p w14:paraId="66142D0D">
            <w:pPr>
              <w:keepNext w:val="0"/>
              <w:keepLines w:val="0"/>
              <w:suppressLineNumbers w:val="0"/>
              <w:snapToGrid w:val="0"/>
              <w:spacing w:before="50" w:beforeAutospacing="0" w:after="50" w:afterAutospacing="0" w:line="360" w:lineRule="auto"/>
              <w:ind w:left="0" w:right="0"/>
              <w:rPr>
                <w:rFonts w:hint="default"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数量及单位</w:t>
            </w:r>
          </w:p>
        </w:tc>
        <w:tc>
          <w:tcPr>
            <w:tcW w:w="1813" w:type="pct"/>
          </w:tcPr>
          <w:p w14:paraId="551FCEAF">
            <w:pPr>
              <w:keepNext w:val="0"/>
              <w:keepLines w:val="0"/>
              <w:suppressLineNumbers w:val="0"/>
              <w:snapToGrid w:val="0"/>
              <w:spacing w:before="50" w:beforeAutospacing="0" w:after="50" w:afterAutospacing="0" w:line="360" w:lineRule="auto"/>
              <w:ind w:left="0" w:right="0"/>
              <w:rPr>
                <w:rFonts w:hint="default"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总价（元）</w:t>
            </w:r>
          </w:p>
        </w:tc>
        <w:tc>
          <w:tcPr>
            <w:tcW w:w="596" w:type="pct"/>
          </w:tcPr>
          <w:p w14:paraId="3F289F58">
            <w:pPr>
              <w:keepNext w:val="0"/>
              <w:keepLines w:val="0"/>
              <w:suppressLineNumbers w:val="0"/>
              <w:snapToGrid w:val="0"/>
              <w:spacing w:before="50" w:beforeAutospacing="0" w:after="50" w:afterAutospacing="0" w:line="360" w:lineRule="auto"/>
              <w:ind w:left="0" w:right="0"/>
              <w:rPr>
                <w:rFonts w:hint="default"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备注</w:t>
            </w:r>
          </w:p>
        </w:tc>
      </w:tr>
      <w:tr w14:paraId="4EF3F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18" w:type="pct"/>
          </w:tcPr>
          <w:p w14:paraId="37FCEB84">
            <w:pPr>
              <w:keepNext w:val="0"/>
              <w:keepLines w:val="0"/>
              <w:suppressLineNumbers w:val="0"/>
              <w:snapToGrid w:val="0"/>
              <w:spacing w:before="50" w:beforeAutospacing="0" w:after="50" w:afterAutospacing="0" w:line="360" w:lineRule="auto"/>
              <w:ind w:left="0" w:right="0"/>
              <w:rPr>
                <w:rFonts w:hint="default"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w:t>
            </w:r>
          </w:p>
        </w:tc>
        <w:tc>
          <w:tcPr>
            <w:tcW w:w="1215" w:type="pct"/>
          </w:tcPr>
          <w:p w14:paraId="5FB6CDEA">
            <w:pPr>
              <w:keepNext w:val="0"/>
              <w:keepLines w:val="0"/>
              <w:suppressLineNumbers w:val="0"/>
              <w:snapToGrid w:val="0"/>
              <w:spacing w:before="50" w:beforeAutospacing="0" w:after="50" w:afterAutospacing="0" w:line="360" w:lineRule="auto"/>
              <w:ind w:left="0" w:right="0"/>
              <w:rPr>
                <w:rFonts w:hint="default" w:hAnsi="宋体"/>
                <w:color w:val="000000" w:themeColor="text1"/>
                <w:sz w:val="24"/>
                <w:highlight w:val="none"/>
                <w14:textFill>
                  <w14:solidFill>
                    <w14:schemeClr w14:val="tx1"/>
                  </w14:solidFill>
                </w14:textFill>
              </w:rPr>
            </w:pPr>
          </w:p>
        </w:tc>
        <w:tc>
          <w:tcPr>
            <w:tcW w:w="959" w:type="pct"/>
          </w:tcPr>
          <w:p w14:paraId="11AA0F37">
            <w:pPr>
              <w:keepNext w:val="0"/>
              <w:keepLines w:val="0"/>
              <w:suppressLineNumbers w:val="0"/>
              <w:snapToGrid w:val="0"/>
              <w:spacing w:before="50" w:beforeAutospacing="0" w:after="50" w:afterAutospacing="0" w:line="360" w:lineRule="auto"/>
              <w:ind w:left="0" w:right="0"/>
              <w:rPr>
                <w:rFonts w:hint="default"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1项</w:t>
            </w:r>
          </w:p>
        </w:tc>
        <w:tc>
          <w:tcPr>
            <w:tcW w:w="1813" w:type="pct"/>
          </w:tcPr>
          <w:p w14:paraId="43F4AE27">
            <w:pPr>
              <w:keepNext w:val="0"/>
              <w:keepLines w:val="0"/>
              <w:suppressLineNumbers w:val="0"/>
              <w:snapToGrid w:val="0"/>
              <w:spacing w:before="50" w:beforeAutospacing="0" w:after="50" w:afterAutospacing="0" w:line="360" w:lineRule="auto"/>
              <w:ind w:left="0" w:right="0"/>
              <w:rPr>
                <w:rFonts w:hint="default" w:hAnsi="宋体"/>
                <w:color w:val="000000" w:themeColor="text1"/>
                <w:sz w:val="24"/>
                <w:highlight w:val="none"/>
                <w14:textFill>
                  <w14:solidFill>
                    <w14:schemeClr w14:val="tx1"/>
                  </w14:solidFill>
                </w14:textFill>
              </w:rPr>
            </w:pPr>
          </w:p>
        </w:tc>
        <w:tc>
          <w:tcPr>
            <w:tcW w:w="596" w:type="pct"/>
          </w:tcPr>
          <w:p w14:paraId="42FC7C17">
            <w:pPr>
              <w:keepNext w:val="0"/>
              <w:keepLines w:val="0"/>
              <w:suppressLineNumbers w:val="0"/>
              <w:snapToGrid w:val="0"/>
              <w:spacing w:before="50" w:beforeAutospacing="0" w:after="50" w:afterAutospacing="0" w:line="360" w:lineRule="auto"/>
              <w:ind w:left="0" w:right="0"/>
              <w:rPr>
                <w:rFonts w:hint="default" w:hAnsi="宋体"/>
                <w:color w:val="000000" w:themeColor="text1"/>
                <w:sz w:val="24"/>
                <w:highlight w:val="none"/>
                <w14:textFill>
                  <w14:solidFill>
                    <w14:schemeClr w14:val="tx1"/>
                  </w14:solidFill>
                </w14:textFill>
              </w:rPr>
            </w:pPr>
          </w:p>
        </w:tc>
      </w:tr>
      <w:tr w14:paraId="6B049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5"/>
          </w:tcPr>
          <w:p w14:paraId="23C7FA8E">
            <w:pPr>
              <w:keepNext w:val="0"/>
              <w:keepLines w:val="0"/>
              <w:suppressLineNumbers w:val="0"/>
              <w:snapToGrid w:val="0"/>
              <w:spacing w:before="50" w:beforeAutospacing="0" w:after="50" w:afterAutospacing="0" w:line="360" w:lineRule="auto"/>
              <w:ind w:left="0" w:right="0"/>
              <w:rPr>
                <w:rFonts w:hint="default" w:hAnsi="宋体"/>
                <w:color w:val="000000" w:themeColor="text1"/>
                <w:sz w:val="24"/>
                <w:highlight w:val="none"/>
                <w14:textFill>
                  <w14:solidFill>
                    <w14:schemeClr w14:val="tx1"/>
                  </w14:solidFill>
                </w14:textFill>
              </w:rPr>
            </w:pPr>
            <w:r>
              <w:rPr>
                <w:rFonts w:hint="eastAsia" w:ascii="宋体" w:cs="宋体"/>
                <w:color w:val="000000" w:themeColor="text1"/>
                <w:kern w:val="0"/>
                <w:sz w:val="24"/>
                <w:highlight w:val="none"/>
                <w14:textFill>
                  <w14:solidFill>
                    <w14:schemeClr w14:val="tx1"/>
                  </w14:solidFill>
                </w14:textFill>
              </w:rPr>
              <w:t>报价合计（包含税费等所有费用）：（大写）人民币（¥元）</w:t>
            </w:r>
          </w:p>
        </w:tc>
      </w:tr>
    </w:tbl>
    <w:p w14:paraId="334A98D6">
      <w:pPr>
        <w:snapToGrid w:val="0"/>
        <w:spacing w:before="50" w:after="50" w:line="360" w:lineRule="auto"/>
        <w:rPr>
          <w:rFonts w:hAnsi="宋体"/>
          <w:color w:val="000000" w:themeColor="text1"/>
          <w:sz w:val="24"/>
          <w:highlight w:val="none"/>
          <w14:textFill>
            <w14:solidFill>
              <w14:schemeClr w14:val="tx1"/>
            </w14:solidFill>
          </w14:textFill>
        </w:rPr>
      </w:pPr>
    </w:p>
    <w:p w14:paraId="10F0C6EF">
      <w:pPr>
        <w:snapToGrid w:val="0"/>
        <w:spacing w:before="50" w:after="50" w:line="360" w:lineRule="auto"/>
        <w:rPr>
          <w:rFonts w:ascii="宋体" w:hAnsi="宋体"/>
          <w:color w:val="000000" w:themeColor="text1"/>
          <w:sz w:val="24"/>
          <w:highlight w:val="none"/>
          <w:u w:val="single"/>
          <w14:textFill>
            <w14:solidFill>
              <w14:schemeClr w14:val="tx1"/>
            </w14:solidFill>
          </w14:textFill>
        </w:rPr>
      </w:pPr>
    </w:p>
    <w:p w14:paraId="756F6EF2">
      <w:pPr>
        <w:snapToGrid w:val="0"/>
        <w:ind w:firstLine="480" w:firstLineChars="200"/>
        <w:jc w:val="left"/>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szCs w:val="22"/>
          <w:highlight w:val="none"/>
          <w:lang w:val="zh-CN"/>
          <w14:textFill>
            <w14:solidFill>
              <w14:schemeClr w14:val="tx1"/>
            </w14:solidFill>
          </w14:textFill>
        </w:rPr>
        <w:t>注</w:t>
      </w:r>
      <w:r>
        <w:rPr>
          <w:rFonts w:ascii="仿宋_GB2312" w:hAnsi="仿宋" w:eastAsia="仿宋_GB2312" w:cs="仿宋_GB2312"/>
          <w:color w:val="000000" w:themeColor="text1"/>
          <w:kern w:val="0"/>
          <w:sz w:val="24"/>
          <w:szCs w:val="22"/>
          <w:highlight w:val="none"/>
          <w:lang w:val="zh-CN"/>
          <w14:textFill>
            <w14:solidFill>
              <w14:schemeClr w14:val="tx1"/>
            </w14:solidFill>
          </w14:textFill>
        </w:rPr>
        <w:t>：</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符合采购文件中列明的可享受中小企业扶持政策的供应商，请填写中小企业声明函。注：供应商</w:t>
      </w:r>
      <w:r>
        <w:rPr>
          <w:rFonts w:ascii="仿宋_GB2312" w:hAnsi="仿宋" w:eastAsia="仿宋_GB2312" w:cs="仿宋_GB2312"/>
          <w:color w:val="000000" w:themeColor="text1"/>
          <w:kern w:val="0"/>
          <w:sz w:val="24"/>
          <w:highlight w:val="none"/>
          <w:lang w:val="zh-CN"/>
          <w14:textFill>
            <w14:solidFill>
              <w14:schemeClr w14:val="tx1"/>
            </w14:solidFill>
          </w14:textFill>
        </w:rPr>
        <w:t>提供</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的中小企业</w:t>
      </w:r>
      <w:r>
        <w:rPr>
          <w:rFonts w:ascii="仿宋_GB2312" w:hAnsi="仿宋" w:eastAsia="仿宋_GB2312" w:cs="仿宋_GB2312"/>
          <w:color w:val="000000" w:themeColor="text1"/>
          <w:kern w:val="0"/>
          <w:sz w:val="24"/>
          <w:highlight w:val="none"/>
          <w:lang w:val="zh-CN"/>
          <w14:textFill>
            <w14:solidFill>
              <w14:schemeClr w14:val="tx1"/>
            </w14:solidFill>
          </w14:textFill>
        </w:rPr>
        <w:t>声明函内容不实的，属于提供虚假材料谋取中标、成交，依照《中华人民共和国政府采购法》等国家有关规定追究相应责任。</w:t>
      </w:r>
    </w:p>
    <w:p w14:paraId="4EB0AE29">
      <w:pPr>
        <w:autoSpaceDE w:val="0"/>
        <w:autoSpaceDN w:val="0"/>
        <w:spacing w:line="360" w:lineRule="auto"/>
        <w:ind w:left="4335" w:leftChars="1950" w:hanging="240" w:hangingChars="100"/>
        <w:rPr>
          <w:rFonts w:ascii="仿宋_GB2312" w:hAnsi="仿宋" w:eastAsia="仿宋_GB2312" w:cs="仿宋_GB2312"/>
          <w:color w:val="000000" w:themeColor="text1"/>
          <w:kern w:val="0"/>
          <w:sz w:val="24"/>
          <w:highlight w:val="none"/>
          <w14:textFill>
            <w14:solidFill>
              <w14:schemeClr w14:val="tx1"/>
            </w14:solidFill>
          </w14:textFill>
        </w:rPr>
      </w:pPr>
    </w:p>
    <w:p w14:paraId="667B8DCA">
      <w:pPr>
        <w:autoSpaceDE w:val="0"/>
        <w:autoSpaceDN w:val="0"/>
        <w:spacing w:line="360" w:lineRule="auto"/>
        <w:ind w:left="4335" w:leftChars="1950" w:hanging="240" w:hangingChars="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供应商名称（电子签章）：</w:t>
      </w:r>
    </w:p>
    <w:p w14:paraId="331C69CD">
      <w:pPr>
        <w:pStyle w:val="28"/>
        <w:spacing w:line="500" w:lineRule="exact"/>
        <w:ind w:firstLine="6360" w:firstLineChars="2650"/>
        <w:rPr>
          <w:rFonts w:ascii="仿宋_GB2312" w:hAnsi="仿宋" w:eastAsia="仿宋_GB2312" w:cs="仿宋_GB2312"/>
          <w:color w:val="000000" w:themeColor="text1"/>
          <w:sz w:val="24"/>
          <w:highlight w:val="none"/>
          <w:lang w:val="zh-CN"/>
          <w14:textFill>
            <w14:solidFill>
              <w14:schemeClr w14:val="tx1"/>
            </w14:solidFill>
          </w14:textFill>
        </w:rPr>
      </w:pPr>
      <w:r>
        <w:rPr>
          <w:rFonts w:hint="eastAsia" w:ascii="仿宋_GB2312" w:hAnsi="仿宋" w:eastAsia="仿宋_GB2312" w:cs="仿宋_GB2312"/>
          <w:color w:val="000000" w:themeColor="text1"/>
          <w:sz w:val="24"/>
          <w:highlight w:val="none"/>
          <w:lang w:val="zh-CN"/>
          <w14:textFill>
            <w14:solidFill>
              <w14:schemeClr w14:val="tx1"/>
            </w14:solidFill>
          </w14:textFill>
        </w:rPr>
        <w:t>日期：  年  月   日</w:t>
      </w:r>
    </w:p>
    <w:p w14:paraId="2D9093EF">
      <w:pPr>
        <w:widowControl/>
        <w:jc w:val="left"/>
        <w:rPr>
          <w:rFonts w:ascii="仿宋_GB2312" w:hAnsi="仿宋" w:eastAsia="仿宋_GB2312" w:cs="仿宋_GB2312"/>
          <w:color w:val="000000" w:themeColor="text1"/>
          <w:kern w:val="0"/>
          <w:sz w:val="24"/>
          <w:szCs w:val="21"/>
          <w:highlight w:val="none"/>
          <w:lang w:val="zh-CN"/>
          <w14:textFill>
            <w14:solidFill>
              <w14:schemeClr w14:val="tx1"/>
            </w14:solidFill>
          </w14:textFill>
        </w:rPr>
        <w:sectPr>
          <w:pgSz w:w="11910" w:h="16840"/>
          <w:pgMar w:top="1340" w:right="1500" w:bottom="280" w:left="1680" w:header="720" w:footer="720" w:gutter="0"/>
          <w:cols w:space="720" w:num="1"/>
        </w:sectPr>
      </w:pPr>
    </w:p>
    <w:p w14:paraId="19F14E39">
      <w:pPr>
        <w:pStyle w:val="28"/>
        <w:spacing w:line="500" w:lineRule="exact"/>
        <w:ind w:firstLine="602" w:firstLineChars="200"/>
        <w:rPr>
          <w:rFonts w:ascii="仿宋" w:hAnsi="仿宋" w:eastAsia="仿宋" w:cs="仿宋_GB2312"/>
          <w:b/>
          <w:color w:val="000000" w:themeColor="text1"/>
          <w:kern w:val="2"/>
          <w:sz w:val="30"/>
          <w:szCs w:val="30"/>
          <w:highlight w:val="none"/>
          <w14:textFill>
            <w14:solidFill>
              <w14:schemeClr w14:val="tx1"/>
            </w14:solidFill>
          </w14:textFill>
        </w:rPr>
      </w:pPr>
      <w:r>
        <w:rPr>
          <w:rFonts w:hint="eastAsia" w:ascii="仿宋" w:hAnsi="仿宋" w:eastAsia="仿宋" w:cs="仿宋_GB2312"/>
          <w:b/>
          <w:color w:val="000000" w:themeColor="text1"/>
          <w:kern w:val="2"/>
          <w:sz w:val="30"/>
          <w:szCs w:val="30"/>
          <w:highlight w:val="none"/>
          <w14:textFill>
            <w14:solidFill>
              <w14:schemeClr w14:val="tx1"/>
            </w14:solidFill>
          </w14:textFill>
        </w:rPr>
        <w:t>三、已标价工程量清单报价有关资料</w:t>
      </w:r>
    </w:p>
    <w:p w14:paraId="46B17474">
      <w:pPr>
        <w:pStyle w:val="28"/>
        <w:spacing w:line="500" w:lineRule="exact"/>
        <w:ind w:firstLine="6360" w:firstLineChars="2650"/>
        <w:rPr>
          <w:rFonts w:ascii="仿宋_GB2312" w:hAnsi="仿宋" w:eastAsia="仿宋_GB2312" w:cs="仿宋_GB2312"/>
          <w:color w:val="000000" w:themeColor="text1"/>
          <w:sz w:val="24"/>
          <w:highlight w:val="none"/>
          <w:lang w:val="zh-CN"/>
          <w14:textFill>
            <w14:solidFill>
              <w14:schemeClr w14:val="tx1"/>
            </w14:solidFill>
          </w14:textFill>
        </w:rPr>
      </w:pPr>
    </w:p>
    <w:p w14:paraId="66F64CFC">
      <w:pPr>
        <w:pStyle w:val="28"/>
        <w:spacing w:line="500" w:lineRule="exact"/>
        <w:ind w:firstLine="6360" w:firstLineChars="2650"/>
        <w:rPr>
          <w:rFonts w:ascii="仿宋_GB2312" w:hAnsi="仿宋" w:eastAsia="仿宋_GB2312" w:cs="仿宋_GB2312"/>
          <w:color w:val="000000" w:themeColor="text1"/>
          <w:sz w:val="24"/>
          <w:highlight w:val="none"/>
          <w:lang w:val="zh-CN"/>
          <w14:textFill>
            <w14:solidFill>
              <w14:schemeClr w14:val="tx1"/>
            </w14:solidFill>
          </w14:textFill>
        </w:rPr>
      </w:pPr>
    </w:p>
    <w:p w14:paraId="003122D1">
      <w:pPr>
        <w:widowControl/>
        <w:spacing w:line="360" w:lineRule="auto"/>
        <w:jc w:val="left"/>
        <w:rPr>
          <w:rFonts w:ascii="宋体" w:hAnsi="宋体"/>
          <w:b/>
          <w:bCs/>
          <w:color w:val="000000" w:themeColor="text1"/>
          <w:sz w:val="32"/>
          <w:szCs w:val="32"/>
          <w:highlight w:val="none"/>
          <w14:textFill>
            <w14:solidFill>
              <w14:schemeClr w14:val="tx1"/>
            </w14:solidFill>
          </w14:textFill>
        </w:rPr>
        <w:sectPr>
          <w:pgSz w:w="11910" w:h="16840"/>
          <w:pgMar w:top="1340" w:right="1500" w:bottom="280" w:left="1680" w:header="720" w:footer="720" w:gutter="0"/>
          <w:cols w:space="720" w:num="1"/>
        </w:sectPr>
      </w:pPr>
    </w:p>
    <w:p w14:paraId="1E2D9EF9">
      <w:pPr>
        <w:pStyle w:val="5"/>
        <w:jc w:val="center"/>
        <w:rPr>
          <w:rFonts w:ascii="宋体" w:hAnsi="宋体" w:cs="宋体"/>
          <w:b w:val="0"/>
          <w:color w:val="000000" w:themeColor="text1"/>
          <w:highlight w:val="none"/>
          <w14:textFill>
            <w14:solidFill>
              <w14:schemeClr w14:val="tx1"/>
            </w14:solidFill>
          </w14:textFill>
        </w:rPr>
      </w:pPr>
      <w:bookmarkStart w:id="91" w:name="_Toc35611516"/>
      <w:bookmarkEnd w:id="91"/>
      <w:bookmarkStart w:id="92" w:name="_Toc31723070"/>
      <w:bookmarkEnd w:id="92"/>
      <w:bookmarkStart w:id="93" w:name="_Toc31728084"/>
      <w:bookmarkEnd w:id="93"/>
      <w:bookmarkStart w:id="94" w:name="_Toc44229899"/>
      <w:bookmarkEnd w:id="94"/>
      <w:bookmarkStart w:id="95" w:name="_Toc35611438"/>
      <w:bookmarkEnd w:id="95"/>
      <w:bookmarkStart w:id="96" w:name="_Toc213948298"/>
      <w:bookmarkStart w:id="97" w:name="_Toc80205942"/>
      <w:r>
        <w:rPr>
          <w:rFonts w:hint="eastAsia" w:ascii="宋体" w:hAnsi="宋体"/>
          <w:color w:val="000000" w:themeColor="text1"/>
          <w:highlight w:val="none"/>
          <w14:textFill>
            <w14:solidFill>
              <w14:schemeClr w14:val="tx1"/>
            </w14:solidFill>
          </w14:textFill>
        </w:rPr>
        <w:t>第五节 其他文书、文件格式</w:t>
      </w:r>
      <w:bookmarkEnd w:id="96"/>
      <w:bookmarkEnd w:id="97"/>
    </w:p>
    <w:p w14:paraId="5951913B">
      <w:pPr>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知识产权合规性声明</w:t>
      </w:r>
    </w:p>
    <w:p w14:paraId="79DDC654">
      <w:pPr>
        <w:rPr>
          <w:rFonts w:ascii="仿宋_GB2312" w:hAnsi="仿宋_GB2312" w:eastAsia="仿宋_GB2312" w:cs="仿宋_GB2312"/>
          <w:color w:val="000000" w:themeColor="text1"/>
          <w:sz w:val="30"/>
          <w:szCs w:val="30"/>
          <w:highlight w:val="none"/>
          <w14:textFill>
            <w14:solidFill>
              <w14:schemeClr w14:val="tx1"/>
            </w14:solidFill>
          </w14:textFill>
        </w:rPr>
      </w:pPr>
    </w:p>
    <w:p w14:paraId="4D8D7C77">
      <w:pPr>
        <w:rPr>
          <w:rFonts w:ascii="仿宋_GB2312" w:hAnsi="仿宋_GB2312" w:eastAsia="仿宋_GB2312" w:cs="仿宋_GB2312"/>
          <w:color w:val="000000" w:themeColor="text1"/>
          <w:sz w:val="30"/>
          <w:szCs w:val="30"/>
          <w:highlight w:val="none"/>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 xml:space="preserve">    本企业（单位）自愿参与政府投资政府采购的</w:t>
      </w:r>
      <w:bookmarkStart w:id="98" w:name="PO_3000001868_PM002_14"/>
      <w:r>
        <w:rPr>
          <w:rFonts w:hint="eastAsia" w:ascii="仿宋_GB2312" w:hAnsi="仿宋_GB2312" w:eastAsia="仿宋_GB2312" w:cs="仿宋_GB2312"/>
          <w:color w:val="000000" w:themeColor="text1"/>
          <w:sz w:val="30"/>
          <w:szCs w:val="30"/>
          <w:highlight w:val="none"/>
          <w:u w:val="single"/>
          <w14:textFill>
            <w14:solidFill>
              <w14:schemeClr w14:val="tx1"/>
            </w14:solidFill>
          </w14:textFill>
        </w:rPr>
        <w:t>[项目采购-项目名称_14]</w:t>
      </w:r>
      <w:bookmarkEnd w:id="98"/>
      <w:r>
        <w:rPr>
          <w:rFonts w:hint="eastAsia" w:ascii="仿宋_GB2312" w:hAnsi="仿宋_GB2312" w:eastAsia="仿宋_GB2312" w:cs="仿宋_GB2312"/>
          <w:color w:val="000000" w:themeColor="text1"/>
          <w:sz w:val="30"/>
          <w:szCs w:val="30"/>
          <w:highlight w:val="none"/>
          <w14:textFill>
            <w14:solidFill>
              <w14:schemeClr w14:val="tx1"/>
            </w14:solidFill>
          </w14:textFill>
        </w:rPr>
        <w:t>项目，</w:t>
      </w:r>
      <w:r>
        <w:rPr>
          <w:rFonts w:hint="eastAsia" w:ascii="仿宋_GB2312" w:hAnsi="仿宋_GB2312" w:eastAsia="仿宋_GB2312" w:cs="仿宋_GB2312"/>
          <w:b/>
          <w:bCs/>
          <w:color w:val="000000" w:themeColor="text1"/>
          <w:sz w:val="30"/>
          <w:szCs w:val="30"/>
          <w:highlight w:val="none"/>
          <w14:textFill>
            <w14:solidFill>
              <w14:schemeClr w14:val="tx1"/>
            </w14:solidFill>
          </w14:textFill>
        </w:rPr>
        <w:t>在此郑重承诺：</w:t>
      </w:r>
      <w:r>
        <w:rPr>
          <w:rFonts w:hint="eastAsia" w:ascii="仿宋_GB2312" w:hAnsi="仿宋_GB2312" w:eastAsia="仿宋_GB2312" w:cs="仿宋_GB2312"/>
          <w:color w:val="000000" w:themeColor="text1"/>
          <w:sz w:val="30"/>
          <w:szCs w:val="30"/>
          <w:highlight w:val="none"/>
          <w14:textFill>
            <w14:solidFill>
              <w14:schemeClr w14:val="tx1"/>
            </w14:solidFill>
          </w14:textFill>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1B4BCCDE">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p>
    <w:p w14:paraId="28B7A2D6">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p>
    <w:p w14:paraId="1EBE7E97">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p>
    <w:p w14:paraId="433AB12E">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p>
    <w:p w14:paraId="7E9B99BA">
      <w:pPr>
        <w:snapToGrid w:val="0"/>
        <w:spacing w:line="360" w:lineRule="auto"/>
        <w:ind w:left="5626" w:leftChars="1736" w:hanging="1980" w:hangingChars="825"/>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供应商名称(电子签章)：</w:t>
      </w:r>
    </w:p>
    <w:p w14:paraId="1E8FFC00">
      <w:pPr>
        <w:snapToGrid w:val="0"/>
        <w:spacing w:line="36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3415ED46">
      <w:pPr>
        <w:widowControl/>
        <w:jc w:val="left"/>
        <w:rPr>
          <w:rFonts w:ascii="宋体" w:hAnsi="宋体" w:cs="仿宋_GB2312"/>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F2C85D1">
      <w:pPr>
        <w:spacing w:line="520" w:lineRule="exact"/>
        <w:rPr>
          <w:rFonts w:ascii="宋体" w:hAnsi="宋体" w:cs="仿宋_GB2312"/>
          <w:color w:val="000000" w:themeColor="text1"/>
          <w:sz w:val="24"/>
          <w:highlight w:val="none"/>
          <w14:textFill>
            <w14:solidFill>
              <w14:schemeClr w14:val="tx1"/>
            </w14:solidFill>
          </w14:textFill>
        </w:rPr>
      </w:pPr>
    </w:p>
    <w:p w14:paraId="010BB146">
      <w:pPr>
        <w:snapToGrid w:val="0"/>
        <w:spacing w:line="360" w:lineRule="auto"/>
        <w:ind w:firstLine="5160" w:firstLineChars="2150"/>
        <w:rPr>
          <w:rFonts w:ascii="宋体" w:hAnsi="宋体" w:cs="仿宋_GB2312"/>
          <w:color w:val="000000" w:themeColor="text1"/>
          <w:kern w:val="0"/>
          <w:sz w:val="24"/>
          <w:highlight w:val="none"/>
          <w:lang w:val="zh-CN"/>
          <w14:textFill>
            <w14:solidFill>
              <w14:schemeClr w14:val="tx1"/>
            </w14:solidFill>
          </w14:textFill>
        </w:rPr>
      </w:pPr>
    </w:p>
    <w:p w14:paraId="195B112A">
      <w:pPr>
        <w:spacing w:line="520" w:lineRule="exact"/>
        <w:jc w:val="center"/>
        <w:rPr>
          <w:rFonts w:ascii="宋体" w:hAnsi="宋体"/>
          <w:color w:val="000000" w:themeColor="text1"/>
          <w:sz w:val="24"/>
          <w:highlight w:val="none"/>
          <w14:textFill>
            <w14:solidFill>
              <w14:schemeClr w14:val="tx1"/>
            </w14:solidFill>
          </w14:textFill>
        </w:rPr>
      </w:pPr>
    </w:p>
    <w:p w14:paraId="7C92F053">
      <w:pPr>
        <w:spacing w:line="520" w:lineRule="exact"/>
        <w:jc w:val="center"/>
        <w:rPr>
          <w:rFonts w:ascii="宋体" w:hAnsi="宋体"/>
          <w:color w:val="000000" w:themeColor="text1"/>
          <w:sz w:val="24"/>
          <w:highlight w:val="none"/>
          <w14:textFill>
            <w14:solidFill>
              <w14:schemeClr w14:val="tx1"/>
            </w14:solidFill>
          </w14:textFill>
        </w:rPr>
      </w:pPr>
    </w:p>
    <w:p w14:paraId="3A8D23A8">
      <w:pPr>
        <w:spacing w:line="520" w:lineRule="exact"/>
        <w:jc w:val="center"/>
        <w:rPr>
          <w:rFonts w:ascii="宋体" w:hAnsi="宋体"/>
          <w:color w:val="000000" w:themeColor="text1"/>
          <w:sz w:val="24"/>
          <w:highlight w:val="none"/>
          <w14:textFill>
            <w14:solidFill>
              <w14:schemeClr w14:val="tx1"/>
            </w14:solidFill>
          </w14:textFill>
        </w:rPr>
      </w:pPr>
    </w:p>
    <w:p w14:paraId="17E0D14A">
      <w:pPr>
        <w:spacing w:line="520" w:lineRule="exact"/>
        <w:jc w:val="center"/>
        <w:rPr>
          <w:rFonts w:ascii="宋体" w:hAnsi="宋体"/>
          <w:color w:val="000000" w:themeColor="text1"/>
          <w:sz w:val="24"/>
          <w:highlight w:val="none"/>
          <w14:textFill>
            <w14:solidFill>
              <w14:schemeClr w14:val="tx1"/>
            </w14:solidFill>
          </w14:textFill>
        </w:rPr>
      </w:pPr>
    </w:p>
    <w:p w14:paraId="5589169B">
      <w:pPr>
        <w:spacing w:line="520" w:lineRule="exact"/>
        <w:jc w:val="center"/>
        <w:rPr>
          <w:rFonts w:ascii="宋体" w:hAnsi="宋体"/>
          <w:color w:val="000000" w:themeColor="text1"/>
          <w:sz w:val="24"/>
          <w:highlight w:val="none"/>
          <w14:textFill>
            <w14:solidFill>
              <w14:schemeClr w14:val="tx1"/>
            </w14:solidFill>
          </w14:textFill>
        </w:rPr>
      </w:pPr>
    </w:p>
    <w:p w14:paraId="1CDBB8F8">
      <w:pPr>
        <w:spacing w:line="520" w:lineRule="exact"/>
        <w:jc w:val="center"/>
        <w:rPr>
          <w:rFonts w:ascii="宋体" w:hAnsi="宋体"/>
          <w:color w:val="000000" w:themeColor="text1"/>
          <w:sz w:val="24"/>
          <w:highlight w:val="none"/>
          <w14:textFill>
            <w14:solidFill>
              <w14:schemeClr w14:val="tx1"/>
            </w14:solidFill>
          </w14:textFill>
        </w:rPr>
      </w:pPr>
    </w:p>
    <w:p w14:paraId="5B88E5A4">
      <w:pPr>
        <w:spacing w:line="520" w:lineRule="exact"/>
        <w:jc w:val="center"/>
        <w:rPr>
          <w:rFonts w:ascii="宋体" w:hAnsi="宋体"/>
          <w:color w:val="000000" w:themeColor="text1"/>
          <w:sz w:val="24"/>
          <w:highlight w:val="none"/>
          <w14:textFill>
            <w14:solidFill>
              <w14:schemeClr w14:val="tx1"/>
            </w14:solidFill>
          </w14:textFill>
        </w:rPr>
      </w:pPr>
    </w:p>
    <w:p w14:paraId="389CF7A2">
      <w:pPr>
        <w:spacing w:line="520" w:lineRule="exact"/>
        <w:jc w:val="center"/>
        <w:rPr>
          <w:rFonts w:ascii="宋体" w:hAnsi="宋体"/>
          <w:color w:val="000000" w:themeColor="text1"/>
          <w:sz w:val="24"/>
          <w:highlight w:val="none"/>
          <w14:textFill>
            <w14:solidFill>
              <w14:schemeClr w14:val="tx1"/>
            </w14:solidFill>
          </w14:textFill>
        </w:rPr>
      </w:pPr>
    </w:p>
    <w:p w14:paraId="4839181D">
      <w:pPr>
        <w:pStyle w:val="4"/>
        <w:jc w:val="center"/>
        <w:rPr>
          <w:rFonts w:ascii="宋体" w:hAnsi="宋体"/>
          <w:b w:val="0"/>
          <w:bCs w:val="0"/>
          <w:color w:val="000000" w:themeColor="text1"/>
          <w:highlight w:val="none"/>
          <w14:textFill>
            <w14:solidFill>
              <w14:schemeClr w14:val="tx1"/>
            </w14:solidFill>
          </w14:textFill>
        </w:rPr>
      </w:pPr>
      <w:bookmarkStart w:id="99" w:name="_Toc213948299"/>
      <w:r>
        <w:rPr>
          <w:rFonts w:hint="eastAsia" w:ascii="宋体" w:hAnsi="宋体"/>
          <w:b w:val="0"/>
          <w:bCs w:val="0"/>
          <w:color w:val="000000" w:themeColor="text1"/>
          <w:highlight w:val="none"/>
          <w14:textFill>
            <w14:solidFill>
              <w14:schemeClr w14:val="tx1"/>
            </w14:solidFill>
          </w14:textFill>
        </w:rPr>
        <w:t>第六章  合同文本</w:t>
      </w:r>
      <w:bookmarkEnd w:id="99"/>
      <w:r>
        <w:rPr>
          <w:rFonts w:hint="eastAsia" w:ascii="宋体" w:hAnsi="宋体"/>
          <w:b w:val="0"/>
          <w:bCs w:val="0"/>
          <w:color w:val="000000" w:themeColor="text1"/>
          <w:highlight w:val="none"/>
          <w14:textFill>
            <w14:solidFill>
              <w14:schemeClr w14:val="tx1"/>
            </w14:solidFill>
          </w14:textFill>
        </w:rPr>
        <w:br w:type="page"/>
      </w:r>
    </w:p>
    <w:p w14:paraId="7C30A83D">
      <w:pPr>
        <w:rPr>
          <w:rFonts w:ascii="宋体" w:hAnsi="宋体"/>
          <w:color w:val="000000" w:themeColor="text1"/>
          <w:highlight w:val="none"/>
          <w14:textFill>
            <w14:solidFill>
              <w14:schemeClr w14:val="tx1"/>
            </w14:solidFill>
          </w14:textFill>
        </w:rPr>
      </w:pPr>
      <w:bookmarkStart w:id="100" w:name="_Toc115277819"/>
    </w:p>
    <w:bookmarkEnd w:id="100"/>
    <w:p w14:paraId="4777E8FB">
      <w:pPr>
        <w:rPr>
          <w:rFonts w:hint="eastAsia"/>
          <w:color w:val="000000" w:themeColor="text1"/>
          <w:highlight w:val="none"/>
          <w14:textFill>
            <w14:solidFill>
              <w14:schemeClr w14:val="tx1"/>
            </w14:solidFill>
          </w14:textFill>
        </w:rPr>
      </w:pPr>
      <w:bookmarkStart w:id="101" w:name="_Toc351203480"/>
      <w:bookmarkStart w:id="102" w:name="_Toc296503025"/>
      <w:bookmarkStart w:id="103" w:name="_Toc23781182"/>
      <w:bookmarkStart w:id="104" w:name="_Toc296890982"/>
      <w:bookmarkStart w:id="105" w:name="_Toc407135191"/>
      <w:bookmarkStart w:id="106" w:name="_Toc256000098"/>
      <w:bookmarkStart w:id="107" w:name="_Toc373478199"/>
      <w:bookmarkStart w:id="108" w:name="_Toc389065255"/>
      <w:bookmarkStart w:id="109" w:name="_Toc373227552"/>
      <w:r>
        <w:rPr>
          <w:rFonts w:hint="eastAsia" w:ascii="宋体" w:hAnsi="宋体" w:cs="宋体"/>
          <w:color w:val="000000" w:themeColor="text1"/>
          <w:sz w:val="24"/>
          <w:highlight w:val="none"/>
          <w14:textFill>
            <w14:solidFill>
              <w14:schemeClr w14:val="tx1"/>
            </w14:solidFill>
          </w14:textFill>
        </w:rPr>
        <w:t>“广西政府采购云平台”合同编号：</w:t>
      </w:r>
    </w:p>
    <w:bookmarkEnd w:id="101"/>
    <w:bookmarkEnd w:id="102"/>
    <w:bookmarkEnd w:id="103"/>
    <w:bookmarkEnd w:id="104"/>
    <w:bookmarkEnd w:id="105"/>
    <w:bookmarkEnd w:id="106"/>
    <w:bookmarkEnd w:id="107"/>
    <w:bookmarkEnd w:id="108"/>
    <w:bookmarkEnd w:id="109"/>
    <w:p w14:paraId="7A572139">
      <w:pPr>
        <w:jc w:val="center"/>
        <w:rPr>
          <w:rFonts w:ascii="宋体" w:hAnsi="宋体" w:cs="宋体"/>
          <w:b/>
          <w:bCs/>
          <w:color w:val="000000" w:themeColor="text1"/>
          <w:kern w:val="44"/>
          <w:sz w:val="44"/>
          <w:szCs w:val="44"/>
          <w:highlight w:val="none"/>
          <w14:textFill>
            <w14:solidFill>
              <w14:schemeClr w14:val="tx1"/>
            </w14:solidFill>
          </w14:textFill>
        </w:rPr>
      </w:pPr>
    </w:p>
    <w:p w14:paraId="78DA281C">
      <w:pPr>
        <w:rPr>
          <w:rFonts w:ascii="宋体" w:hAnsi="宋体" w:cs="宋体"/>
          <w:color w:val="000000" w:themeColor="text1"/>
          <w:highlight w:val="none"/>
          <w14:textFill>
            <w14:solidFill>
              <w14:schemeClr w14:val="tx1"/>
            </w14:solidFill>
          </w14:textFill>
        </w:rPr>
      </w:pPr>
      <w:bookmarkStart w:id="110" w:name="EBf5d8882b67eb450294403d6d9eac2034"/>
    </w:p>
    <w:bookmarkEnd w:id="110"/>
    <w:p w14:paraId="19E332A6">
      <w:pPr>
        <w:spacing w:line="360" w:lineRule="auto"/>
        <w:jc w:val="center"/>
        <w:rPr>
          <w:rFonts w:ascii="宋体" w:hAnsi="宋体" w:cs="宋体"/>
          <w:b/>
          <w:bCs/>
          <w:color w:val="000000" w:themeColor="text1"/>
          <w:sz w:val="44"/>
          <w:highlight w:val="none"/>
          <w14:textFill>
            <w14:solidFill>
              <w14:schemeClr w14:val="tx1"/>
            </w14:solidFill>
          </w14:textFill>
        </w:rPr>
      </w:pPr>
      <w:r>
        <w:rPr>
          <w:rFonts w:hint="eastAsia" w:ascii="宋体" w:hAnsi="宋体" w:cs="宋体"/>
          <w:b/>
          <w:bCs/>
          <w:color w:val="000000" w:themeColor="text1"/>
          <w:sz w:val="44"/>
          <w:highlight w:val="none"/>
          <w:u w:val="single"/>
          <w14:textFill>
            <w14:solidFill>
              <w14:schemeClr w14:val="tx1"/>
            </w14:solidFill>
          </w14:textFill>
        </w:rPr>
        <w:t xml:space="preserve"> </w:t>
      </w:r>
      <w:bookmarkStart w:id="111" w:name="PO_3000001868_PM002_15"/>
      <w:r>
        <w:rPr>
          <w:rFonts w:hint="eastAsia" w:ascii="宋体" w:hAnsi="宋体" w:cs="宋体"/>
          <w:b/>
          <w:bCs/>
          <w:color w:val="000000" w:themeColor="text1"/>
          <w:sz w:val="44"/>
          <w:highlight w:val="none"/>
          <w:u w:val="single"/>
          <w14:textFill>
            <w14:solidFill>
              <w14:schemeClr w14:val="tx1"/>
            </w14:solidFill>
          </w14:textFill>
        </w:rPr>
        <w:t>[项目名称]</w:t>
      </w:r>
      <w:bookmarkEnd w:id="111"/>
      <w:r>
        <w:rPr>
          <w:rFonts w:hint="eastAsia" w:ascii="宋体" w:hAnsi="宋体" w:cs="宋体"/>
          <w:b/>
          <w:bCs/>
          <w:color w:val="000000" w:themeColor="text1"/>
          <w:sz w:val="44"/>
          <w:highlight w:val="none"/>
          <w:u w:val="none"/>
          <w:lang w:val="en-US" w:eastAsia="zh-CN"/>
          <w14:textFill>
            <w14:solidFill>
              <w14:schemeClr w14:val="tx1"/>
            </w14:solidFill>
          </w14:textFill>
        </w:rPr>
        <w:t>施工</w:t>
      </w:r>
      <w:r>
        <w:rPr>
          <w:rFonts w:hint="eastAsia" w:ascii="宋体" w:hAnsi="宋体" w:cs="宋体"/>
          <w:b/>
          <w:bCs/>
          <w:color w:val="000000" w:themeColor="text1"/>
          <w:sz w:val="44"/>
          <w:highlight w:val="none"/>
          <w14:textFill>
            <w14:solidFill>
              <w14:schemeClr w14:val="tx1"/>
            </w14:solidFill>
          </w14:textFill>
        </w:rPr>
        <w:t>合同</w:t>
      </w:r>
    </w:p>
    <w:p w14:paraId="59D043CF">
      <w:pPr>
        <w:spacing w:line="360" w:lineRule="auto"/>
        <w:jc w:val="center"/>
        <w:rPr>
          <w:rFonts w:ascii="宋体" w:hAnsi="宋体" w:cs="宋体"/>
          <w:b/>
          <w:bCs/>
          <w:color w:val="000000" w:themeColor="text1"/>
          <w:sz w:val="44"/>
          <w:highlight w:val="none"/>
          <w14:textFill>
            <w14:solidFill>
              <w14:schemeClr w14:val="tx1"/>
            </w14:solidFill>
          </w14:textFill>
        </w:rPr>
      </w:pPr>
    </w:p>
    <w:p w14:paraId="1897ADF1">
      <w:pPr>
        <w:spacing w:line="360" w:lineRule="auto"/>
        <w:ind w:firstLine="3507" w:firstLineChars="794"/>
        <w:rPr>
          <w:rFonts w:ascii="宋体" w:hAnsi="宋体" w:cs="宋体"/>
          <w:b/>
          <w:bCs/>
          <w:color w:val="000000" w:themeColor="text1"/>
          <w:sz w:val="44"/>
          <w:highlight w:val="none"/>
          <w14:textFill>
            <w14:solidFill>
              <w14:schemeClr w14:val="tx1"/>
            </w14:solidFill>
          </w14:textFill>
        </w:rPr>
      </w:pPr>
    </w:p>
    <w:p w14:paraId="34062AAD">
      <w:pPr>
        <w:spacing w:line="360" w:lineRule="auto"/>
        <w:ind w:firstLine="3507" w:firstLineChars="794"/>
        <w:rPr>
          <w:rFonts w:ascii="宋体" w:hAnsi="宋体" w:cs="宋体"/>
          <w:b/>
          <w:bCs/>
          <w:color w:val="000000" w:themeColor="text1"/>
          <w:sz w:val="44"/>
          <w:highlight w:val="none"/>
          <w14:textFill>
            <w14:solidFill>
              <w14:schemeClr w14:val="tx1"/>
            </w14:solidFill>
          </w14:textFill>
        </w:rPr>
      </w:pPr>
    </w:p>
    <w:p w14:paraId="39866EBD">
      <w:pPr>
        <w:ind w:firstLine="1995" w:firstLineChars="552"/>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采购项目编号：</w:t>
      </w:r>
      <w:bookmarkStart w:id="112" w:name="PO_3000001868_PM001_12"/>
      <w:r>
        <w:rPr>
          <w:rFonts w:hint="eastAsia" w:ascii="宋体" w:hAnsi="宋体" w:cs="宋体"/>
          <w:b/>
          <w:color w:val="000000" w:themeColor="text1"/>
          <w:sz w:val="36"/>
          <w:szCs w:val="36"/>
          <w:highlight w:val="none"/>
          <w:u w:val="single"/>
          <w14:textFill>
            <w14:solidFill>
              <w14:schemeClr w14:val="tx1"/>
            </w14:solidFill>
          </w14:textFill>
        </w:rPr>
        <w:t>[项目编号]</w:t>
      </w:r>
      <w:bookmarkEnd w:id="112"/>
      <w:r>
        <w:rPr>
          <w:rFonts w:hint="eastAsia" w:ascii="宋体" w:hAnsi="宋体" w:cs="宋体"/>
          <w:b/>
          <w:color w:val="000000" w:themeColor="text1"/>
          <w:sz w:val="36"/>
          <w:szCs w:val="36"/>
          <w:highlight w:val="none"/>
          <w:u w:val="single"/>
          <w14:textFill>
            <w14:solidFill>
              <w14:schemeClr w14:val="tx1"/>
            </w14:solidFill>
          </w14:textFill>
        </w:rPr>
        <w:t xml:space="preserve">  </w:t>
      </w:r>
    </w:p>
    <w:p w14:paraId="156DFDBE">
      <w:pPr>
        <w:ind w:firstLine="1995" w:firstLineChars="552"/>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采购计划编号：</w:t>
      </w:r>
      <w:r>
        <w:rPr>
          <w:rFonts w:hint="eastAsia" w:ascii="宋体" w:hAnsi="宋体" w:cs="宋体"/>
          <w:b/>
          <w:color w:val="000000" w:themeColor="text1"/>
          <w:sz w:val="36"/>
          <w:szCs w:val="36"/>
          <w:highlight w:val="none"/>
          <w:u w:val="single"/>
          <w14:textFill>
            <w14:solidFill>
              <w14:schemeClr w14:val="tx1"/>
            </w14:solidFill>
          </w14:textFill>
        </w:rPr>
        <w:t xml:space="preserve"> </w:t>
      </w:r>
      <w:bookmarkStart w:id="113" w:name="PO_3000001868_PM001WMC001"/>
      <w:r>
        <w:rPr>
          <w:rFonts w:hint="eastAsia" w:ascii="宋体" w:hAnsi="宋体" w:cs="宋体"/>
          <w:b/>
          <w:color w:val="000000" w:themeColor="text1"/>
          <w:sz w:val="36"/>
          <w:szCs w:val="36"/>
          <w:highlight w:val="none"/>
          <w:u w:val="single"/>
          <w14:textFill>
            <w14:solidFill>
              <w14:schemeClr w14:val="tx1"/>
            </w14:solidFill>
          </w14:textFill>
        </w:rPr>
        <w:t>[采购计划文号]</w:t>
      </w:r>
      <w:bookmarkEnd w:id="113"/>
      <w:r>
        <w:rPr>
          <w:rFonts w:hint="eastAsia" w:ascii="宋体" w:hAnsi="宋体" w:cs="宋体"/>
          <w:b/>
          <w:color w:val="000000" w:themeColor="text1"/>
          <w:sz w:val="36"/>
          <w:szCs w:val="36"/>
          <w:highlight w:val="none"/>
          <w:u w:val="single"/>
          <w14:textFill>
            <w14:solidFill>
              <w14:schemeClr w14:val="tx1"/>
            </w14:solidFill>
          </w14:textFill>
        </w:rPr>
        <w:t xml:space="preserve"> </w:t>
      </w:r>
    </w:p>
    <w:p w14:paraId="14102229">
      <w:pPr>
        <w:ind w:firstLine="1308" w:firstLineChars="545"/>
        <w:rPr>
          <w:rFonts w:ascii="宋体" w:hAnsi="宋体" w:cs="宋体"/>
          <w:color w:val="000000" w:themeColor="text1"/>
          <w:sz w:val="24"/>
          <w:highlight w:val="none"/>
          <w14:textFill>
            <w14:solidFill>
              <w14:schemeClr w14:val="tx1"/>
            </w14:solidFill>
          </w14:textFill>
        </w:rPr>
      </w:pPr>
    </w:p>
    <w:p w14:paraId="64DB1918">
      <w:pPr>
        <w:ind w:firstLine="1995" w:firstLineChars="552"/>
        <w:rPr>
          <w:rFonts w:ascii="宋体" w:hAnsi="宋体" w:cs="宋体"/>
          <w:b/>
          <w:color w:val="000000" w:themeColor="text1"/>
          <w:sz w:val="36"/>
          <w:szCs w:val="36"/>
          <w:highlight w:val="none"/>
          <w:u w:val="single"/>
          <w14:textFill>
            <w14:solidFill>
              <w14:schemeClr w14:val="tx1"/>
            </w14:solidFill>
          </w14:textFill>
        </w:rPr>
      </w:pPr>
    </w:p>
    <w:p w14:paraId="55F578DF">
      <w:pPr>
        <w:ind w:firstLine="1995" w:firstLineChars="552"/>
        <w:rPr>
          <w:rFonts w:ascii="宋体" w:hAnsi="宋体" w:cs="宋体"/>
          <w:b/>
          <w:color w:val="000000" w:themeColor="text1"/>
          <w:sz w:val="36"/>
          <w:szCs w:val="36"/>
          <w:highlight w:val="none"/>
          <w:u w:val="single"/>
          <w14:textFill>
            <w14:solidFill>
              <w14:schemeClr w14:val="tx1"/>
            </w14:solidFill>
          </w14:textFill>
        </w:rPr>
      </w:pPr>
    </w:p>
    <w:p w14:paraId="02B2FB72">
      <w:pPr>
        <w:tabs>
          <w:tab w:val="left" w:pos="7200"/>
        </w:tabs>
        <w:spacing w:line="360" w:lineRule="auto"/>
        <w:ind w:firstLine="1995" w:firstLineChars="552"/>
        <w:rPr>
          <w:rFonts w:ascii="宋体" w:hAnsi="宋体" w:eastAsia="宋体" w:cs="宋体"/>
          <w:b/>
          <w:color w:val="000000" w:themeColor="text1"/>
          <w:sz w:val="36"/>
          <w:szCs w:val="36"/>
          <w:highlight w:val="none"/>
          <w:u w:val="single"/>
          <w:lang w:val="en-US" w:eastAsia="zh-CN"/>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采购人</w:t>
      </w:r>
      <w:r>
        <w:rPr>
          <w:rFonts w:ascii="宋体" w:hAnsi="宋体" w:cs="宋体"/>
          <w:b/>
          <w:color w:val="000000" w:themeColor="text1"/>
          <w:sz w:val="36"/>
          <w:szCs w:val="36"/>
          <w:highlight w:val="none"/>
          <w14:textFill>
            <w14:solidFill>
              <w14:schemeClr w14:val="tx1"/>
            </w14:solidFill>
          </w14:textFill>
        </w:rPr>
        <w:t>（甲方）</w:t>
      </w:r>
      <w:r>
        <w:rPr>
          <w:rFonts w:hint="eastAsia" w:ascii="宋体" w:hAnsi="宋体" w:cs="宋体"/>
          <w:b/>
          <w:color w:val="000000" w:themeColor="text1"/>
          <w:sz w:val="36"/>
          <w:szCs w:val="36"/>
          <w:highlight w:val="none"/>
          <w14:textFill>
            <w14:solidFill>
              <w14:schemeClr w14:val="tx1"/>
            </w14:solidFill>
          </w14:textFill>
        </w:rPr>
        <w:t>：</w:t>
      </w:r>
      <w:r>
        <w:rPr>
          <w:rFonts w:hint="eastAsia" w:ascii="宋体" w:hAnsi="宋体" w:cs="宋体"/>
          <w:b/>
          <w:color w:val="000000" w:themeColor="text1"/>
          <w:sz w:val="36"/>
          <w:szCs w:val="36"/>
          <w:highlight w:val="none"/>
          <w:u w:val="single"/>
          <w14:textFill>
            <w14:solidFill>
              <w14:schemeClr w14:val="tx1"/>
            </w14:solidFill>
          </w14:textFill>
        </w:rPr>
        <w:t xml:space="preserve"> </w:t>
      </w:r>
      <w:r>
        <w:rPr>
          <w:rFonts w:hint="eastAsia" w:ascii="宋体" w:hAnsi="宋体" w:cs="宋体"/>
          <w:b/>
          <w:color w:val="000000" w:themeColor="text1"/>
          <w:sz w:val="36"/>
          <w:szCs w:val="36"/>
          <w:highlight w:val="none"/>
          <w:u w:val="single"/>
          <w:lang w:val="en-US" w:eastAsia="zh-CN"/>
          <w14:textFill>
            <w14:solidFill>
              <w14:schemeClr w14:val="tx1"/>
            </w14:solidFill>
          </w14:textFill>
        </w:rPr>
        <w:t xml:space="preserve">            </w:t>
      </w:r>
      <w:r>
        <w:rPr>
          <w:rFonts w:ascii="宋体" w:hAnsi="宋体" w:cs="宋体"/>
          <w:b/>
          <w:color w:val="000000" w:themeColor="text1"/>
          <w:sz w:val="36"/>
          <w:szCs w:val="36"/>
          <w:highlight w:val="none"/>
          <w:u w:val="single"/>
          <w:lang w:val="en-US" w:eastAsia="zh-CN"/>
          <w14:textFill>
            <w14:solidFill>
              <w14:schemeClr w14:val="tx1"/>
            </w14:solidFill>
          </w14:textFill>
        </w:rPr>
        <w:t xml:space="preserve">  </w:t>
      </w:r>
      <w:r>
        <w:rPr>
          <w:rFonts w:hint="eastAsia" w:ascii="宋体" w:hAnsi="宋体" w:cs="宋体"/>
          <w:b/>
          <w:color w:val="000000" w:themeColor="text1"/>
          <w:sz w:val="36"/>
          <w:szCs w:val="36"/>
          <w:highlight w:val="none"/>
          <w:u w:val="single"/>
          <w:lang w:val="en-US" w:eastAsia="zh-CN"/>
          <w14:textFill>
            <w14:solidFill>
              <w14:schemeClr w14:val="tx1"/>
            </w14:solidFill>
          </w14:textFill>
        </w:rPr>
        <w:t xml:space="preserve">      </w:t>
      </w:r>
      <w:r>
        <w:rPr>
          <w:rFonts w:hint="eastAsia" w:ascii="宋体" w:hAnsi="宋体" w:cs="宋体"/>
          <w:b/>
          <w:color w:val="000000" w:themeColor="text1"/>
          <w:sz w:val="36"/>
          <w:szCs w:val="36"/>
          <w:highlight w:val="none"/>
          <w:u w:val="single"/>
          <w14:textFill>
            <w14:solidFill>
              <w14:schemeClr w14:val="tx1"/>
            </w14:solidFill>
          </w14:textFill>
        </w:rPr>
        <w:t xml:space="preserve">  </w:t>
      </w:r>
    </w:p>
    <w:p w14:paraId="3B2A6516">
      <w:pPr>
        <w:tabs>
          <w:tab w:val="left" w:pos="7380"/>
        </w:tabs>
        <w:spacing w:line="360" w:lineRule="auto"/>
        <w:ind w:firstLine="1995" w:firstLineChars="552"/>
        <w:rPr>
          <w:rFonts w:ascii="宋体" w:hAnsi="宋体" w:cs="宋体"/>
          <w:b/>
          <w:bCs/>
          <w:color w:val="000000" w:themeColor="text1"/>
          <w:sz w:val="44"/>
          <w:highlight w:val="none"/>
          <w14:textFill>
            <w14:solidFill>
              <w14:schemeClr w14:val="tx1"/>
            </w14:solidFill>
          </w14:textFill>
        </w:rPr>
      </w:pPr>
      <w:r>
        <w:rPr>
          <w:rFonts w:hint="eastAsia" w:ascii="宋体" w:hAnsi="宋体" w:cs="宋体"/>
          <w:b/>
          <w:color w:val="000000" w:themeColor="text1"/>
          <w:sz w:val="36"/>
          <w:szCs w:val="36"/>
          <w:highlight w:val="none"/>
          <w:lang w:val="en-US" w:eastAsia="zh-CN"/>
          <w14:textFill>
            <w14:solidFill>
              <w14:schemeClr w14:val="tx1"/>
            </w14:solidFill>
          </w14:textFill>
        </w:rPr>
        <w:t>成交</w:t>
      </w:r>
      <w:r>
        <w:rPr>
          <w:rFonts w:hint="eastAsia" w:ascii="宋体" w:hAnsi="宋体" w:cs="宋体"/>
          <w:b/>
          <w:color w:val="000000" w:themeColor="text1"/>
          <w:sz w:val="36"/>
          <w:szCs w:val="36"/>
          <w:highlight w:val="none"/>
          <w14:textFill>
            <w14:solidFill>
              <w14:schemeClr w14:val="tx1"/>
            </w14:solidFill>
          </w14:textFill>
        </w:rPr>
        <w:t>供应商</w:t>
      </w:r>
      <w:r>
        <w:rPr>
          <w:rFonts w:ascii="宋体" w:hAnsi="宋体" w:cs="宋体"/>
          <w:b/>
          <w:color w:val="000000" w:themeColor="text1"/>
          <w:sz w:val="36"/>
          <w:szCs w:val="36"/>
          <w:highlight w:val="none"/>
          <w14:textFill>
            <w14:solidFill>
              <w14:schemeClr w14:val="tx1"/>
            </w14:solidFill>
          </w14:textFill>
        </w:rPr>
        <w:t>（乙方）</w:t>
      </w:r>
      <w:r>
        <w:rPr>
          <w:rFonts w:hint="eastAsia" w:ascii="宋体" w:hAnsi="宋体" w:cs="宋体"/>
          <w:b/>
          <w:color w:val="000000" w:themeColor="text1"/>
          <w:sz w:val="36"/>
          <w:szCs w:val="36"/>
          <w:highlight w:val="none"/>
          <w14:textFill>
            <w14:solidFill>
              <w14:schemeClr w14:val="tx1"/>
            </w14:solidFill>
          </w14:textFill>
        </w:rPr>
        <w:t>：</w:t>
      </w:r>
      <w:r>
        <w:rPr>
          <w:rFonts w:hint="eastAsia" w:ascii="宋体" w:hAnsi="宋体" w:cs="宋体"/>
          <w:b/>
          <w:color w:val="000000" w:themeColor="text1"/>
          <w:sz w:val="36"/>
          <w:szCs w:val="36"/>
          <w:highlight w:val="none"/>
          <w:u w:val="single"/>
          <w14:textFill>
            <w14:solidFill>
              <w14:schemeClr w14:val="tx1"/>
            </w14:solidFill>
          </w14:textFill>
        </w:rPr>
        <w:t xml:space="preserve">                   </w:t>
      </w:r>
    </w:p>
    <w:p w14:paraId="40E38AD3">
      <w:pPr>
        <w:tabs>
          <w:tab w:val="left" w:pos="7380"/>
        </w:tabs>
        <w:spacing w:line="360" w:lineRule="auto"/>
        <w:rPr>
          <w:rFonts w:ascii="宋体" w:hAnsi="宋体" w:cs="宋体"/>
          <w:b/>
          <w:bCs/>
          <w:color w:val="000000" w:themeColor="text1"/>
          <w:sz w:val="44"/>
          <w:highlight w:val="none"/>
          <w14:textFill>
            <w14:solidFill>
              <w14:schemeClr w14:val="tx1"/>
            </w14:solidFill>
          </w14:textFill>
        </w:rPr>
      </w:pPr>
    </w:p>
    <w:p w14:paraId="257E5A3A">
      <w:pPr>
        <w:tabs>
          <w:tab w:val="left" w:pos="7380"/>
        </w:tabs>
        <w:spacing w:line="360" w:lineRule="auto"/>
        <w:rPr>
          <w:rFonts w:ascii="宋体" w:hAnsi="宋体" w:cs="宋体"/>
          <w:b/>
          <w:bCs/>
          <w:color w:val="000000" w:themeColor="text1"/>
          <w:sz w:val="44"/>
          <w:highlight w:val="none"/>
          <w14:textFill>
            <w14:solidFill>
              <w14:schemeClr w14:val="tx1"/>
            </w14:solidFill>
          </w14:textFill>
        </w:rPr>
      </w:pPr>
    </w:p>
    <w:p w14:paraId="167AC17D">
      <w:pPr>
        <w:tabs>
          <w:tab w:val="left" w:pos="7380"/>
        </w:tabs>
        <w:spacing w:line="360" w:lineRule="auto"/>
        <w:rPr>
          <w:rFonts w:ascii="宋体" w:hAnsi="宋体" w:cs="宋体"/>
          <w:b/>
          <w:bCs/>
          <w:color w:val="000000" w:themeColor="text1"/>
          <w:sz w:val="44"/>
          <w:highlight w:val="none"/>
          <w14:textFill>
            <w14:solidFill>
              <w14:schemeClr w14:val="tx1"/>
            </w14:solidFill>
          </w14:textFill>
        </w:rPr>
      </w:pPr>
    </w:p>
    <w:p w14:paraId="32D4B3AA">
      <w:pPr>
        <w:keepNext w:val="0"/>
        <w:keepLines w:val="0"/>
        <w:pageBreakBefore w:val="0"/>
        <w:widowControl w:val="0"/>
        <w:kinsoku/>
        <w:wordWrap/>
        <w:overflowPunct/>
        <w:topLinePunct w:val="0"/>
        <w:autoSpaceDE/>
        <w:autoSpaceDN/>
        <w:snapToGrid/>
        <w:spacing w:line="360" w:lineRule="auto"/>
        <w:ind w:firstLine="720" w:firstLineChars="300"/>
        <w:jc w:val="center"/>
        <w:rPr>
          <w:rFonts w:ascii="宋体" w:hAnsi="宋体" w:eastAsia="宋体" w:cs="宋体"/>
          <w:color w:val="000000" w:themeColor="text1"/>
          <w:highlight w:val="none"/>
          <w:lang w:val="en-US"/>
          <w14:textFill>
            <w14:solidFill>
              <w14:schemeClr w14:val="tx1"/>
            </w14:solidFill>
          </w14:textFill>
        </w:rPr>
        <w:sectPr>
          <w:footerReference r:id="rId4" w:type="default"/>
          <w:pgSz w:w="11905" w:h="16838"/>
          <w:pgMar w:top="1134" w:right="1134" w:bottom="1134" w:left="1134" w:header="720" w:footer="720" w:gutter="0"/>
          <w:cols w:space="720" w:num="1"/>
          <w:docGrid w:type="lines" w:linePitch="331" w:charSpace="0"/>
        </w:sectPr>
      </w:pPr>
      <w:r>
        <w:rPr>
          <w:rFonts w:hint="eastAsia" w:ascii="宋体" w:hAnsi="宋体" w:cs="宋体"/>
          <w:color w:val="000000" w:themeColor="text1"/>
          <w:sz w:val="24"/>
          <w:highlight w:val="none"/>
          <w:lang w:val="zh-CN"/>
          <w14:textFill>
            <w14:solidFill>
              <w14:schemeClr w14:val="tx1"/>
            </w14:solidFill>
          </w14:textFill>
        </w:rPr>
        <w:t>签订时间：</w:t>
      </w:r>
      <w:r>
        <w:rPr>
          <w:rFonts w:hint="eastAsia" w:ascii="宋体" w:hAnsi="宋体" w:cs="宋体"/>
          <w:color w:val="000000" w:themeColor="text1"/>
          <w:sz w:val="24"/>
          <w:highlight w:val="none"/>
          <w:u w:val="single"/>
          <w:lang w:val="zh-CN"/>
          <w14:textFill>
            <w14:solidFill>
              <w14:schemeClr w14:val="tx1"/>
            </w14:solidFill>
          </w14:textFill>
        </w:rPr>
        <w:t xml:space="preserve">     </w:t>
      </w:r>
      <w:r>
        <w:rPr>
          <w:rFonts w:hint="eastAsia" w:ascii="宋体" w:hAnsi="宋体" w:cs="宋体"/>
          <w:color w:val="000000" w:themeColor="text1"/>
          <w:sz w:val="24"/>
          <w:highlight w:val="none"/>
          <w:lang w:val="zh-CN"/>
          <w14:textFill>
            <w14:solidFill>
              <w14:schemeClr w14:val="tx1"/>
            </w14:solidFill>
          </w14:textFill>
        </w:rPr>
        <w:t>年</w:t>
      </w:r>
      <w:r>
        <w:rPr>
          <w:rFonts w:hint="eastAsia" w:ascii="宋体" w:hAnsi="宋体" w:cs="宋体"/>
          <w:color w:val="000000" w:themeColor="text1"/>
          <w:sz w:val="24"/>
          <w:highlight w:val="none"/>
          <w:u w:val="single"/>
          <w:lang w:val="zh-CN"/>
          <w14:textFill>
            <w14:solidFill>
              <w14:schemeClr w14:val="tx1"/>
            </w14:solidFill>
          </w14:textFill>
        </w:rPr>
        <w:t xml:space="preserve">    </w:t>
      </w:r>
      <w:r>
        <w:rPr>
          <w:rFonts w:hint="eastAsia" w:ascii="宋体" w:hAnsi="宋体" w:cs="宋体"/>
          <w:color w:val="000000" w:themeColor="text1"/>
          <w:sz w:val="24"/>
          <w:highlight w:val="none"/>
          <w:lang w:val="zh-CN"/>
          <w14:textFill>
            <w14:solidFill>
              <w14:schemeClr w14:val="tx1"/>
            </w14:solidFill>
          </w14:textFill>
        </w:rPr>
        <w:t>月</w:t>
      </w:r>
      <w:r>
        <w:rPr>
          <w:rFonts w:hint="eastAsia" w:ascii="宋体" w:hAnsi="宋体" w:cs="宋体"/>
          <w:color w:val="000000" w:themeColor="text1"/>
          <w:sz w:val="24"/>
          <w:highlight w:val="none"/>
          <w:u w:val="single"/>
          <w:lang w:val="zh-CN"/>
          <w14:textFill>
            <w14:solidFill>
              <w14:schemeClr w14:val="tx1"/>
            </w14:solidFill>
          </w14:textFill>
        </w:rPr>
        <w:t xml:space="preserve">    </w:t>
      </w:r>
      <w:r>
        <w:rPr>
          <w:rFonts w:hint="eastAsia" w:ascii="宋体" w:hAnsi="宋体" w:cs="宋体"/>
          <w:color w:val="000000" w:themeColor="text1"/>
          <w:sz w:val="24"/>
          <w:highlight w:val="none"/>
          <w:lang w:val="zh-CN"/>
          <w14:textFill>
            <w14:solidFill>
              <w14:schemeClr w14:val="tx1"/>
            </w14:solidFill>
          </w14:textFill>
        </w:rPr>
        <w:t>日</w:t>
      </w:r>
    </w:p>
    <w:p w14:paraId="02A99223">
      <w:pPr>
        <w:pStyle w:val="5"/>
        <w:spacing w:before="47"/>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sz w:val="30"/>
          <w:szCs w:val="30"/>
          <w:highlight w:val="none"/>
          <w14:textFill>
            <w14:solidFill>
              <w14:schemeClr w14:val="tx1"/>
            </w14:solidFill>
          </w14:textFill>
        </w:rPr>
        <w:t>第一部分 合同协议书</w:t>
      </w:r>
    </w:p>
    <w:p w14:paraId="537DBF02">
      <w:pPr>
        <w:spacing w:line="360" w:lineRule="auto"/>
        <w:rPr>
          <w:rFonts w:ascii="宋体" w:hAnsi="宋体" w:eastAsia="宋体" w:cs="宋体"/>
          <w:color w:val="000000" w:themeColor="text1"/>
          <w:highlight w:val="none"/>
          <w:u w:val="single"/>
          <w:lang w:val="en-US"/>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发包人（全称）：</w:t>
      </w:r>
      <w:r>
        <w:rPr>
          <w:rFonts w:hint="eastAsia" w:ascii="宋体" w:hAnsi="宋体" w:eastAsia="宋体" w:cs="宋体"/>
          <w:color w:val="000000" w:themeColor="text1"/>
          <w:spacing w:val="-1"/>
          <w:w w:val="100"/>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3"/>
          <w:w w:val="100"/>
          <w:highlight w:val="none"/>
          <w:u w:val="single"/>
          <w:lang w:val="en-US" w:eastAsia="zh-CN"/>
          <w14:textFill>
            <w14:solidFill>
              <w14:schemeClr w14:val="tx1"/>
            </w14:solidFill>
          </w14:textFill>
        </w:rPr>
        <w:t xml:space="preserve">                 </w:t>
      </w:r>
      <w:r>
        <w:rPr>
          <w:rFonts w:hint="eastAsia" w:ascii="宋体" w:hAnsi="宋体" w:cs="宋体"/>
          <w:color w:val="000000" w:themeColor="text1"/>
          <w:spacing w:val="-3"/>
          <w:w w:val="100"/>
          <w:highlight w:val="none"/>
          <w:u w:val="single"/>
          <w:lang w:val="en-US" w:eastAsia="zh-CN"/>
          <w14:textFill>
            <w14:solidFill>
              <w14:schemeClr w14:val="tx1"/>
            </w14:solidFill>
          </w14:textFill>
        </w:rPr>
        <w:t xml:space="preserve"> </w:t>
      </w:r>
      <w:r>
        <w:rPr>
          <w:rFonts w:ascii="宋体" w:hAnsi="宋体" w:cs="宋体"/>
          <w:color w:val="000000" w:themeColor="text1"/>
          <w:spacing w:val="-3"/>
          <w:w w:val="100"/>
          <w:highlight w:val="none"/>
          <w:u w:val="single"/>
          <w:lang w:val="en-US" w:eastAsia="zh-CN"/>
          <w14:textFill>
            <w14:solidFill>
              <w14:schemeClr w14:val="tx1"/>
            </w14:solidFill>
          </w14:textFill>
        </w:rPr>
        <w:t>（以下称</w:t>
      </w:r>
      <w:r>
        <w:rPr>
          <w:rFonts w:hint="eastAsia" w:ascii="宋体" w:hAnsi="宋体" w:cs="宋体"/>
          <w:color w:val="000000" w:themeColor="text1"/>
          <w:spacing w:val="-3"/>
          <w:w w:val="100"/>
          <w:highlight w:val="none"/>
          <w:u w:val="single"/>
          <w:lang w:val="en-US" w:eastAsia="zh-CN"/>
          <w14:textFill>
            <w14:solidFill>
              <w14:schemeClr w14:val="tx1"/>
            </w14:solidFill>
          </w14:textFill>
        </w:rPr>
        <w:t>“甲方”</w:t>
      </w:r>
      <w:r>
        <w:rPr>
          <w:rFonts w:ascii="宋体" w:hAnsi="宋体" w:cs="宋体"/>
          <w:color w:val="000000" w:themeColor="text1"/>
          <w:spacing w:val="-3"/>
          <w:w w:val="100"/>
          <w:highlight w:val="none"/>
          <w:u w:val="single"/>
          <w:lang w:val="en-US" w:eastAsia="zh-CN"/>
          <w14:textFill>
            <w14:solidFill>
              <w14:schemeClr w14:val="tx1"/>
            </w14:solidFill>
          </w14:textFill>
        </w:rPr>
        <w:t>）</w:t>
      </w:r>
    </w:p>
    <w:p w14:paraId="31567E73">
      <w:pPr>
        <w:spacing w:line="360" w:lineRule="auto"/>
        <w:rPr>
          <w:rFonts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承包人（全称）</w:t>
      </w:r>
      <w:r>
        <w:rPr>
          <w:rFonts w:hint="eastAsia" w:ascii="宋体" w:hAnsi="宋体" w:eastAsia="宋体" w:cs="宋体"/>
          <w:color w:val="000000" w:themeColor="text1"/>
          <w:highlight w:val="none"/>
          <w:u w:val="none"/>
          <w:lang w:val="en-US" w:eastAsia="zh-CN"/>
          <w14:textFill>
            <w14:solidFill>
              <w14:schemeClr w14:val="tx1"/>
            </w14:solidFill>
          </w14:textFill>
        </w:rPr>
        <w:t>：</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ascii="宋体" w:hAnsi="宋体" w:cs="宋体"/>
          <w:color w:val="000000" w:themeColor="text1"/>
          <w:spacing w:val="-3"/>
          <w:w w:val="100"/>
          <w:highlight w:val="none"/>
          <w:u w:val="single"/>
          <w:lang w:val="en-US" w:eastAsia="zh-CN"/>
          <w14:textFill>
            <w14:solidFill>
              <w14:schemeClr w14:val="tx1"/>
            </w14:solidFill>
          </w14:textFill>
        </w:rPr>
        <w:t>（以下称</w:t>
      </w:r>
      <w:r>
        <w:rPr>
          <w:rFonts w:hint="eastAsia" w:ascii="宋体" w:hAnsi="宋体" w:cs="宋体"/>
          <w:color w:val="000000" w:themeColor="text1"/>
          <w:spacing w:val="-3"/>
          <w:w w:val="100"/>
          <w:highlight w:val="none"/>
          <w:u w:val="single"/>
          <w:lang w:val="en-US" w:eastAsia="zh-CN"/>
          <w14:textFill>
            <w14:solidFill>
              <w14:schemeClr w14:val="tx1"/>
            </w14:solidFill>
          </w14:textFill>
        </w:rPr>
        <w:t>“</w:t>
      </w:r>
      <w:r>
        <w:rPr>
          <w:rFonts w:ascii="宋体" w:hAnsi="宋体" w:cs="宋体"/>
          <w:color w:val="000000" w:themeColor="text1"/>
          <w:spacing w:val="-3"/>
          <w:w w:val="100"/>
          <w:highlight w:val="none"/>
          <w:u w:val="single"/>
          <w:lang w:val="en-US" w:eastAsia="zh-CN"/>
          <w14:textFill>
            <w14:solidFill>
              <w14:schemeClr w14:val="tx1"/>
            </w14:solidFill>
          </w14:textFill>
        </w:rPr>
        <w:t>乙</w:t>
      </w:r>
      <w:r>
        <w:rPr>
          <w:rFonts w:hint="eastAsia" w:ascii="宋体" w:hAnsi="宋体" w:cs="宋体"/>
          <w:color w:val="000000" w:themeColor="text1"/>
          <w:spacing w:val="-3"/>
          <w:w w:val="100"/>
          <w:highlight w:val="none"/>
          <w:u w:val="single"/>
          <w:lang w:val="en-US" w:eastAsia="zh-CN"/>
          <w14:textFill>
            <w14:solidFill>
              <w14:schemeClr w14:val="tx1"/>
            </w14:solidFill>
          </w14:textFill>
        </w:rPr>
        <w:t>方”</w:t>
      </w:r>
      <w:r>
        <w:rPr>
          <w:rFonts w:ascii="宋体" w:hAnsi="宋体" w:cs="宋体"/>
          <w:color w:val="000000" w:themeColor="text1"/>
          <w:spacing w:val="-3"/>
          <w:w w:val="100"/>
          <w:highlight w:val="none"/>
          <w:u w:val="single"/>
          <w:lang w:val="en-US" w:eastAsia="zh-CN"/>
          <w14:textFill>
            <w14:solidFill>
              <w14:schemeClr w14:val="tx1"/>
            </w14:solidFill>
          </w14:textFill>
        </w:rPr>
        <w:t>）</w:t>
      </w:r>
    </w:p>
    <w:p w14:paraId="7F211BB8">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根据《中华人民共和国民法典》、《中华人民共和国建筑法》及有关法律规定，遵循平等、自愿、公平和诚实信用的原则，双方就</w:t>
      </w:r>
      <w:r>
        <w:rPr>
          <w:rFonts w:hint="eastAsia" w:ascii="宋体" w:hAnsi="宋体" w:eastAsia="宋体" w:cs="宋体"/>
          <w:color w:val="000000" w:themeColor="text1"/>
          <w:highlight w:val="none"/>
          <w:u w:val="single"/>
          <w14:textFill>
            <w14:solidFill>
              <w14:schemeClr w14:val="tx1"/>
            </w14:solidFill>
          </w14:textFill>
        </w:rPr>
        <w:t>横州市横州镇龙池小学聚贤楼维修项目</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工程施工及有关事项协商一致，共同达成如下协议：</w:t>
      </w:r>
      <w:bookmarkStart w:id="114" w:name="_Toc351203481"/>
    </w:p>
    <w:p w14:paraId="3798CF47">
      <w:pPr>
        <w:spacing w:line="360" w:lineRule="auto"/>
        <w:ind w:firstLine="422" w:firstLineChars="200"/>
        <w:outlineLvl w:val="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一、工程概况</w:t>
      </w:r>
      <w:bookmarkEnd w:id="114"/>
    </w:p>
    <w:p w14:paraId="217AE8C3">
      <w:pPr>
        <w:spacing w:line="360" w:lineRule="auto"/>
        <w:ind w:firstLine="411" w:firstLineChars="196"/>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1.工程名称：</w:t>
      </w:r>
      <w:r>
        <w:rPr>
          <w:rFonts w:hint="eastAsia" w:ascii="宋体" w:hAnsi="宋体" w:eastAsia="宋体" w:cs="宋体"/>
          <w:color w:val="000000" w:themeColor="text1"/>
          <w:highlight w:val="none"/>
          <w:u w:val="single"/>
          <w14:textFill>
            <w14:solidFill>
              <w14:schemeClr w14:val="tx1"/>
            </w14:solidFill>
          </w14:textFill>
        </w:rPr>
        <w:t>横州市横州镇龙池小学聚贤楼维修项目</w:t>
      </w:r>
      <w:r>
        <w:rPr>
          <w:rFonts w:hint="eastAsia" w:ascii="宋体" w:hAnsi="宋体" w:eastAsia="宋体" w:cs="宋体"/>
          <w:color w:val="000000" w:themeColor="text1"/>
          <w:highlight w:val="none"/>
          <w14:textFill>
            <w14:solidFill>
              <w14:schemeClr w14:val="tx1"/>
            </w14:solidFill>
          </w14:textFill>
        </w:rPr>
        <w:t>。</w:t>
      </w:r>
    </w:p>
    <w:p w14:paraId="6FD46024">
      <w:pPr>
        <w:spacing w:line="360" w:lineRule="auto"/>
        <w:ind w:firstLine="411" w:firstLineChars="196"/>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2.工程地点：</w:t>
      </w:r>
      <w:r>
        <w:rPr>
          <w:rFonts w:hint="eastAsia" w:ascii="宋体" w:hAnsi="宋体" w:eastAsia="宋体" w:cs="宋体"/>
          <w:color w:val="000000" w:themeColor="text1"/>
          <w:highlight w:val="none"/>
          <w:u w:val="single"/>
          <w:lang w:val="en-US" w:eastAsia="zh-CN"/>
          <w14:textFill>
            <w14:solidFill>
              <w14:schemeClr w14:val="tx1"/>
            </w14:solidFill>
          </w14:textFill>
        </w:rPr>
        <w:t>横州市</w:t>
      </w:r>
      <w:r>
        <w:rPr>
          <w:rFonts w:hint="eastAsia" w:ascii="宋体" w:hAnsi="宋体" w:cs="宋体"/>
          <w:color w:val="000000" w:themeColor="text1"/>
          <w:w w:val="100"/>
          <w:highlight w:val="none"/>
          <w:u w:val="single"/>
          <w:lang w:val="en-US" w:eastAsia="zh-CN"/>
          <w14:textFill>
            <w14:solidFill>
              <w14:schemeClr w14:val="tx1"/>
            </w14:solidFill>
          </w14:textFill>
        </w:rPr>
        <w:t>XXX</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64F29966">
      <w:pPr>
        <w:spacing w:line="360" w:lineRule="auto"/>
        <w:ind w:firstLine="411" w:firstLineChars="196"/>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.资金来源：</w:t>
      </w:r>
      <w:r>
        <w:rPr>
          <w:rFonts w:hint="eastAsia" w:ascii="宋体" w:hAnsi="宋体" w:eastAsia="宋体" w:cs="宋体"/>
          <w:color w:val="000000" w:themeColor="text1"/>
          <w:sz w:val="21"/>
          <w:highlight w:val="none"/>
          <w:u w:val="single"/>
          <w:lang w:val="en-US" w:eastAsia="zh-CN"/>
          <w14:textFill>
            <w14:solidFill>
              <w14:schemeClr w14:val="tx1"/>
            </w14:solidFill>
          </w14:textFill>
        </w:rPr>
        <w:t>财政资金</w:t>
      </w:r>
      <w:r>
        <w:rPr>
          <w:rFonts w:hint="eastAsia" w:ascii="宋体" w:hAnsi="宋体" w:eastAsia="宋体" w:cs="宋体"/>
          <w:color w:val="000000" w:themeColor="text1"/>
          <w:highlight w:val="none"/>
          <w14:textFill>
            <w14:solidFill>
              <w14:schemeClr w14:val="tx1"/>
            </w14:solidFill>
          </w14:textFill>
        </w:rPr>
        <w:t>。</w:t>
      </w:r>
    </w:p>
    <w:p w14:paraId="624D8131">
      <w:pPr>
        <w:spacing w:line="360" w:lineRule="auto"/>
        <w:ind w:firstLine="411" w:firstLineChars="196"/>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.工程内容：</w:t>
      </w:r>
      <w:r>
        <w:rPr>
          <w:rFonts w:hint="eastAsia" w:ascii="宋体" w:hAnsi="宋体" w:eastAsia="宋体" w:cs="宋体"/>
          <w:color w:val="000000" w:themeColor="text1"/>
          <w:highlight w:val="none"/>
          <w:u w:val="single"/>
          <w:lang w:val="en-US" w:eastAsia="zh-CN"/>
          <w14:textFill>
            <w14:solidFill>
              <w14:schemeClr w14:val="tx1"/>
            </w14:solidFill>
          </w14:textFill>
        </w:rPr>
        <w:t>横州市</w:t>
      </w:r>
      <w:r>
        <w:rPr>
          <w:rFonts w:hint="eastAsia" w:ascii="宋体" w:hAnsi="宋体" w:cs="宋体"/>
          <w:color w:val="000000" w:themeColor="text1"/>
          <w:highlight w:val="none"/>
          <w:u w:val="single"/>
          <w:lang w:val="en-US" w:eastAsia="zh-CN"/>
          <w14:textFill>
            <w14:solidFill>
              <w14:schemeClr w14:val="tx1"/>
            </w14:solidFill>
          </w14:textFill>
        </w:rPr>
        <w:t>XXX</w:t>
      </w:r>
      <w:r>
        <w:rPr>
          <w:rFonts w:hint="eastAsia" w:ascii="宋体" w:hAnsi="宋体" w:eastAsia="宋体" w:cs="宋体"/>
          <w:color w:val="000000" w:themeColor="text1"/>
          <w:highlight w:val="none"/>
          <w:u w:val="single"/>
          <w:lang w:val="en-US" w:eastAsia="zh-CN"/>
          <w14:textFill>
            <w14:solidFill>
              <w14:schemeClr w14:val="tx1"/>
            </w14:solidFill>
          </w14:textFill>
        </w:rPr>
        <w:t>项目</w:t>
      </w:r>
      <w:r>
        <w:rPr>
          <w:rFonts w:hint="eastAsia" w:ascii="宋体" w:hAnsi="宋体" w:eastAsia="宋体" w:cs="宋体"/>
          <w:color w:val="000000" w:themeColor="text1"/>
          <w:highlight w:val="none"/>
          <w14:textFill>
            <w14:solidFill>
              <w14:schemeClr w14:val="tx1"/>
            </w14:solidFill>
          </w14:textFill>
        </w:rPr>
        <w:t>。</w:t>
      </w:r>
    </w:p>
    <w:p w14:paraId="5D2732A6">
      <w:pPr>
        <w:spacing w:line="360" w:lineRule="auto"/>
        <w:ind w:firstLine="411" w:firstLineChars="196"/>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.工程承包范围：</w:t>
      </w:r>
    </w:p>
    <w:p w14:paraId="74F30057">
      <w:pPr>
        <w:spacing w:line="360" w:lineRule="auto"/>
        <w:ind w:firstLine="405" w:firstLineChars="19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u w:val="single"/>
          <w:lang w:eastAsia="zh-CN"/>
          <w14:textFill>
            <w14:solidFill>
              <w14:schemeClr w14:val="tx1"/>
            </w14:solidFill>
          </w14:textFill>
        </w:rPr>
        <w:t>（</w:t>
      </w:r>
      <w:r>
        <w:rPr>
          <w:rFonts w:hint="eastAsia" w:ascii="宋体" w:hAnsi="宋体" w:eastAsia="宋体" w:cs="宋体"/>
          <w:color w:val="000000" w:themeColor="text1"/>
          <w:highlight w:val="none"/>
          <w:u w:val="single"/>
          <w:lang w:val="en-US" w:eastAsia="zh-CN"/>
          <w14:textFill>
            <w14:solidFill>
              <w14:schemeClr w14:val="tx1"/>
            </w14:solidFill>
          </w14:textFill>
        </w:rPr>
        <w:t>1</w:t>
      </w:r>
      <w:r>
        <w:rPr>
          <w:rFonts w:hint="eastAsia" w:ascii="宋体" w:hAnsi="宋体" w:eastAsia="宋体" w:cs="宋体"/>
          <w:color w:val="000000" w:themeColor="text1"/>
          <w:highlight w:val="none"/>
          <w:u w:val="single"/>
          <w:lang w:eastAsia="zh-CN"/>
          <w14:textFill>
            <w14:solidFill>
              <w14:schemeClr w14:val="tx1"/>
            </w14:solidFill>
          </w14:textFill>
        </w:rPr>
        <w:t>）</w:t>
      </w:r>
      <w:r>
        <w:rPr>
          <w:rFonts w:hint="eastAsia" w:ascii="宋体" w:hAnsi="宋体"/>
          <w:color w:val="000000" w:themeColor="text1"/>
          <w:szCs w:val="21"/>
          <w:highlight w:val="none"/>
          <w:lang w:eastAsia="zh-CN"/>
          <w14:textFill>
            <w14:solidFill>
              <w14:schemeClr w14:val="tx1"/>
            </w14:solidFill>
          </w14:textFill>
        </w:rPr>
        <w:t>项目建设地点:横州市横州镇。本次改造修缮的区域主要为:1~5层聚贤外立面和厕所更新维修。</w:t>
      </w:r>
      <w:r>
        <w:rPr>
          <w:rFonts w:hint="eastAsia" w:ascii="宋体" w:hAnsi="宋体"/>
          <w:color w:val="000000" w:themeColor="text1"/>
          <w:szCs w:val="21"/>
          <w:highlight w:val="none"/>
          <w14:textFill>
            <w14:solidFill>
              <w14:schemeClr w14:val="tx1"/>
            </w14:solidFill>
          </w14:textFill>
        </w:rPr>
        <w:t>具体内容详见工程量清单及图纸</w:t>
      </w:r>
      <w:r>
        <w:rPr>
          <w:rFonts w:hint="eastAsia" w:ascii="宋体" w:hAnsi="宋体" w:eastAsia="宋体" w:cs="宋体"/>
          <w:color w:val="000000" w:themeColor="text1"/>
          <w:highlight w:val="none"/>
          <w14:textFill>
            <w14:solidFill>
              <w14:schemeClr w14:val="tx1"/>
            </w14:solidFill>
          </w14:textFill>
        </w:rPr>
        <w:t>。</w:t>
      </w:r>
    </w:p>
    <w:p w14:paraId="625F2081">
      <w:pPr>
        <w:spacing w:line="360" w:lineRule="auto"/>
        <w:ind w:firstLine="405" w:firstLineChars="193"/>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6.工程承包方式：发包人提供建筑用水、用电，其它材料由承包人负责。</w:t>
      </w:r>
    </w:p>
    <w:p w14:paraId="4CCECD5C">
      <w:pPr>
        <w:spacing w:line="360" w:lineRule="auto"/>
        <w:ind w:firstLine="407" w:firstLineChars="193"/>
        <w:outlineLvl w:val="0"/>
        <w:rPr>
          <w:rFonts w:hint="eastAsia" w:ascii="宋体" w:hAnsi="宋体" w:eastAsia="宋体" w:cs="宋体"/>
          <w:b/>
          <w:bCs/>
          <w:color w:val="000000" w:themeColor="text1"/>
          <w:highlight w:val="none"/>
          <w14:textFill>
            <w14:solidFill>
              <w14:schemeClr w14:val="tx1"/>
            </w14:solidFill>
          </w14:textFill>
        </w:rPr>
      </w:pPr>
      <w:bookmarkStart w:id="115" w:name="_Toc351203482"/>
      <w:r>
        <w:rPr>
          <w:rFonts w:hint="eastAsia" w:ascii="宋体" w:hAnsi="宋体" w:eastAsia="宋体" w:cs="宋体"/>
          <w:b/>
          <w:bCs/>
          <w:color w:val="000000" w:themeColor="text1"/>
          <w:highlight w:val="none"/>
          <w14:textFill>
            <w14:solidFill>
              <w14:schemeClr w14:val="tx1"/>
            </w14:solidFill>
          </w14:textFill>
        </w:rPr>
        <w:t>二、合同工期</w:t>
      </w:r>
      <w:bookmarkEnd w:id="115"/>
    </w:p>
    <w:p w14:paraId="34A7D183">
      <w:pPr>
        <w:spacing w:line="360" w:lineRule="auto"/>
        <w:ind w:firstLine="45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计划开工日期：</w:t>
      </w:r>
      <w:r>
        <w:rPr>
          <w:rFonts w:hint="eastAsia" w:ascii="宋体" w:hAnsi="宋体" w:eastAsia="宋体" w:cs="宋体"/>
          <w:color w:val="000000" w:themeColor="text1"/>
          <w:highlight w:val="none"/>
          <w:u w:val="single"/>
          <w14:textFill>
            <w14:solidFill>
              <w14:schemeClr w14:val="tx1"/>
            </w14:solidFill>
          </w14:textFill>
        </w:rPr>
        <w:t></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日。（</w:t>
      </w:r>
      <w:r>
        <w:rPr>
          <w:rFonts w:hint="eastAsia" w:ascii="宋体" w:hAnsi="宋体" w:eastAsia="宋体" w:cs="宋体"/>
          <w:color w:val="000000" w:themeColor="text1"/>
          <w:highlight w:val="none"/>
          <w:lang w:val="en-US" w:eastAsia="zh-CN"/>
          <w14:textFill>
            <w14:solidFill>
              <w14:schemeClr w14:val="tx1"/>
            </w14:solidFill>
          </w14:textFill>
        </w:rPr>
        <w:t>实际开工日期</w:t>
      </w:r>
      <w:r>
        <w:rPr>
          <w:rFonts w:hint="eastAsia" w:ascii="宋体" w:hAnsi="宋体" w:eastAsia="宋体" w:cs="宋体"/>
          <w:color w:val="000000" w:themeColor="text1"/>
          <w:highlight w:val="none"/>
          <w14:textFill>
            <w14:solidFill>
              <w14:schemeClr w14:val="tx1"/>
            </w14:solidFill>
          </w14:textFill>
        </w:rPr>
        <w:t>以</w:t>
      </w:r>
      <w:r>
        <w:rPr>
          <w:rFonts w:hint="eastAsia" w:ascii="宋体" w:hAnsi="宋体" w:eastAsia="宋体" w:cs="宋体"/>
          <w:color w:val="000000" w:themeColor="text1"/>
          <w:highlight w:val="none"/>
          <w:lang w:val="en-US" w:eastAsia="zh-CN"/>
          <w14:textFill>
            <w14:solidFill>
              <w14:schemeClr w14:val="tx1"/>
            </w14:solidFill>
          </w14:textFill>
        </w:rPr>
        <w:t>开工令</w:t>
      </w:r>
      <w:r>
        <w:rPr>
          <w:rFonts w:hint="eastAsia" w:ascii="宋体" w:hAnsi="宋体" w:eastAsia="宋体" w:cs="宋体"/>
          <w:color w:val="000000" w:themeColor="text1"/>
          <w:highlight w:val="none"/>
          <w14:textFill>
            <w14:solidFill>
              <w14:schemeClr w14:val="tx1"/>
            </w14:solidFill>
          </w14:textFill>
        </w:rPr>
        <w:t>为准）</w:t>
      </w:r>
    </w:p>
    <w:p w14:paraId="526E308D">
      <w:pPr>
        <w:spacing w:line="360" w:lineRule="auto"/>
        <w:ind w:firstLine="45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计划竣工日期：</w:t>
      </w:r>
      <w:r>
        <w:rPr>
          <w:rFonts w:hint="eastAsia" w:ascii="宋体" w:hAnsi="宋体" w:eastAsia="宋体" w:cs="宋体"/>
          <w:color w:val="000000" w:themeColor="text1"/>
          <w:highlight w:val="none"/>
          <w:u w:val="single"/>
          <w14:textFill>
            <w14:solidFill>
              <w14:schemeClr w14:val="tx1"/>
            </w14:solidFill>
          </w14:textFill>
        </w:rPr>
        <w:t></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日。</w:t>
      </w:r>
    </w:p>
    <w:p w14:paraId="71FD2D2C">
      <w:pPr>
        <w:spacing w:line="360" w:lineRule="auto"/>
        <w:ind w:firstLine="45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工期总日历天数：</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none"/>
          <w:lang w:val="en-US" w:eastAsia="zh-CN"/>
          <w14:textFill>
            <w14:solidFill>
              <w14:schemeClr w14:val="tx1"/>
            </w14:solidFill>
          </w14:textFill>
        </w:rPr>
        <w:t>日历</w:t>
      </w:r>
      <w:r>
        <w:rPr>
          <w:rFonts w:hint="eastAsia" w:ascii="宋体" w:hAnsi="宋体" w:eastAsia="宋体" w:cs="宋体"/>
          <w:color w:val="000000" w:themeColor="text1"/>
          <w:highlight w:val="none"/>
          <w:u w:val="none"/>
          <w14:textFill>
            <w14:solidFill>
              <w14:schemeClr w14:val="tx1"/>
            </w14:solidFill>
          </w14:textFill>
        </w:rPr>
        <w:t>天</w:t>
      </w:r>
      <w:r>
        <w:rPr>
          <w:rFonts w:hint="eastAsia" w:ascii="宋体" w:hAnsi="宋体" w:eastAsia="宋体" w:cs="宋体"/>
          <w:color w:val="000000" w:themeColor="text1"/>
          <w:highlight w:val="none"/>
          <w14:textFill>
            <w14:solidFill>
              <w14:schemeClr w14:val="tx1"/>
            </w14:solidFill>
          </w14:textFill>
        </w:rPr>
        <w:t>。工期总日历天数与根据前述计划开竣工日期计算的工期天数不一致的，以工期总日历天数为准。</w:t>
      </w:r>
    </w:p>
    <w:p w14:paraId="36F55E6C">
      <w:pPr>
        <w:spacing w:line="360" w:lineRule="auto"/>
        <w:ind w:firstLine="459"/>
        <w:outlineLvl w:val="0"/>
        <w:rPr>
          <w:rFonts w:hint="eastAsia" w:ascii="宋体" w:hAnsi="宋体" w:eastAsia="宋体" w:cs="宋体"/>
          <w:b/>
          <w:bCs/>
          <w:color w:val="000000" w:themeColor="text1"/>
          <w:highlight w:val="none"/>
          <w14:textFill>
            <w14:solidFill>
              <w14:schemeClr w14:val="tx1"/>
            </w14:solidFill>
          </w14:textFill>
        </w:rPr>
      </w:pPr>
      <w:bookmarkStart w:id="116" w:name="_Toc351203483"/>
      <w:r>
        <w:rPr>
          <w:rFonts w:hint="eastAsia" w:ascii="宋体" w:hAnsi="宋体" w:eastAsia="宋体" w:cs="宋体"/>
          <w:b/>
          <w:bCs/>
          <w:color w:val="000000" w:themeColor="text1"/>
          <w:highlight w:val="none"/>
          <w14:textFill>
            <w14:solidFill>
              <w14:schemeClr w14:val="tx1"/>
            </w14:solidFill>
          </w14:textFill>
        </w:rPr>
        <w:t>三、质量标准</w:t>
      </w:r>
      <w:bookmarkEnd w:id="116"/>
    </w:p>
    <w:p w14:paraId="026CDD43">
      <w:pPr>
        <w:spacing w:line="360" w:lineRule="auto"/>
        <w:ind w:firstLine="45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工程质量</w:t>
      </w:r>
      <w:r>
        <w:rPr>
          <w:rFonts w:hint="eastAsia" w:ascii="宋体" w:hAnsi="宋体"/>
          <w:color w:val="000000" w:themeColor="text1"/>
          <w:szCs w:val="21"/>
          <w:highlight w:val="none"/>
          <w14:textFill>
            <w14:solidFill>
              <w14:schemeClr w14:val="tx1"/>
            </w14:solidFill>
          </w14:textFill>
        </w:rPr>
        <w:t>达到国家施工验收规范合格标准</w:t>
      </w:r>
      <w:r>
        <w:rPr>
          <w:rFonts w:hint="eastAsia" w:ascii="宋体" w:hAnsi="宋体" w:eastAsia="宋体" w:cs="宋体"/>
          <w:color w:val="000000" w:themeColor="text1"/>
          <w:highlight w:val="none"/>
          <w14:textFill>
            <w14:solidFill>
              <w14:schemeClr w14:val="tx1"/>
            </w14:solidFill>
          </w14:textFill>
        </w:rPr>
        <w:t>。</w:t>
      </w:r>
    </w:p>
    <w:p w14:paraId="20B26B1B">
      <w:pPr>
        <w:spacing w:line="360" w:lineRule="auto"/>
        <w:ind w:firstLine="459"/>
        <w:outlineLvl w:val="0"/>
        <w:rPr>
          <w:rFonts w:hint="eastAsia" w:ascii="宋体" w:hAnsi="宋体" w:eastAsia="宋体" w:cs="宋体"/>
          <w:b/>
          <w:bCs/>
          <w:color w:val="000000" w:themeColor="text1"/>
          <w:highlight w:val="none"/>
          <w14:textFill>
            <w14:solidFill>
              <w14:schemeClr w14:val="tx1"/>
            </w14:solidFill>
          </w14:textFill>
        </w:rPr>
      </w:pPr>
      <w:bookmarkStart w:id="117" w:name="_Toc351203484"/>
      <w:r>
        <w:rPr>
          <w:rFonts w:hint="eastAsia" w:ascii="宋体" w:hAnsi="宋体" w:eastAsia="宋体" w:cs="宋体"/>
          <w:b/>
          <w:bCs/>
          <w:color w:val="000000" w:themeColor="text1"/>
          <w:highlight w:val="none"/>
          <w14:textFill>
            <w14:solidFill>
              <w14:schemeClr w14:val="tx1"/>
            </w14:solidFill>
          </w14:textFill>
        </w:rPr>
        <w:t>四、签约合同价与合同价格形式</w:t>
      </w:r>
      <w:bookmarkEnd w:id="117"/>
    </w:p>
    <w:p w14:paraId="1012B007">
      <w:pPr>
        <w:spacing w:line="360" w:lineRule="auto"/>
        <w:ind w:firstLine="45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签约合同价为：</w:t>
      </w:r>
    </w:p>
    <w:p w14:paraId="230A5B7E">
      <w:pPr>
        <w:spacing w:line="360" w:lineRule="auto"/>
        <w:ind w:firstLine="525" w:firstLineChars="2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人民币（大写）</w:t>
      </w:r>
      <w:r>
        <w:rPr>
          <w:rFonts w:hint="eastAsia" w:ascii="宋体" w:hAnsi="宋体" w:eastAsia="宋体" w:cs="宋体"/>
          <w:b/>
          <w:bCs/>
          <w:color w:val="000000" w:themeColor="text1"/>
          <w:w w:val="100"/>
          <w:highlight w:val="none"/>
          <w:u w:val="single"/>
          <w:lang w:val="en-US" w:eastAsia="zh-CN"/>
          <w14:textFill>
            <w14:solidFill>
              <w14:schemeClr w14:val="tx1"/>
            </w14:solidFill>
          </w14:textFill>
        </w:rPr>
        <w:t xml:space="preserve">                  </w:t>
      </w:r>
      <w:r>
        <w:rPr>
          <w:rFonts w:hint="eastAsia" w:ascii="宋体" w:hAnsi="宋体" w:eastAsia="宋体" w:cs="宋体"/>
          <w:b/>
          <w:bCs/>
          <w:color w:val="000000" w:themeColor="text1"/>
          <w:highlight w:val="none"/>
          <w14:textFill>
            <w14:solidFill>
              <w14:schemeClr w14:val="tx1"/>
            </w14:solidFill>
          </w14:textFill>
        </w:rPr>
        <w:t>（¥</w:t>
      </w:r>
      <w:r>
        <w:rPr>
          <w:rFonts w:hint="eastAsia" w:ascii="宋体" w:hAnsi="宋体" w:eastAsia="宋体" w:cs="宋体"/>
          <w:b/>
          <w:bCs/>
          <w:color w:val="000000" w:themeColor="text1"/>
          <w:w w:val="100"/>
          <w:highlight w:val="none"/>
          <w:u w:val="single"/>
          <w:lang w:val="en-US" w:eastAsia="zh-CN"/>
          <w14:textFill>
            <w14:solidFill>
              <w14:schemeClr w14:val="tx1"/>
            </w14:solidFill>
          </w14:textFill>
        </w:rPr>
        <w:t xml:space="preserve">              </w:t>
      </w:r>
      <w:r>
        <w:rPr>
          <w:rFonts w:hint="eastAsia" w:ascii="宋体" w:hAnsi="宋体" w:eastAsia="宋体" w:cs="宋体"/>
          <w:b/>
          <w:bCs/>
          <w:color w:val="000000" w:themeColor="text1"/>
          <w:highlight w:val="none"/>
          <w14:textFill>
            <w14:solidFill>
              <w14:schemeClr w14:val="tx1"/>
            </w14:solidFill>
          </w14:textFill>
        </w:rPr>
        <w:t>元）</w:t>
      </w:r>
      <w:r>
        <w:rPr>
          <w:rFonts w:hint="eastAsia" w:ascii="宋体" w:hAnsi="宋体" w:eastAsia="宋体" w:cs="宋体"/>
          <w:color w:val="000000" w:themeColor="text1"/>
          <w:highlight w:val="none"/>
          <w14:textFill>
            <w14:solidFill>
              <w14:schemeClr w14:val="tx1"/>
            </w14:solidFill>
          </w14:textFill>
        </w:rPr>
        <w:t>；</w:t>
      </w:r>
    </w:p>
    <w:p w14:paraId="5BDF4B6A">
      <w:pPr>
        <w:spacing w:line="360" w:lineRule="auto"/>
        <w:ind w:firstLine="525" w:firstLineChars="2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其中：</w:t>
      </w:r>
    </w:p>
    <w:p w14:paraId="0D1154F5">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（1）安全文明施工费：</w:t>
      </w:r>
    </w:p>
    <w:p w14:paraId="437978CC">
      <w:pPr>
        <w:spacing w:line="360" w:lineRule="auto"/>
        <w:ind w:left="420" w:leftChars="200" w:firstLine="525" w:firstLineChars="2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人民币（大写）</w:t>
      </w:r>
      <w:r>
        <w:rPr>
          <w:rFonts w:hint="eastAsia" w:ascii="宋体" w:hAnsi="宋体" w:eastAsia="宋体" w:cs="宋体"/>
          <w:b/>
          <w:bCs/>
          <w:color w:val="000000" w:themeColor="text1"/>
          <w:w w:val="100"/>
          <w:highlight w:val="none"/>
          <w:u w:val="single"/>
          <w:lang w:val="en-US" w:eastAsia="zh-CN"/>
          <w14:textFill>
            <w14:solidFill>
              <w14:schemeClr w14:val="tx1"/>
            </w14:solidFill>
          </w14:textFill>
        </w:rPr>
        <w:t xml:space="preserve"> </w:t>
      </w:r>
      <w:r>
        <w:rPr>
          <w:rFonts w:hint="eastAsia" w:ascii="宋体" w:hAnsi="宋体" w:cs="宋体"/>
          <w:b/>
          <w:bCs/>
          <w:color w:val="000000" w:themeColor="text1"/>
          <w:w w:val="100"/>
          <w:highlight w:val="none"/>
          <w:u w:val="single"/>
          <w:lang w:val="en-US" w:eastAsia="zh-CN"/>
          <w14:textFill>
            <w14:solidFill>
              <w14:schemeClr w14:val="tx1"/>
            </w14:solidFill>
          </w14:textFill>
        </w:rPr>
        <w:t xml:space="preserve">              </w:t>
      </w:r>
      <w:r>
        <w:rPr>
          <w:rFonts w:hint="eastAsia" w:ascii="宋体" w:hAnsi="宋体" w:eastAsia="宋体" w:cs="宋体"/>
          <w:b/>
          <w:bCs/>
          <w:color w:val="000000" w:themeColor="text1"/>
          <w:highlight w:val="none"/>
          <w14:textFill>
            <w14:solidFill>
              <w14:schemeClr w14:val="tx1"/>
            </w14:solidFill>
          </w14:textFill>
        </w:rPr>
        <w:t>（¥</w:t>
      </w:r>
      <w:r>
        <w:rPr>
          <w:rFonts w:hint="eastAsia" w:ascii="宋体" w:hAnsi="宋体" w:eastAsia="宋体" w:cs="宋体"/>
          <w:b/>
          <w:bCs/>
          <w:color w:val="000000" w:themeColor="text1"/>
          <w:w w:val="100"/>
          <w:highlight w:val="none"/>
          <w:u w:val="single"/>
          <w14:textFill>
            <w14:solidFill>
              <w14:schemeClr w14:val="tx1"/>
            </w14:solidFill>
          </w14:textFill>
        </w:rPr>
        <w:t xml:space="preserve"> </w:t>
      </w:r>
      <w:r>
        <w:rPr>
          <w:rFonts w:hint="eastAsia" w:ascii="宋体" w:hAnsi="宋体" w:eastAsia="宋体" w:cs="宋体"/>
          <w:b/>
          <w:bCs/>
          <w:color w:val="000000" w:themeColor="text1"/>
          <w:w w:val="100"/>
          <w:highlight w:val="none"/>
          <w:u w:val="single"/>
          <w:lang w:val="en-US" w:eastAsia="zh-CN"/>
          <w14:textFill>
            <w14:solidFill>
              <w14:schemeClr w14:val="tx1"/>
            </w14:solidFill>
          </w14:textFill>
        </w:rPr>
        <w:t xml:space="preserve">            </w:t>
      </w:r>
      <w:r>
        <w:rPr>
          <w:rFonts w:hint="eastAsia" w:ascii="宋体" w:hAnsi="宋体" w:eastAsia="宋体" w:cs="宋体"/>
          <w:b/>
          <w:bCs/>
          <w:color w:val="000000" w:themeColor="text1"/>
          <w:highlight w:val="none"/>
          <w14:textFill>
            <w14:solidFill>
              <w14:schemeClr w14:val="tx1"/>
            </w14:solidFill>
          </w14:textFill>
        </w:rPr>
        <w:t>元）</w:t>
      </w:r>
      <w:r>
        <w:rPr>
          <w:rFonts w:hint="eastAsia" w:ascii="宋体" w:hAnsi="宋体" w:eastAsia="宋体" w:cs="宋体"/>
          <w:color w:val="000000" w:themeColor="text1"/>
          <w:highlight w:val="none"/>
          <w14:textFill>
            <w14:solidFill>
              <w14:schemeClr w14:val="tx1"/>
            </w14:solidFill>
          </w14:textFill>
        </w:rPr>
        <w:t>；</w:t>
      </w:r>
    </w:p>
    <w:p w14:paraId="58FA27DC">
      <w:pPr>
        <w:spacing w:line="360" w:lineRule="auto"/>
        <w:ind w:firstLine="945" w:firstLineChars="4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（2）材料和工程设备暂估价金额：</w:t>
      </w:r>
    </w:p>
    <w:p w14:paraId="71FD6FAF">
      <w:pPr>
        <w:spacing w:line="360" w:lineRule="auto"/>
        <w:ind w:firstLine="945" w:firstLineChars="4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人民币（大写）</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元）；</w:t>
      </w:r>
    </w:p>
    <w:p w14:paraId="69883E1B">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（3）专业工程暂估价金额：</w:t>
      </w:r>
    </w:p>
    <w:p w14:paraId="378CC750">
      <w:pPr>
        <w:spacing w:line="360" w:lineRule="auto"/>
        <w:ind w:firstLine="945" w:firstLineChars="4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人民币（大写）</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元）；</w:t>
      </w:r>
    </w:p>
    <w:p w14:paraId="01570CE9">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（4）暂列金额：</w:t>
      </w:r>
    </w:p>
    <w:p w14:paraId="582DEE19">
      <w:pPr>
        <w:spacing w:line="360" w:lineRule="auto"/>
        <w:ind w:firstLine="945" w:firstLineChars="4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人民币（大写）</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元）。</w:t>
      </w:r>
    </w:p>
    <w:p w14:paraId="4DD429FB">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 合同价格形式：</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sz w:val="21"/>
          <w:highlight w:val="none"/>
          <w:u w:val="single"/>
          <w:lang w:eastAsia="zh-CN"/>
          <w14:textFill>
            <w14:solidFill>
              <w14:schemeClr w14:val="tx1"/>
            </w14:solidFill>
          </w14:textFill>
        </w:rPr>
        <w:t>单价合同</w:t>
      </w:r>
      <w:r>
        <w:rPr>
          <w:rFonts w:hint="eastAsia" w:ascii="宋体" w:hAnsi="宋体" w:cs="宋体"/>
          <w:color w:val="000000" w:themeColor="text1"/>
          <w:sz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282EBFBA">
      <w:pPr>
        <w:spacing w:line="360" w:lineRule="auto"/>
        <w:ind w:firstLine="422" w:firstLineChars="200"/>
        <w:outlineLvl w:val="0"/>
        <w:rPr>
          <w:rFonts w:hint="eastAsia" w:ascii="宋体" w:hAnsi="宋体" w:eastAsia="宋体" w:cs="宋体"/>
          <w:b/>
          <w:bCs/>
          <w:color w:val="000000" w:themeColor="text1"/>
          <w:highlight w:val="none"/>
          <w14:textFill>
            <w14:solidFill>
              <w14:schemeClr w14:val="tx1"/>
            </w14:solidFill>
          </w14:textFill>
        </w:rPr>
      </w:pPr>
      <w:bookmarkStart w:id="118" w:name="_Toc351203485"/>
      <w:r>
        <w:rPr>
          <w:rFonts w:hint="eastAsia" w:ascii="宋体" w:hAnsi="宋体" w:eastAsia="宋体" w:cs="宋体"/>
          <w:b/>
          <w:bCs/>
          <w:color w:val="000000" w:themeColor="text1"/>
          <w:highlight w:val="none"/>
          <w14:textFill>
            <w14:solidFill>
              <w14:schemeClr w14:val="tx1"/>
            </w14:solidFill>
          </w14:textFill>
        </w:rPr>
        <w:t>五、</w:t>
      </w:r>
      <w:bookmarkEnd w:id="118"/>
      <w:r>
        <w:rPr>
          <w:rFonts w:hint="eastAsia" w:ascii="宋体" w:hAnsi="宋体" w:eastAsia="宋体" w:cs="宋体"/>
          <w:b/>
          <w:bCs/>
          <w:color w:val="000000" w:themeColor="text1"/>
          <w:highlight w:val="none"/>
          <w14:textFill>
            <w14:solidFill>
              <w14:schemeClr w14:val="tx1"/>
            </w14:solidFill>
          </w14:textFill>
        </w:rPr>
        <w:t>项目经理</w:t>
      </w:r>
    </w:p>
    <w:p w14:paraId="22B274B6">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承包人项目经理</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b/>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bCs/>
          <w:color w:val="000000" w:themeColor="text1"/>
          <w:sz w:val="21"/>
          <w:szCs w:val="21"/>
          <w:highlight w:val="none"/>
          <w14:textFill>
            <w14:solidFill>
              <w14:schemeClr w14:val="tx1"/>
            </w14:solidFill>
          </w14:textFill>
        </w:rPr>
        <w:t>。</w:t>
      </w:r>
    </w:p>
    <w:p w14:paraId="63A88DAB">
      <w:pPr>
        <w:spacing w:line="360" w:lineRule="auto"/>
        <w:ind w:firstLine="422" w:firstLineChars="200"/>
        <w:outlineLvl w:val="0"/>
        <w:rPr>
          <w:rFonts w:hint="eastAsia" w:ascii="宋体" w:hAnsi="宋体" w:eastAsia="宋体" w:cs="宋体"/>
          <w:b/>
          <w:bCs/>
          <w:color w:val="000000" w:themeColor="text1"/>
          <w:highlight w:val="none"/>
          <w14:textFill>
            <w14:solidFill>
              <w14:schemeClr w14:val="tx1"/>
            </w14:solidFill>
          </w14:textFill>
        </w:rPr>
      </w:pPr>
      <w:bookmarkStart w:id="119" w:name="_Toc351203486"/>
      <w:r>
        <w:rPr>
          <w:rFonts w:hint="eastAsia" w:ascii="宋体" w:hAnsi="宋体" w:eastAsia="宋体" w:cs="宋体"/>
          <w:b/>
          <w:bCs/>
          <w:color w:val="000000" w:themeColor="text1"/>
          <w:highlight w:val="none"/>
          <w14:textFill>
            <w14:solidFill>
              <w14:schemeClr w14:val="tx1"/>
            </w14:solidFill>
          </w14:textFill>
        </w:rPr>
        <w:t>六、合同文件构成</w:t>
      </w:r>
      <w:bookmarkEnd w:id="119"/>
    </w:p>
    <w:p w14:paraId="49A3DDC0">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本协议书与下列文件一起构成合同文件：</w:t>
      </w:r>
    </w:p>
    <w:p w14:paraId="3F725300">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（1）专用合同条款及其附件；</w:t>
      </w:r>
    </w:p>
    <w:p w14:paraId="2226AA80">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（2）通用合同条款； </w:t>
      </w:r>
    </w:p>
    <w:p w14:paraId="70ABDD73">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sz w:val="21"/>
          <w:highlight w:val="none"/>
          <w:u w:val="single"/>
          <w14:textFill>
            <w14:solidFill>
              <w14:schemeClr w14:val="tx1"/>
            </w14:solidFill>
          </w14:textFill>
        </w:rPr>
        <w:t>技术标准和要求</w:t>
      </w:r>
      <w:r>
        <w:rPr>
          <w:rFonts w:hint="eastAsia" w:ascii="宋体" w:hAnsi="宋体" w:eastAsia="宋体" w:cs="宋体"/>
          <w:color w:val="000000" w:themeColor="text1"/>
          <w:highlight w:val="none"/>
          <w14:textFill>
            <w14:solidFill>
              <w14:schemeClr w14:val="tx1"/>
            </w14:solidFill>
          </w14:textFill>
        </w:rPr>
        <w:t>；</w:t>
      </w:r>
    </w:p>
    <w:p w14:paraId="1BAD8E0A">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r>
        <w:rPr>
          <w:rFonts w:hint="eastAsia" w:ascii="宋体" w:hAnsi="宋体" w:eastAsia="宋体" w:cs="宋体"/>
          <w:color w:val="000000" w:themeColor="text1"/>
          <w:sz w:val="21"/>
          <w:highlight w:val="none"/>
          <w:u w:val="single"/>
          <w14:textFill>
            <w14:solidFill>
              <w14:schemeClr w14:val="tx1"/>
            </w14:solidFill>
          </w14:textFill>
        </w:rPr>
        <w:t>已标价工程量清单或工程预算书</w:t>
      </w:r>
      <w:r>
        <w:rPr>
          <w:rFonts w:hint="eastAsia" w:ascii="宋体" w:hAnsi="宋体" w:eastAsia="宋体" w:cs="宋体"/>
          <w:color w:val="000000" w:themeColor="text1"/>
          <w:highlight w:val="none"/>
          <w14:textFill>
            <w14:solidFill>
              <w14:schemeClr w14:val="tx1"/>
            </w14:solidFill>
          </w14:textFill>
        </w:rPr>
        <w:t>；</w:t>
      </w:r>
    </w:p>
    <w:p w14:paraId="4AEDDDB5">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r>
        <w:rPr>
          <w:rFonts w:hint="eastAsia" w:ascii="宋体" w:hAnsi="宋体" w:eastAsia="宋体" w:cs="宋体"/>
          <w:color w:val="000000" w:themeColor="text1"/>
          <w:highlight w:val="none"/>
          <w:u w:val="single"/>
          <w:lang w:val="en-US" w:eastAsia="zh-CN"/>
          <w14:textFill>
            <w14:solidFill>
              <w14:schemeClr w14:val="tx1"/>
            </w14:solidFill>
          </w14:textFill>
        </w:rPr>
        <w:t>图纸</w:t>
      </w:r>
      <w:r>
        <w:rPr>
          <w:rFonts w:hint="eastAsia" w:ascii="宋体" w:hAnsi="宋体" w:eastAsia="宋体" w:cs="宋体"/>
          <w:color w:val="000000" w:themeColor="text1"/>
          <w:highlight w:val="none"/>
          <w14:textFill>
            <w14:solidFill>
              <w14:schemeClr w14:val="tx1"/>
            </w14:solidFill>
          </w14:textFill>
        </w:rPr>
        <w:t>；</w:t>
      </w:r>
    </w:p>
    <w:p w14:paraId="31A8BD9D">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（6）其他合同文件；</w:t>
      </w:r>
    </w:p>
    <w:p w14:paraId="29743E1B">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上述各项合同文件包括合同当事人就该项合同文件所作出的补充和修改，属于同一类内容的文件，应以最新签署的为准（违反</w:t>
      </w:r>
      <w:r>
        <w:rPr>
          <w:rFonts w:hint="eastAsia" w:ascii="宋体" w:hAnsi="宋体" w:eastAsia="宋体" w:cs="宋体"/>
          <w:color w:val="000000" w:themeColor="text1"/>
          <w:highlight w:val="none"/>
          <w:lang w:eastAsia="zh-CN"/>
          <w14:textFill>
            <w14:solidFill>
              <w14:schemeClr w14:val="tx1"/>
            </w14:solidFill>
          </w14:textFill>
        </w:rPr>
        <w:t>采购文件</w:t>
      </w:r>
      <w:r>
        <w:rPr>
          <w:rFonts w:hint="eastAsia" w:ascii="宋体" w:hAnsi="宋体" w:eastAsia="宋体" w:cs="宋体"/>
          <w:color w:val="000000" w:themeColor="text1"/>
          <w:highlight w:val="none"/>
          <w14:textFill>
            <w14:solidFill>
              <w14:schemeClr w14:val="tx1"/>
            </w14:solidFill>
          </w14:textFill>
        </w:rPr>
        <w:t>实质性内容的约定除外）。专用合同条款及其附件须经合同当事人签字或盖章。</w:t>
      </w:r>
    </w:p>
    <w:p w14:paraId="373BCCB6">
      <w:pPr>
        <w:autoSpaceDE w:val="0"/>
        <w:autoSpaceDN w:val="0"/>
        <w:adjustRightInd w:val="0"/>
        <w:spacing w:line="360" w:lineRule="auto"/>
        <w:ind w:firstLine="422" w:firstLineChars="200"/>
        <w:jc w:val="left"/>
        <w:outlineLvl w:val="0"/>
        <w:rPr>
          <w:rFonts w:hint="eastAsia" w:ascii="宋体" w:hAnsi="宋体" w:eastAsia="宋体" w:cs="宋体"/>
          <w:b/>
          <w:bCs/>
          <w:color w:val="000000" w:themeColor="text1"/>
          <w:highlight w:val="none"/>
          <w14:textFill>
            <w14:solidFill>
              <w14:schemeClr w14:val="tx1"/>
            </w14:solidFill>
          </w14:textFill>
        </w:rPr>
      </w:pPr>
      <w:bookmarkStart w:id="120" w:name="_Toc351203487"/>
      <w:r>
        <w:rPr>
          <w:rFonts w:hint="eastAsia" w:ascii="宋体" w:hAnsi="宋体" w:eastAsia="宋体" w:cs="宋体"/>
          <w:b/>
          <w:bCs/>
          <w:color w:val="000000" w:themeColor="text1"/>
          <w:highlight w:val="none"/>
          <w14:textFill>
            <w14:solidFill>
              <w14:schemeClr w14:val="tx1"/>
            </w14:solidFill>
          </w14:textFill>
        </w:rPr>
        <w:t>七、承诺</w:t>
      </w:r>
      <w:bookmarkEnd w:id="120"/>
    </w:p>
    <w:p w14:paraId="03765FC7">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发包人承诺按照法律规定履行项目审批手续、筹集工程建设资金并按照合同约定的期限和方式支付合同价款。</w:t>
      </w:r>
    </w:p>
    <w:p w14:paraId="7C95EAE4">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 承包人承诺按照法律规定及合同约定组织完成工程施工，确保工程质量和安全，不进行转包及违法分包，并在缺陷责任期及保修期内承担相应的工程维修责任。</w:t>
      </w:r>
    </w:p>
    <w:p w14:paraId="6D61F174">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 发包人和承包人通过招投标形式</w:t>
      </w:r>
      <w:r>
        <w:rPr>
          <w:rFonts w:hint="eastAsia" w:ascii="宋体" w:hAnsi="宋体" w:eastAsia="宋体" w:cs="宋体"/>
          <w:color w:val="000000" w:themeColor="text1"/>
          <w:highlight w:val="none"/>
          <w:lang w:val="en-US" w:eastAsia="zh-CN"/>
          <w14:textFill>
            <w14:solidFill>
              <w14:schemeClr w14:val="tx1"/>
            </w14:solidFill>
          </w14:textFill>
        </w:rPr>
        <w:t>/定点采购方式</w:t>
      </w:r>
      <w:r>
        <w:rPr>
          <w:rFonts w:hint="eastAsia" w:ascii="宋体" w:hAnsi="宋体" w:eastAsia="宋体" w:cs="宋体"/>
          <w:color w:val="000000" w:themeColor="text1"/>
          <w:highlight w:val="none"/>
          <w14:textFill>
            <w14:solidFill>
              <w14:schemeClr w14:val="tx1"/>
            </w14:solidFill>
          </w14:textFill>
        </w:rPr>
        <w:t>签订合同的，双方理解并承诺不再就同一工程另行签订与合同实质性内容相背离的协议。</w:t>
      </w:r>
      <w:bookmarkStart w:id="121" w:name="_Toc351203488"/>
    </w:p>
    <w:p w14:paraId="61ADBB46">
      <w:pPr>
        <w:spacing w:line="360" w:lineRule="auto"/>
        <w:ind w:firstLine="422" w:firstLineChars="200"/>
        <w:outlineLvl w:val="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八、词语含义</w:t>
      </w:r>
      <w:bookmarkEnd w:id="121"/>
    </w:p>
    <w:p w14:paraId="67E669FB">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本协议书中词语含义与第二部分通用合同条款中赋予的含义相同。</w:t>
      </w:r>
    </w:p>
    <w:p w14:paraId="37E2138B">
      <w:pPr>
        <w:spacing w:line="360" w:lineRule="auto"/>
        <w:ind w:firstLine="422" w:firstLineChars="200"/>
        <w:outlineLvl w:val="0"/>
        <w:rPr>
          <w:rFonts w:hint="eastAsia" w:ascii="宋体" w:hAnsi="宋体" w:eastAsia="宋体" w:cs="宋体"/>
          <w:b/>
          <w:bCs/>
          <w:color w:val="000000" w:themeColor="text1"/>
          <w:highlight w:val="none"/>
          <w14:textFill>
            <w14:solidFill>
              <w14:schemeClr w14:val="tx1"/>
            </w14:solidFill>
          </w14:textFill>
        </w:rPr>
      </w:pPr>
      <w:bookmarkStart w:id="122" w:name="_Toc351203489"/>
      <w:r>
        <w:rPr>
          <w:rFonts w:hint="eastAsia" w:ascii="宋体" w:hAnsi="宋体" w:eastAsia="宋体" w:cs="宋体"/>
          <w:b/>
          <w:bCs/>
          <w:color w:val="000000" w:themeColor="text1"/>
          <w:highlight w:val="none"/>
          <w14:textFill>
            <w14:solidFill>
              <w14:schemeClr w14:val="tx1"/>
            </w14:solidFill>
          </w14:textFill>
        </w:rPr>
        <w:t>九、签订时间</w:t>
      </w:r>
      <w:bookmarkEnd w:id="122"/>
    </w:p>
    <w:p w14:paraId="395281FF">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本合同于</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日签订。</w:t>
      </w:r>
    </w:p>
    <w:p w14:paraId="033EB1A8">
      <w:pPr>
        <w:spacing w:line="360" w:lineRule="auto"/>
        <w:ind w:firstLine="422" w:firstLineChars="200"/>
        <w:outlineLvl w:val="0"/>
        <w:rPr>
          <w:rFonts w:hint="eastAsia" w:ascii="宋体" w:hAnsi="宋体" w:eastAsia="宋体" w:cs="宋体"/>
          <w:b/>
          <w:bCs/>
          <w:color w:val="000000" w:themeColor="text1"/>
          <w:highlight w:val="none"/>
          <w14:textFill>
            <w14:solidFill>
              <w14:schemeClr w14:val="tx1"/>
            </w14:solidFill>
          </w14:textFill>
        </w:rPr>
      </w:pPr>
      <w:bookmarkStart w:id="123" w:name="_Toc351203490"/>
      <w:r>
        <w:rPr>
          <w:rFonts w:hint="eastAsia" w:ascii="宋体" w:hAnsi="宋体" w:eastAsia="宋体" w:cs="宋体"/>
          <w:b/>
          <w:bCs/>
          <w:color w:val="000000" w:themeColor="text1"/>
          <w:highlight w:val="none"/>
          <w14:textFill>
            <w14:solidFill>
              <w14:schemeClr w14:val="tx1"/>
            </w14:solidFill>
          </w14:textFill>
        </w:rPr>
        <w:t>十、签订地点</w:t>
      </w:r>
      <w:bookmarkEnd w:id="123"/>
    </w:p>
    <w:p w14:paraId="43E50F38">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本合同在</w:t>
      </w:r>
      <w:r>
        <w:rPr>
          <w:rFonts w:hint="eastAsia" w:ascii="宋体" w:hAnsi="宋体" w:eastAsia="宋体" w:cs="宋体"/>
          <w:color w:val="000000" w:themeColor="text1"/>
          <w:highlight w:val="none"/>
          <w:u w:val="single"/>
          <w:lang w:val="en-US" w:eastAsia="zh-CN"/>
          <w14:textFill>
            <w14:solidFill>
              <w14:schemeClr w14:val="tx1"/>
            </w14:solidFill>
          </w14:textFill>
        </w:rPr>
        <w:t>横州市</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签订。</w:t>
      </w:r>
    </w:p>
    <w:p w14:paraId="6B39B0A8">
      <w:pPr>
        <w:spacing w:line="360" w:lineRule="auto"/>
        <w:ind w:firstLine="422" w:firstLineChars="200"/>
        <w:outlineLvl w:val="0"/>
        <w:rPr>
          <w:rFonts w:hint="eastAsia" w:ascii="宋体" w:hAnsi="宋体" w:eastAsia="宋体" w:cs="宋体"/>
          <w:b/>
          <w:bCs/>
          <w:color w:val="000000" w:themeColor="text1"/>
          <w:highlight w:val="none"/>
          <w14:textFill>
            <w14:solidFill>
              <w14:schemeClr w14:val="tx1"/>
            </w14:solidFill>
          </w14:textFill>
        </w:rPr>
      </w:pPr>
      <w:bookmarkStart w:id="124" w:name="_Toc351203491"/>
      <w:r>
        <w:rPr>
          <w:rFonts w:hint="eastAsia" w:ascii="宋体" w:hAnsi="宋体" w:eastAsia="宋体" w:cs="宋体"/>
          <w:b/>
          <w:bCs/>
          <w:color w:val="000000" w:themeColor="text1"/>
          <w:highlight w:val="none"/>
          <w14:textFill>
            <w14:solidFill>
              <w14:schemeClr w14:val="tx1"/>
            </w14:solidFill>
          </w14:textFill>
        </w:rPr>
        <w:t>十一、补充协议</w:t>
      </w:r>
      <w:bookmarkEnd w:id="124"/>
    </w:p>
    <w:p w14:paraId="0D82CAEE">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合同未尽事宜，合同当事人另行签订补充协议，补充协议是合同的组成部分。</w:t>
      </w:r>
    </w:p>
    <w:p w14:paraId="5A6999CC">
      <w:pPr>
        <w:spacing w:line="360" w:lineRule="auto"/>
        <w:ind w:firstLine="422" w:firstLineChars="200"/>
        <w:outlineLvl w:val="0"/>
        <w:rPr>
          <w:rFonts w:hint="eastAsia" w:ascii="宋体" w:hAnsi="宋体" w:eastAsia="宋体" w:cs="宋体"/>
          <w:b/>
          <w:bCs/>
          <w:color w:val="000000" w:themeColor="text1"/>
          <w:highlight w:val="none"/>
          <w14:textFill>
            <w14:solidFill>
              <w14:schemeClr w14:val="tx1"/>
            </w14:solidFill>
          </w14:textFill>
        </w:rPr>
      </w:pPr>
      <w:bookmarkStart w:id="125" w:name="_Toc351203492"/>
      <w:r>
        <w:rPr>
          <w:rFonts w:hint="eastAsia" w:ascii="宋体" w:hAnsi="宋体" w:eastAsia="宋体" w:cs="宋体"/>
          <w:b/>
          <w:bCs/>
          <w:color w:val="000000" w:themeColor="text1"/>
          <w:highlight w:val="none"/>
          <w14:textFill>
            <w14:solidFill>
              <w14:schemeClr w14:val="tx1"/>
            </w14:solidFill>
          </w14:textFill>
        </w:rPr>
        <w:t>十二、合同生效</w:t>
      </w:r>
      <w:bookmarkEnd w:id="125"/>
    </w:p>
    <w:p w14:paraId="0A17DF60">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本合同自</w:t>
      </w:r>
      <w:r>
        <w:rPr>
          <w:rFonts w:hint="eastAsia" w:ascii="宋体" w:hAnsi="宋体" w:eastAsia="宋体" w:cs="宋体"/>
          <w:color w:val="000000" w:themeColor="text1"/>
          <w:highlight w:val="none"/>
          <w:u w:val="single"/>
          <w:lang w:eastAsia="zh-CN"/>
          <w14:textFill>
            <w14:solidFill>
              <w14:schemeClr w14:val="tx1"/>
            </w14:solidFill>
          </w14:textFill>
        </w:rPr>
        <w:t>双方法定代表人签字（或签章）且加盖单位印章后</w:t>
      </w:r>
      <w:r>
        <w:rPr>
          <w:rFonts w:hint="eastAsia" w:ascii="宋体" w:hAnsi="宋体" w:eastAsia="宋体" w:cs="宋体"/>
          <w:color w:val="000000" w:themeColor="text1"/>
          <w:highlight w:val="none"/>
          <w14:textFill>
            <w14:solidFill>
              <w14:schemeClr w14:val="tx1"/>
            </w14:solidFill>
          </w14:textFill>
        </w:rPr>
        <w:t>生效。</w:t>
      </w:r>
    </w:p>
    <w:p w14:paraId="1CCC0F24">
      <w:pPr>
        <w:spacing w:line="360" w:lineRule="auto"/>
        <w:ind w:firstLine="422" w:firstLineChars="200"/>
        <w:outlineLvl w:val="0"/>
        <w:rPr>
          <w:rFonts w:hint="eastAsia" w:ascii="宋体" w:hAnsi="宋体" w:eastAsia="宋体" w:cs="宋体"/>
          <w:b/>
          <w:bCs/>
          <w:color w:val="000000" w:themeColor="text1"/>
          <w:highlight w:val="none"/>
          <w14:textFill>
            <w14:solidFill>
              <w14:schemeClr w14:val="tx1"/>
            </w14:solidFill>
          </w14:textFill>
        </w:rPr>
      </w:pPr>
      <w:bookmarkStart w:id="126" w:name="_Toc351203493"/>
      <w:r>
        <w:rPr>
          <w:rFonts w:hint="eastAsia" w:ascii="宋体" w:hAnsi="宋体" w:eastAsia="宋体" w:cs="宋体"/>
          <w:b/>
          <w:bCs/>
          <w:color w:val="000000" w:themeColor="text1"/>
          <w:highlight w:val="none"/>
          <w14:textFill>
            <w14:solidFill>
              <w14:schemeClr w14:val="tx1"/>
            </w14:solidFill>
          </w14:textFill>
        </w:rPr>
        <w:t>十三、合同份数</w:t>
      </w:r>
      <w:bookmarkEnd w:id="126"/>
    </w:p>
    <w:p w14:paraId="3DD8F485">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本合同一式</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u w:val="single"/>
          <w:lang w:eastAsia="zh-CN"/>
          <w14:textFill>
            <w14:solidFill>
              <w14:schemeClr w14:val="tx1"/>
            </w14:solidFill>
          </w14:textFill>
        </w:rPr>
        <w:t>陆</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份，均具有同等法律效力，发包人执</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eastAsia="zh-CN"/>
          <w14:textFill>
            <w14:solidFill>
              <w14:schemeClr w14:val="tx1"/>
            </w14:solidFill>
          </w14:textFill>
        </w:rPr>
        <w:t>肆</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份，承包人执</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u w:val="single"/>
          <w:lang w:eastAsia="zh-CN"/>
          <w14:textFill>
            <w14:solidFill>
              <w14:schemeClr w14:val="tx1"/>
            </w14:solidFill>
          </w14:textFill>
        </w:rPr>
        <w:t>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份。</w:t>
      </w:r>
    </w:p>
    <w:p w14:paraId="1F335FCE">
      <w:pPr>
        <w:spacing w:line="360" w:lineRule="auto"/>
        <w:rPr>
          <w:rFonts w:hint="eastAsia" w:ascii="宋体" w:hAnsi="宋体" w:eastAsia="宋体" w:cs="宋体"/>
          <w:color w:val="000000" w:themeColor="text1"/>
          <w:highlight w:val="none"/>
          <w14:textFill>
            <w14:solidFill>
              <w14:schemeClr w14:val="tx1"/>
            </w14:solidFill>
          </w14:textFill>
        </w:rPr>
      </w:pPr>
    </w:p>
    <w:p w14:paraId="3220026C">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w:t>
      </w:r>
      <w:r>
        <w:rPr>
          <w:rFonts w:hint="eastAsia" w:ascii="宋体" w:hAnsi="宋体" w:eastAsia="宋体" w:cs="宋体"/>
          <w:color w:val="000000" w:themeColor="text1"/>
          <w:spacing w:val="-1"/>
          <w:sz w:val="21"/>
          <w:highlight w:val="none"/>
          <w:u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（公章）             </w:t>
      </w:r>
      <w:r>
        <w:rPr>
          <w:rFonts w:hint="eastAsia" w:ascii="宋体" w:hAnsi="宋体" w:cs="宋体"/>
          <w:color w:val="000000" w:themeColor="text1"/>
          <w:highlight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承包人：</w:t>
      </w:r>
      <w:r>
        <w:rPr>
          <w:rFonts w:hint="eastAsia" w:ascii="宋体" w:hAnsi="宋体" w:cs="宋体"/>
          <w:color w:val="000000" w:themeColor="text1"/>
          <w:highlight w:val="none"/>
          <w:lang w:val="en-US" w:eastAsia="zh-CN"/>
          <w14:textFill>
            <w14:solidFill>
              <w14:schemeClr w14:val="tx1"/>
            </w14:solidFill>
          </w14:textFill>
        </w:rPr>
        <w:t>xxx</w:t>
      </w:r>
      <w:r>
        <w:rPr>
          <w:rFonts w:hint="eastAsia" w:ascii="宋体" w:hAnsi="宋体" w:eastAsia="宋体" w:cs="宋体"/>
          <w:color w:val="000000" w:themeColor="text1"/>
          <w:highlight w:val="none"/>
          <w14:textFill>
            <w14:solidFill>
              <w14:schemeClr w14:val="tx1"/>
            </w14:solidFill>
          </w14:textFill>
        </w:rPr>
        <w:t>公司（公章）</w:t>
      </w:r>
    </w:p>
    <w:p w14:paraId="6C9684CF">
      <w:pPr>
        <w:spacing w:line="360" w:lineRule="auto"/>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w:t>
      </w:r>
    </w:p>
    <w:p w14:paraId="7609D048">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法定代表人或其委托代理人：             </w:t>
      </w:r>
      <w:r>
        <w:rPr>
          <w:rFonts w:hint="eastAsia" w:ascii="宋体" w:hAnsi="宋体" w:cs="宋体"/>
          <w:color w:val="000000" w:themeColor="text1"/>
          <w:highlight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法定代表人或其委托代理人：</w:t>
      </w:r>
    </w:p>
    <w:p w14:paraId="75F6E256">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（签字</w:t>
      </w:r>
      <w:r>
        <w:rPr>
          <w:rFonts w:hint="eastAsia" w:ascii="宋体" w:hAnsi="宋体" w:eastAsia="宋体" w:cs="宋体"/>
          <w:color w:val="000000" w:themeColor="text1"/>
          <w:highlight w:val="none"/>
          <w:lang w:val="en-US" w:eastAsia="zh-CN"/>
          <w14:textFill>
            <w14:solidFill>
              <w14:schemeClr w14:val="tx1"/>
            </w14:solidFill>
          </w14:textFill>
        </w:rPr>
        <w:t>或盖章</w:t>
      </w:r>
      <w:r>
        <w:rPr>
          <w:rFonts w:hint="eastAsia" w:ascii="宋体" w:hAnsi="宋体" w:eastAsia="宋体" w:cs="宋体"/>
          <w:color w:val="000000" w:themeColor="text1"/>
          <w:highlight w:val="none"/>
          <w14:textFill>
            <w14:solidFill>
              <w14:schemeClr w14:val="tx1"/>
            </w14:solidFill>
          </w14:textFill>
        </w:rPr>
        <w:t>）                                 （签字</w:t>
      </w:r>
      <w:r>
        <w:rPr>
          <w:rFonts w:hint="eastAsia" w:ascii="宋体" w:hAnsi="宋体" w:eastAsia="宋体" w:cs="宋体"/>
          <w:color w:val="000000" w:themeColor="text1"/>
          <w:highlight w:val="none"/>
          <w:lang w:val="en-US" w:eastAsia="zh-CN"/>
          <w14:textFill>
            <w14:solidFill>
              <w14:schemeClr w14:val="tx1"/>
            </w14:solidFill>
          </w14:textFill>
        </w:rPr>
        <w:t>或盖章</w:t>
      </w:r>
      <w:r>
        <w:rPr>
          <w:rFonts w:hint="eastAsia" w:ascii="宋体" w:hAnsi="宋体" w:eastAsia="宋体" w:cs="宋体"/>
          <w:color w:val="000000" w:themeColor="text1"/>
          <w:highlight w:val="none"/>
          <w14:textFill>
            <w14:solidFill>
              <w14:schemeClr w14:val="tx1"/>
            </w14:solidFill>
          </w14:textFill>
        </w:rPr>
        <w:t>）</w:t>
      </w:r>
    </w:p>
    <w:p w14:paraId="55C36E7C">
      <w:pPr>
        <w:spacing w:line="360" w:lineRule="auto"/>
        <w:rPr>
          <w:rFonts w:hint="eastAsia" w:ascii="宋体" w:hAnsi="宋体" w:eastAsia="宋体" w:cs="宋体"/>
          <w:color w:val="000000" w:themeColor="text1"/>
          <w:highlight w:val="none"/>
          <w:u w:val="single"/>
          <w14:textFill>
            <w14:solidFill>
              <w14:schemeClr w14:val="tx1"/>
            </w14:solidFill>
          </w14:textFill>
        </w:rPr>
      </w:pPr>
    </w:p>
    <w:p w14:paraId="18886EE9">
      <w:pPr>
        <w:tabs>
          <w:tab w:val="left" w:pos="4410"/>
        </w:tabs>
        <w:spacing w:line="360" w:lineRule="auto"/>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统一社会信用代码：</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lang w:val="en-US" w:eastAsia="zh-CN"/>
          <w14:textFill>
            <w14:solidFill>
              <w14:schemeClr w14:val="tx1"/>
            </w14:solidFill>
          </w14:textFill>
        </w:rPr>
        <w:t xml:space="preserve">  </w:t>
      </w:r>
      <w:r>
        <w:rPr>
          <w:rFonts w:hint="eastAsia" w:ascii="宋体" w:hAnsi="宋体" w:cs="宋体"/>
          <w:color w:val="000000" w:themeColor="text1"/>
          <w:highlight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统一社会信用代码：</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p>
    <w:p w14:paraId="5C12E7DC">
      <w:pPr>
        <w:spacing w:line="360" w:lineRule="auto"/>
        <w:rPr>
          <w:rFonts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  址：</w:t>
      </w:r>
      <w:r>
        <w:rPr>
          <w:rFonts w:hint="eastAsia" w:ascii="宋体" w:hAnsi="宋体" w:eastAsia="宋体" w:cs="宋体"/>
          <w:color w:val="000000" w:themeColor="text1"/>
          <w:spacing w:val="-7"/>
          <w:sz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cs="宋体"/>
          <w:color w:val="000000" w:themeColor="text1"/>
          <w:highlight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地  址：</w:t>
      </w:r>
      <w:r>
        <w:rPr>
          <w:rFonts w:hint="eastAsia" w:ascii="宋体" w:hAnsi="宋体" w:cs="宋体"/>
          <w:color w:val="000000" w:themeColor="text1"/>
          <w:highlight w:val="none"/>
          <w:u w:val="single"/>
          <w:lang w:val="en-US" w:eastAsia="zh-CN"/>
          <w14:textFill>
            <w14:solidFill>
              <w14:schemeClr w14:val="tx1"/>
            </w14:solidFill>
          </w14:textFill>
        </w:rPr>
        <w:t xml:space="preserve">                        </w:t>
      </w:r>
    </w:p>
    <w:p w14:paraId="0AB9D766">
      <w:pPr>
        <w:spacing w:line="360" w:lineRule="auto"/>
        <w:rPr>
          <w:rFonts w:hint="eastAsia" w:ascii="宋体" w:hAnsi="宋体" w:eastAsia="宋体" w:cs="宋体"/>
          <w:color w:val="000000" w:themeColor="text1"/>
          <w:highlight w:val="none"/>
          <w:u w:val="single"/>
          <w:lang w:val="en-US"/>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邮政编码：</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邮政编码：</w:t>
      </w:r>
      <w:r>
        <w:rPr>
          <w:rFonts w:hint="eastAsia" w:ascii="宋体" w:hAnsi="宋体" w:eastAsia="宋体" w:cs="宋体"/>
          <w:bCs/>
          <w:color w:val="000000" w:themeColor="text1"/>
          <w:sz w:val="21"/>
          <w:highlight w:val="none"/>
          <w:u w:val="single"/>
          <w:lang w:val="en-US" w:eastAsia="zh-CN"/>
          <w14:textFill>
            <w14:solidFill>
              <w14:schemeClr w14:val="tx1"/>
            </w14:solidFill>
          </w14:textFill>
        </w:rPr>
        <w:t xml:space="preserve">          </w:t>
      </w:r>
      <w:r>
        <w:rPr>
          <w:rFonts w:hint="eastAsia" w:ascii="宋体" w:hAnsi="宋体" w:cs="宋体"/>
          <w:bCs/>
          <w:color w:val="000000" w:themeColor="text1"/>
          <w:sz w:val="21"/>
          <w:highlight w:val="none"/>
          <w:u w:val="single"/>
          <w:lang w:val="en-US" w:eastAsia="zh-CN"/>
          <w14:textFill>
            <w14:solidFill>
              <w14:schemeClr w14:val="tx1"/>
            </w14:solidFill>
          </w14:textFill>
        </w:rPr>
        <w:t xml:space="preserve">   </w:t>
      </w:r>
      <w:r>
        <w:rPr>
          <w:rFonts w:hint="eastAsia" w:ascii="宋体" w:hAnsi="宋体" w:eastAsia="宋体" w:cs="宋体"/>
          <w:bCs/>
          <w:color w:val="000000" w:themeColor="text1"/>
          <w:sz w:val="21"/>
          <w:highlight w:val="none"/>
          <w:u w:val="single"/>
          <w:lang w:val="en-US" w:eastAsia="zh-CN"/>
          <w14:textFill>
            <w14:solidFill>
              <w14:schemeClr w14:val="tx1"/>
            </w14:solidFill>
          </w14:textFill>
        </w:rPr>
        <w:t xml:space="preserve">  </w:t>
      </w:r>
      <w:r>
        <w:rPr>
          <w:rFonts w:hint="eastAsia" w:ascii="宋体" w:hAnsi="宋体" w:cs="宋体"/>
          <w:bCs/>
          <w:color w:val="000000" w:themeColor="text1"/>
          <w:sz w:val="21"/>
          <w:highlight w:val="none"/>
          <w:u w:val="single"/>
          <w:lang w:val="en-US" w:eastAsia="zh-CN"/>
          <w14:textFill>
            <w14:solidFill>
              <w14:schemeClr w14:val="tx1"/>
            </w14:solidFill>
          </w14:textFill>
        </w:rPr>
        <w:t xml:space="preserve">    </w:t>
      </w:r>
      <w:r>
        <w:rPr>
          <w:rFonts w:hint="eastAsia" w:ascii="宋体" w:hAnsi="宋体" w:eastAsia="宋体" w:cs="宋体"/>
          <w:bCs/>
          <w:color w:val="000000" w:themeColor="text1"/>
          <w:sz w:val="21"/>
          <w:highlight w:val="none"/>
          <w:u w:val="single"/>
          <w:lang w:val="en-US" w:eastAsia="zh-CN"/>
          <w14:textFill>
            <w14:solidFill>
              <w14:schemeClr w14:val="tx1"/>
            </w14:solidFill>
          </w14:textFill>
        </w:rPr>
        <w:t xml:space="preserve">    </w:t>
      </w:r>
    </w:p>
    <w:p w14:paraId="67659456">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w:t>
      </w:r>
    </w:p>
    <w:p w14:paraId="330B3F5D">
      <w:pPr>
        <w:spacing w:line="360" w:lineRule="auto"/>
        <w:rPr>
          <w:rFonts w:hint="eastAsia" w:ascii="宋体" w:hAnsi="宋体" w:eastAsia="宋体" w:cs="宋体"/>
          <w:bCs/>
          <w:color w:val="000000" w:themeColor="text1"/>
          <w:sz w:val="2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  话：</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电  话：</w:t>
      </w:r>
      <w:r>
        <w:rPr>
          <w:rFonts w:hint="eastAsia" w:ascii="宋体" w:hAnsi="宋体" w:eastAsia="宋体" w:cs="宋体"/>
          <w:bCs/>
          <w:color w:val="000000" w:themeColor="text1"/>
          <w:sz w:val="21"/>
          <w:highlight w:val="none"/>
          <w:u w:val="single"/>
          <w:lang w:val="en-US" w:eastAsia="zh-CN"/>
          <w14:textFill>
            <w14:solidFill>
              <w14:schemeClr w14:val="tx1"/>
            </w14:solidFill>
          </w14:textFill>
        </w:rPr>
        <w:t xml:space="preserve">                    </w:t>
      </w:r>
      <w:r>
        <w:rPr>
          <w:rFonts w:hint="eastAsia" w:ascii="宋体" w:hAnsi="宋体" w:cs="宋体"/>
          <w:bCs/>
          <w:color w:val="000000" w:themeColor="text1"/>
          <w:sz w:val="21"/>
          <w:highlight w:val="none"/>
          <w:u w:val="single"/>
          <w:lang w:val="en-US" w:eastAsia="zh-CN"/>
          <w14:textFill>
            <w14:solidFill>
              <w14:schemeClr w14:val="tx1"/>
            </w14:solidFill>
          </w14:textFill>
        </w:rPr>
        <w:t xml:space="preserve">  </w:t>
      </w:r>
      <w:r>
        <w:rPr>
          <w:rFonts w:hint="eastAsia" w:ascii="宋体" w:hAnsi="宋体" w:eastAsia="宋体" w:cs="宋体"/>
          <w:bCs/>
          <w:color w:val="000000" w:themeColor="text1"/>
          <w:sz w:val="21"/>
          <w:highlight w:val="none"/>
          <w:u w:val="single"/>
          <w:lang w:val="en-US" w:eastAsia="zh-CN"/>
          <w14:textFill>
            <w14:solidFill>
              <w14:schemeClr w14:val="tx1"/>
            </w14:solidFill>
          </w14:textFill>
        </w:rPr>
        <w:t xml:space="preserve">     </w:t>
      </w:r>
    </w:p>
    <w:p w14:paraId="32F93526">
      <w:pPr>
        <w:spacing w:line="360" w:lineRule="auto"/>
        <w:rPr>
          <w:rFonts w:hint="eastAsia" w:ascii="宋体" w:hAnsi="宋体" w:eastAsia="宋体" w:cs="宋体"/>
          <w:bCs/>
          <w:color w:val="000000" w:themeColor="text1"/>
          <w:sz w:val="2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传  真：</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传  真：</w:t>
      </w:r>
      <w:r>
        <w:rPr>
          <w:rFonts w:hint="eastAsia" w:ascii="宋体" w:hAnsi="宋体" w:eastAsia="宋体" w:cs="宋体"/>
          <w:bCs/>
          <w:color w:val="000000" w:themeColor="text1"/>
          <w:sz w:val="21"/>
          <w:highlight w:val="none"/>
          <w:u w:val="single"/>
          <w:lang w:val="en-US" w:eastAsia="zh-CN"/>
          <w14:textFill>
            <w14:solidFill>
              <w14:schemeClr w14:val="tx1"/>
            </w14:solidFill>
          </w14:textFill>
        </w:rPr>
        <w:t xml:space="preserve">                              </w:t>
      </w:r>
    </w:p>
    <w:p w14:paraId="3094DB8D">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电子信箱：</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电子信箱：</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p>
    <w:p w14:paraId="2544D184">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开户银行：</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开户银行：</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p>
    <w:p w14:paraId="422567D1">
      <w:pPr>
        <w:rPr>
          <w:rFonts w:hint="eastAsia" w:ascii="宋体" w:hAnsi="宋体" w:eastAsia="宋体" w:cs="宋体"/>
          <w:bCs/>
          <w:color w:val="000000" w:themeColor="text1"/>
          <w:sz w:val="2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账  号：</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账  号：</w:t>
      </w:r>
      <w:r>
        <w:rPr>
          <w:rFonts w:hint="eastAsia" w:ascii="宋体" w:hAnsi="宋体" w:eastAsia="宋体" w:cs="宋体"/>
          <w:bCs/>
          <w:color w:val="000000" w:themeColor="text1"/>
          <w:sz w:val="21"/>
          <w:highlight w:val="none"/>
          <w:u w:val="single"/>
          <w:lang w:val="en-US" w:eastAsia="zh-CN"/>
          <w14:textFill>
            <w14:solidFill>
              <w14:schemeClr w14:val="tx1"/>
            </w14:solidFill>
          </w14:textFill>
        </w:rPr>
        <w:t xml:space="preserve">                               </w:t>
      </w:r>
    </w:p>
    <w:p w14:paraId="4E3E8817">
      <w:pPr>
        <w:widowControl/>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br w:type="page"/>
      </w:r>
    </w:p>
    <w:p w14:paraId="05A7DCC7">
      <w:pPr>
        <w:pStyle w:val="4"/>
        <w:rPr>
          <w:rFonts w:hint="eastAsia" w:ascii="宋体" w:hAnsi="宋体" w:eastAsia="宋体" w:cs="宋体"/>
          <w:color w:val="000000" w:themeColor="text1"/>
          <w:kern w:val="0"/>
          <w:highlight w:val="none"/>
          <w14:textFill>
            <w14:solidFill>
              <w14:schemeClr w14:val="tx1"/>
            </w14:solidFill>
          </w14:textFill>
        </w:rPr>
      </w:pPr>
      <w:bookmarkStart w:id="127" w:name="_Toc407135192"/>
      <w:bookmarkStart w:id="128" w:name="_Toc389065256"/>
      <w:bookmarkStart w:id="129" w:name="_Toc78449778"/>
      <w:bookmarkStart w:id="130" w:name="_Toc86847323"/>
      <w:bookmarkStart w:id="131" w:name="_Toc1714491818"/>
      <w:bookmarkStart w:id="132" w:name="_Toc351203632"/>
      <w:bookmarkStart w:id="133" w:name="_Toc373227691"/>
      <w:bookmarkStart w:id="134" w:name="_Toc373478338"/>
      <w:r>
        <w:rPr>
          <w:rFonts w:hint="eastAsia" w:ascii="宋体" w:hAnsi="宋体" w:eastAsia="宋体" w:cs="宋体"/>
          <w:color w:val="000000" w:themeColor="text1"/>
          <w:sz w:val="30"/>
          <w:szCs w:val="30"/>
          <w:highlight w:val="none"/>
          <w14:textFill>
            <w14:solidFill>
              <w14:schemeClr w14:val="tx1"/>
            </w14:solidFill>
          </w14:textFill>
        </w:rPr>
        <w:t>第二部分 通用合同条款</w:t>
      </w:r>
      <w:bookmarkEnd w:id="127"/>
      <w:bookmarkEnd w:id="128"/>
      <w:bookmarkEnd w:id="129"/>
      <w:bookmarkEnd w:id="130"/>
      <w:bookmarkEnd w:id="131"/>
    </w:p>
    <w:p w14:paraId="1F611A1C">
      <w:pPr>
        <w:spacing w:line="360" w:lineRule="auto"/>
        <w:ind w:firstLine="422" w:firstLineChars="200"/>
        <w:rPr>
          <w:rFonts w:hint="eastAsia" w:ascii="宋体" w:hAnsi="宋体" w:eastAsia="宋体" w:cs="宋体"/>
          <w:b/>
          <w:bCs/>
          <w:color w:val="000000" w:themeColor="text1"/>
          <w:kern w:val="0"/>
          <w:highlight w:val="none"/>
          <w14:textFill>
            <w14:solidFill>
              <w14:schemeClr w14:val="tx1"/>
            </w14:solidFill>
          </w14:textFill>
        </w:rPr>
      </w:pPr>
      <w:r>
        <w:rPr>
          <w:rFonts w:hint="eastAsia" w:ascii="宋体" w:hAnsi="宋体" w:eastAsia="宋体" w:cs="宋体"/>
          <w:b/>
          <w:bCs/>
          <w:color w:val="000000" w:themeColor="text1"/>
          <w:kern w:val="0"/>
          <w:highlight w:val="none"/>
          <w14:textFill>
            <w14:solidFill>
              <w14:schemeClr w14:val="tx1"/>
            </w14:solidFill>
          </w14:textFill>
        </w:rPr>
        <w:t>采用《建设工程施工合同（示范文本）》（GF—2017—0201）。</w:t>
      </w:r>
    </w:p>
    <w:p w14:paraId="0A1591A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35" w:name="_Toc351203495"/>
      <w:r>
        <w:rPr>
          <w:rFonts w:hint="eastAsia" w:ascii="宋体" w:hAnsi="宋体" w:eastAsia="宋体" w:cs="宋体"/>
          <w:b w:val="0"/>
          <w:bCs w:val="0"/>
          <w:color w:val="000000" w:themeColor="text1"/>
          <w:kern w:val="0"/>
          <w:highlight w:val="none"/>
          <w14:textFill>
            <w14:solidFill>
              <w14:schemeClr w14:val="tx1"/>
            </w14:solidFill>
          </w14:textFill>
        </w:rPr>
        <w:t>1.</w:t>
      </w:r>
      <w:bookmarkStart w:id="136" w:name="_Toc303538972"/>
      <w:bookmarkEnd w:id="136"/>
      <w:bookmarkStart w:id="137" w:name="_Toc303538974"/>
      <w:bookmarkEnd w:id="137"/>
      <w:bookmarkStart w:id="138" w:name="_Toc303538973"/>
      <w:bookmarkEnd w:id="138"/>
      <w:bookmarkStart w:id="139" w:name="_Toc303538976"/>
      <w:bookmarkEnd w:id="139"/>
      <w:bookmarkStart w:id="140" w:name="_Toc303538975"/>
      <w:bookmarkEnd w:id="140"/>
      <w:bookmarkStart w:id="141" w:name="_Toc296503027"/>
      <w:bookmarkStart w:id="142" w:name="_Toc296346528"/>
      <w:r>
        <w:rPr>
          <w:rFonts w:hint="eastAsia" w:ascii="宋体" w:hAnsi="宋体" w:eastAsia="宋体" w:cs="宋体"/>
          <w:b w:val="0"/>
          <w:bCs w:val="0"/>
          <w:color w:val="000000" w:themeColor="text1"/>
          <w:kern w:val="0"/>
          <w:highlight w:val="none"/>
          <w14:textFill>
            <w14:solidFill>
              <w14:schemeClr w14:val="tx1"/>
            </w14:solidFill>
          </w14:textFill>
        </w:rPr>
        <w:t xml:space="preserve"> 一般约定</w:t>
      </w:r>
      <w:bookmarkEnd w:id="135"/>
      <w:bookmarkEnd w:id="141"/>
      <w:bookmarkEnd w:id="142"/>
    </w:p>
    <w:p w14:paraId="61EE5D6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43" w:name="_Toc296503028"/>
      <w:bookmarkStart w:id="144" w:name="_Toc337558728"/>
      <w:bookmarkStart w:id="145" w:name="_Toc296346529"/>
      <w:bookmarkStart w:id="146" w:name="_Toc351203496"/>
      <w:r>
        <w:rPr>
          <w:rFonts w:hint="eastAsia" w:ascii="宋体" w:hAnsi="宋体" w:eastAsia="宋体" w:cs="宋体"/>
          <w:b w:val="0"/>
          <w:bCs w:val="0"/>
          <w:color w:val="000000" w:themeColor="text1"/>
          <w:kern w:val="0"/>
          <w:highlight w:val="none"/>
          <w14:textFill>
            <w14:solidFill>
              <w14:schemeClr w14:val="tx1"/>
            </w14:solidFill>
          </w14:textFill>
        </w:rPr>
        <w:t>1.1词语定义</w:t>
      </w:r>
      <w:bookmarkEnd w:id="143"/>
      <w:bookmarkEnd w:id="144"/>
      <w:bookmarkEnd w:id="145"/>
      <w:r>
        <w:rPr>
          <w:rFonts w:hint="eastAsia" w:ascii="宋体" w:hAnsi="宋体" w:eastAsia="宋体" w:cs="宋体"/>
          <w:b w:val="0"/>
          <w:bCs w:val="0"/>
          <w:color w:val="000000" w:themeColor="text1"/>
          <w:kern w:val="0"/>
          <w:highlight w:val="none"/>
          <w14:textFill>
            <w14:solidFill>
              <w14:schemeClr w14:val="tx1"/>
            </w14:solidFill>
          </w14:textFill>
        </w:rPr>
        <w:t>与解释</w:t>
      </w:r>
      <w:bookmarkEnd w:id="146"/>
    </w:p>
    <w:p w14:paraId="0649E42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合同协议书、通用合同条款、专用合同条款中的下列词语具有本款所赋予的含义：</w:t>
      </w:r>
    </w:p>
    <w:p w14:paraId="282EE43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1.1.1 合同</w:t>
      </w:r>
    </w:p>
    <w:p w14:paraId="11B8805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1.1.1.1 合同：是指根据法律规定和合同当事人约定具有约束力的文件，构成合同的文件包括合同协议书、中标通知书（如果有）、投标函及其附录（如果有）、专用合同条款及其附件、通用合同条款、技术标准和要求、图纸、已标价工程量清单或预算书以及其他合同文件。</w:t>
      </w:r>
    </w:p>
    <w:p w14:paraId="2B5CAF6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1.1.1.2 合同协议书：是指构成合同的由发包人和承包人共同签署的称为“合同协议书”的书面文件。</w:t>
      </w:r>
    </w:p>
    <w:p w14:paraId="09254C7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1.1.1.3 中标通知书：是指构成合同的由发包人通知承包人中标的书面文件。</w:t>
      </w:r>
    </w:p>
    <w:p w14:paraId="3DFCC95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1.1.1.4 投标函：是指构成合同的由承包人填写并签署的用于投标的称为“投标函”的文件。</w:t>
      </w:r>
    </w:p>
    <w:p w14:paraId="29F029F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1.1.1.5 投标函附录：是指构成合同的附在投标函后的称为“投标函附录”的文件。</w:t>
      </w:r>
    </w:p>
    <w:p w14:paraId="756F3E2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1.1.1.6 技术标准和要求：是指构成合同的施工应当遵守的或指导施工的国家、行业或地方的技术标准和要求，以及合同约定的技术标准和要求。</w:t>
      </w:r>
    </w:p>
    <w:p w14:paraId="42BCF52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1.1.1.7 图纸：是指构成合同的图纸，包括由发包人按照合同约定提供或经发包人批准的设计文件、施工图、鸟瞰图及模型等，以及在合同履行过程中形成的图纸文件。图纸应当按照法律规定审查合格。</w:t>
      </w:r>
    </w:p>
    <w:p w14:paraId="7307203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1.1.1.8 已标价工程量清单：是指构成合同的由承包人按照规定的格式和要求填写并标明价格的工程量清单，包括说明和表格。</w:t>
      </w:r>
    </w:p>
    <w:p w14:paraId="315A8C1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1.1.1.9 预算书：是指构成合同的由承包人按照发包人规定的格式和要求编制的工程预算文件。</w:t>
      </w:r>
    </w:p>
    <w:p w14:paraId="6703E43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1.1.1.10 其他合同文件：是指经合同当事人约定的与工程施工有关的具有合同约束力的文件或书面协议。合同当事人可以在专用合同条款中进行约定。</w:t>
      </w:r>
    </w:p>
    <w:p w14:paraId="0EA7615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1.1.2 合同当事人及其他相关方</w:t>
      </w:r>
    </w:p>
    <w:p w14:paraId="1BA602A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1.1.2.1 合同当事人：是指发包人和（或）承包人。</w:t>
      </w:r>
    </w:p>
    <w:p w14:paraId="6F148C9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1.1.2.2 发包人：是指与承包人签订合同协议书的当事人及取得该当事人资格的合法继承人。</w:t>
      </w:r>
    </w:p>
    <w:p w14:paraId="6265955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1.1.2.3 承包人：是指与发包人签订合同协议书的，具有相应工程施工承包资质的当事人及取得该当事人资格的合法继承人。</w:t>
      </w:r>
    </w:p>
    <w:p w14:paraId="58F765D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1.1.2.4 监理人：是指在专用合同条款中指明的，受发包人委托按照法律规定进行工程监督管理的法人或其他组织。</w:t>
      </w:r>
    </w:p>
    <w:p w14:paraId="7E8EE1B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1.1.2.5 设计人：是指在专用合同条款中指明的，受发包人委托负责工程设计并具备相应工程设计资质的法人或其他组织。</w:t>
      </w:r>
    </w:p>
    <w:p w14:paraId="1615C3D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1.1.2.6 分包人：</w:t>
      </w:r>
      <w:bookmarkStart w:id="147" w:name="#go5"/>
      <w:bookmarkEnd w:id="147"/>
      <w:r>
        <w:rPr>
          <w:rFonts w:hint="eastAsia" w:ascii="宋体" w:hAnsi="宋体" w:eastAsia="宋体" w:cs="宋体"/>
          <w:b w:val="0"/>
          <w:bCs w:val="0"/>
          <w:color w:val="000000" w:themeColor="text1"/>
          <w:kern w:val="0"/>
          <w:highlight w:val="none"/>
          <w14:textFill>
            <w14:solidFill>
              <w14:schemeClr w14:val="tx1"/>
            </w14:solidFill>
          </w14:textFill>
        </w:rPr>
        <w:t>是指按照法律规定和合同约定，分包部分工程或工作，并与承包人签订分包合同的具有相应资质的法人。</w:t>
      </w:r>
    </w:p>
    <w:p w14:paraId="1244E73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1.1.2.7 发包人代表：是指由发包人任命并派驻施工现场在发包人授权范围内行使发包人权利的人。</w:t>
      </w:r>
    </w:p>
    <w:p w14:paraId="24F93E7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1.1.2.8 项目经理：是指由承包人任命并派驻施工现场，在承包人授权范围内负责合同履行，且按照法律规定具有相应资格的项目负责人。</w:t>
      </w:r>
    </w:p>
    <w:p w14:paraId="7502AB0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1.1.2.9 总监理工程师：是指由监理人任命并派驻施工现场进行工程监理的总负责人。</w:t>
      </w:r>
    </w:p>
    <w:p w14:paraId="2AE309C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1.1.3 工程和设备</w:t>
      </w:r>
    </w:p>
    <w:p w14:paraId="285168E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1.1.3.1 工程：是指与合同协议书中工程承包范围对应的永久工程和（或）临时工程。</w:t>
      </w:r>
    </w:p>
    <w:p w14:paraId="645521E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1.1.3.2 永久工程：是指按合同约定建造并移交给发包人的工程，包括工程设备。</w:t>
      </w:r>
    </w:p>
    <w:p w14:paraId="32A9459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1.1.3.3 临时工程：是指为完成合同约定的永久工程所修建的各类临时性工程，不包括施工设备。</w:t>
      </w:r>
    </w:p>
    <w:p w14:paraId="49187E0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1.1.3.4 单位工程：是指在合同协议书中指明的，具备独立施工条件并能形成独立使用功能的永久工程。</w:t>
      </w:r>
    </w:p>
    <w:p w14:paraId="2A66143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1.1.3.5 工程设备：是指构成永久工程的机电设备、金属结构设备、仪器及其他类似的设备和装置。</w:t>
      </w:r>
    </w:p>
    <w:p w14:paraId="00D4292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1.1.3.6 施工设备：是指为完成合同约定的各项工作所需的设备、器具和其他物品，但不包括工程设备、临时工程和材料。</w:t>
      </w:r>
    </w:p>
    <w:p w14:paraId="220145F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1.1.3.7 施工现场：是指用于工程施工的场所，以及在专用合同条款中指明作为施工场所组成部分的其他场所，包括永久占地和临时占地。</w:t>
      </w:r>
    </w:p>
    <w:p w14:paraId="526F5AF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1.1.3.8临时设施：是指为完成合同约定的各项工作所服务的临时性生产和生活设施。</w:t>
      </w:r>
    </w:p>
    <w:p w14:paraId="61980D4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1.1.3.9 永久占地：是指专用合同条款中指明为实施工程需永久占用的土地。</w:t>
      </w:r>
    </w:p>
    <w:p w14:paraId="504374E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1.1.3.10 临时占地：是指专用合同条款中指明为实施工程需要临时占用的土地。</w:t>
      </w:r>
    </w:p>
    <w:p w14:paraId="7BD3CAF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1.1.4 日期和期限</w:t>
      </w:r>
    </w:p>
    <w:p w14:paraId="2365083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53A152E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1.1.4.2 竣工日期：包括计划竣工日期和实际竣工日期。计划竣工日期是指合同协议书约定的竣工日期；实际竣工日期按照第13.2.3项〔竣工日期〕的约定确定。 </w:t>
      </w:r>
    </w:p>
    <w:p w14:paraId="1798FA2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1.1.4.3 工期：是指在合同协议书约定的承包人完成工程所需的期限，包括按照合同约定所作的期限变更。</w:t>
      </w:r>
    </w:p>
    <w:p w14:paraId="0A1DFCD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1.1.4.4 缺陷责任期：是指承包人按照合同约定承担缺陷修复义务，且发包人预留质量保证金（已缴纳履约保证金的除外）的期限，自工程实际竣工日期起计算。</w:t>
      </w:r>
    </w:p>
    <w:p w14:paraId="0981FCC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1.1.4.5 保修期：是指承包人按照合同约定对工程承担保修责任的期限，从工程竣工验收合格之日起计算。</w:t>
      </w:r>
    </w:p>
    <w:p w14:paraId="6304D0E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1.1.4.6 基准日期：招标发包的工程以投标截止日前28天的日期为基准日期，直接发包的工程以合同签订日前28天的日期为基准日期。</w:t>
      </w:r>
    </w:p>
    <w:p w14:paraId="3C272E5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1.1.4.7 天：除特别指明外，均指日历天。合同中按天计算时间的，开始当天不计入，从次日开始计算，期限最后一天的截止时间为当天24:00时。</w:t>
      </w:r>
    </w:p>
    <w:p w14:paraId="7B81511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1.1.5 合同价格和费用</w:t>
      </w:r>
    </w:p>
    <w:p w14:paraId="0C88FC7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1.1.5.1 签约合同价：是指发包人和承包人在合同协议书中确定的总金额，包括安全文明施工费、暂估价及暂列金额等。</w:t>
      </w:r>
    </w:p>
    <w:p w14:paraId="7E20785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1.1.5.2 合同价格：是指发包人用于支付承包人按照合同约定完成承包范围内全部工作的金额，包括合同履行过程中按合同约定发生的价格变化。</w:t>
      </w:r>
    </w:p>
    <w:p w14:paraId="7079857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1.1.5.3 费用：是指为履行合同所发生的或将要发生的所有必需的开支，包括管理费和应分摊的其他费用，但不包括利润。</w:t>
      </w:r>
    </w:p>
    <w:p w14:paraId="6394EF0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1.1.5.4 暂估价：是指发包人在工程量清单或预算书中提供的用于支付必然发生但暂时不能确定价格的材料、工程设备的单价、专业工程以及服务工作的金额。</w:t>
      </w:r>
    </w:p>
    <w:p w14:paraId="1F41D41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06152F0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1.1.5.6 计日工：是指合同履行过程中，承包人完成发包人提出的零星工作或需要采用计日工计价的变更工作时，按合同中约定的单价计价的一种方式。</w:t>
      </w:r>
    </w:p>
    <w:p w14:paraId="60D9494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1.1.5.7 质量保证金</w:t>
      </w:r>
      <w:bookmarkStart w:id="148" w:name="#go2"/>
      <w:bookmarkEnd w:id="148"/>
      <w:r>
        <w:rPr>
          <w:rFonts w:hint="eastAsia" w:ascii="宋体" w:hAnsi="宋体" w:eastAsia="宋体" w:cs="宋体"/>
          <w:b w:val="0"/>
          <w:bCs w:val="0"/>
          <w:color w:val="000000" w:themeColor="text1"/>
          <w:kern w:val="0"/>
          <w:highlight w:val="none"/>
          <w14:textFill>
            <w14:solidFill>
              <w14:schemeClr w14:val="tx1"/>
            </w14:solidFill>
          </w14:textFill>
        </w:rPr>
        <w:t>：是指按照第15.3款〔质量保证金〕约定承包人用于保证其在缺陷责任期内履行缺陷修补义务的担保。</w:t>
      </w:r>
    </w:p>
    <w:p w14:paraId="0727011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1.1.5.8 总价项目：是指在现行国家、行业以及地方的计量规则中无工程量计算规则，在已标价工程量清单或预算书中以总价或以费率形式计算的项目。</w:t>
      </w:r>
    </w:p>
    <w:p w14:paraId="60E4FD7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1.1.6 其他</w:t>
      </w:r>
    </w:p>
    <w:p w14:paraId="6E52454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1.1.6.1 书面形式：是指合同文件、信函、电报、传真等可以有形地表现所载内容的形式。</w:t>
      </w:r>
    </w:p>
    <w:p w14:paraId="191D55C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49" w:name="_Toc296346530"/>
      <w:bookmarkStart w:id="150" w:name="_Toc351203497"/>
      <w:bookmarkStart w:id="151" w:name="_Toc337558729"/>
      <w:bookmarkStart w:id="152" w:name="_Toc296503029"/>
      <w:r>
        <w:rPr>
          <w:rFonts w:hint="eastAsia" w:ascii="宋体" w:hAnsi="宋体" w:eastAsia="宋体" w:cs="宋体"/>
          <w:b w:val="0"/>
          <w:bCs w:val="0"/>
          <w:color w:val="000000" w:themeColor="text1"/>
          <w:kern w:val="0"/>
          <w:highlight w:val="none"/>
          <w14:textFill>
            <w14:solidFill>
              <w14:schemeClr w14:val="tx1"/>
            </w14:solidFill>
          </w14:textFill>
        </w:rPr>
        <w:t>1.2语言文字</w:t>
      </w:r>
      <w:bookmarkEnd w:id="149"/>
      <w:bookmarkEnd w:id="150"/>
      <w:bookmarkEnd w:id="151"/>
      <w:bookmarkEnd w:id="152"/>
    </w:p>
    <w:p w14:paraId="2BFB8A3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合同以中国的汉语简体文字编写、解释和说明。合同当事人在专用合同条款中约定使用两种以上语言时，汉语为优先解释和说明合同的语言。</w:t>
      </w:r>
    </w:p>
    <w:p w14:paraId="5393778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53" w:name="_Toc351203498"/>
      <w:bookmarkStart w:id="154" w:name="_Toc296346531"/>
      <w:bookmarkStart w:id="155" w:name="_Toc337558730"/>
      <w:bookmarkStart w:id="156" w:name="_Toc296503030"/>
      <w:r>
        <w:rPr>
          <w:rFonts w:hint="eastAsia" w:ascii="宋体" w:hAnsi="宋体" w:eastAsia="宋体" w:cs="宋体"/>
          <w:b w:val="0"/>
          <w:bCs w:val="0"/>
          <w:color w:val="000000" w:themeColor="text1"/>
          <w:kern w:val="0"/>
          <w:highlight w:val="none"/>
          <w14:textFill>
            <w14:solidFill>
              <w14:schemeClr w14:val="tx1"/>
            </w14:solidFill>
          </w14:textFill>
        </w:rPr>
        <w:t>1.3法律</w:t>
      </w:r>
      <w:bookmarkEnd w:id="153"/>
      <w:bookmarkEnd w:id="154"/>
      <w:bookmarkEnd w:id="155"/>
      <w:bookmarkEnd w:id="156"/>
    </w:p>
    <w:p w14:paraId="25542ED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合同所称法律是指中华人民共和国法律、行政法规、部门规章，以及工程所在地的地方性法规、自治条例、单行条例和地方政府规章等。</w:t>
      </w:r>
    </w:p>
    <w:p w14:paraId="0129236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合同当事人可以在专用合同条款中约定合同适用的其他规范性文件。</w:t>
      </w:r>
    </w:p>
    <w:p w14:paraId="0DD21A2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57" w:name="_Toc351203499"/>
      <w:r>
        <w:rPr>
          <w:rFonts w:hint="eastAsia" w:ascii="宋体" w:hAnsi="宋体" w:eastAsia="宋体" w:cs="宋体"/>
          <w:b w:val="0"/>
          <w:bCs w:val="0"/>
          <w:color w:val="000000" w:themeColor="text1"/>
          <w:kern w:val="0"/>
          <w:highlight w:val="none"/>
          <w14:textFill>
            <w14:solidFill>
              <w14:schemeClr w14:val="tx1"/>
            </w14:solidFill>
          </w14:textFill>
        </w:rPr>
        <w:t>1.4 标准和规范</w:t>
      </w:r>
      <w:bookmarkEnd w:id="157"/>
    </w:p>
    <w:p w14:paraId="74E11EA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1.4.1 适用于工程的国家标准、行业标准、工程所在地的地方性标准，以及相应的规范、规程等，合同当事人有特别要求的，应在专用合同条款中约定。</w:t>
      </w:r>
    </w:p>
    <w:p w14:paraId="52BFAC1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1.4.2 发包人要求使用国外标准、规范的，发包人负责提供原文版本和中文译本，并在专用合同条款中约定提供标准规范的名称、份数和时间。</w:t>
      </w:r>
    </w:p>
    <w:p w14:paraId="199BB16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765A68C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58" w:name="_Toc351203500"/>
      <w:r>
        <w:rPr>
          <w:rFonts w:hint="eastAsia" w:ascii="宋体" w:hAnsi="宋体" w:eastAsia="宋体" w:cs="宋体"/>
          <w:b w:val="0"/>
          <w:bCs w:val="0"/>
          <w:color w:val="000000" w:themeColor="text1"/>
          <w:kern w:val="0"/>
          <w:highlight w:val="none"/>
          <w14:textFill>
            <w14:solidFill>
              <w14:schemeClr w14:val="tx1"/>
            </w14:solidFill>
          </w14:textFill>
        </w:rPr>
        <w:t>1</w:t>
      </w:r>
      <w:bookmarkStart w:id="159" w:name="_Toc296503031"/>
      <w:bookmarkStart w:id="160" w:name="_Toc296346532"/>
      <w:bookmarkStart w:id="161" w:name="_Toc337558731"/>
      <w:r>
        <w:rPr>
          <w:rFonts w:hint="eastAsia" w:ascii="宋体" w:hAnsi="宋体" w:eastAsia="宋体" w:cs="宋体"/>
          <w:b w:val="0"/>
          <w:bCs w:val="0"/>
          <w:color w:val="000000" w:themeColor="text1"/>
          <w:kern w:val="0"/>
          <w:highlight w:val="none"/>
          <w14:textFill>
            <w14:solidFill>
              <w14:schemeClr w14:val="tx1"/>
            </w14:solidFill>
          </w14:textFill>
        </w:rPr>
        <w:t>.5 合同文件的优先顺序</w:t>
      </w:r>
      <w:bookmarkEnd w:id="158"/>
    </w:p>
    <w:bookmarkEnd w:id="159"/>
    <w:bookmarkEnd w:id="160"/>
    <w:bookmarkEnd w:id="161"/>
    <w:p w14:paraId="6485EB1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组成合同的各项文件应互相解释，互为说明。除专用合同条款另有约定外，解释合同文件的优先顺序如下：</w:t>
      </w:r>
    </w:p>
    <w:p w14:paraId="55A3E02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（1）合同协议书；</w:t>
      </w:r>
    </w:p>
    <w:p w14:paraId="41E0304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（2）中标通知书（如果有）；</w:t>
      </w:r>
    </w:p>
    <w:p w14:paraId="670FC56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（3）投标函及其附录（如果有）；</w:t>
      </w:r>
    </w:p>
    <w:p w14:paraId="7CD0EEC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（4）专用合同条款及其附件；</w:t>
      </w:r>
    </w:p>
    <w:p w14:paraId="4325954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（5）通用合同条款；</w:t>
      </w:r>
    </w:p>
    <w:p w14:paraId="3988DA0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（6）技术标准和要求；</w:t>
      </w:r>
    </w:p>
    <w:p w14:paraId="3B8939E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（7）图纸；</w:t>
      </w:r>
    </w:p>
    <w:p w14:paraId="3C4610A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（8）已标价工程量清单或预算书；</w:t>
      </w:r>
    </w:p>
    <w:p w14:paraId="0B3A300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（9）其他合同文件。</w:t>
      </w:r>
    </w:p>
    <w:p w14:paraId="021D07A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上述各项合同文件包括合同当事人就该项合同文件所作出的补充和修改，属于同一类内容的文件，应以最新签署的为准。</w:t>
      </w:r>
    </w:p>
    <w:p w14:paraId="5A2CB60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在合同订立及履行过程中形成的与合同有关的文件均构成合同文件组成部分，并根据其性质确定优先解释顺序。</w:t>
      </w:r>
    </w:p>
    <w:p w14:paraId="14FB8A4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62" w:name="_Toc351203501"/>
      <w:r>
        <w:rPr>
          <w:rFonts w:hint="eastAsia" w:ascii="宋体" w:hAnsi="宋体" w:eastAsia="宋体" w:cs="宋体"/>
          <w:b w:val="0"/>
          <w:bCs w:val="0"/>
          <w:color w:val="000000" w:themeColor="text1"/>
          <w:kern w:val="0"/>
          <w:highlight w:val="none"/>
          <w14:textFill>
            <w14:solidFill>
              <w14:schemeClr w14:val="tx1"/>
            </w14:solidFill>
          </w14:textFill>
        </w:rPr>
        <w:t>1</w:t>
      </w:r>
      <w:bookmarkStart w:id="163" w:name="_Toc296503032"/>
      <w:bookmarkStart w:id="164" w:name="_Toc296346533"/>
      <w:bookmarkStart w:id="165" w:name="_Toc337558732"/>
      <w:r>
        <w:rPr>
          <w:rFonts w:hint="eastAsia" w:ascii="宋体" w:hAnsi="宋体" w:eastAsia="宋体" w:cs="宋体"/>
          <w:b w:val="0"/>
          <w:bCs w:val="0"/>
          <w:color w:val="000000" w:themeColor="text1"/>
          <w:kern w:val="0"/>
          <w:highlight w:val="none"/>
          <w14:textFill>
            <w14:solidFill>
              <w14:schemeClr w14:val="tx1"/>
            </w14:solidFill>
          </w14:textFill>
        </w:rPr>
        <w:t>.6图纸和承包人文件</w:t>
      </w:r>
      <w:bookmarkEnd w:id="162"/>
    </w:p>
    <w:bookmarkEnd w:id="163"/>
    <w:bookmarkEnd w:id="164"/>
    <w:bookmarkEnd w:id="165"/>
    <w:p w14:paraId="5770BCA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1.6.1 图纸的提供和交底</w:t>
      </w:r>
    </w:p>
    <w:p w14:paraId="3166F91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0ABD6A0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因发包人未按合同约定提供图纸导致承包人费用增加和（或）工期延误的，按照第7.5.1项〔因发包人原因导致工期延误〕约定办理。</w:t>
      </w:r>
    </w:p>
    <w:p w14:paraId="267EF0F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1.6.2 图纸的错误</w:t>
      </w:r>
    </w:p>
    <w:p w14:paraId="0DF237F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02AC1B1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1.6.3 图纸的修改和补充</w:t>
      </w:r>
    </w:p>
    <w:p w14:paraId="3D9EDA3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图纸需要修改和补充的，应经图纸原设计人及审批部门同意，并由监理人在工程或工程相应部位施工前将修改后的图纸或补充图纸提交给承包人，承包人应按修改或补充后的图纸施工。</w:t>
      </w:r>
    </w:p>
    <w:p w14:paraId="5BD4A4E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1.6.4 承包人文件</w:t>
      </w:r>
    </w:p>
    <w:p w14:paraId="648610D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承包人应按照专用合同条款的约定提供应当由其编制的与工程施工有关的文件，并按照专用合同条款约定的期限、数量和形式提交监理人，并由监理人报送发包人。</w:t>
      </w:r>
    </w:p>
    <w:p w14:paraId="746C447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68B79F8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1.6.5 图纸和承包人文件的保管</w:t>
      </w:r>
    </w:p>
    <w:p w14:paraId="43CCD5B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除专用合同条款另有约定外，承包人应在施工现场另外保存一套完整的图纸和承包人文件，供发包人、监理人及有关人员进行工程检查时使用。</w:t>
      </w:r>
    </w:p>
    <w:p w14:paraId="4BBCFF3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66" w:name="_Toc351203502"/>
      <w:r>
        <w:rPr>
          <w:rFonts w:hint="eastAsia" w:ascii="宋体" w:hAnsi="宋体" w:eastAsia="宋体" w:cs="宋体"/>
          <w:b w:val="0"/>
          <w:bCs w:val="0"/>
          <w:color w:val="000000" w:themeColor="text1"/>
          <w:kern w:val="0"/>
          <w:highlight w:val="none"/>
          <w14:textFill>
            <w14:solidFill>
              <w14:schemeClr w14:val="tx1"/>
            </w14:solidFill>
          </w14:textFill>
        </w:rPr>
        <w:t>1</w:t>
      </w:r>
      <w:bookmarkStart w:id="167" w:name="_Toc296503033"/>
      <w:bookmarkStart w:id="168" w:name="_Toc296346534"/>
      <w:bookmarkStart w:id="169" w:name="_Toc337558733"/>
      <w:r>
        <w:rPr>
          <w:rFonts w:hint="eastAsia" w:ascii="宋体" w:hAnsi="宋体" w:eastAsia="宋体" w:cs="宋体"/>
          <w:b w:val="0"/>
          <w:bCs w:val="0"/>
          <w:color w:val="000000" w:themeColor="text1"/>
          <w:kern w:val="0"/>
          <w:highlight w:val="none"/>
          <w14:textFill>
            <w14:solidFill>
              <w14:schemeClr w14:val="tx1"/>
            </w14:solidFill>
          </w14:textFill>
        </w:rPr>
        <w:t>.7联络</w:t>
      </w:r>
      <w:bookmarkEnd w:id="166"/>
    </w:p>
    <w:bookmarkEnd w:id="167"/>
    <w:bookmarkEnd w:id="168"/>
    <w:bookmarkEnd w:id="169"/>
    <w:p w14:paraId="534E18A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1.7.1 与合同有关的通知、批准、证明、证书、指示、指令、要求、请求、同意、意见、确定和决定等，均应采用书面形式，并应在合同约定的期限内送达接收人和送达地点。</w:t>
      </w:r>
    </w:p>
    <w:p w14:paraId="21119BF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1.7.2 发包人和承包人应在专用合同条款中约定各自的送达接收人和送达地点。任何一方合同当事人指定的接收人或送达地点发生变动的，应提前3天以书面形式通知对方。</w:t>
      </w:r>
    </w:p>
    <w:p w14:paraId="52067B6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1.7.3 发包人和承包人应当及时签收另一方送达至送达地点和指定接收人的来往信函。拒不签收的，由此增加的费用和（或）延误的工期由拒绝接收一方承担。</w:t>
      </w:r>
    </w:p>
    <w:p w14:paraId="2D218A2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70" w:name="_Toc351203503"/>
      <w:r>
        <w:rPr>
          <w:rFonts w:hint="eastAsia" w:ascii="宋体" w:hAnsi="宋体" w:eastAsia="宋体" w:cs="宋体"/>
          <w:b w:val="0"/>
          <w:bCs w:val="0"/>
          <w:color w:val="000000" w:themeColor="text1"/>
          <w:kern w:val="0"/>
          <w:highlight w:val="none"/>
          <w14:textFill>
            <w14:solidFill>
              <w14:schemeClr w14:val="tx1"/>
            </w14:solidFill>
          </w14:textFill>
        </w:rPr>
        <w:t>1</w:t>
      </w:r>
      <w:bookmarkStart w:id="171" w:name="_Toc296503035"/>
      <w:bookmarkStart w:id="172" w:name="_Toc296346536"/>
      <w:bookmarkStart w:id="173" w:name="_Toc337558734"/>
      <w:r>
        <w:rPr>
          <w:rFonts w:hint="eastAsia" w:ascii="宋体" w:hAnsi="宋体" w:eastAsia="宋体" w:cs="宋体"/>
          <w:b w:val="0"/>
          <w:bCs w:val="0"/>
          <w:color w:val="000000" w:themeColor="text1"/>
          <w:kern w:val="0"/>
          <w:highlight w:val="none"/>
          <w14:textFill>
            <w14:solidFill>
              <w14:schemeClr w14:val="tx1"/>
            </w14:solidFill>
          </w14:textFill>
        </w:rPr>
        <w:t>.8严禁贿赂</w:t>
      </w:r>
      <w:bookmarkEnd w:id="170"/>
    </w:p>
    <w:bookmarkEnd w:id="171"/>
    <w:bookmarkEnd w:id="172"/>
    <w:bookmarkEnd w:id="173"/>
    <w:p w14:paraId="6A99415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合同当事人不得以贿赂或变相贿赂的方式，谋取非法利益或损害对方权益。因一方合同当事人的贿赂造成对方损失的，应赔偿损失，并承担相应的法律责任。</w:t>
      </w:r>
    </w:p>
    <w:p w14:paraId="3463209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承包人不得与监理人或发包人聘请的第三方串通损害发包人利益。未经发包人书面同意，承包人不得为监理人提供合同约定以外的通讯设备、交通工具及其他任何形式的利益，不得向监理人支付报酬。</w:t>
      </w:r>
    </w:p>
    <w:p w14:paraId="5A3CE0D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74" w:name="_Toc351203504"/>
      <w:r>
        <w:rPr>
          <w:rFonts w:hint="eastAsia" w:ascii="宋体" w:hAnsi="宋体" w:eastAsia="宋体" w:cs="宋体"/>
          <w:b w:val="0"/>
          <w:bCs w:val="0"/>
          <w:color w:val="000000" w:themeColor="text1"/>
          <w:kern w:val="0"/>
          <w:highlight w:val="none"/>
          <w14:textFill>
            <w14:solidFill>
              <w14:schemeClr w14:val="tx1"/>
            </w14:solidFill>
          </w14:textFill>
        </w:rPr>
        <w:t>1</w:t>
      </w:r>
      <w:bookmarkStart w:id="175" w:name="_Toc337558735"/>
      <w:bookmarkStart w:id="176" w:name="_Toc296346537"/>
      <w:bookmarkStart w:id="177" w:name="_Toc296503036"/>
      <w:r>
        <w:rPr>
          <w:rFonts w:hint="eastAsia" w:ascii="宋体" w:hAnsi="宋体" w:eastAsia="宋体" w:cs="宋体"/>
          <w:b w:val="0"/>
          <w:bCs w:val="0"/>
          <w:color w:val="000000" w:themeColor="text1"/>
          <w:kern w:val="0"/>
          <w:highlight w:val="none"/>
          <w14:textFill>
            <w14:solidFill>
              <w14:schemeClr w14:val="tx1"/>
            </w14:solidFill>
          </w14:textFill>
        </w:rPr>
        <w:t>.9化石、文物</w:t>
      </w:r>
      <w:bookmarkEnd w:id="174"/>
    </w:p>
    <w:bookmarkEnd w:id="175"/>
    <w:bookmarkEnd w:id="176"/>
    <w:bookmarkEnd w:id="177"/>
    <w:p w14:paraId="31DA2A1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525FF30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发包人、监理人和承包人应按有关政府行政管理部门要求采取妥善的保护措施，由此增加的费用和（或）延误的工期由发包人承担。</w:t>
      </w:r>
    </w:p>
    <w:p w14:paraId="0B9ABA6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承包人发现文物后不及时报告或隐瞒不报，致使文物丢失或损坏的，应赔偿损失，并承担相应的法律责任。</w:t>
      </w:r>
    </w:p>
    <w:p w14:paraId="2A591FA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78" w:name="_Toc351203505"/>
      <w:r>
        <w:rPr>
          <w:rFonts w:hint="eastAsia" w:ascii="宋体" w:hAnsi="宋体" w:eastAsia="宋体" w:cs="宋体"/>
          <w:b w:val="0"/>
          <w:bCs w:val="0"/>
          <w:color w:val="000000" w:themeColor="text1"/>
          <w:kern w:val="0"/>
          <w:highlight w:val="none"/>
          <w14:textFill>
            <w14:solidFill>
              <w14:schemeClr w14:val="tx1"/>
            </w14:solidFill>
          </w14:textFill>
        </w:rPr>
        <w:t>1</w:t>
      </w:r>
      <w:bookmarkStart w:id="179" w:name="_Toc337558736"/>
      <w:r>
        <w:rPr>
          <w:rFonts w:hint="eastAsia" w:ascii="宋体" w:hAnsi="宋体" w:eastAsia="宋体" w:cs="宋体"/>
          <w:b w:val="0"/>
          <w:bCs w:val="0"/>
          <w:color w:val="000000" w:themeColor="text1"/>
          <w:kern w:val="0"/>
          <w:highlight w:val="none"/>
          <w14:textFill>
            <w14:solidFill>
              <w14:schemeClr w14:val="tx1"/>
            </w14:solidFill>
          </w14:textFill>
        </w:rPr>
        <w:t>.10交通运输</w:t>
      </w:r>
      <w:bookmarkEnd w:id="178"/>
    </w:p>
    <w:bookmarkEnd w:id="179"/>
    <w:p w14:paraId="5146A98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1.10.1 出入现场的权利</w:t>
      </w:r>
    </w:p>
    <w:p w14:paraId="1F53A80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54D88CD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承包人应在订立合同前查勘施工现场，并根据工程规模及技术参数合理预见工程施工所需的进出施工现场的方式、手段、路径等。因承包人未合理预见所增加的费用和（或）延误的工期由承包人承担。</w:t>
      </w:r>
    </w:p>
    <w:p w14:paraId="1411280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1.10.2 场外交通</w:t>
      </w:r>
    </w:p>
    <w:p w14:paraId="6281B7A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4F5F267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1.10.3场内交通</w:t>
      </w:r>
    </w:p>
    <w:p w14:paraId="24D3693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6A280BB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25A9F18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场外交通和场内交通的边界由合同当事人在专用合同条款中约定。</w:t>
      </w:r>
    </w:p>
    <w:p w14:paraId="3AA1D60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1.10.4 超大件和超重件的运输</w:t>
      </w:r>
    </w:p>
    <w:p w14:paraId="158BC05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2AFA76E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1.10.5 道路和桥梁的损坏责任</w:t>
      </w:r>
    </w:p>
    <w:p w14:paraId="79102A3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因承包人运输造成施工场地内外公共道路和桥梁损坏的，由承包人承担修复损坏的全部费用和可能引起的赔偿。</w:t>
      </w:r>
    </w:p>
    <w:p w14:paraId="67BBDBC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1.10.6 水路和航空运输</w:t>
      </w:r>
    </w:p>
    <w:p w14:paraId="3073D99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本款前述各项的内容适用于水路运输和航空运输，其中“道路”一词的涵义包括河道、航线、船闸、机场、码头、堤防以及水路或航空运输中其他相似结构物；“车辆”一词的涵义包括船舶和飞机等。</w:t>
      </w:r>
    </w:p>
    <w:p w14:paraId="1E4EE12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80" w:name="_Toc351203506"/>
      <w:r>
        <w:rPr>
          <w:rFonts w:hint="eastAsia" w:ascii="宋体" w:hAnsi="宋体" w:eastAsia="宋体" w:cs="宋体"/>
          <w:b w:val="0"/>
          <w:bCs w:val="0"/>
          <w:color w:val="000000" w:themeColor="text1"/>
          <w:kern w:val="0"/>
          <w:highlight w:val="none"/>
          <w14:textFill>
            <w14:solidFill>
              <w14:schemeClr w14:val="tx1"/>
            </w14:solidFill>
          </w14:textFill>
        </w:rPr>
        <w:t>1</w:t>
      </w:r>
      <w:bookmarkStart w:id="181" w:name="_Toc337558737"/>
      <w:bookmarkStart w:id="182" w:name="_Toc296346538"/>
      <w:bookmarkStart w:id="183" w:name="_Toc296503037"/>
      <w:r>
        <w:rPr>
          <w:rFonts w:hint="eastAsia" w:ascii="宋体" w:hAnsi="宋体" w:eastAsia="宋体" w:cs="宋体"/>
          <w:b w:val="0"/>
          <w:bCs w:val="0"/>
          <w:color w:val="000000" w:themeColor="text1"/>
          <w:kern w:val="0"/>
          <w:highlight w:val="none"/>
          <w14:textFill>
            <w14:solidFill>
              <w14:schemeClr w14:val="tx1"/>
            </w14:solidFill>
          </w14:textFill>
        </w:rPr>
        <w:t>.11知识产权</w:t>
      </w:r>
      <w:bookmarkEnd w:id="180"/>
      <w:r>
        <w:rPr>
          <w:rFonts w:hint="eastAsia" w:ascii="宋体" w:hAnsi="宋体" w:eastAsia="宋体" w:cs="宋体"/>
          <w:b w:val="0"/>
          <w:bCs w:val="0"/>
          <w:color w:val="000000" w:themeColor="text1"/>
          <w:kern w:val="0"/>
          <w:highlight w:val="none"/>
          <w14:textFill>
            <w14:solidFill>
              <w14:schemeClr w14:val="tx1"/>
            </w14:solidFill>
          </w14:textFill>
        </w:rPr>
        <w:t xml:space="preserve"> </w:t>
      </w:r>
      <w:bookmarkEnd w:id="181"/>
    </w:p>
    <w:bookmarkEnd w:id="182"/>
    <w:bookmarkEnd w:id="183"/>
    <w:p w14:paraId="00E5826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0D3DFC6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4A4A29D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065AE41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    1.11.4 除专用合同条款另有约定外，承包人在合同签订前和签订时已确定采用的专利、专有技术、技术秘密的使用费已包含在签约合同价中。</w:t>
      </w:r>
    </w:p>
    <w:p w14:paraId="1C21F0C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84" w:name="_Toc351203507"/>
      <w:r>
        <w:rPr>
          <w:rFonts w:hint="eastAsia" w:ascii="宋体" w:hAnsi="宋体" w:eastAsia="宋体" w:cs="宋体"/>
          <w:b w:val="0"/>
          <w:bCs w:val="0"/>
          <w:color w:val="000000" w:themeColor="text1"/>
          <w:kern w:val="0"/>
          <w:highlight w:val="none"/>
          <w14:textFill>
            <w14:solidFill>
              <w14:schemeClr w14:val="tx1"/>
            </w14:solidFill>
          </w14:textFill>
        </w:rPr>
        <w:t>1</w:t>
      </w:r>
      <w:bookmarkStart w:id="185" w:name="_Toc337558738"/>
      <w:r>
        <w:rPr>
          <w:rFonts w:hint="eastAsia" w:ascii="宋体" w:hAnsi="宋体" w:eastAsia="宋体" w:cs="宋体"/>
          <w:b w:val="0"/>
          <w:bCs w:val="0"/>
          <w:color w:val="000000" w:themeColor="text1"/>
          <w:kern w:val="0"/>
          <w:highlight w:val="none"/>
          <w14:textFill>
            <w14:solidFill>
              <w14:schemeClr w14:val="tx1"/>
            </w14:solidFill>
          </w14:textFill>
        </w:rPr>
        <w:t>.12保密</w:t>
      </w:r>
      <w:bookmarkEnd w:id="184"/>
    </w:p>
    <w:bookmarkEnd w:id="185"/>
    <w:p w14:paraId="4DA75C9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除法律规定或合同另有约定外，未经发包人同意，承包人不得将发包人提供的图纸、文件以及声明需要保密的资料信息等商业秘密泄露给第三方。</w:t>
      </w:r>
    </w:p>
    <w:p w14:paraId="72E14D3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除法律规定或合同另有约定外，未经承包人同意，发包人不得将承包人提供的技术秘密及声明需要保密的资料信息等商业秘密泄露给第三方。</w:t>
      </w:r>
    </w:p>
    <w:p w14:paraId="43FB2EC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86" w:name="_Toc351203508"/>
      <w:r>
        <w:rPr>
          <w:rFonts w:hint="eastAsia" w:ascii="宋体" w:hAnsi="宋体" w:eastAsia="宋体" w:cs="宋体"/>
          <w:b w:val="0"/>
          <w:bCs w:val="0"/>
          <w:color w:val="000000" w:themeColor="text1"/>
          <w:kern w:val="0"/>
          <w:highlight w:val="none"/>
          <w14:textFill>
            <w14:solidFill>
              <w14:schemeClr w14:val="tx1"/>
            </w14:solidFill>
          </w14:textFill>
        </w:rPr>
        <w:t>1.13工程量清单错误的修正</w:t>
      </w:r>
      <w:bookmarkEnd w:id="186"/>
    </w:p>
    <w:p w14:paraId="7FFE257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除专用合同条款另有约定外，发包人提供的工程量清单，应被认为是准确的和完整的。出现下列情形之一时，发包人应予以修正，并相应调整合同价格：</w:t>
      </w:r>
    </w:p>
    <w:p w14:paraId="77CFA2B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（1）工程量清单存在缺项、漏项的；</w:t>
      </w:r>
    </w:p>
    <w:p w14:paraId="2EF5F03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（2）工程量清单偏差超出专用合同条款约定的工程量偏差范围的；</w:t>
      </w:r>
    </w:p>
    <w:p w14:paraId="2F32D03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（3）未按照国家现行计量规范强制性规定计量的。</w:t>
      </w:r>
    </w:p>
    <w:p w14:paraId="41B061B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87" w:name="_Toc351203509"/>
      <w:r>
        <w:rPr>
          <w:rFonts w:hint="eastAsia" w:ascii="宋体" w:hAnsi="宋体" w:eastAsia="宋体" w:cs="宋体"/>
          <w:b w:val="0"/>
          <w:bCs w:val="0"/>
          <w:color w:val="000000" w:themeColor="text1"/>
          <w:kern w:val="0"/>
          <w:highlight w:val="none"/>
          <w14:textFill>
            <w14:solidFill>
              <w14:schemeClr w14:val="tx1"/>
            </w14:solidFill>
          </w14:textFill>
        </w:rPr>
        <w:t>2</w:t>
      </w:r>
      <w:bookmarkStart w:id="188" w:name="_Toc296346539"/>
      <w:bookmarkStart w:id="189" w:name="_Toc337558739"/>
      <w:bookmarkStart w:id="190" w:name="_Toc296503038"/>
      <w:bookmarkStart w:id="191" w:name="OLE_LINK2"/>
      <w:r>
        <w:rPr>
          <w:rFonts w:hint="eastAsia" w:ascii="宋体" w:hAnsi="宋体" w:eastAsia="宋体" w:cs="宋体"/>
          <w:b w:val="0"/>
          <w:bCs w:val="0"/>
          <w:color w:val="000000" w:themeColor="text1"/>
          <w:kern w:val="0"/>
          <w:highlight w:val="none"/>
          <w14:textFill>
            <w14:solidFill>
              <w14:schemeClr w14:val="tx1"/>
            </w14:solidFill>
          </w14:textFill>
        </w:rPr>
        <w:t>. 发包人</w:t>
      </w:r>
      <w:bookmarkEnd w:id="187"/>
    </w:p>
    <w:bookmarkEnd w:id="188"/>
    <w:bookmarkEnd w:id="189"/>
    <w:bookmarkEnd w:id="190"/>
    <w:p w14:paraId="6B87733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92" w:name="_Toc351203510"/>
      <w:r>
        <w:rPr>
          <w:rFonts w:hint="eastAsia" w:ascii="宋体" w:hAnsi="宋体" w:eastAsia="宋体" w:cs="宋体"/>
          <w:b w:val="0"/>
          <w:bCs w:val="0"/>
          <w:color w:val="000000" w:themeColor="text1"/>
          <w:kern w:val="0"/>
          <w:highlight w:val="none"/>
          <w14:textFill>
            <w14:solidFill>
              <w14:schemeClr w14:val="tx1"/>
            </w14:solidFill>
          </w14:textFill>
        </w:rPr>
        <w:t>2</w:t>
      </w:r>
      <w:bookmarkStart w:id="193" w:name="_Toc296346540"/>
      <w:bookmarkStart w:id="194" w:name="_Toc296503039"/>
      <w:bookmarkStart w:id="195" w:name="_Toc337558740"/>
      <w:r>
        <w:rPr>
          <w:rFonts w:hint="eastAsia" w:ascii="宋体" w:hAnsi="宋体" w:eastAsia="宋体" w:cs="宋体"/>
          <w:b w:val="0"/>
          <w:bCs w:val="0"/>
          <w:color w:val="000000" w:themeColor="text1"/>
          <w:kern w:val="0"/>
          <w:highlight w:val="none"/>
          <w14:textFill>
            <w14:solidFill>
              <w14:schemeClr w14:val="tx1"/>
            </w14:solidFill>
          </w14:textFill>
        </w:rPr>
        <w:t>.1 许可或批准</w:t>
      </w:r>
      <w:bookmarkEnd w:id="192"/>
    </w:p>
    <w:p w14:paraId="586D0C7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61F63BD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因发包人原因未能及时办理完毕前述许可、批准或备案，由发包人承担由此增加的费用和（或）延误的工期，并支付承包人合理的利润。</w:t>
      </w:r>
    </w:p>
    <w:p w14:paraId="3E0EAF9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96" w:name="_Toc351203511"/>
      <w:r>
        <w:rPr>
          <w:rFonts w:hint="eastAsia" w:ascii="宋体" w:hAnsi="宋体" w:eastAsia="宋体" w:cs="宋体"/>
          <w:b w:val="0"/>
          <w:bCs w:val="0"/>
          <w:color w:val="000000" w:themeColor="text1"/>
          <w:kern w:val="0"/>
          <w:highlight w:val="none"/>
          <w14:textFill>
            <w14:solidFill>
              <w14:schemeClr w14:val="tx1"/>
            </w14:solidFill>
          </w14:textFill>
        </w:rPr>
        <w:t>2.2 发包人代表</w:t>
      </w:r>
      <w:bookmarkEnd w:id="196"/>
    </w:p>
    <w:p w14:paraId="7AA0C6E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1086213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发包人代表不能按照合同约定履行其职责及义务，并导致合同无法继续正常履行的，承包人可以要求发包人撤换发包人代表。</w:t>
      </w:r>
    </w:p>
    <w:p w14:paraId="5234E8C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不属于法定必须监理的工程，监理人的职权可以由发包人代表或发包人指定的其他人员行使。</w:t>
      </w:r>
    </w:p>
    <w:p w14:paraId="477A92B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97" w:name="_Toc351203512"/>
      <w:r>
        <w:rPr>
          <w:rFonts w:hint="eastAsia" w:ascii="宋体" w:hAnsi="宋体" w:eastAsia="宋体" w:cs="宋体"/>
          <w:b w:val="0"/>
          <w:bCs w:val="0"/>
          <w:color w:val="000000" w:themeColor="text1"/>
          <w:kern w:val="0"/>
          <w:highlight w:val="none"/>
          <w14:textFill>
            <w14:solidFill>
              <w14:schemeClr w14:val="tx1"/>
            </w14:solidFill>
          </w14:textFill>
        </w:rPr>
        <w:t>2.3 发包人人员</w:t>
      </w:r>
      <w:bookmarkEnd w:id="197"/>
    </w:p>
    <w:p w14:paraId="102C39E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发包人应要求在施工现场的发包人人员遵守法律及有关安全、质量、环境保护、文明施工等规定，并保障承包人免于承受因发包人人员未遵守上述要求给承包人造成的损失和责任。</w:t>
      </w:r>
    </w:p>
    <w:p w14:paraId="52F4A24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发包人人员包括发包人代表及其他由发包人派驻施工现场的人员。</w:t>
      </w:r>
      <w:bookmarkEnd w:id="193"/>
      <w:bookmarkEnd w:id="194"/>
      <w:bookmarkEnd w:id="195"/>
    </w:p>
    <w:p w14:paraId="143239F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198" w:name="_Toc351203513"/>
      <w:r>
        <w:rPr>
          <w:rFonts w:hint="eastAsia" w:ascii="宋体" w:hAnsi="宋体" w:eastAsia="宋体" w:cs="宋体"/>
          <w:b w:val="0"/>
          <w:bCs w:val="0"/>
          <w:color w:val="000000" w:themeColor="text1"/>
          <w:kern w:val="0"/>
          <w:highlight w:val="none"/>
          <w14:textFill>
            <w14:solidFill>
              <w14:schemeClr w14:val="tx1"/>
            </w14:solidFill>
          </w14:textFill>
        </w:rPr>
        <w:t>2</w:t>
      </w:r>
      <w:bookmarkStart w:id="199" w:name="_Toc296503040"/>
      <w:bookmarkStart w:id="200" w:name="_Toc337558741"/>
      <w:bookmarkStart w:id="201" w:name="_Toc296346541"/>
      <w:r>
        <w:rPr>
          <w:rFonts w:hint="eastAsia" w:ascii="宋体" w:hAnsi="宋体" w:eastAsia="宋体" w:cs="宋体"/>
          <w:b w:val="0"/>
          <w:bCs w:val="0"/>
          <w:color w:val="000000" w:themeColor="text1"/>
          <w:kern w:val="0"/>
          <w:highlight w:val="none"/>
          <w14:textFill>
            <w14:solidFill>
              <w14:schemeClr w14:val="tx1"/>
            </w14:solidFill>
          </w14:textFill>
        </w:rPr>
        <w:t>.4 施工现场、施工条件和基础资料的提供</w:t>
      </w:r>
      <w:bookmarkEnd w:id="198"/>
      <w:r>
        <w:rPr>
          <w:rFonts w:hint="eastAsia" w:ascii="宋体" w:hAnsi="宋体" w:eastAsia="宋体" w:cs="宋体"/>
          <w:b w:val="0"/>
          <w:bCs w:val="0"/>
          <w:color w:val="000000" w:themeColor="text1"/>
          <w:kern w:val="0"/>
          <w:highlight w:val="none"/>
          <w14:textFill>
            <w14:solidFill>
              <w14:schemeClr w14:val="tx1"/>
            </w14:solidFill>
          </w14:textFill>
        </w:rPr>
        <w:t xml:space="preserve"> </w:t>
      </w:r>
      <w:bookmarkEnd w:id="199"/>
      <w:bookmarkEnd w:id="200"/>
      <w:bookmarkEnd w:id="201"/>
      <w:r>
        <w:rPr>
          <w:rFonts w:hint="eastAsia" w:ascii="宋体" w:hAnsi="宋体" w:eastAsia="宋体" w:cs="宋体"/>
          <w:b w:val="0"/>
          <w:bCs w:val="0"/>
          <w:color w:val="000000" w:themeColor="text1"/>
          <w:kern w:val="0"/>
          <w:highlight w:val="none"/>
          <w14:textFill>
            <w14:solidFill>
              <w14:schemeClr w14:val="tx1"/>
            </w14:solidFill>
          </w14:textFill>
        </w:rPr>
        <w:t xml:space="preserve"> </w:t>
      </w:r>
    </w:p>
    <w:p w14:paraId="26D9411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2.4.1 提供施工现场</w:t>
      </w:r>
    </w:p>
    <w:p w14:paraId="71F7FC8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w:t>
      </w:r>
      <w:bookmarkEnd w:id="191"/>
      <w:r>
        <w:rPr>
          <w:rFonts w:hint="eastAsia" w:ascii="宋体" w:hAnsi="宋体" w:eastAsia="宋体" w:cs="宋体"/>
          <w:b w:val="0"/>
          <w:bCs w:val="0"/>
          <w:color w:val="000000" w:themeColor="text1"/>
          <w:kern w:val="0"/>
          <w:highlight w:val="none"/>
          <w14:textFill>
            <w14:solidFill>
              <w14:schemeClr w14:val="tx1"/>
            </w14:solidFill>
          </w14:textFill>
        </w:rPr>
        <w:t>专用合同条款另有约定外，发包人应最迟于开工日期7天前向承包人移交施工现场。</w:t>
      </w:r>
    </w:p>
    <w:p w14:paraId="386A7FA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2.4.2 提供施工条件</w:t>
      </w:r>
    </w:p>
    <w:p w14:paraId="08EFAC5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除专用合同条款另有约定外，发包人应负责提供施工所需要的条件，包括：</w:t>
      </w:r>
    </w:p>
    <w:p w14:paraId="70AB0E0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（1）将施工用水、电力、通讯线路等施工所必需的条件接至施工现场内；</w:t>
      </w:r>
    </w:p>
    <w:p w14:paraId="78BBC73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（2）保证向承包人提供正常施工所需要的进入施工现场的交通条件；</w:t>
      </w:r>
    </w:p>
    <w:p w14:paraId="0EA5636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（3）协调处理施工现场周围地下管线和邻近建筑物、构筑物、古树名木的保护工作，并承担相关费用；</w:t>
      </w:r>
    </w:p>
    <w:p w14:paraId="24A939F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（4）按照专用合同条款约定应提供的其他设施和条件。</w:t>
      </w:r>
    </w:p>
    <w:p w14:paraId="70FA798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2.4.3 提供基础资料</w:t>
      </w:r>
    </w:p>
    <w:p w14:paraId="7151ECB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67E1763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按照法律规定确需在开工后方能提供的基础资料，发包人应尽其努力及时地在相应工程施工前的合理期限内提供，合理期限应以不影响承包人的正常施工为限。</w:t>
      </w:r>
    </w:p>
    <w:p w14:paraId="2547911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2.4.4 逾期提供的责任</w:t>
      </w:r>
    </w:p>
    <w:p w14:paraId="22C0437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因发包人原因未能按合同约定及时向承包人提供施工现场、施工条件、基础资料的，由发包人承担由此增加的费用和（或）延误的工期。</w:t>
      </w:r>
    </w:p>
    <w:p w14:paraId="57BE780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02" w:name="_Toc351203514"/>
      <w:r>
        <w:rPr>
          <w:rFonts w:hint="eastAsia" w:ascii="宋体" w:hAnsi="宋体" w:eastAsia="宋体" w:cs="宋体"/>
          <w:b w:val="0"/>
          <w:bCs w:val="0"/>
          <w:color w:val="000000" w:themeColor="text1"/>
          <w:kern w:val="0"/>
          <w:highlight w:val="none"/>
          <w14:textFill>
            <w14:solidFill>
              <w14:schemeClr w14:val="tx1"/>
            </w14:solidFill>
          </w14:textFill>
        </w:rPr>
        <w:t>2</w:t>
      </w:r>
      <w:bookmarkStart w:id="203" w:name="_Toc296503042"/>
      <w:bookmarkStart w:id="204" w:name="_Toc337558745"/>
      <w:bookmarkStart w:id="205" w:name="_Toc296346543"/>
      <w:r>
        <w:rPr>
          <w:rFonts w:hint="eastAsia" w:ascii="宋体" w:hAnsi="宋体" w:eastAsia="宋体" w:cs="宋体"/>
          <w:b w:val="0"/>
          <w:bCs w:val="0"/>
          <w:color w:val="000000" w:themeColor="text1"/>
          <w:kern w:val="0"/>
          <w:highlight w:val="none"/>
          <w14:textFill>
            <w14:solidFill>
              <w14:schemeClr w14:val="tx1"/>
            </w14:solidFill>
          </w14:textFill>
        </w:rPr>
        <w:t>.5 资</w:t>
      </w:r>
      <w:bookmarkEnd w:id="203"/>
      <w:bookmarkEnd w:id="204"/>
      <w:bookmarkEnd w:id="205"/>
      <w:r>
        <w:rPr>
          <w:rFonts w:hint="eastAsia" w:ascii="宋体" w:hAnsi="宋体" w:eastAsia="宋体" w:cs="宋体"/>
          <w:b w:val="0"/>
          <w:bCs w:val="0"/>
          <w:color w:val="000000" w:themeColor="text1"/>
          <w:kern w:val="0"/>
          <w:highlight w:val="none"/>
          <w14:textFill>
            <w14:solidFill>
              <w14:schemeClr w14:val="tx1"/>
            </w14:solidFill>
          </w14:textFill>
        </w:rPr>
        <w:t>金来源证明及支付担保</w:t>
      </w:r>
      <w:bookmarkEnd w:id="202"/>
    </w:p>
    <w:p w14:paraId="62AE3BB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除专用合同条款另有约定外，发包人应在收到承包人要求提供资金来源证明的书面通知后28天内，向承包人提供能够按照合同约定支付合同价款的相应资金来源证明。</w:t>
      </w:r>
    </w:p>
    <w:p w14:paraId="6301D5C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除专用合同条款另有约定外，发包人要求承包人提供履约担保的，发包人应当向承包人提供支付担保。支付担保可以采用银行保函或担保公司担保等形式，具体由合同当事人在专用合同条款中约定。</w:t>
      </w:r>
    </w:p>
    <w:p w14:paraId="238F21F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06" w:name="_Toc351203515"/>
      <w:r>
        <w:rPr>
          <w:rFonts w:hint="eastAsia" w:ascii="宋体" w:hAnsi="宋体" w:eastAsia="宋体" w:cs="宋体"/>
          <w:b w:val="0"/>
          <w:bCs w:val="0"/>
          <w:color w:val="000000" w:themeColor="text1"/>
          <w:kern w:val="0"/>
          <w:highlight w:val="none"/>
          <w14:textFill>
            <w14:solidFill>
              <w14:schemeClr w14:val="tx1"/>
            </w14:solidFill>
          </w14:textFill>
        </w:rPr>
        <w:t>2.6 支付合同价款</w:t>
      </w:r>
      <w:bookmarkEnd w:id="206"/>
    </w:p>
    <w:p w14:paraId="38DB0BB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发包人应按合同约定向承包人及时支付合同价款。</w:t>
      </w:r>
    </w:p>
    <w:p w14:paraId="1526C9A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07" w:name="_Toc351203516"/>
      <w:r>
        <w:rPr>
          <w:rFonts w:hint="eastAsia" w:ascii="宋体" w:hAnsi="宋体" w:eastAsia="宋体" w:cs="宋体"/>
          <w:b w:val="0"/>
          <w:bCs w:val="0"/>
          <w:color w:val="000000" w:themeColor="text1"/>
          <w:kern w:val="0"/>
          <w:highlight w:val="none"/>
          <w14:textFill>
            <w14:solidFill>
              <w14:schemeClr w14:val="tx1"/>
            </w14:solidFill>
          </w14:textFill>
        </w:rPr>
        <w:t>2.7 组织竣工验收</w:t>
      </w:r>
      <w:bookmarkEnd w:id="207"/>
    </w:p>
    <w:p w14:paraId="0FB40FA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发包人应按合同约定及时组织竣工验收。</w:t>
      </w:r>
    </w:p>
    <w:p w14:paraId="7F7EE23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08" w:name="_Toc351203517"/>
      <w:r>
        <w:rPr>
          <w:rFonts w:hint="eastAsia" w:ascii="宋体" w:hAnsi="宋体" w:eastAsia="宋体" w:cs="宋体"/>
          <w:b w:val="0"/>
          <w:bCs w:val="0"/>
          <w:color w:val="000000" w:themeColor="text1"/>
          <w:kern w:val="0"/>
          <w:highlight w:val="none"/>
          <w14:textFill>
            <w14:solidFill>
              <w14:schemeClr w14:val="tx1"/>
            </w14:solidFill>
          </w14:textFill>
        </w:rPr>
        <w:t>2.8 现场统一管理协议</w:t>
      </w:r>
      <w:bookmarkEnd w:id="208"/>
    </w:p>
    <w:p w14:paraId="6AF32A7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发包人应与承包人、由发包人直接发包的专业工程的承包人签订施工现场统一管理协议，明确各方的权利义务。施工现场统一管理协议作为专用合同条款的附件。</w:t>
      </w:r>
    </w:p>
    <w:p w14:paraId="22CFF69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09" w:name="_Toc351203518"/>
      <w:r>
        <w:rPr>
          <w:rFonts w:hint="eastAsia" w:ascii="宋体" w:hAnsi="宋体" w:eastAsia="宋体" w:cs="宋体"/>
          <w:b w:val="0"/>
          <w:bCs w:val="0"/>
          <w:color w:val="000000" w:themeColor="text1"/>
          <w:kern w:val="0"/>
          <w:highlight w:val="none"/>
          <w14:textFill>
            <w14:solidFill>
              <w14:schemeClr w14:val="tx1"/>
            </w14:solidFill>
          </w14:textFill>
        </w:rPr>
        <w:t>3</w:t>
      </w:r>
      <w:bookmarkStart w:id="210" w:name="_Toc296503045"/>
      <w:bookmarkStart w:id="211" w:name="_Toc296346546"/>
      <w:bookmarkStart w:id="212" w:name="_Toc337558746"/>
      <w:r>
        <w:rPr>
          <w:rFonts w:hint="eastAsia" w:ascii="宋体" w:hAnsi="宋体" w:eastAsia="宋体" w:cs="宋体"/>
          <w:b w:val="0"/>
          <w:bCs w:val="0"/>
          <w:color w:val="000000" w:themeColor="text1"/>
          <w:kern w:val="0"/>
          <w:highlight w:val="none"/>
          <w14:textFill>
            <w14:solidFill>
              <w14:schemeClr w14:val="tx1"/>
            </w14:solidFill>
          </w14:textFill>
        </w:rPr>
        <w:t>. 承包人</w:t>
      </w:r>
      <w:bookmarkEnd w:id="209"/>
    </w:p>
    <w:bookmarkEnd w:id="210"/>
    <w:bookmarkEnd w:id="211"/>
    <w:bookmarkEnd w:id="212"/>
    <w:p w14:paraId="0D44152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13" w:name="_Toc351203519"/>
      <w:r>
        <w:rPr>
          <w:rFonts w:hint="eastAsia" w:ascii="宋体" w:hAnsi="宋体" w:eastAsia="宋体" w:cs="宋体"/>
          <w:b w:val="0"/>
          <w:bCs w:val="0"/>
          <w:color w:val="000000" w:themeColor="text1"/>
          <w:kern w:val="0"/>
          <w:highlight w:val="none"/>
          <w14:textFill>
            <w14:solidFill>
              <w14:schemeClr w14:val="tx1"/>
            </w14:solidFill>
          </w14:textFill>
        </w:rPr>
        <w:t>3</w:t>
      </w:r>
      <w:bookmarkStart w:id="214" w:name="_Toc296503046"/>
      <w:bookmarkStart w:id="215" w:name="_Toc296346547"/>
      <w:bookmarkStart w:id="216" w:name="_Toc337558747"/>
      <w:r>
        <w:rPr>
          <w:rFonts w:hint="eastAsia" w:ascii="宋体" w:hAnsi="宋体" w:eastAsia="宋体" w:cs="宋体"/>
          <w:b w:val="0"/>
          <w:bCs w:val="0"/>
          <w:color w:val="000000" w:themeColor="text1"/>
          <w:kern w:val="0"/>
          <w:highlight w:val="none"/>
          <w14:textFill>
            <w14:solidFill>
              <w14:schemeClr w14:val="tx1"/>
            </w14:solidFill>
          </w14:textFill>
        </w:rPr>
        <w:t>.1 承包人的一般义务</w:t>
      </w:r>
      <w:bookmarkEnd w:id="213"/>
    </w:p>
    <w:bookmarkEnd w:id="214"/>
    <w:bookmarkEnd w:id="215"/>
    <w:bookmarkEnd w:id="216"/>
    <w:p w14:paraId="27A3BEE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承包人在履行合同过程中应遵守法律和工程建设标准规范，并履行以下义务：</w:t>
      </w:r>
    </w:p>
    <w:p w14:paraId="104AC0D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办理法律规定应由承包人办理的许可和批准，并将办理结果书面报送发包人留存；</w:t>
      </w:r>
    </w:p>
    <w:p w14:paraId="216D3F4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（2）按法律规定和合同约定完成工程，并在保修期内承担保修义务；</w:t>
      </w:r>
    </w:p>
    <w:p w14:paraId="3426972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（3）按法律规定和合同约定采取施工安全和环境保护措施，办理工伤保险，确保工程及人员、材料、设备和设施的安全；</w:t>
      </w:r>
    </w:p>
    <w:p w14:paraId="786669E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（4）按合同约定的工作内容和施工进度要求，编制施工组织设计和施工措施计划，并对所有施工作业和施工方法的完备性和安全可靠性负责；</w:t>
      </w:r>
    </w:p>
    <w:p w14:paraId="612F6AF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FAA832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（6）按照第6.3款〔环境保护〕约定负责施工场地及其周边环境与生态的保护工作；</w:t>
      </w:r>
    </w:p>
    <w:p w14:paraId="5374495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（7）按第6.1款〔安全文明施工〕约定采取施工安全措施，确保工程及其人员、材料、设备和设施的安全，防止因工程施工造成的人身伤害和财产损失；</w:t>
      </w:r>
    </w:p>
    <w:p w14:paraId="77CB7AD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（8）将发包人按合同约定支付的各项价款专用于合同工程，且应及时支付其雇用人员工资，并及时向分包人支付合同价款；</w:t>
      </w:r>
    </w:p>
    <w:p w14:paraId="3CCE73E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（9）按照法律规定和合同约定编制竣工资料，完成竣工资料立卷及归档，并按专用合同条款约定的竣工资料的套数、内容、时间等要求移交发包人；</w:t>
      </w:r>
    </w:p>
    <w:p w14:paraId="74C5119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（10）应履行的其他义务。</w:t>
      </w:r>
    </w:p>
    <w:p w14:paraId="11F54B4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17" w:name="_Toc351203520"/>
      <w:r>
        <w:rPr>
          <w:rFonts w:hint="eastAsia" w:ascii="宋体" w:hAnsi="宋体" w:eastAsia="宋体" w:cs="宋体"/>
          <w:b w:val="0"/>
          <w:bCs w:val="0"/>
          <w:color w:val="000000" w:themeColor="text1"/>
          <w:kern w:val="0"/>
          <w:highlight w:val="none"/>
          <w14:textFill>
            <w14:solidFill>
              <w14:schemeClr w14:val="tx1"/>
            </w14:solidFill>
          </w14:textFill>
        </w:rPr>
        <w:t>3</w:t>
      </w:r>
      <w:bookmarkStart w:id="218" w:name="_Toc296503047"/>
      <w:bookmarkStart w:id="219" w:name="_Toc337558748"/>
      <w:bookmarkStart w:id="220" w:name="_Toc296346548"/>
      <w:r>
        <w:rPr>
          <w:rFonts w:hint="eastAsia" w:ascii="宋体" w:hAnsi="宋体" w:eastAsia="宋体" w:cs="宋体"/>
          <w:b w:val="0"/>
          <w:bCs w:val="0"/>
          <w:color w:val="000000" w:themeColor="text1"/>
          <w:kern w:val="0"/>
          <w:highlight w:val="none"/>
          <w14:textFill>
            <w14:solidFill>
              <w14:schemeClr w14:val="tx1"/>
            </w14:solidFill>
          </w14:textFill>
        </w:rPr>
        <w:t xml:space="preserve">.2 </w:t>
      </w:r>
      <w:bookmarkEnd w:id="217"/>
      <w:r>
        <w:rPr>
          <w:rFonts w:hint="eastAsia" w:ascii="宋体" w:hAnsi="宋体" w:eastAsia="宋体" w:cs="宋体"/>
          <w:b w:val="0"/>
          <w:bCs w:val="0"/>
          <w:color w:val="000000" w:themeColor="text1"/>
          <w:kern w:val="0"/>
          <w:highlight w:val="none"/>
          <w14:textFill>
            <w14:solidFill>
              <w14:schemeClr w14:val="tx1"/>
            </w14:solidFill>
          </w14:textFill>
        </w:rPr>
        <w:t>项目经理</w:t>
      </w:r>
    </w:p>
    <w:bookmarkEnd w:id="218"/>
    <w:bookmarkEnd w:id="219"/>
    <w:bookmarkEnd w:id="220"/>
    <w:p w14:paraId="4F66017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23EC35D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6E37616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承包人违反上述约定的，应按照专用合同条款的约定，承担违约责任。</w:t>
      </w:r>
    </w:p>
    <w:p w14:paraId="17BD29A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2BB163C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3404B43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7AFB9D3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3.2.5 项目经理因特殊情况授权其下属人员履行其某项工作职责的，该下属人员应具备履行相应职责的能力，并应提前7天将上述人员的姓名和授权范围书面通知监理人，并征得发包人书面同意。</w:t>
      </w:r>
    </w:p>
    <w:p w14:paraId="39D7AFC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21" w:name="_Toc351203521"/>
      <w:r>
        <w:rPr>
          <w:rFonts w:hint="eastAsia" w:ascii="宋体" w:hAnsi="宋体" w:eastAsia="宋体" w:cs="宋体"/>
          <w:b w:val="0"/>
          <w:bCs w:val="0"/>
          <w:color w:val="000000" w:themeColor="text1"/>
          <w:kern w:val="0"/>
          <w:highlight w:val="none"/>
          <w14:textFill>
            <w14:solidFill>
              <w14:schemeClr w14:val="tx1"/>
            </w14:solidFill>
          </w14:textFill>
        </w:rPr>
        <w:t>3</w:t>
      </w:r>
      <w:bookmarkStart w:id="222" w:name="_Toc296503048"/>
      <w:bookmarkStart w:id="223" w:name="_Toc296346549"/>
      <w:bookmarkStart w:id="224" w:name="_Toc337558749"/>
      <w:r>
        <w:rPr>
          <w:rFonts w:hint="eastAsia" w:ascii="宋体" w:hAnsi="宋体" w:eastAsia="宋体" w:cs="宋体"/>
          <w:b w:val="0"/>
          <w:bCs w:val="0"/>
          <w:color w:val="000000" w:themeColor="text1"/>
          <w:kern w:val="0"/>
          <w:highlight w:val="none"/>
          <w14:textFill>
            <w14:solidFill>
              <w14:schemeClr w14:val="tx1"/>
            </w14:solidFill>
          </w14:textFill>
        </w:rPr>
        <w:t xml:space="preserve">.3 </w:t>
      </w:r>
      <w:bookmarkEnd w:id="222"/>
      <w:bookmarkEnd w:id="223"/>
      <w:r>
        <w:rPr>
          <w:rFonts w:hint="eastAsia" w:ascii="宋体" w:hAnsi="宋体" w:eastAsia="宋体" w:cs="宋体"/>
          <w:b w:val="0"/>
          <w:bCs w:val="0"/>
          <w:color w:val="000000" w:themeColor="text1"/>
          <w:kern w:val="0"/>
          <w:highlight w:val="none"/>
          <w14:textFill>
            <w14:solidFill>
              <w14:schemeClr w14:val="tx1"/>
            </w14:solidFill>
          </w14:textFill>
        </w:rPr>
        <w:t>承包人人员</w:t>
      </w:r>
      <w:bookmarkEnd w:id="221"/>
    </w:p>
    <w:bookmarkEnd w:id="224"/>
    <w:p w14:paraId="162F5C0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7EFECE4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395566D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特殊工种作业人员均应持有相应的资格证明，监理人可以随时检查。</w:t>
      </w:r>
    </w:p>
    <w:p w14:paraId="6379DE7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63A1D6A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5CAD4F5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3.3.5 承包人擅自更换主要施工管理人员，或前述人员未经监理人或发包人同意擅自离开施工现场的，应按照专用合同条款约定承担违约责任。</w:t>
      </w:r>
    </w:p>
    <w:p w14:paraId="51417DA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25" w:name="_Toc351203522"/>
      <w:r>
        <w:rPr>
          <w:rFonts w:hint="eastAsia" w:ascii="宋体" w:hAnsi="宋体" w:eastAsia="宋体" w:cs="宋体"/>
          <w:b w:val="0"/>
          <w:bCs w:val="0"/>
          <w:color w:val="000000" w:themeColor="text1"/>
          <w:kern w:val="0"/>
          <w:highlight w:val="none"/>
          <w14:textFill>
            <w14:solidFill>
              <w14:schemeClr w14:val="tx1"/>
            </w14:solidFill>
          </w14:textFill>
        </w:rPr>
        <w:t>3</w:t>
      </w:r>
      <w:bookmarkStart w:id="226" w:name="_Toc296346551"/>
      <w:bookmarkStart w:id="227" w:name="_Toc296503050"/>
      <w:bookmarkStart w:id="228" w:name="_Toc337558750"/>
      <w:r>
        <w:rPr>
          <w:rFonts w:hint="eastAsia" w:ascii="宋体" w:hAnsi="宋体" w:eastAsia="宋体" w:cs="宋体"/>
          <w:b w:val="0"/>
          <w:bCs w:val="0"/>
          <w:color w:val="000000" w:themeColor="text1"/>
          <w:kern w:val="0"/>
          <w:highlight w:val="none"/>
          <w14:textFill>
            <w14:solidFill>
              <w14:schemeClr w14:val="tx1"/>
            </w14:solidFill>
          </w14:textFill>
        </w:rPr>
        <w:t>.4 承包人现场查勘</w:t>
      </w:r>
      <w:bookmarkEnd w:id="225"/>
    </w:p>
    <w:bookmarkEnd w:id="226"/>
    <w:bookmarkEnd w:id="227"/>
    <w:bookmarkEnd w:id="228"/>
    <w:p w14:paraId="1B3CF7D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承包人应对基于发包人按照第2.4.3项〔提供基础资料〕提交的基础资料所做出的解释和推断负责，但因基础资料存在错误、遗漏导致承包人解释或推断失实的，由发包人承担责任。</w:t>
      </w:r>
    </w:p>
    <w:p w14:paraId="5361727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52AB6E7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29" w:name="_Toc351203523"/>
      <w:r>
        <w:rPr>
          <w:rFonts w:hint="eastAsia" w:ascii="宋体" w:hAnsi="宋体" w:eastAsia="宋体" w:cs="宋体"/>
          <w:b w:val="0"/>
          <w:bCs w:val="0"/>
          <w:color w:val="000000" w:themeColor="text1"/>
          <w:kern w:val="0"/>
          <w:highlight w:val="none"/>
          <w14:textFill>
            <w14:solidFill>
              <w14:schemeClr w14:val="tx1"/>
            </w14:solidFill>
          </w14:textFill>
        </w:rPr>
        <w:t>3</w:t>
      </w:r>
      <w:bookmarkStart w:id="230" w:name="_Toc337558751"/>
      <w:bookmarkStart w:id="231" w:name="_Toc296346552"/>
      <w:bookmarkStart w:id="232" w:name="_Toc296503051"/>
      <w:r>
        <w:rPr>
          <w:rFonts w:hint="eastAsia" w:ascii="宋体" w:hAnsi="宋体" w:eastAsia="宋体" w:cs="宋体"/>
          <w:b w:val="0"/>
          <w:bCs w:val="0"/>
          <w:color w:val="000000" w:themeColor="text1"/>
          <w:kern w:val="0"/>
          <w:highlight w:val="none"/>
          <w14:textFill>
            <w14:solidFill>
              <w14:schemeClr w14:val="tx1"/>
            </w14:solidFill>
          </w14:textFill>
        </w:rPr>
        <w:t>.5 分包</w:t>
      </w:r>
      <w:bookmarkEnd w:id="229"/>
    </w:p>
    <w:bookmarkEnd w:id="230"/>
    <w:bookmarkEnd w:id="231"/>
    <w:bookmarkEnd w:id="232"/>
    <w:p w14:paraId="5353819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3.5.1 分包的一般约定</w:t>
      </w:r>
    </w:p>
    <w:p w14:paraId="5561085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4923AE3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承包人不得以劳务分包的名义转包或违法分包工程。</w:t>
      </w:r>
    </w:p>
    <w:p w14:paraId="6F48820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3.5.2 分包的确定</w:t>
      </w:r>
    </w:p>
    <w:p w14:paraId="7D56216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22CAA35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3.5.3 分包管理</w:t>
      </w:r>
    </w:p>
    <w:p w14:paraId="731C726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承包人应向监理人提交分包人的主要施工管理人员表，并对分包人的施工人员进行实名制管理，包括但不限于进出场管理、登记造册以及各种证照的办理。</w:t>
      </w:r>
    </w:p>
    <w:p w14:paraId="62EC4BD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3.5.4 分包合同价款</w:t>
      </w:r>
    </w:p>
    <w:p w14:paraId="0A81196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（1）除本项第（2）目约定的情况或专用合同条款另有约定外，分包合同价款由承包人与分包人结算，未经承包人同意，发包人不得向分包人支付分包工程价款；</w:t>
      </w:r>
    </w:p>
    <w:p w14:paraId="7E1C82D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（2）生效法律文书要求发包人向分包人支付分包合同价款的，发包人有权从应付承包人工程款中扣除该部分款项。</w:t>
      </w:r>
    </w:p>
    <w:p w14:paraId="69C2885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3.5.5 分包合同权益的转让</w:t>
      </w:r>
    </w:p>
    <w:p w14:paraId="56D96DD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33" w:name="_Toc351203524"/>
    </w:p>
    <w:p w14:paraId="5D86A7D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3.6 工程照管与成品、半成品保护</w:t>
      </w:r>
      <w:bookmarkEnd w:id="233"/>
    </w:p>
    <w:p w14:paraId="5B2D2C9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（1）除专用合同条款另有约定外，自发包人向承包人移交施工现场之日起，承包人应负责照管工程及工程相关的材料、工程设备，直到颁发工程接收证书之日止。</w:t>
      </w:r>
    </w:p>
    <w:p w14:paraId="264A784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（2）在承包人负责照管期间，因承包人原因造成工程、材料、工程设备损坏的，由承包人负责修复或更换，并承担由此增加的费用和（或）延误的工期。</w:t>
      </w:r>
    </w:p>
    <w:p w14:paraId="41FF500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（3）对合同内分期完成的成品和半成品，在工程接收证书颁发前，由承包人承担保护责任。因承包人原因造成成品或半成品损坏的，由承包人负责修复或更换，并承担由此增加的费用和（或）延误的工期。</w:t>
      </w:r>
    </w:p>
    <w:p w14:paraId="3C7B285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34" w:name="_Toc351203525"/>
      <w:r>
        <w:rPr>
          <w:rFonts w:hint="eastAsia" w:ascii="宋体" w:hAnsi="宋体" w:eastAsia="宋体" w:cs="宋体"/>
          <w:b w:val="0"/>
          <w:bCs w:val="0"/>
          <w:color w:val="000000" w:themeColor="text1"/>
          <w:kern w:val="0"/>
          <w:highlight w:val="none"/>
          <w14:textFill>
            <w14:solidFill>
              <w14:schemeClr w14:val="tx1"/>
            </w14:solidFill>
          </w14:textFill>
        </w:rPr>
        <w:t>3</w:t>
      </w:r>
      <w:bookmarkStart w:id="235" w:name="_Toc296346553"/>
      <w:bookmarkStart w:id="236" w:name="_Toc337558752"/>
      <w:bookmarkStart w:id="237" w:name="_Toc296503052"/>
      <w:r>
        <w:rPr>
          <w:rFonts w:hint="eastAsia" w:ascii="宋体" w:hAnsi="宋体" w:eastAsia="宋体" w:cs="宋体"/>
          <w:b w:val="0"/>
          <w:bCs w:val="0"/>
          <w:color w:val="000000" w:themeColor="text1"/>
          <w:kern w:val="0"/>
          <w:highlight w:val="none"/>
          <w14:textFill>
            <w14:solidFill>
              <w14:schemeClr w14:val="tx1"/>
            </w14:solidFill>
          </w14:textFill>
        </w:rPr>
        <w:t>.7 履约担保</w:t>
      </w:r>
      <w:bookmarkEnd w:id="234"/>
    </w:p>
    <w:bookmarkEnd w:id="235"/>
    <w:bookmarkEnd w:id="236"/>
    <w:bookmarkEnd w:id="237"/>
    <w:p w14:paraId="1388A0D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1D3E86E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因承包人原因导致工期延长的，继续提供履约担保所增加的费用由承包人承担；非因承包人原因导致工期延长的，继续提供履约担保所增加的费用由发包人承担。</w:t>
      </w:r>
    </w:p>
    <w:p w14:paraId="302C71D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38" w:name="_Toc351203526"/>
      <w:r>
        <w:rPr>
          <w:rFonts w:hint="eastAsia" w:ascii="宋体" w:hAnsi="宋体" w:eastAsia="宋体" w:cs="宋体"/>
          <w:b w:val="0"/>
          <w:bCs w:val="0"/>
          <w:color w:val="000000" w:themeColor="text1"/>
          <w:kern w:val="0"/>
          <w:highlight w:val="none"/>
          <w14:textFill>
            <w14:solidFill>
              <w14:schemeClr w14:val="tx1"/>
            </w14:solidFill>
          </w14:textFill>
        </w:rPr>
        <w:t>3.8 联合体</w:t>
      </w:r>
      <w:bookmarkEnd w:id="238"/>
    </w:p>
    <w:p w14:paraId="5AC6FE2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3.8.1 联合体各方应共同与发包人签订合同协议书。联合体各方应为履行合同向发包人承担连带责任。</w:t>
      </w:r>
    </w:p>
    <w:p w14:paraId="1F0B49D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3.8.2 联合体协议经发包人确认后作为合同附件。在履行合同过程中，未经发包人同意，不得修改联合体协议。</w:t>
      </w:r>
    </w:p>
    <w:p w14:paraId="773B9A4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3.8.3 联合体牵头人负责与发包人和监理人联系，并接受指示，负责组织联合体各成员全面履行合同。</w:t>
      </w:r>
    </w:p>
    <w:p w14:paraId="250CAA6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39" w:name="_Toc351203527"/>
      <w:r>
        <w:rPr>
          <w:rFonts w:hint="eastAsia" w:ascii="宋体" w:hAnsi="宋体" w:eastAsia="宋体" w:cs="宋体"/>
          <w:b w:val="0"/>
          <w:bCs w:val="0"/>
          <w:color w:val="000000" w:themeColor="text1"/>
          <w:kern w:val="0"/>
          <w:highlight w:val="none"/>
          <w14:textFill>
            <w14:solidFill>
              <w14:schemeClr w14:val="tx1"/>
            </w14:solidFill>
          </w14:textFill>
        </w:rPr>
        <w:t>4</w:t>
      </w:r>
      <w:bookmarkStart w:id="240" w:name="_Toc296346554"/>
      <w:bookmarkStart w:id="241" w:name="_Toc296503053"/>
      <w:bookmarkStart w:id="242" w:name="_Toc337558753"/>
      <w:r>
        <w:rPr>
          <w:rFonts w:hint="eastAsia" w:ascii="宋体" w:hAnsi="宋体" w:eastAsia="宋体" w:cs="宋体"/>
          <w:b w:val="0"/>
          <w:bCs w:val="0"/>
          <w:color w:val="000000" w:themeColor="text1"/>
          <w:kern w:val="0"/>
          <w:highlight w:val="none"/>
          <w14:textFill>
            <w14:solidFill>
              <w14:schemeClr w14:val="tx1"/>
            </w14:solidFill>
          </w14:textFill>
        </w:rPr>
        <w:t>. 监</w:t>
      </w:r>
      <w:bookmarkEnd w:id="240"/>
      <w:bookmarkEnd w:id="241"/>
      <w:r>
        <w:rPr>
          <w:rFonts w:hint="eastAsia" w:ascii="宋体" w:hAnsi="宋体" w:eastAsia="宋体" w:cs="宋体"/>
          <w:b w:val="0"/>
          <w:bCs w:val="0"/>
          <w:color w:val="000000" w:themeColor="text1"/>
          <w:kern w:val="0"/>
          <w:highlight w:val="none"/>
          <w14:textFill>
            <w14:solidFill>
              <w14:schemeClr w14:val="tx1"/>
            </w14:solidFill>
          </w14:textFill>
        </w:rPr>
        <w:t>理人</w:t>
      </w:r>
      <w:bookmarkEnd w:id="239"/>
    </w:p>
    <w:bookmarkEnd w:id="242"/>
    <w:p w14:paraId="24A5892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43" w:name="_Toc351203528"/>
      <w:r>
        <w:rPr>
          <w:rFonts w:hint="eastAsia" w:ascii="宋体" w:hAnsi="宋体" w:eastAsia="宋体" w:cs="宋体"/>
          <w:b w:val="0"/>
          <w:bCs w:val="0"/>
          <w:color w:val="000000" w:themeColor="text1"/>
          <w:kern w:val="0"/>
          <w:highlight w:val="none"/>
          <w14:textFill>
            <w14:solidFill>
              <w14:schemeClr w14:val="tx1"/>
            </w14:solidFill>
          </w14:textFill>
        </w:rPr>
        <w:t>4</w:t>
      </w:r>
      <w:bookmarkStart w:id="244" w:name="_Toc296503054"/>
      <w:bookmarkStart w:id="245" w:name="_Toc337558754"/>
      <w:bookmarkStart w:id="246" w:name="_Toc296346555"/>
      <w:r>
        <w:rPr>
          <w:rFonts w:hint="eastAsia" w:ascii="宋体" w:hAnsi="宋体" w:eastAsia="宋体" w:cs="宋体"/>
          <w:b w:val="0"/>
          <w:bCs w:val="0"/>
          <w:color w:val="000000" w:themeColor="text1"/>
          <w:kern w:val="0"/>
          <w:highlight w:val="none"/>
          <w14:textFill>
            <w14:solidFill>
              <w14:schemeClr w14:val="tx1"/>
            </w14:solidFill>
          </w14:textFill>
        </w:rPr>
        <w:t>.1监理人的一般规定</w:t>
      </w:r>
      <w:bookmarkEnd w:id="243"/>
    </w:p>
    <w:bookmarkEnd w:id="244"/>
    <w:bookmarkEnd w:id="245"/>
    <w:bookmarkEnd w:id="246"/>
    <w:p w14:paraId="10D6FCE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22014B8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除专用合同条款另有约定外，监理人在施工现场的办公场所、生活场所由承包人提供，所发生的费用由发包人承担。</w:t>
      </w:r>
    </w:p>
    <w:p w14:paraId="2A44074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47" w:name="_Toc351203529"/>
      <w:r>
        <w:rPr>
          <w:rFonts w:hint="eastAsia" w:ascii="宋体" w:hAnsi="宋体" w:eastAsia="宋体" w:cs="宋体"/>
          <w:b w:val="0"/>
          <w:bCs w:val="0"/>
          <w:color w:val="000000" w:themeColor="text1"/>
          <w:kern w:val="0"/>
          <w:highlight w:val="none"/>
          <w14:textFill>
            <w14:solidFill>
              <w14:schemeClr w14:val="tx1"/>
            </w14:solidFill>
          </w14:textFill>
        </w:rPr>
        <w:t>4</w:t>
      </w:r>
      <w:bookmarkStart w:id="248" w:name="_Toc337558755"/>
      <w:r>
        <w:rPr>
          <w:rFonts w:hint="eastAsia" w:ascii="宋体" w:hAnsi="宋体" w:eastAsia="宋体" w:cs="宋体"/>
          <w:b w:val="0"/>
          <w:bCs w:val="0"/>
          <w:color w:val="000000" w:themeColor="text1"/>
          <w:kern w:val="0"/>
          <w:highlight w:val="none"/>
          <w14:textFill>
            <w14:solidFill>
              <w14:schemeClr w14:val="tx1"/>
            </w14:solidFill>
          </w14:textFill>
        </w:rPr>
        <w:t>.2监理人员</w:t>
      </w:r>
      <w:bookmarkEnd w:id="247"/>
    </w:p>
    <w:bookmarkEnd w:id="248"/>
    <w:p w14:paraId="74768FA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17C72EB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49" w:name="_Toc351203530"/>
      <w:r>
        <w:rPr>
          <w:rFonts w:hint="eastAsia" w:ascii="宋体" w:hAnsi="宋体" w:eastAsia="宋体" w:cs="宋体"/>
          <w:b w:val="0"/>
          <w:bCs w:val="0"/>
          <w:color w:val="000000" w:themeColor="text1"/>
          <w:kern w:val="0"/>
          <w:highlight w:val="none"/>
          <w14:textFill>
            <w14:solidFill>
              <w14:schemeClr w14:val="tx1"/>
            </w14:solidFill>
          </w14:textFill>
        </w:rPr>
        <w:t>4</w:t>
      </w:r>
      <w:bookmarkStart w:id="250" w:name="_Toc296503055"/>
      <w:bookmarkStart w:id="251" w:name="_Toc296346556"/>
      <w:bookmarkStart w:id="252" w:name="_Toc337558756"/>
      <w:r>
        <w:rPr>
          <w:rFonts w:hint="eastAsia" w:ascii="宋体" w:hAnsi="宋体" w:eastAsia="宋体" w:cs="宋体"/>
          <w:b w:val="0"/>
          <w:bCs w:val="0"/>
          <w:color w:val="000000" w:themeColor="text1"/>
          <w:kern w:val="0"/>
          <w:highlight w:val="none"/>
          <w14:textFill>
            <w14:solidFill>
              <w14:schemeClr w14:val="tx1"/>
            </w14:solidFill>
          </w14:textFill>
        </w:rPr>
        <w:t>.3</w:t>
      </w:r>
      <w:bookmarkEnd w:id="250"/>
      <w:bookmarkEnd w:id="251"/>
      <w:r>
        <w:rPr>
          <w:rFonts w:hint="eastAsia" w:ascii="宋体" w:hAnsi="宋体" w:eastAsia="宋体" w:cs="宋体"/>
          <w:b w:val="0"/>
          <w:bCs w:val="0"/>
          <w:color w:val="000000" w:themeColor="text1"/>
          <w:kern w:val="0"/>
          <w:highlight w:val="none"/>
          <w14:textFill>
            <w14:solidFill>
              <w14:schemeClr w14:val="tx1"/>
            </w14:solidFill>
          </w14:textFill>
        </w:rPr>
        <w:t>监理人的指</w:t>
      </w:r>
      <w:bookmarkEnd w:id="252"/>
      <w:r>
        <w:rPr>
          <w:rFonts w:hint="eastAsia" w:ascii="宋体" w:hAnsi="宋体" w:eastAsia="宋体" w:cs="宋体"/>
          <w:b w:val="0"/>
          <w:bCs w:val="0"/>
          <w:color w:val="000000" w:themeColor="text1"/>
          <w:kern w:val="0"/>
          <w:highlight w:val="none"/>
          <w14:textFill>
            <w14:solidFill>
              <w14:schemeClr w14:val="tx1"/>
            </w14:solidFill>
          </w14:textFill>
        </w:rPr>
        <w:t>示</w:t>
      </w:r>
      <w:bookmarkEnd w:id="249"/>
    </w:p>
    <w:p w14:paraId="101CEB7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67847B4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4E7938E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承包人对监理人发出的指示有疑问的，应向监理人提出书面异议，监理人应在48小时内对该指示予以确认、更改或撤销，监理人逾期未回复的，承包人有权拒绝执行上述指示。</w:t>
      </w:r>
    </w:p>
    <w:p w14:paraId="3062A83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监理人对承包人的任何工作、工程或其采用的材料和工程设备未在约定的或合理期限内提出意见的，视为批准，但不免除或减轻承包人对该工作、工程、材料、工程设备等应承担的责任和义务。</w:t>
      </w:r>
    </w:p>
    <w:p w14:paraId="6FFAF9C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53" w:name="_Toc351203531"/>
      <w:r>
        <w:rPr>
          <w:rFonts w:hint="eastAsia" w:ascii="宋体" w:hAnsi="宋体" w:eastAsia="宋体" w:cs="宋体"/>
          <w:b w:val="0"/>
          <w:bCs w:val="0"/>
          <w:color w:val="000000" w:themeColor="text1"/>
          <w:kern w:val="0"/>
          <w:highlight w:val="none"/>
          <w14:textFill>
            <w14:solidFill>
              <w14:schemeClr w14:val="tx1"/>
            </w14:solidFill>
          </w14:textFill>
        </w:rPr>
        <w:t>4</w:t>
      </w:r>
      <w:bookmarkStart w:id="254" w:name="_Toc296346558"/>
      <w:bookmarkStart w:id="255" w:name="_Toc337558757"/>
      <w:bookmarkStart w:id="256" w:name="_Toc296503057"/>
      <w:r>
        <w:rPr>
          <w:rFonts w:hint="eastAsia" w:ascii="宋体" w:hAnsi="宋体" w:eastAsia="宋体" w:cs="宋体"/>
          <w:b w:val="0"/>
          <w:bCs w:val="0"/>
          <w:color w:val="000000" w:themeColor="text1"/>
          <w:kern w:val="0"/>
          <w:highlight w:val="none"/>
          <w14:textFill>
            <w14:solidFill>
              <w14:schemeClr w14:val="tx1"/>
            </w14:solidFill>
          </w14:textFill>
        </w:rPr>
        <w:t>.4 商定或确定</w:t>
      </w:r>
      <w:bookmarkEnd w:id="253"/>
    </w:p>
    <w:bookmarkEnd w:id="254"/>
    <w:bookmarkEnd w:id="255"/>
    <w:bookmarkEnd w:id="256"/>
    <w:p w14:paraId="6DB5ADA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合同当事人进行商定或确定时，总监理工程师应当会同合同当事人尽量通过协商达成一致，不能达成一致的，由总监理工程师按照合同约定审慎做出公正的确定。</w:t>
      </w:r>
    </w:p>
    <w:p w14:paraId="6D260E2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2E3014E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57" w:name="_Toc351203532"/>
      <w:r>
        <w:rPr>
          <w:rFonts w:hint="eastAsia" w:ascii="宋体" w:hAnsi="宋体" w:eastAsia="宋体" w:cs="宋体"/>
          <w:b w:val="0"/>
          <w:bCs w:val="0"/>
          <w:color w:val="000000" w:themeColor="text1"/>
          <w:kern w:val="0"/>
          <w:highlight w:val="none"/>
          <w14:textFill>
            <w14:solidFill>
              <w14:schemeClr w14:val="tx1"/>
            </w14:solidFill>
          </w14:textFill>
        </w:rPr>
        <w:t>5</w:t>
      </w:r>
      <w:bookmarkStart w:id="258" w:name="_Toc337558758"/>
      <w:r>
        <w:rPr>
          <w:rFonts w:hint="eastAsia" w:ascii="宋体" w:hAnsi="宋体" w:eastAsia="宋体" w:cs="宋体"/>
          <w:b w:val="0"/>
          <w:bCs w:val="0"/>
          <w:color w:val="000000" w:themeColor="text1"/>
          <w:kern w:val="0"/>
          <w:highlight w:val="none"/>
          <w14:textFill>
            <w14:solidFill>
              <w14:schemeClr w14:val="tx1"/>
            </w14:solidFill>
          </w14:textFill>
        </w:rPr>
        <w:t>. 工程质量</w:t>
      </w:r>
      <w:bookmarkEnd w:id="257"/>
    </w:p>
    <w:bookmarkEnd w:id="258"/>
    <w:p w14:paraId="7DB86D2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59" w:name="_Toc351203533"/>
      <w:r>
        <w:rPr>
          <w:rFonts w:hint="eastAsia" w:ascii="宋体" w:hAnsi="宋体" w:eastAsia="宋体" w:cs="宋体"/>
          <w:b w:val="0"/>
          <w:bCs w:val="0"/>
          <w:color w:val="000000" w:themeColor="text1"/>
          <w:kern w:val="0"/>
          <w:highlight w:val="none"/>
          <w14:textFill>
            <w14:solidFill>
              <w14:schemeClr w14:val="tx1"/>
            </w14:solidFill>
          </w14:textFill>
        </w:rPr>
        <w:t>5</w:t>
      </w:r>
      <w:bookmarkStart w:id="260" w:name="_Toc337558759"/>
      <w:r>
        <w:rPr>
          <w:rFonts w:hint="eastAsia" w:ascii="宋体" w:hAnsi="宋体" w:eastAsia="宋体" w:cs="宋体"/>
          <w:b w:val="0"/>
          <w:bCs w:val="0"/>
          <w:color w:val="000000" w:themeColor="text1"/>
          <w:kern w:val="0"/>
          <w:highlight w:val="none"/>
          <w14:textFill>
            <w14:solidFill>
              <w14:schemeClr w14:val="tx1"/>
            </w14:solidFill>
          </w14:textFill>
        </w:rPr>
        <w:t>.1质量要求</w:t>
      </w:r>
      <w:bookmarkEnd w:id="259"/>
    </w:p>
    <w:bookmarkEnd w:id="260"/>
    <w:p w14:paraId="6B58A98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5.1.1 工程质量标准必须符合现行国家有关工程施工质量验收规范和标准的要求。有关工程质量的特殊标准或要求由合同当事人在专用合同条款中约定。</w:t>
      </w:r>
    </w:p>
    <w:p w14:paraId="1F433F7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5.1.2 因发包人原因造成工程质量未达到合同约定标准的，由发包人承担由此增加的费用和（或）延误的工期，并支付承包人合理的利润。</w:t>
      </w:r>
    </w:p>
    <w:p w14:paraId="469766A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5.1.3 因承包人原因造成工程质量未达到合同约定标准的，发包人有权要求承包人返工直至工程质量达到合同约定的标准为止，并由承包人承担由此增加的费用和（或）延误的工期。</w:t>
      </w:r>
    </w:p>
    <w:p w14:paraId="1AF97E2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61" w:name="_Toc351203534"/>
      <w:r>
        <w:rPr>
          <w:rFonts w:hint="eastAsia" w:ascii="宋体" w:hAnsi="宋体" w:eastAsia="宋体" w:cs="宋体"/>
          <w:b w:val="0"/>
          <w:bCs w:val="0"/>
          <w:color w:val="000000" w:themeColor="text1"/>
          <w:kern w:val="0"/>
          <w:highlight w:val="none"/>
          <w14:textFill>
            <w14:solidFill>
              <w14:schemeClr w14:val="tx1"/>
            </w14:solidFill>
          </w14:textFill>
        </w:rPr>
        <w:t>5</w:t>
      </w:r>
      <w:bookmarkStart w:id="262" w:name="_Toc337558760"/>
      <w:r>
        <w:rPr>
          <w:rFonts w:hint="eastAsia" w:ascii="宋体" w:hAnsi="宋体" w:eastAsia="宋体" w:cs="宋体"/>
          <w:b w:val="0"/>
          <w:bCs w:val="0"/>
          <w:color w:val="000000" w:themeColor="text1"/>
          <w:kern w:val="0"/>
          <w:highlight w:val="none"/>
          <w14:textFill>
            <w14:solidFill>
              <w14:schemeClr w14:val="tx1"/>
            </w14:solidFill>
          </w14:textFill>
        </w:rPr>
        <w:t>.2质量保证措施</w:t>
      </w:r>
      <w:bookmarkEnd w:id="261"/>
    </w:p>
    <w:bookmarkEnd w:id="262"/>
    <w:p w14:paraId="57126FA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5.2.1 发包人的质量管理</w:t>
      </w:r>
    </w:p>
    <w:p w14:paraId="40E76E0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发包人应按照法律规定及合同约定完成与工程质量有关的各项工作。</w:t>
      </w:r>
    </w:p>
    <w:p w14:paraId="56732CB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5.2.2 承包人的质量管理</w:t>
      </w:r>
    </w:p>
    <w:p w14:paraId="782C62F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318ECD9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承包人应对施工人员进行质量教育和技术培训，定期考核施工人员的劳动技能，严格执行施工规范和操作规程。</w:t>
      </w:r>
    </w:p>
    <w:p w14:paraId="0697DBA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61EC720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5.2.3 监理人的质量检查和检验</w:t>
      </w:r>
    </w:p>
    <w:p w14:paraId="0C8F656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4143FF8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6A00A40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63" w:name="_Toc351203535"/>
      <w:r>
        <w:rPr>
          <w:rFonts w:hint="eastAsia" w:ascii="宋体" w:hAnsi="宋体" w:eastAsia="宋体" w:cs="宋体"/>
          <w:b w:val="0"/>
          <w:bCs w:val="0"/>
          <w:color w:val="000000" w:themeColor="text1"/>
          <w:kern w:val="0"/>
          <w:highlight w:val="none"/>
          <w14:textFill>
            <w14:solidFill>
              <w14:schemeClr w14:val="tx1"/>
            </w14:solidFill>
          </w14:textFill>
        </w:rPr>
        <w:t>5</w:t>
      </w:r>
      <w:bookmarkStart w:id="264" w:name="_Toc337558761"/>
      <w:r>
        <w:rPr>
          <w:rFonts w:hint="eastAsia" w:ascii="宋体" w:hAnsi="宋体" w:eastAsia="宋体" w:cs="宋体"/>
          <w:b w:val="0"/>
          <w:bCs w:val="0"/>
          <w:color w:val="000000" w:themeColor="text1"/>
          <w:kern w:val="0"/>
          <w:highlight w:val="none"/>
          <w14:textFill>
            <w14:solidFill>
              <w14:schemeClr w14:val="tx1"/>
            </w14:solidFill>
          </w14:textFill>
        </w:rPr>
        <w:t>.3 隐蔽工程检查</w:t>
      </w:r>
      <w:bookmarkEnd w:id="263"/>
    </w:p>
    <w:bookmarkEnd w:id="264"/>
    <w:p w14:paraId="468959E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5.3.1承包人自检</w:t>
      </w:r>
    </w:p>
    <w:p w14:paraId="36AF92E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承包人应当对工程隐蔽部位进行自检，并经自检确认是否具备覆盖条件。</w:t>
      </w:r>
    </w:p>
    <w:p w14:paraId="1BFD94F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5.3.2检查程序</w:t>
      </w:r>
    </w:p>
    <w:p w14:paraId="30B38EA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3E9CFB7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0722C7A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6CD9D9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5.3.3 重新检查</w:t>
      </w:r>
    </w:p>
    <w:p w14:paraId="469CC68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67BABFA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5.3.4 承包人私自覆盖</w:t>
      </w:r>
    </w:p>
    <w:p w14:paraId="38D22D0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承包人未通知监理人到场检查，私自将工程隐蔽部位覆盖的，监理人有权指示承包人钻孔探测或揭开检查，无论工程隐蔽部位质量是否合格，由此增加的费用和（或）延误的工期均由承包人承担。</w:t>
      </w:r>
    </w:p>
    <w:p w14:paraId="3BE0430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65" w:name="_Toc351203536"/>
      <w:r>
        <w:rPr>
          <w:rFonts w:hint="eastAsia" w:ascii="宋体" w:hAnsi="宋体" w:eastAsia="宋体" w:cs="宋体"/>
          <w:b w:val="0"/>
          <w:bCs w:val="0"/>
          <w:color w:val="000000" w:themeColor="text1"/>
          <w:kern w:val="0"/>
          <w:highlight w:val="none"/>
          <w14:textFill>
            <w14:solidFill>
              <w14:schemeClr w14:val="tx1"/>
            </w14:solidFill>
          </w14:textFill>
        </w:rPr>
        <w:t>5</w:t>
      </w:r>
      <w:bookmarkStart w:id="266" w:name="_Toc337558762"/>
      <w:r>
        <w:rPr>
          <w:rFonts w:hint="eastAsia" w:ascii="宋体" w:hAnsi="宋体" w:eastAsia="宋体" w:cs="宋体"/>
          <w:b w:val="0"/>
          <w:bCs w:val="0"/>
          <w:color w:val="000000" w:themeColor="text1"/>
          <w:kern w:val="0"/>
          <w:highlight w:val="none"/>
          <w14:textFill>
            <w14:solidFill>
              <w14:schemeClr w14:val="tx1"/>
            </w14:solidFill>
          </w14:textFill>
        </w:rPr>
        <w:t>.4不合格工程的处理</w:t>
      </w:r>
      <w:bookmarkEnd w:id="265"/>
    </w:p>
    <w:bookmarkEnd w:id="266"/>
    <w:p w14:paraId="37940AD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094FEC1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5.4.2 因发包人原因造成工程不合格的，由此增加的费用和（或）延误的工期由发包人承担，并支付承包人合理的利润。</w:t>
      </w:r>
    </w:p>
    <w:p w14:paraId="774C45F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67" w:name="_Toc351203537"/>
      <w:r>
        <w:rPr>
          <w:rFonts w:hint="eastAsia" w:ascii="宋体" w:hAnsi="宋体" w:eastAsia="宋体" w:cs="宋体"/>
          <w:b w:val="0"/>
          <w:bCs w:val="0"/>
          <w:color w:val="000000" w:themeColor="text1"/>
          <w:kern w:val="0"/>
          <w:highlight w:val="none"/>
          <w14:textFill>
            <w14:solidFill>
              <w14:schemeClr w14:val="tx1"/>
            </w14:solidFill>
          </w14:textFill>
        </w:rPr>
        <w:t>5.5 质量争议检测</w:t>
      </w:r>
      <w:bookmarkEnd w:id="267"/>
    </w:p>
    <w:p w14:paraId="4F6C2EC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合同当事人对工程质量有争议的，由双方协商确定的工程质量检测机构鉴定，由此产生的费用及因此造成的损失，由责任方承担。</w:t>
      </w:r>
    </w:p>
    <w:p w14:paraId="4278F75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合同当事人均有责任的，由双方根据其责任分别承担。合同当事人无法达成一致的，按照第4.4款〔商定或确定〕执行。</w:t>
      </w:r>
    </w:p>
    <w:p w14:paraId="0B80C1B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68" w:name="_Toc351203538"/>
      <w:r>
        <w:rPr>
          <w:rFonts w:hint="eastAsia" w:ascii="宋体" w:hAnsi="宋体" w:eastAsia="宋体" w:cs="宋体"/>
          <w:b w:val="0"/>
          <w:bCs w:val="0"/>
          <w:color w:val="000000" w:themeColor="text1"/>
          <w:kern w:val="0"/>
          <w:highlight w:val="none"/>
          <w14:textFill>
            <w14:solidFill>
              <w14:schemeClr w14:val="tx1"/>
            </w14:solidFill>
          </w14:textFill>
        </w:rPr>
        <w:t>6</w:t>
      </w:r>
      <w:bookmarkStart w:id="269" w:name="_Toc337558763"/>
      <w:r>
        <w:rPr>
          <w:rFonts w:hint="eastAsia" w:ascii="宋体" w:hAnsi="宋体" w:eastAsia="宋体" w:cs="宋体"/>
          <w:b w:val="0"/>
          <w:bCs w:val="0"/>
          <w:color w:val="000000" w:themeColor="text1"/>
          <w:kern w:val="0"/>
          <w:highlight w:val="none"/>
          <w14:textFill>
            <w14:solidFill>
              <w14:schemeClr w14:val="tx1"/>
            </w14:solidFill>
          </w14:textFill>
        </w:rPr>
        <w:t>. 安全文明施工与环境保护</w:t>
      </w:r>
      <w:bookmarkEnd w:id="268"/>
    </w:p>
    <w:bookmarkEnd w:id="269"/>
    <w:p w14:paraId="648741E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70" w:name="_Toc351203539"/>
      <w:r>
        <w:rPr>
          <w:rFonts w:hint="eastAsia" w:ascii="宋体" w:hAnsi="宋体" w:eastAsia="宋体" w:cs="宋体"/>
          <w:b w:val="0"/>
          <w:bCs w:val="0"/>
          <w:color w:val="000000" w:themeColor="text1"/>
          <w:kern w:val="0"/>
          <w:highlight w:val="none"/>
          <w14:textFill>
            <w14:solidFill>
              <w14:schemeClr w14:val="tx1"/>
            </w14:solidFill>
          </w14:textFill>
        </w:rPr>
        <w:t>6</w:t>
      </w:r>
      <w:bookmarkStart w:id="271" w:name="_Toc337558764"/>
      <w:r>
        <w:rPr>
          <w:rFonts w:hint="eastAsia" w:ascii="宋体" w:hAnsi="宋体" w:eastAsia="宋体" w:cs="宋体"/>
          <w:b w:val="0"/>
          <w:bCs w:val="0"/>
          <w:color w:val="000000" w:themeColor="text1"/>
          <w:kern w:val="0"/>
          <w:highlight w:val="none"/>
          <w14:textFill>
            <w14:solidFill>
              <w14:schemeClr w14:val="tx1"/>
            </w14:solidFill>
          </w14:textFill>
        </w:rPr>
        <w:t>.1安全文明施工</w:t>
      </w:r>
      <w:bookmarkEnd w:id="270"/>
    </w:p>
    <w:bookmarkEnd w:id="271"/>
    <w:p w14:paraId="4C0CFB8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6.1.1安全生产要求</w:t>
      </w:r>
    </w:p>
    <w:p w14:paraId="1731E83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B63FF4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在施工过程中，如遇到突发的地质变动、事先未知的地下施工障碍等影响施工安全的紧急情况，承包人应及时报告监理人和发包人，发包人应当及时下令停工并报政府有关行政管理部门采取应急措施。</w:t>
      </w:r>
    </w:p>
    <w:p w14:paraId="37CA44F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因安全生产需要暂停施工的，按照第7.8款〔暂停施工〕的约定执行。</w:t>
      </w:r>
    </w:p>
    <w:p w14:paraId="0813C82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6.1.2 安全生产保证措施</w:t>
      </w:r>
    </w:p>
    <w:p w14:paraId="3509F29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14:paraId="1BA1722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6.1.3特别安全生产事项</w:t>
      </w:r>
    </w:p>
    <w:p w14:paraId="5865727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22A4426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承包人在动力设备、输电线路、地下管道、密封防震车间、易燃易爆地段以及临街交通要道附近施工时，施工开始前应向发包人和监理人提出安全防护措施，经发包人认可后实施。 </w:t>
      </w:r>
    </w:p>
    <w:p w14:paraId="396D51E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实施爆破作业，在放射、毒害性环境中施工（含储存、运输、使用）及使用毒害性、腐蚀性物品施工时，承包人应在施工前7天以书面通知发包人和监理人，并报送相应的安全防护措施，经发包人认可后实施。</w:t>
      </w:r>
    </w:p>
    <w:p w14:paraId="7DD4BDB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需单独编制危险性较大分部分项专项工程施工方案的，及要求进行专家论证的超过一定规模的危险性较大的分部分项工程，承包人应及时编制和组织论证。</w:t>
      </w:r>
    </w:p>
    <w:p w14:paraId="0CF7201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6.1.4 治安保卫</w:t>
      </w:r>
    </w:p>
    <w:p w14:paraId="2C6A8F1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除专用合同条款另有约定外，发包人应与当地公安部门协商，在现场建立治安管理机构或联防组织，统一管理施工场地的治安保卫事项，履行合同工程的治安保卫职责。</w:t>
      </w:r>
    </w:p>
    <w:p w14:paraId="5604285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发包人和承包人除应协助现场治安管理机构或联防组织维护施工场地的社会治安外，还应做好包括生活区在内的各自管辖区的治安保卫工作。</w:t>
      </w:r>
    </w:p>
    <w:p w14:paraId="46275EF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3D9E14C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6.1.5 文明施工</w:t>
      </w:r>
    </w:p>
    <w:p w14:paraId="567323E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53A4EDB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5834AE0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6.1.6 安全文明施工费</w:t>
      </w:r>
    </w:p>
    <w:p w14:paraId="2286361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安全文明施工费由发包人承担，发包人不得以任何形式扣减该部分费用。因基准日期后合同所适用的法律或政府有关规定发生变化，增加的安全文明施工费由发包人承担。</w:t>
      </w:r>
    </w:p>
    <w:p w14:paraId="1C3C5B9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5BC02DF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148BDC6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4CBF86F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6.1.7 紧急情况处理</w:t>
      </w:r>
    </w:p>
    <w:p w14:paraId="257CCFB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197BEC7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6.1.8 事故处理</w:t>
      </w:r>
    </w:p>
    <w:p w14:paraId="136E30E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4E0C87B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6.1.9 安全生产责任</w:t>
      </w:r>
    </w:p>
    <w:p w14:paraId="25F5291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6.1.9.1 发包人的安全责任</w:t>
      </w:r>
    </w:p>
    <w:p w14:paraId="21D4925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发包人应负责赔偿以下各种情况造成的损失：</w:t>
      </w:r>
    </w:p>
    <w:p w14:paraId="5471D1C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（1）工程或工程的任何部分对土地的占用所造成的第三者财产损失；</w:t>
      </w:r>
    </w:p>
    <w:p w14:paraId="3DC5FAA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（2）由于发包人原因在施工场地及其毗邻地带造成的第三者人身伤亡和财产损失；</w:t>
      </w:r>
    </w:p>
    <w:p w14:paraId="4362015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（3）由于发包人原因对承包人、监理人造成的人员人身伤亡和财产损失；</w:t>
      </w:r>
    </w:p>
    <w:p w14:paraId="1DA1C44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（4）由于发包人原因造成的发包人自身人员的人身伤害以及财产损失。</w:t>
      </w:r>
    </w:p>
    <w:p w14:paraId="249BB15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6.1.9.2 承包人的安全责任</w:t>
      </w:r>
    </w:p>
    <w:p w14:paraId="1C5E6B6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由于承包人原因在施工场地内及其毗邻地带造成的发包人、监理人以及第三者人员伤亡和财产损失，由承包人负责赔偿。</w:t>
      </w:r>
    </w:p>
    <w:p w14:paraId="10619B1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72" w:name="_Toc351203540"/>
      <w:r>
        <w:rPr>
          <w:rFonts w:hint="eastAsia" w:ascii="宋体" w:hAnsi="宋体" w:eastAsia="宋体" w:cs="宋体"/>
          <w:b w:val="0"/>
          <w:bCs w:val="0"/>
          <w:color w:val="000000" w:themeColor="text1"/>
          <w:kern w:val="0"/>
          <w:highlight w:val="none"/>
          <w14:textFill>
            <w14:solidFill>
              <w14:schemeClr w14:val="tx1"/>
            </w14:solidFill>
          </w14:textFill>
        </w:rPr>
        <w:t>6</w:t>
      </w:r>
      <w:bookmarkStart w:id="273" w:name="_Toc337558765"/>
      <w:r>
        <w:rPr>
          <w:rFonts w:hint="eastAsia" w:ascii="宋体" w:hAnsi="宋体" w:eastAsia="宋体" w:cs="宋体"/>
          <w:b w:val="0"/>
          <w:bCs w:val="0"/>
          <w:color w:val="000000" w:themeColor="text1"/>
          <w:kern w:val="0"/>
          <w:highlight w:val="none"/>
          <w14:textFill>
            <w14:solidFill>
              <w14:schemeClr w14:val="tx1"/>
            </w14:solidFill>
          </w14:textFill>
        </w:rPr>
        <w:t>.2 职业健康</w:t>
      </w:r>
      <w:bookmarkEnd w:id="272"/>
    </w:p>
    <w:bookmarkEnd w:id="273"/>
    <w:p w14:paraId="41BA23E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6.2.1 劳动保护</w:t>
      </w:r>
    </w:p>
    <w:p w14:paraId="6113938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1B6DFC5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23E32B1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承包人应按法律规定安排工作时间，保证其雇佣人员享有休息和休假的权利。因工程施工的特殊需要占用休假日或延长工作时间的，应不超过法律规定的限度，并按法律规定给予补休或付酬。</w:t>
      </w:r>
    </w:p>
    <w:p w14:paraId="01134AE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6.2.2 生活条件</w:t>
      </w:r>
    </w:p>
    <w:p w14:paraId="30A4AA5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78DB061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74" w:name="_Toc351203541"/>
      <w:r>
        <w:rPr>
          <w:rFonts w:hint="eastAsia" w:ascii="宋体" w:hAnsi="宋体" w:eastAsia="宋体" w:cs="宋体"/>
          <w:b w:val="0"/>
          <w:bCs w:val="0"/>
          <w:color w:val="000000" w:themeColor="text1"/>
          <w:kern w:val="0"/>
          <w:highlight w:val="none"/>
          <w14:textFill>
            <w14:solidFill>
              <w14:schemeClr w14:val="tx1"/>
            </w14:solidFill>
          </w14:textFill>
        </w:rPr>
        <w:t>6</w:t>
      </w:r>
      <w:bookmarkStart w:id="275" w:name="_Toc337558766"/>
      <w:r>
        <w:rPr>
          <w:rFonts w:hint="eastAsia" w:ascii="宋体" w:hAnsi="宋体" w:eastAsia="宋体" w:cs="宋体"/>
          <w:b w:val="0"/>
          <w:bCs w:val="0"/>
          <w:color w:val="000000" w:themeColor="text1"/>
          <w:kern w:val="0"/>
          <w:highlight w:val="none"/>
          <w14:textFill>
            <w14:solidFill>
              <w14:schemeClr w14:val="tx1"/>
            </w14:solidFill>
          </w14:textFill>
        </w:rPr>
        <w:t>.3 环境保护</w:t>
      </w:r>
      <w:bookmarkEnd w:id="274"/>
    </w:p>
    <w:bookmarkEnd w:id="275"/>
    <w:p w14:paraId="6CEC634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4B7D1FF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承包人应当承担因其原因引起的环境污染侵权损害赔偿责任，因上述环境污染引起纠纷而导致暂停施工的，由此增加的费用和（或）延误的工期由承包人承担。</w:t>
      </w:r>
    </w:p>
    <w:p w14:paraId="2D259F8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76" w:name="_Toc351203542"/>
      <w:r>
        <w:rPr>
          <w:rFonts w:hint="eastAsia" w:ascii="宋体" w:hAnsi="宋体" w:eastAsia="宋体" w:cs="宋体"/>
          <w:b w:val="0"/>
          <w:bCs w:val="0"/>
          <w:color w:val="000000" w:themeColor="text1"/>
          <w:kern w:val="0"/>
          <w:highlight w:val="none"/>
          <w14:textFill>
            <w14:solidFill>
              <w14:schemeClr w14:val="tx1"/>
            </w14:solidFill>
          </w14:textFill>
        </w:rPr>
        <w:t>7</w:t>
      </w:r>
      <w:bookmarkStart w:id="277" w:name="_Toc337558767"/>
      <w:r>
        <w:rPr>
          <w:rFonts w:hint="eastAsia" w:ascii="宋体" w:hAnsi="宋体" w:eastAsia="宋体" w:cs="宋体"/>
          <w:b w:val="0"/>
          <w:bCs w:val="0"/>
          <w:color w:val="000000" w:themeColor="text1"/>
          <w:kern w:val="0"/>
          <w:highlight w:val="none"/>
          <w14:textFill>
            <w14:solidFill>
              <w14:schemeClr w14:val="tx1"/>
            </w14:solidFill>
          </w14:textFill>
        </w:rPr>
        <w:t>. 工期和进度</w:t>
      </w:r>
      <w:bookmarkEnd w:id="276"/>
    </w:p>
    <w:bookmarkEnd w:id="277"/>
    <w:p w14:paraId="4C8ABAE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78" w:name="_Toc351203543"/>
      <w:r>
        <w:rPr>
          <w:rFonts w:hint="eastAsia" w:ascii="宋体" w:hAnsi="宋体" w:eastAsia="宋体" w:cs="宋体"/>
          <w:b w:val="0"/>
          <w:bCs w:val="0"/>
          <w:color w:val="000000" w:themeColor="text1"/>
          <w:kern w:val="0"/>
          <w:highlight w:val="none"/>
          <w14:textFill>
            <w14:solidFill>
              <w14:schemeClr w14:val="tx1"/>
            </w14:solidFill>
          </w14:textFill>
        </w:rPr>
        <w:t>7</w:t>
      </w:r>
      <w:bookmarkStart w:id="279" w:name="_Toc337558768"/>
      <w:bookmarkStart w:id="280" w:name="_Toc296346567"/>
      <w:bookmarkStart w:id="281" w:name="_Toc296503066"/>
      <w:r>
        <w:rPr>
          <w:rFonts w:hint="eastAsia" w:ascii="宋体" w:hAnsi="宋体" w:eastAsia="宋体" w:cs="宋体"/>
          <w:b w:val="0"/>
          <w:bCs w:val="0"/>
          <w:color w:val="000000" w:themeColor="text1"/>
          <w:kern w:val="0"/>
          <w:highlight w:val="none"/>
          <w14:textFill>
            <w14:solidFill>
              <w14:schemeClr w14:val="tx1"/>
            </w14:solidFill>
          </w14:textFill>
        </w:rPr>
        <w:t>.1施工组织设计</w:t>
      </w:r>
      <w:bookmarkEnd w:id="278"/>
    </w:p>
    <w:bookmarkEnd w:id="279"/>
    <w:p w14:paraId="45C88C1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7.1.1 施工组织设计的内容</w:t>
      </w:r>
    </w:p>
    <w:p w14:paraId="732835C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施工组织设计应包含以下内容：</w:t>
      </w:r>
    </w:p>
    <w:p w14:paraId="067AF57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（1）施工方案； </w:t>
      </w:r>
    </w:p>
    <w:p w14:paraId="10B26C8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（2）施工现场平面布置图；</w:t>
      </w:r>
    </w:p>
    <w:p w14:paraId="49666D5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（3）施工进度计划和保证措施； </w:t>
      </w:r>
    </w:p>
    <w:p w14:paraId="65F29CF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（4）劳动力及材料供应计划；</w:t>
      </w:r>
    </w:p>
    <w:p w14:paraId="41E962A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（5）施工机械设备的选用；</w:t>
      </w:r>
    </w:p>
    <w:p w14:paraId="6B64A8F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（6）质量保证体系及措施；</w:t>
      </w:r>
    </w:p>
    <w:p w14:paraId="0724953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（7）安全生产、文明施工措施；</w:t>
      </w:r>
    </w:p>
    <w:p w14:paraId="1A100BC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（8）环境保护、成本控制措施；</w:t>
      </w:r>
    </w:p>
    <w:p w14:paraId="4048A98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（9）合同当事人约定的其他内容。</w:t>
      </w:r>
    </w:p>
    <w:p w14:paraId="1729924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7.1.2 施工组织设计的提交和修改</w:t>
      </w:r>
    </w:p>
    <w:p w14:paraId="0F7CCBD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1144522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施工进度计划的编制和修改按照第7.2款〔施工进度计划〕执行。</w:t>
      </w:r>
    </w:p>
    <w:p w14:paraId="6B18AF4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82" w:name="_Toc351203544"/>
      <w:r>
        <w:rPr>
          <w:rFonts w:hint="eastAsia" w:ascii="宋体" w:hAnsi="宋体" w:eastAsia="宋体" w:cs="宋体"/>
          <w:b w:val="0"/>
          <w:bCs w:val="0"/>
          <w:color w:val="000000" w:themeColor="text1"/>
          <w:kern w:val="0"/>
          <w:highlight w:val="none"/>
          <w14:textFill>
            <w14:solidFill>
              <w14:schemeClr w14:val="tx1"/>
            </w14:solidFill>
          </w14:textFill>
        </w:rPr>
        <w:t>7</w:t>
      </w:r>
      <w:bookmarkStart w:id="283" w:name="_Toc337558769"/>
      <w:r>
        <w:rPr>
          <w:rFonts w:hint="eastAsia" w:ascii="宋体" w:hAnsi="宋体" w:eastAsia="宋体" w:cs="宋体"/>
          <w:b w:val="0"/>
          <w:bCs w:val="0"/>
          <w:color w:val="000000" w:themeColor="text1"/>
          <w:kern w:val="0"/>
          <w:highlight w:val="none"/>
          <w14:textFill>
            <w14:solidFill>
              <w14:schemeClr w14:val="tx1"/>
            </w14:solidFill>
          </w14:textFill>
        </w:rPr>
        <w:t>.2 施工进度计划</w:t>
      </w:r>
      <w:bookmarkEnd w:id="282"/>
    </w:p>
    <w:bookmarkEnd w:id="283"/>
    <w:p w14:paraId="636BFF5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7.2.1 施工进度计划的编制</w:t>
      </w:r>
    </w:p>
    <w:p w14:paraId="6374315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77946B0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7.2.2 施工进度计划的修订</w:t>
      </w:r>
    </w:p>
    <w:p w14:paraId="7314105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2DF6133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84" w:name="_Toc351203545"/>
      <w:r>
        <w:rPr>
          <w:rFonts w:hint="eastAsia" w:ascii="宋体" w:hAnsi="宋体" w:eastAsia="宋体" w:cs="宋体"/>
          <w:b w:val="0"/>
          <w:bCs w:val="0"/>
          <w:color w:val="000000" w:themeColor="text1"/>
          <w:kern w:val="0"/>
          <w:highlight w:val="none"/>
          <w14:textFill>
            <w14:solidFill>
              <w14:schemeClr w14:val="tx1"/>
            </w14:solidFill>
          </w14:textFill>
        </w:rPr>
        <w:t>7</w:t>
      </w:r>
      <w:bookmarkStart w:id="285" w:name="_Toc337558770"/>
      <w:r>
        <w:rPr>
          <w:rFonts w:hint="eastAsia" w:ascii="宋体" w:hAnsi="宋体" w:eastAsia="宋体" w:cs="宋体"/>
          <w:b w:val="0"/>
          <w:bCs w:val="0"/>
          <w:color w:val="000000" w:themeColor="text1"/>
          <w:kern w:val="0"/>
          <w:highlight w:val="none"/>
          <w14:textFill>
            <w14:solidFill>
              <w14:schemeClr w14:val="tx1"/>
            </w14:solidFill>
          </w14:textFill>
        </w:rPr>
        <w:t>.3 开工</w:t>
      </w:r>
      <w:bookmarkEnd w:id="284"/>
    </w:p>
    <w:p w14:paraId="6A2DA55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7.3.1 开工准备</w:t>
      </w:r>
    </w:p>
    <w:p w14:paraId="5129945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0B96CD6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除专用合同条款另有约定外，合同当事人应按约定完成开工准备工作。</w:t>
      </w:r>
    </w:p>
    <w:p w14:paraId="5D914A8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7.3.2 开工通知</w:t>
      </w:r>
    </w:p>
    <w:bookmarkEnd w:id="285"/>
    <w:p w14:paraId="6E0D98F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251AFB3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33B124C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86" w:name="_Toc351203546"/>
      <w:r>
        <w:rPr>
          <w:rFonts w:hint="eastAsia" w:ascii="宋体" w:hAnsi="宋体" w:eastAsia="宋体" w:cs="宋体"/>
          <w:b w:val="0"/>
          <w:bCs w:val="0"/>
          <w:color w:val="000000" w:themeColor="text1"/>
          <w:kern w:val="0"/>
          <w:highlight w:val="none"/>
          <w14:textFill>
            <w14:solidFill>
              <w14:schemeClr w14:val="tx1"/>
            </w14:solidFill>
          </w14:textFill>
        </w:rPr>
        <w:t>7.4测量放线</w:t>
      </w:r>
      <w:bookmarkEnd w:id="286"/>
    </w:p>
    <w:p w14:paraId="385CADB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04B6E7A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15B8AAA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365C89E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施工过程中对施工现场内水准点等测量标志物的保护工作由承包人负责。</w:t>
      </w:r>
      <w:bookmarkStart w:id="287" w:name="_Toc351203547"/>
    </w:p>
    <w:p w14:paraId="3F9E266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w:t>
      </w:r>
      <w:bookmarkEnd w:id="280"/>
      <w:bookmarkEnd w:id="281"/>
      <w:bookmarkStart w:id="288" w:name="_Toc296503073"/>
      <w:bookmarkStart w:id="289" w:name="_Toc296346574"/>
      <w:bookmarkStart w:id="290" w:name="_Toc337558772"/>
      <w:r>
        <w:rPr>
          <w:rFonts w:hint="eastAsia" w:ascii="宋体" w:hAnsi="宋体" w:eastAsia="宋体" w:cs="宋体"/>
          <w:b w:val="0"/>
          <w:bCs w:val="0"/>
          <w:color w:val="000000" w:themeColor="text1"/>
          <w:kern w:val="0"/>
          <w:highlight w:val="none"/>
          <w14:textFill>
            <w14:solidFill>
              <w14:schemeClr w14:val="tx1"/>
            </w14:solidFill>
          </w14:textFill>
        </w:rPr>
        <w:t>.5 工期延误</w:t>
      </w:r>
      <w:bookmarkEnd w:id="287"/>
    </w:p>
    <w:bookmarkEnd w:id="288"/>
    <w:bookmarkEnd w:id="289"/>
    <w:bookmarkEnd w:id="290"/>
    <w:p w14:paraId="29543C8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7.5.1 因发包人原因导致工期延误</w:t>
      </w:r>
    </w:p>
    <w:p w14:paraId="5AD4C99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在合同履行过程中，因下列情况导致工期延误和（或）费用增加的，由发包人承担由此延误的工期和（或）增加的费用，且发包人应支付承包人合理的利润： </w:t>
      </w:r>
    </w:p>
    <w:p w14:paraId="07F6AA3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（1）发包人未能按合同约定提供图纸或所提供图纸不符合合同约定的；</w:t>
      </w:r>
    </w:p>
    <w:p w14:paraId="034724F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（2）发包人未能按合同约定提供施工现场、施工条件、基础资料、许可、批准等开工条件的；</w:t>
      </w:r>
    </w:p>
    <w:p w14:paraId="2A4C2B6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（3）发包人提供的测量基准点、基准线和水准点及其书面资料存在错误或疏漏的；</w:t>
      </w:r>
    </w:p>
    <w:p w14:paraId="718B059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（4）发包人未能在计划开工日期之日起7天内同意下达开工通知的；</w:t>
      </w:r>
    </w:p>
    <w:p w14:paraId="5358748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（5）发包人未能按合同约定日期支付工程预付款、进度款或竣工结算款的；</w:t>
      </w:r>
    </w:p>
    <w:p w14:paraId="5757D6C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（6）监理人未按合同约定发出指示、批准等文件的；</w:t>
      </w:r>
    </w:p>
    <w:p w14:paraId="521EA48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（7）专用合同条款中约定的其他情形。</w:t>
      </w:r>
    </w:p>
    <w:p w14:paraId="635935B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2627378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7.5.2 因承包人原因导致工期延误</w:t>
      </w:r>
    </w:p>
    <w:p w14:paraId="1F94DF8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91" w:name="_Toc296346577"/>
      <w:bookmarkStart w:id="292" w:name="_Toc296503076"/>
      <w:r>
        <w:rPr>
          <w:rFonts w:hint="eastAsia" w:ascii="宋体" w:hAnsi="宋体" w:eastAsia="宋体" w:cs="宋体"/>
          <w:b w:val="0"/>
          <w:bCs w:val="0"/>
          <w:color w:val="000000" w:themeColor="text1"/>
          <w:kern w:val="0"/>
          <w:highlight w:val="none"/>
          <w14:textFill>
            <w14:solidFill>
              <w14:schemeClr w14:val="tx1"/>
            </w14:solidFill>
          </w14:textFill>
        </w:rPr>
        <w:t>因</w:t>
      </w:r>
      <w:bookmarkEnd w:id="291"/>
      <w:bookmarkEnd w:id="292"/>
      <w:r>
        <w:rPr>
          <w:rFonts w:hint="eastAsia" w:ascii="宋体" w:hAnsi="宋体" w:eastAsia="宋体" w:cs="宋体"/>
          <w:b w:val="0"/>
          <w:bCs w:val="0"/>
          <w:color w:val="000000" w:themeColor="text1"/>
          <w:kern w:val="0"/>
          <w:highlight w:val="none"/>
          <w14:textFill>
            <w14:solidFill>
              <w14:schemeClr w14:val="tx1"/>
            </w14:solidFill>
          </w14:textFill>
        </w:rPr>
        <w:t>承包人原因造成工期延误的，可以在专用合同条款中约定逾期竣工违约金的计算方法和逾期竣工违约金的上限。承包人支付逾期竣工违约金后，不免除承包人继续完成工程及修补缺陷的义务。</w:t>
      </w:r>
    </w:p>
    <w:p w14:paraId="4212B7C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93" w:name="_Toc351203548"/>
      <w:r>
        <w:rPr>
          <w:rFonts w:hint="eastAsia" w:ascii="宋体" w:hAnsi="宋体" w:eastAsia="宋体" w:cs="宋体"/>
          <w:b w:val="0"/>
          <w:bCs w:val="0"/>
          <w:color w:val="000000" w:themeColor="text1"/>
          <w:kern w:val="0"/>
          <w:highlight w:val="none"/>
          <w14:textFill>
            <w14:solidFill>
              <w14:schemeClr w14:val="tx1"/>
            </w14:solidFill>
          </w14:textFill>
        </w:rPr>
        <w:t>7</w:t>
      </w:r>
      <w:bookmarkStart w:id="294" w:name="_Toc296503074"/>
      <w:bookmarkStart w:id="295" w:name="_Toc337558773"/>
      <w:bookmarkStart w:id="296" w:name="_Toc296346575"/>
      <w:bookmarkStart w:id="297" w:name="_Toc296503077"/>
      <w:bookmarkStart w:id="298" w:name="_Toc296346578"/>
      <w:r>
        <w:rPr>
          <w:rFonts w:hint="eastAsia" w:ascii="宋体" w:hAnsi="宋体" w:eastAsia="宋体" w:cs="宋体"/>
          <w:b w:val="0"/>
          <w:bCs w:val="0"/>
          <w:color w:val="000000" w:themeColor="text1"/>
          <w:kern w:val="0"/>
          <w:highlight w:val="none"/>
          <w14:textFill>
            <w14:solidFill>
              <w14:schemeClr w14:val="tx1"/>
            </w14:solidFill>
          </w14:textFill>
        </w:rPr>
        <w:t>.6 不利物质条件</w:t>
      </w:r>
      <w:bookmarkEnd w:id="293"/>
    </w:p>
    <w:bookmarkEnd w:id="294"/>
    <w:bookmarkEnd w:id="295"/>
    <w:bookmarkEnd w:id="296"/>
    <w:p w14:paraId="037F503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6D3CC12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3F7D513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299" w:name="_Toc351203549"/>
      <w:r>
        <w:rPr>
          <w:rFonts w:hint="eastAsia" w:ascii="宋体" w:hAnsi="宋体" w:eastAsia="宋体" w:cs="宋体"/>
          <w:b w:val="0"/>
          <w:bCs w:val="0"/>
          <w:color w:val="000000" w:themeColor="text1"/>
          <w:kern w:val="0"/>
          <w:highlight w:val="none"/>
          <w14:textFill>
            <w14:solidFill>
              <w14:schemeClr w14:val="tx1"/>
            </w14:solidFill>
          </w14:textFill>
        </w:rPr>
        <w:t>7</w:t>
      </w:r>
      <w:bookmarkStart w:id="300" w:name="_Toc296346576"/>
      <w:bookmarkStart w:id="301" w:name="_Toc296503075"/>
      <w:bookmarkStart w:id="302" w:name="_Toc337558774"/>
      <w:r>
        <w:rPr>
          <w:rFonts w:hint="eastAsia" w:ascii="宋体" w:hAnsi="宋体" w:eastAsia="宋体" w:cs="宋体"/>
          <w:b w:val="0"/>
          <w:bCs w:val="0"/>
          <w:color w:val="000000" w:themeColor="text1"/>
          <w:kern w:val="0"/>
          <w:highlight w:val="none"/>
          <w14:textFill>
            <w14:solidFill>
              <w14:schemeClr w14:val="tx1"/>
            </w14:solidFill>
          </w14:textFill>
        </w:rPr>
        <w:t>.7 异常恶劣的气候条件</w:t>
      </w:r>
      <w:bookmarkEnd w:id="299"/>
    </w:p>
    <w:bookmarkEnd w:id="300"/>
    <w:bookmarkEnd w:id="301"/>
    <w:bookmarkEnd w:id="302"/>
    <w:p w14:paraId="3F5E537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187675E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303" w:name="_Toc351203550"/>
    </w:p>
    <w:p w14:paraId="1D153F4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w:t>
      </w:r>
      <w:bookmarkStart w:id="304" w:name="_Toc337558775"/>
      <w:r>
        <w:rPr>
          <w:rFonts w:hint="eastAsia" w:ascii="宋体" w:hAnsi="宋体" w:eastAsia="宋体" w:cs="宋体"/>
          <w:b w:val="0"/>
          <w:bCs w:val="0"/>
          <w:color w:val="000000" w:themeColor="text1"/>
          <w:kern w:val="0"/>
          <w:highlight w:val="none"/>
          <w14:textFill>
            <w14:solidFill>
              <w14:schemeClr w14:val="tx1"/>
            </w14:solidFill>
          </w14:textFill>
        </w:rPr>
        <w:t>.8 暂停施工</w:t>
      </w:r>
      <w:bookmarkEnd w:id="303"/>
    </w:p>
    <w:bookmarkEnd w:id="297"/>
    <w:bookmarkEnd w:id="298"/>
    <w:bookmarkEnd w:id="304"/>
    <w:p w14:paraId="41A8BAA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7.8.1发包人原因引起的暂停施工</w:t>
      </w:r>
    </w:p>
    <w:p w14:paraId="22811E8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因发包人原因引起暂停施工的，监理人经发包人同意后，应及时下达暂停施工指示。情况紧急且监理人未及时下达暂停施工指示的，按照第7.8.4项〔紧急情况下的暂停施工〕执行。</w:t>
      </w:r>
    </w:p>
    <w:p w14:paraId="3055C86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因发包人原因引起的暂停施工，发包人应承担由此增加的费用和（或）延误的工期，并支付承包人合理的利润。</w:t>
      </w:r>
    </w:p>
    <w:p w14:paraId="3D79941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7.8.2 承包人原因引起的暂停施工</w:t>
      </w:r>
    </w:p>
    <w:p w14:paraId="1D876F2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4EE7BC6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7.8.3 指示暂停施工</w:t>
      </w:r>
    </w:p>
    <w:p w14:paraId="1A3C9B9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监理人认为有必要时，并经发包人批准后，可向承包人作出暂停施工的指示，承包人应按监理人指示暂停施工。</w:t>
      </w:r>
    </w:p>
    <w:p w14:paraId="3F95FB4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7.8.4 紧急情况下的暂停施工</w:t>
      </w:r>
    </w:p>
    <w:p w14:paraId="5DAB6F0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3BEA888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7.8.5 暂停施工后的复工</w:t>
      </w:r>
    </w:p>
    <w:p w14:paraId="7F4D312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00AC152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承包人无故拖延和拒绝复工的，承包人承担由此增加的费用和（或）延误的工期；因发包人原因无法按时复工的，按照第7.5.1项〔因发包人原因导致工期延误〕约定办理。</w:t>
      </w:r>
    </w:p>
    <w:p w14:paraId="60470FE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7.8.6 暂停施工持续56天以上</w:t>
      </w:r>
    </w:p>
    <w:p w14:paraId="1C7D1CD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3747FE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4C15E22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7.8.7 暂停施工期间的工程照管</w:t>
      </w:r>
    </w:p>
    <w:p w14:paraId="4999331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暂停施工期间，承包人应负责妥善照管工程并提供安全保障，由此增加的费用由责任方承担。</w:t>
      </w:r>
    </w:p>
    <w:p w14:paraId="1E1033D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7.8.8 暂停施工的措施</w:t>
      </w:r>
    </w:p>
    <w:p w14:paraId="6815723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暂停施工期间，发包人和承包人均应采取必要的措施确保工程质量及安全，防止因暂停施工扩大损失。</w:t>
      </w:r>
    </w:p>
    <w:p w14:paraId="2D898DF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05" w:name="_Toc351203551"/>
      <w:r>
        <w:rPr>
          <w:rFonts w:hint="eastAsia" w:ascii="宋体" w:hAnsi="宋体" w:eastAsia="宋体" w:cs="宋体"/>
          <w:b w:val="0"/>
          <w:bCs w:val="0"/>
          <w:color w:val="000000" w:themeColor="text1"/>
          <w:kern w:val="0"/>
          <w:highlight w:val="none"/>
          <w14:textFill>
            <w14:solidFill>
              <w14:schemeClr w14:val="tx1"/>
            </w14:solidFill>
          </w14:textFill>
        </w:rPr>
        <w:t>7.9提前竣工</w:t>
      </w:r>
      <w:bookmarkEnd w:id="305"/>
    </w:p>
    <w:p w14:paraId="04932BB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2AEF241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7.9.2 发包人要求承包人提前竣工，或承包人提出提前竣工的建议能够给发包人带来效益的，合同当事人可以在专用合同条款中约定提前竣工的奖励。</w:t>
      </w:r>
    </w:p>
    <w:p w14:paraId="5D6D3FC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06" w:name="_Toc351203552"/>
      <w:r>
        <w:rPr>
          <w:rFonts w:hint="eastAsia" w:ascii="宋体" w:hAnsi="宋体" w:eastAsia="宋体" w:cs="宋体"/>
          <w:b w:val="0"/>
          <w:bCs w:val="0"/>
          <w:color w:val="000000" w:themeColor="text1"/>
          <w:kern w:val="0"/>
          <w:highlight w:val="none"/>
          <w14:textFill>
            <w14:solidFill>
              <w14:schemeClr w14:val="tx1"/>
            </w14:solidFill>
          </w14:textFill>
        </w:rPr>
        <w:t>8</w:t>
      </w:r>
      <w:bookmarkStart w:id="307" w:name="_Toc296346559"/>
      <w:bookmarkStart w:id="308" w:name="_Toc337558776"/>
      <w:bookmarkStart w:id="309" w:name="_Toc296503058"/>
      <w:r>
        <w:rPr>
          <w:rFonts w:hint="eastAsia" w:ascii="宋体" w:hAnsi="宋体" w:eastAsia="宋体" w:cs="宋体"/>
          <w:b w:val="0"/>
          <w:bCs w:val="0"/>
          <w:color w:val="000000" w:themeColor="text1"/>
          <w:kern w:val="0"/>
          <w:highlight w:val="none"/>
          <w14:textFill>
            <w14:solidFill>
              <w14:schemeClr w14:val="tx1"/>
            </w14:solidFill>
          </w14:textFill>
        </w:rPr>
        <w:t>. 材料与设备</w:t>
      </w:r>
      <w:bookmarkEnd w:id="306"/>
    </w:p>
    <w:bookmarkEnd w:id="307"/>
    <w:bookmarkEnd w:id="308"/>
    <w:bookmarkEnd w:id="309"/>
    <w:p w14:paraId="57715EF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10" w:name="_Toc351203553"/>
      <w:r>
        <w:rPr>
          <w:rFonts w:hint="eastAsia" w:ascii="宋体" w:hAnsi="宋体" w:eastAsia="宋体" w:cs="宋体"/>
          <w:b w:val="0"/>
          <w:bCs w:val="0"/>
          <w:color w:val="000000" w:themeColor="text1"/>
          <w:kern w:val="0"/>
          <w:highlight w:val="none"/>
          <w14:textFill>
            <w14:solidFill>
              <w14:schemeClr w14:val="tx1"/>
            </w14:solidFill>
          </w14:textFill>
        </w:rPr>
        <w:t>8</w:t>
      </w:r>
      <w:bookmarkStart w:id="311" w:name="_Toc296503059"/>
      <w:bookmarkStart w:id="312" w:name="_Toc337558777"/>
      <w:bookmarkStart w:id="313" w:name="_Toc296346560"/>
      <w:bookmarkStart w:id="314" w:name="_Toc468936960"/>
      <w:r>
        <w:rPr>
          <w:rFonts w:hint="eastAsia" w:ascii="宋体" w:hAnsi="宋体" w:eastAsia="宋体" w:cs="宋体"/>
          <w:b w:val="0"/>
          <w:bCs w:val="0"/>
          <w:color w:val="000000" w:themeColor="text1"/>
          <w:kern w:val="0"/>
          <w:highlight w:val="none"/>
          <w14:textFill>
            <w14:solidFill>
              <w14:schemeClr w14:val="tx1"/>
            </w14:solidFill>
          </w14:textFill>
        </w:rPr>
        <w:t>.1发包人供应材料与工程设备</w:t>
      </w:r>
      <w:bookmarkEnd w:id="310"/>
    </w:p>
    <w:bookmarkEnd w:id="311"/>
    <w:bookmarkEnd w:id="312"/>
    <w:bookmarkEnd w:id="313"/>
    <w:p w14:paraId="512A9D6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发包人自行供应材料、工程设备的，应在签订合同时在专用合同条款的附件《发包人供应材料设备一览表》中明确材料、工程设备的品种、规格、型号、数量、单价、质量等级和送达地点。</w:t>
      </w:r>
    </w:p>
    <w:p w14:paraId="7F73AF0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6750B7B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15" w:name="_Toc351203554"/>
      <w:r>
        <w:rPr>
          <w:rFonts w:hint="eastAsia" w:ascii="宋体" w:hAnsi="宋体" w:eastAsia="宋体" w:cs="宋体"/>
          <w:b w:val="0"/>
          <w:bCs w:val="0"/>
          <w:color w:val="000000" w:themeColor="text1"/>
          <w:kern w:val="0"/>
          <w:highlight w:val="none"/>
          <w14:textFill>
            <w14:solidFill>
              <w14:schemeClr w14:val="tx1"/>
            </w14:solidFill>
          </w14:textFill>
        </w:rPr>
        <w:t>8</w:t>
      </w:r>
      <w:bookmarkStart w:id="316" w:name="_Toc296346561"/>
      <w:bookmarkStart w:id="317" w:name="_Toc337558778"/>
      <w:bookmarkStart w:id="318" w:name="_Toc296503060"/>
      <w:r>
        <w:rPr>
          <w:rFonts w:hint="eastAsia" w:ascii="宋体" w:hAnsi="宋体" w:eastAsia="宋体" w:cs="宋体"/>
          <w:b w:val="0"/>
          <w:bCs w:val="0"/>
          <w:color w:val="000000" w:themeColor="text1"/>
          <w:kern w:val="0"/>
          <w:highlight w:val="none"/>
          <w14:textFill>
            <w14:solidFill>
              <w14:schemeClr w14:val="tx1"/>
            </w14:solidFill>
          </w14:textFill>
        </w:rPr>
        <w:t>.2承包人采购材料与工程设备</w:t>
      </w:r>
      <w:bookmarkEnd w:id="315"/>
    </w:p>
    <w:bookmarkEnd w:id="316"/>
    <w:bookmarkEnd w:id="317"/>
    <w:bookmarkEnd w:id="318"/>
    <w:p w14:paraId="2AB421C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5A1A9AC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19" w:name="_Toc351203555"/>
      <w:r>
        <w:rPr>
          <w:rFonts w:hint="eastAsia" w:ascii="宋体" w:hAnsi="宋体" w:eastAsia="宋体" w:cs="宋体"/>
          <w:b w:val="0"/>
          <w:bCs w:val="0"/>
          <w:color w:val="000000" w:themeColor="text1"/>
          <w:kern w:val="0"/>
          <w:highlight w:val="none"/>
          <w14:textFill>
            <w14:solidFill>
              <w14:schemeClr w14:val="tx1"/>
            </w14:solidFill>
          </w14:textFill>
        </w:rPr>
        <w:t>8</w:t>
      </w:r>
      <w:bookmarkStart w:id="320" w:name="_Toc296503061"/>
      <w:bookmarkStart w:id="321" w:name="_Toc337558779"/>
      <w:bookmarkStart w:id="322" w:name="_Toc296346562"/>
      <w:r>
        <w:rPr>
          <w:rFonts w:hint="eastAsia" w:ascii="宋体" w:hAnsi="宋体" w:eastAsia="宋体" w:cs="宋体"/>
          <w:b w:val="0"/>
          <w:bCs w:val="0"/>
          <w:color w:val="000000" w:themeColor="text1"/>
          <w:kern w:val="0"/>
          <w:highlight w:val="none"/>
          <w14:textFill>
            <w14:solidFill>
              <w14:schemeClr w14:val="tx1"/>
            </w14:solidFill>
          </w14:textFill>
        </w:rPr>
        <w:t>.3材料与工程设备的接收与拒收</w:t>
      </w:r>
      <w:bookmarkEnd w:id="319"/>
    </w:p>
    <w:bookmarkEnd w:id="320"/>
    <w:bookmarkEnd w:id="321"/>
    <w:bookmarkEnd w:id="322"/>
    <w:p w14:paraId="5BE01EC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281A494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发包人提供的材料和工程设备的规格、数量或质量不符合合同约定的，或因发包人原因导致交货日期延误或交货地点变更等情况的，按照第16.1款〔发包人违约〕约定办理。</w:t>
      </w:r>
    </w:p>
    <w:p w14:paraId="5605309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8.3.2 承包人采购的材料和工程设备，应保证产品质量合格，承包人应在材料和工程设备到货前24小时通知监理人检验。承</w:t>
      </w:r>
      <w:bookmarkStart w:id="323" w:name="_Toc250655469"/>
      <w:r>
        <w:rPr>
          <w:rFonts w:hint="eastAsia" w:ascii="宋体" w:hAnsi="宋体" w:eastAsia="宋体" w:cs="宋体"/>
          <w:b w:val="0"/>
          <w:bCs w:val="0"/>
          <w:color w:val="000000" w:themeColor="text1"/>
          <w:kern w:val="0"/>
          <w:highlight w:val="none"/>
          <w14:textFill>
            <w14:solidFill>
              <w14:schemeClr w14:val="tx1"/>
            </w14:solidFill>
          </w14:textFill>
        </w:rPr>
        <w:t>包人进行永久设备、材料的制造和生产的，应符合相关质量标准，并向监理人提交材料的样本以及有关资料，并应在使用该材料或工程设备之前获得监理人同意。</w:t>
      </w:r>
    </w:p>
    <w:bookmarkEnd w:id="323"/>
    <w:p w14:paraId="3146C85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5A7A003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24" w:name="_Toc351203556"/>
      <w:r>
        <w:rPr>
          <w:rFonts w:hint="eastAsia" w:ascii="宋体" w:hAnsi="宋体" w:eastAsia="宋体" w:cs="宋体"/>
          <w:b w:val="0"/>
          <w:bCs w:val="0"/>
          <w:color w:val="000000" w:themeColor="text1"/>
          <w:kern w:val="0"/>
          <w:highlight w:val="none"/>
          <w14:textFill>
            <w14:solidFill>
              <w14:schemeClr w14:val="tx1"/>
            </w14:solidFill>
          </w14:textFill>
        </w:rPr>
        <w:t>8</w:t>
      </w:r>
      <w:bookmarkStart w:id="325" w:name="_Toc337558780"/>
      <w:bookmarkStart w:id="326" w:name="_Toc296503062"/>
      <w:bookmarkStart w:id="327" w:name="_Toc296346563"/>
      <w:r>
        <w:rPr>
          <w:rFonts w:hint="eastAsia" w:ascii="宋体" w:hAnsi="宋体" w:eastAsia="宋体" w:cs="宋体"/>
          <w:b w:val="0"/>
          <w:bCs w:val="0"/>
          <w:color w:val="000000" w:themeColor="text1"/>
          <w:kern w:val="0"/>
          <w:highlight w:val="none"/>
          <w14:textFill>
            <w14:solidFill>
              <w14:schemeClr w14:val="tx1"/>
            </w14:solidFill>
          </w14:textFill>
        </w:rPr>
        <w:t>.4材料与工程设备的保管与使用</w:t>
      </w:r>
      <w:bookmarkEnd w:id="324"/>
    </w:p>
    <w:bookmarkEnd w:id="325"/>
    <w:bookmarkEnd w:id="326"/>
    <w:bookmarkEnd w:id="327"/>
    <w:p w14:paraId="248EB3E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8.4.1 发包人供应材料与工程设备的保管与使用</w:t>
      </w:r>
    </w:p>
    <w:p w14:paraId="728AECB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10D3FF6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发包人供应的材料和工程设备使用前，由承包人负责检验，检验费用由发包人承担，不合格的不得使用。</w:t>
      </w:r>
    </w:p>
    <w:p w14:paraId="1AB186A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8.4.2 承包人采购材料与工程设备的保管与使用</w:t>
      </w:r>
    </w:p>
    <w:p w14:paraId="79534C6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29C0A9B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发包人或监理人发现承包人使用不符合设计或有关标准要求的材料和工程设备时，有权要求承包人进行修复、拆除或重新采购，由此增加的费用和（或）延误的工期，由承包人承担。</w:t>
      </w:r>
    </w:p>
    <w:p w14:paraId="75B56FC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28" w:name="_Toc351203557"/>
      <w:r>
        <w:rPr>
          <w:rFonts w:hint="eastAsia" w:ascii="宋体" w:hAnsi="宋体" w:eastAsia="宋体" w:cs="宋体"/>
          <w:b w:val="0"/>
          <w:bCs w:val="0"/>
          <w:color w:val="000000" w:themeColor="text1"/>
          <w:kern w:val="0"/>
          <w:highlight w:val="none"/>
          <w14:textFill>
            <w14:solidFill>
              <w14:schemeClr w14:val="tx1"/>
            </w14:solidFill>
          </w14:textFill>
        </w:rPr>
        <w:t>8.5禁止使用不合格的材料和工程设备</w:t>
      </w:r>
      <w:bookmarkEnd w:id="328"/>
    </w:p>
    <w:p w14:paraId="6F83672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8.5.1 监理人有权拒绝承包人提供的不合格材料或工程设备，并要求承包人立即进行更换。监理人应在更换后再次进行检查和检验，由此增加的费用和（或）延误的工期由承包人承担。</w:t>
      </w:r>
    </w:p>
    <w:p w14:paraId="53B883D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8.5.2 监理人发现承包人使用了不合格的材料和工程设备，承包人应按照监理人的指示立即改正，并禁止在工程中继续使用不合格的材料和工程设备。</w:t>
      </w:r>
    </w:p>
    <w:p w14:paraId="6BE70FE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8.5.3 发包人提供的材料或工程设备不符合合同要求的，承包人有权拒绝，并可要求发包人更换，由此增加的费用和（或）延误的工期由发包人承担，并支付承包人合理的利润。</w:t>
      </w:r>
    </w:p>
    <w:p w14:paraId="4D0FAA8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29" w:name="_Toc351203558"/>
      <w:r>
        <w:rPr>
          <w:rFonts w:hint="eastAsia" w:ascii="宋体" w:hAnsi="宋体" w:eastAsia="宋体" w:cs="宋体"/>
          <w:b w:val="0"/>
          <w:bCs w:val="0"/>
          <w:color w:val="000000" w:themeColor="text1"/>
          <w:kern w:val="0"/>
          <w:highlight w:val="none"/>
          <w14:textFill>
            <w14:solidFill>
              <w14:schemeClr w14:val="tx1"/>
            </w14:solidFill>
          </w14:textFill>
        </w:rPr>
        <w:t>8.6 样品</w:t>
      </w:r>
      <w:bookmarkEnd w:id="329"/>
    </w:p>
    <w:p w14:paraId="3E7D949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8.6.1</w:t>
      </w:r>
      <w:r>
        <w:rPr>
          <w:rFonts w:hint="eastAsia" w:ascii="宋体" w:hAnsi="宋体" w:eastAsia="宋体" w:cs="宋体"/>
          <w:b w:val="0"/>
          <w:bCs w:val="0"/>
          <w:color w:val="000000" w:themeColor="text1"/>
          <w:kern w:val="0"/>
          <w:highlight w:val="none"/>
          <w14:textFill>
            <w14:solidFill>
              <w14:schemeClr w14:val="tx1"/>
            </w14:solidFill>
          </w14:textFill>
        </w:rPr>
        <w:tab/>
      </w:r>
      <w:r>
        <w:rPr>
          <w:rFonts w:hint="eastAsia" w:ascii="宋体" w:hAnsi="宋体" w:eastAsia="宋体" w:cs="宋体"/>
          <w:b w:val="0"/>
          <w:bCs w:val="0"/>
          <w:color w:val="000000" w:themeColor="text1"/>
          <w:kern w:val="0"/>
          <w:highlight w:val="none"/>
          <w14:textFill>
            <w14:solidFill>
              <w14:schemeClr w14:val="tx1"/>
            </w14:solidFill>
          </w14:textFill>
        </w:rPr>
        <w:t>样品的报送与封存</w:t>
      </w:r>
    </w:p>
    <w:p w14:paraId="2FF8F96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需要承包人报送样品的材料或工程设备，样品的种类、名称、规格、数量等要求均应在专用合同条款中约定。样品的报送程序如下：</w:t>
      </w:r>
    </w:p>
    <w:p w14:paraId="0A90854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703B9B7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2443AF1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（3）经发包人和监理人审批确认的样品应按约定的方法封样，封存的样品作为检验工程相关部分的标准之一。承包人在施工过程中不得使用与样品不符的材料或工程设备。</w:t>
      </w:r>
    </w:p>
    <w:p w14:paraId="3DD17A9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B43C26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8.6.2 样品的保管</w:t>
      </w:r>
    </w:p>
    <w:p w14:paraId="0ED3AF8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经批准的样品应由监理人负责封存于现场，承包人应在现场为保存样品提供适当和固定的场所并保持适当和良好的存储环境条件。</w:t>
      </w:r>
    </w:p>
    <w:p w14:paraId="09EC0E4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30" w:name="_Toc351203559"/>
      <w:r>
        <w:rPr>
          <w:rFonts w:hint="eastAsia" w:ascii="宋体" w:hAnsi="宋体" w:eastAsia="宋体" w:cs="宋体"/>
          <w:b w:val="0"/>
          <w:bCs w:val="0"/>
          <w:color w:val="000000" w:themeColor="text1"/>
          <w:kern w:val="0"/>
          <w:highlight w:val="none"/>
          <w14:textFill>
            <w14:solidFill>
              <w14:schemeClr w14:val="tx1"/>
            </w14:solidFill>
          </w14:textFill>
        </w:rPr>
        <w:t>8.7材料与工程设备的替代</w:t>
      </w:r>
      <w:bookmarkEnd w:id="330"/>
    </w:p>
    <w:p w14:paraId="434AD41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8.7.1 出现下列情况需要使用替代材料和工程设备的，承包人应按照第8.7.2项约定的程序执行：</w:t>
      </w:r>
    </w:p>
    <w:p w14:paraId="3C8C589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（1）基准日期后生效的法律规定禁止使用的；</w:t>
      </w:r>
    </w:p>
    <w:p w14:paraId="02ABAD3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（2）发包人要求使用替代品的；</w:t>
      </w:r>
    </w:p>
    <w:p w14:paraId="1A21A4C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（3）因其他原因必须使用替代品的。</w:t>
      </w:r>
    </w:p>
    <w:p w14:paraId="0A31B27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8.7.2 承包人应在使用替代材料和工程设备28天前书面通知监理人，并附下列文件：</w:t>
      </w:r>
    </w:p>
    <w:p w14:paraId="7C6FE24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（1）被替代的材料和工程设备的名称、数量、规格、型号、品牌、性能、价格及其他相关资料；</w:t>
      </w:r>
    </w:p>
    <w:p w14:paraId="398CF18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（2）替代品的名称、数量、规格、型号、品牌、性能、价格及其他相关资料；</w:t>
      </w:r>
    </w:p>
    <w:p w14:paraId="0046FF0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（3）替代品与被替代产品之间的差异以及使用替代品可能对工程产生的影响；</w:t>
      </w:r>
    </w:p>
    <w:p w14:paraId="015C5BF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（4）替代品与被替代产品的价格差异；</w:t>
      </w:r>
    </w:p>
    <w:p w14:paraId="4152189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（5）使用替代品的理由和原因说明；</w:t>
      </w:r>
    </w:p>
    <w:p w14:paraId="7EF38DF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（6）监理人要求的其他文件。</w:t>
      </w:r>
    </w:p>
    <w:p w14:paraId="6D1A2E5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监理人应在收到通知后14天内向承包人发出经发包人签认的书面指示；监理人逾期发出书面指示的，视为发包人和监理人同意使用替代品。</w:t>
      </w:r>
    </w:p>
    <w:p w14:paraId="2BFBE8E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4CB252E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31" w:name="_Toc351203560"/>
      <w:r>
        <w:rPr>
          <w:rFonts w:hint="eastAsia" w:ascii="宋体" w:hAnsi="宋体" w:eastAsia="宋体" w:cs="宋体"/>
          <w:b w:val="0"/>
          <w:bCs w:val="0"/>
          <w:color w:val="000000" w:themeColor="text1"/>
          <w:kern w:val="0"/>
          <w:highlight w:val="none"/>
          <w14:textFill>
            <w14:solidFill>
              <w14:schemeClr w14:val="tx1"/>
            </w14:solidFill>
          </w14:textFill>
        </w:rPr>
        <w:t>8.8施工设备和临时设施</w:t>
      </w:r>
      <w:bookmarkEnd w:id="331"/>
    </w:p>
    <w:p w14:paraId="1490683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8.8.1 承包人提供的施工设备和临时设施</w:t>
      </w:r>
    </w:p>
    <w:p w14:paraId="33CFDD6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承包人应按合同进度计划的要求，及时配置施工设备和修建临时设施。进入施工场地的承包人设备需经监理人核查后才能投入使用。承包人更换合同约定的承包人设备的，应报监理人批准。</w:t>
      </w:r>
    </w:p>
    <w:p w14:paraId="42245BB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除专用合同条款另有约定外，承包人应自行承担修建临时设施的费用，需要临时占地的，应由发包人办理申请手续并承担相应费用。</w:t>
      </w:r>
    </w:p>
    <w:p w14:paraId="1E6E3C0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8.8.2发包人提供的施工设备和临时设施</w:t>
      </w:r>
    </w:p>
    <w:p w14:paraId="3335FCA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发包人提供的施工设备或临时设施在专用合同条款中约定。</w:t>
      </w:r>
    </w:p>
    <w:p w14:paraId="0DEE08E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8.8.3要求承包人增加或更换施工设备</w:t>
      </w:r>
    </w:p>
    <w:p w14:paraId="5777459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承包人使用的施工设备不能满足合同进度计划和（或）质量要求时，监理人有权要求承包人增加或更换施工设备，承包人应及时增加或更换，由此增加的费用和（或）延误的工期由承包人承担。</w:t>
      </w:r>
    </w:p>
    <w:p w14:paraId="067C910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32" w:name="_Toc351203561"/>
      <w:r>
        <w:rPr>
          <w:rFonts w:hint="eastAsia" w:ascii="宋体" w:hAnsi="宋体" w:eastAsia="宋体" w:cs="宋体"/>
          <w:b w:val="0"/>
          <w:bCs w:val="0"/>
          <w:color w:val="000000" w:themeColor="text1"/>
          <w:kern w:val="0"/>
          <w:highlight w:val="none"/>
          <w14:textFill>
            <w14:solidFill>
              <w14:schemeClr w14:val="tx1"/>
            </w14:solidFill>
          </w14:textFill>
        </w:rPr>
        <w:t>8</w:t>
      </w:r>
      <w:bookmarkStart w:id="333" w:name="_Toc296503063"/>
      <w:bookmarkStart w:id="334" w:name="_Toc337558781"/>
      <w:bookmarkStart w:id="335" w:name="_Toc296346564"/>
      <w:r>
        <w:rPr>
          <w:rFonts w:hint="eastAsia" w:ascii="宋体" w:hAnsi="宋体" w:eastAsia="宋体" w:cs="宋体"/>
          <w:b w:val="0"/>
          <w:bCs w:val="0"/>
          <w:color w:val="000000" w:themeColor="text1"/>
          <w:kern w:val="0"/>
          <w:highlight w:val="none"/>
          <w14:textFill>
            <w14:solidFill>
              <w14:schemeClr w14:val="tx1"/>
            </w14:solidFill>
          </w14:textFill>
        </w:rPr>
        <w:t>.9材料与设备专用</w:t>
      </w:r>
      <w:bookmarkEnd w:id="332"/>
      <w:r>
        <w:rPr>
          <w:rFonts w:hint="eastAsia" w:ascii="宋体" w:hAnsi="宋体" w:eastAsia="宋体" w:cs="宋体"/>
          <w:b w:val="0"/>
          <w:bCs w:val="0"/>
          <w:color w:val="000000" w:themeColor="text1"/>
          <w:kern w:val="0"/>
          <w:highlight w:val="none"/>
          <w14:textFill>
            <w14:solidFill>
              <w14:schemeClr w14:val="tx1"/>
            </w14:solidFill>
          </w14:textFill>
        </w:rPr>
        <w:t>要求</w:t>
      </w:r>
    </w:p>
    <w:bookmarkEnd w:id="333"/>
    <w:bookmarkEnd w:id="334"/>
    <w:bookmarkEnd w:id="335"/>
    <w:p w14:paraId="1400335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承包人运入施工现场的材料、工程设备、施工设备以及在施工场地建设的临时设施，包括备品备件、安装工具与资料，必须专用于工程。未经发包人批准，承包人不得运出施工现场或挪作他用；</w:t>
      </w:r>
      <w:bookmarkEnd w:id="314"/>
      <w:r>
        <w:rPr>
          <w:rFonts w:hint="eastAsia" w:ascii="宋体" w:hAnsi="宋体" w:eastAsia="宋体" w:cs="宋体"/>
          <w:b w:val="0"/>
          <w:bCs w:val="0"/>
          <w:color w:val="000000" w:themeColor="text1"/>
          <w:kern w:val="0"/>
          <w:highlight w:val="none"/>
          <w14:textFill>
            <w14:solidFill>
              <w14:schemeClr w14:val="tx1"/>
            </w14:solidFill>
          </w14:textFill>
        </w:rPr>
        <w:t>经发包人批准，承包人可以根据施工进度计划撤走闲置的施工设备和其他物品。</w:t>
      </w:r>
    </w:p>
    <w:p w14:paraId="3AC523D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36" w:name="_Toc351203562"/>
      <w:r>
        <w:rPr>
          <w:rFonts w:hint="eastAsia" w:ascii="宋体" w:hAnsi="宋体" w:eastAsia="宋体" w:cs="宋体"/>
          <w:b w:val="0"/>
          <w:bCs w:val="0"/>
          <w:color w:val="000000" w:themeColor="text1"/>
          <w:kern w:val="0"/>
          <w:highlight w:val="none"/>
          <w14:textFill>
            <w14:solidFill>
              <w14:schemeClr w14:val="tx1"/>
            </w14:solidFill>
          </w14:textFill>
        </w:rPr>
        <w:t>9</w:t>
      </w:r>
      <w:bookmarkStart w:id="337" w:name="_Toc337558782"/>
      <w:bookmarkStart w:id="338" w:name="_Toc296503083"/>
      <w:bookmarkStart w:id="339" w:name="_Toc296346584"/>
      <w:r>
        <w:rPr>
          <w:rFonts w:hint="eastAsia" w:ascii="宋体" w:hAnsi="宋体" w:eastAsia="宋体" w:cs="宋体"/>
          <w:b w:val="0"/>
          <w:bCs w:val="0"/>
          <w:color w:val="000000" w:themeColor="text1"/>
          <w:kern w:val="0"/>
          <w:highlight w:val="none"/>
          <w14:textFill>
            <w14:solidFill>
              <w14:schemeClr w14:val="tx1"/>
            </w14:solidFill>
          </w14:textFill>
        </w:rPr>
        <w:t>. 试验与检验</w:t>
      </w:r>
      <w:bookmarkEnd w:id="336"/>
    </w:p>
    <w:bookmarkEnd w:id="337"/>
    <w:p w14:paraId="40C9E26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40" w:name="_Toc351203563"/>
      <w:r>
        <w:rPr>
          <w:rFonts w:hint="eastAsia" w:ascii="宋体" w:hAnsi="宋体" w:eastAsia="宋体" w:cs="宋体"/>
          <w:b w:val="0"/>
          <w:bCs w:val="0"/>
          <w:color w:val="000000" w:themeColor="text1"/>
          <w:kern w:val="0"/>
          <w:highlight w:val="none"/>
          <w14:textFill>
            <w14:solidFill>
              <w14:schemeClr w14:val="tx1"/>
            </w14:solidFill>
          </w14:textFill>
        </w:rPr>
        <w:t>9</w:t>
      </w:r>
      <w:bookmarkStart w:id="341" w:name="_Toc337558783"/>
      <w:r>
        <w:rPr>
          <w:rFonts w:hint="eastAsia" w:ascii="宋体" w:hAnsi="宋体" w:eastAsia="宋体" w:cs="宋体"/>
          <w:b w:val="0"/>
          <w:bCs w:val="0"/>
          <w:color w:val="000000" w:themeColor="text1"/>
          <w:kern w:val="0"/>
          <w:highlight w:val="none"/>
          <w14:textFill>
            <w14:solidFill>
              <w14:schemeClr w14:val="tx1"/>
            </w14:solidFill>
          </w14:textFill>
        </w:rPr>
        <w:t>.1试验设备与试验人员</w:t>
      </w:r>
      <w:bookmarkEnd w:id="340"/>
    </w:p>
    <w:bookmarkEnd w:id="341"/>
    <w:p w14:paraId="35D820C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16AA377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9.1.2 承包人应按专用合同条款的约定提供试验设备、取样装置、试验场所和试验条件，并向监理人提交相应进场计划表。</w:t>
      </w:r>
    </w:p>
    <w:p w14:paraId="4BF4ACB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承包人配置的试验设备要符合相应试验规程的要求并经过具有资质的检测单位检测，且在正式使用该试验设备前，需要经过监理人与承包人共同校定。</w:t>
      </w:r>
    </w:p>
    <w:p w14:paraId="34D2BBA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9.1.3 承包人应向监理人提交试验人员的名单及其岗位、资格等证明资料，试验人员必须能够熟练进行相应的检测试验，承包人对试验人员的试验程序和试验结果的正确性负责。</w:t>
      </w:r>
    </w:p>
    <w:p w14:paraId="4E737F0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42" w:name="_Toc351203564"/>
      <w:r>
        <w:rPr>
          <w:rFonts w:hint="eastAsia" w:ascii="宋体" w:hAnsi="宋体" w:eastAsia="宋体" w:cs="宋体"/>
          <w:b w:val="0"/>
          <w:bCs w:val="0"/>
          <w:color w:val="000000" w:themeColor="text1"/>
          <w:kern w:val="0"/>
          <w:highlight w:val="none"/>
          <w14:textFill>
            <w14:solidFill>
              <w14:schemeClr w14:val="tx1"/>
            </w14:solidFill>
          </w14:textFill>
        </w:rPr>
        <w:t>9</w:t>
      </w:r>
      <w:bookmarkStart w:id="343" w:name="_Toc337558784"/>
      <w:r>
        <w:rPr>
          <w:rFonts w:hint="eastAsia" w:ascii="宋体" w:hAnsi="宋体" w:eastAsia="宋体" w:cs="宋体"/>
          <w:b w:val="0"/>
          <w:bCs w:val="0"/>
          <w:color w:val="000000" w:themeColor="text1"/>
          <w:kern w:val="0"/>
          <w:highlight w:val="none"/>
          <w14:textFill>
            <w14:solidFill>
              <w14:schemeClr w14:val="tx1"/>
            </w14:solidFill>
          </w14:textFill>
        </w:rPr>
        <w:t>.2取样</w:t>
      </w:r>
      <w:bookmarkEnd w:id="342"/>
    </w:p>
    <w:bookmarkEnd w:id="343"/>
    <w:p w14:paraId="6D6D9CD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试验属于自检性质的，承包人可以单独取样。试验属于监理人抽检性质的，可由监理人取样，也可由承包人的试验人员在监理人的监督下取样。</w:t>
      </w:r>
    </w:p>
    <w:p w14:paraId="71EEA13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44" w:name="_Toc351203565"/>
      <w:r>
        <w:rPr>
          <w:rFonts w:hint="eastAsia" w:ascii="宋体" w:hAnsi="宋体" w:eastAsia="宋体" w:cs="宋体"/>
          <w:b w:val="0"/>
          <w:bCs w:val="0"/>
          <w:color w:val="000000" w:themeColor="text1"/>
          <w:kern w:val="0"/>
          <w:highlight w:val="none"/>
          <w14:textFill>
            <w14:solidFill>
              <w14:schemeClr w14:val="tx1"/>
            </w14:solidFill>
          </w14:textFill>
        </w:rPr>
        <w:t>9</w:t>
      </w:r>
      <w:bookmarkStart w:id="345" w:name="_Toc337558785"/>
      <w:r>
        <w:rPr>
          <w:rFonts w:hint="eastAsia" w:ascii="宋体" w:hAnsi="宋体" w:eastAsia="宋体" w:cs="宋体"/>
          <w:b w:val="0"/>
          <w:bCs w:val="0"/>
          <w:color w:val="000000" w:themeColor="text1"/>
          <w:kern w:val="0"/>
          <w:highlight w:val="none"/>
          <w14:textFill>
            <w14:solidFill>
              <w14:schemeClr w14:val="tx1"/>
            </w14:solidFill>
          </w14:textFill>
        </w:rPr>
        <w:t>.3材料、工程设备和工程的试验和检验</w:t>
      </w:r>
      <w:bookmarkEnd w:id="344"/>
    </w:p>
    <w:bookmarkEnd w:id="345"/>
    <w:p w14:paraId="1E11431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6F94500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1557EE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77507A4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46" w:name="_Toc351203566"/>
      <w:r>
        <w:rPr>
          <w:rFonts w:hint="eastAsia" w:ascii="宋体" w:hAnsi="宋体" w:eastAsia="宋体" w:cs="宋体"/>
          <w:b w:val="0"/>
          <w:bCs w:val="0"/>
          <w:color w:val="000000" w:themeColor="text1"/>
          <w:kern w:val="0"/>
          <w:highlight w:val="none"/>
          <w14:textFill>
            <w14:solidFill>
              <w14:schemeClr w14:val="tx1"/>
            </w14:solidFill>
          </w14:textFill>
        </w:rPr>
        <w:t>9</w:t>
      </w:r>
      <w:bookmarkStart w:id="347" w:name="_Toc337558786"/>
      <w:r>
        <w:rPr>
          <w:rFonts w:hint="eastAsia" w:ascii="宋体" w:hAnsi="宋体" w:eastAsia="宋体" w:cs="宋体"/>
          <w:b w:val="0"/>
          <w:bCs w:val="0"/>
          <w:color w:val="000000" w:themeColor="text1"/>
          <w:kern w:val="0"/>
          <w:highlight w:val="none"/>
          <w14:textFill>
            <w14:solidFill>
              <w14:schemeClr w14:val="tx1"/>
            </w14:solidFill>
          </w14:textFill>
        </w:rPr>
        <w:t>.4现场工艺试验</w:t>
      </w:r>
      <w:bookmarkEnd w:id="346"/>
    </w:p>
    <w:bookmarkEnd w:id="347"/>
    <w:p w14:paraId="1BF0653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承包人应按合同约定或监理人指示进行现场工艺试验。对大型的现场工艺试验，监理人认为必要时，承包人应根据监理人提出的工艺试验要求，编制工艺试验措施计划，报送监理人审查。</w:t>
      </w:r>
      <w:bookmarkStart w:id="348" w:name="_Toc351203567"/>
    </w:p>
    <w:p w14:paraId="1113355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w:t>
      </w:r>
      <w:bookmarkStart w:id="349" w:name="_Toc337558787"/>
      <w:r>
        <w:rPr>
          <w:rFonts w:hint="eastAsia" w:ascii="宋体" w:hAnsi="宋体" w:eastAsia="宋体" w:cs="宋体"/>
          <w:b w:val="0"/>
          <w:bCs w:val="0"/>
          <w:color w:val="000000" w:themeColor="text1"/>
          <w:kern w:val="0"/>
          <w:highlight w:val="none"/>
          <w14:textFill>
            <w14:solidFill>
              <w14:schemeClr w14:val="tx1"/>
            </w14:solidFill>
          </w14:textFill>
        </w:rPr>
        <w:t>0. 变更</w:t>
      </w:r>
      <w:bookmarkEnd w:id="338"/>
      <w:bookmarkEnd w:id="339"/>
      <w:bookmarkEnd w:id="348"/>
    </w:p>
    <w:bookmarkEnd w:id="349"/>
    <w:p w14:paraId="1A6A48E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50" w:name="_Toc351203568"/>
      <w:r>
        <w:rPr>
          <w:rFonts w:hint="eastAsia" w:ascii="宋体" w:hAnsi="宋体" w:eastAsia="宋体" w:cs="宋体"/>
          <w:b w:val="0"/>
          <w:bCs w:val="0"/>
          <w:color w:val="000000" w:themeColor="text1"/>
          <w:kern w:val="0"/>
          <w:highlight w:val="none"/>
          <w14:textFill>
            <w14:solidFill>
              <w14:schemeClr w14:val="tx1"/>
            </w14:solidFill>
          </w14:textFill>
        </w:rPr>
        <w:t>1</w:t>
      </w:r>
      <w:bookmarkStart w:id="351" w:name="_Toc296346585"/>
      <w:bookmarkStart w:id="352" w:name="_Toc337558788"/>
      <w:bookmarkStart w:id="353" w:name="_Toc296503084"/>
      <w:r>
        <w:rPr>
          <w:rFonts w:hint="eastAsia" w:ascii="宋体" w:hAnsi="宋体" w:eastAsia="宋体" w:cs="宋体"/>
          <w:b w:val="0"/>
          <w:bCs w:val="0"/>
          <w:color w:val="000000" w:themeColor="text1"/>
          <w:kern w:val="0"/>
          <w:highlight w:val="none"/>
          <w14:textFill>
            <w14:solidFill>
              <w14:schemeClr w14:val="tx1"/>
            </w14:solidFill>
          </w14:textFill>
        </w:rPr>
        <w:t>0.1变更的范围</w:t>
      </w:r>
      <w:bookmarkEnd w:id="350"/>
    </w:p>
    <w:bookmarkEnd w:id="351"/>
    <w:bookmarkEnd w:id="352"/>
    <w:bookmarkEnd w:id="353"/>
    <w:p w14:paraId="3539990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除专用合同条款另有约定外，合同履行过程中发生以下情形的，应按照本条约定进行变更：</w:t>
      </w:r>
    </w:p>
    <w:p w14:paraId="69C857B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（1）增加或减少合同中任何工作，或追加额外的工作；</w:t>
      </w:r>
    </w:p>
    <w:p w14:paraId="4CB3107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（2）取消合同中任何工作，但转由他人实施的工作除外；</w:t>
      </w:r>
    </w:p>
    <w:p w14:paraId="7935C92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（3）改变合同中任何工作的质量标准或其他特性；</w:t>
      </w:r>
    </w:p>
    <w:p w14:paraId="141CA9B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（4）改变工程的基线、标高、位置和尺寸；</w:t>
      </w:r>
    </w:p>
    <w:p w14:paraId="013097B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（5）改变工程的时间安排或实施顺序。</w:t>
      </w:r>
    </w:p>
    <w:p w14:paraId="09E82EE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54" w:name="_Toc351203569"/>
      <w:r>
        <w:rPr>
          <w:rFonts w:hint="eastAsia" w:ascii="宋体" w:hAnsi="宋体" w:eastAsia="宋体" w:cs="宋体"/>
          <w:b w:val="0"/>
          <w:bCs w:val="0"/>
          <w:color w:val="000000" w:themeColor="text1"/>
          <w:kern w:val="0"/>
          <w:highlight w:val="none"/>
          <w14:textFill>
            <w14:solidFill>
              <w14:schemeClr w14:val="tx1"/>
            </w14:solidFill>
          </w14:textFill>
        </w:rPr>
        <w:t>1</w:t>
      </w:r>
      <w:bookmarkStart w:id="355" w:name="_Toc296503085"/>
      <w:bookmarkStart w:id="356" w:name="_Toc337558789"/>
      <w:bookmarkStart w:id="357" w:name="_Toc296346586"/>
      <w:r>
        <w:rPr>
          <w:rFonts w:hint="eastAsia" w:ascii="宋体" w:hAnsi="宋体" w:eastAsia="宋体" w:cs="宋体"/>
          <w:b w:val="0"/>
          <w:bCs w:val="0"/>
          <w:color w:val="000000" w:themeColor="text1"/>
          <w:kern w:val="0"/>
          <w:highlight w:val="none"/>
          <w14:textFill>
            <w14:solidFill>
              <w14:schemeClr w14:val="tx1"/>
            </w14:solidFill>
          </w14:textFill>
        </w:rPr>
        <w:t>0.2变更权</w:t>
      </w:r>
      <w:bookmarkEnd w:id="354"/>
    </w:p>
    <w:bookmarkEnd w:id="355"/>
    <w:bookmarkEnd w:id="356"/>
    <w:bookmarkEnd w:id="357"/>
    <w:p w14:paraId="32E10BC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38537B2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涉及设计变更的，应由设计人提供变更后的图纸和说明。如变更超过原设计标准或批准的建设规模时，发包人应及时办理规划、设计变更等审批手续。</w:t>
      </w:r>
    </w:p>
    <w:p w14:paraId="3B846E9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58" w:name="_Toc351203570"/>
      <w:r>
        <w:rPr>
          <w:rFonts w:hint="eastAsia" w:ascii="宋体" w:hAnsi="宋体" w:eastAsia="宋体" w:cs="宋体"/>
          <w:b w:val="0"/>
          <w:bCs w:val="0"/>
          <w:color w:val="000000" w:themeColor="text1"/>
          <w:kern w:val="0"/>
          <w:highlight w:val="none"/>
          <w14:textFill>
            <w14:solidFill>
              <w14:schemeClr w14:val="tx1"/>
            </w14:solidFill>
          </w14:textFill>
        </w:rPr>
        <w:t>1</w:t>
      </w:r>
      <w:bookmarkStart w:id="359" w:name="_Toc296503086"/>
      <w:bookmarkStart w:id="360" w:name="_Toc296346587"/>
      <w:bookmarkStart w:id="361" w:name="_Toc337558790"/>
      <w:r>
        <w:rPr>
          <w:rFonts w:hint="eastAsia" w:ascii="宋体" w:hAnsi="宋体" w:eastAsia="宋体" w:cs="宋体"/>
          <w:b w:val="0"/>
          <w:bCs w:val="0"/>
          <w:color w:val="000000" w:themeColor="text1"/>
          <w:kern w:val="0"/>
          <w:highlight w:val="none"/>
          <w14:textFill>
            <w14:solidFill>
              <w14:schemeClr w14:val="tx1"/>
            </w14:solidFill>
          </w14:textFill>
        </w:rPr>
        <w:t>0.3变更程序</w:t>
      </w:r>
      <w:bookmarkEnd w:id="358"/>
    </w:p>
    <w:bookmarkEnd w:id="359"/>
    <w:bookmarkEnd w:id="360"/>
    <w:bookmarkEnd w:id="361"/>
    <w:p w14:paraId="3F4AC67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10.3.1 发包人提出变更</w:t>
      </w:r>
    </w:p>
    <w:p w14:paraId="07D1CA9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发包人提出变更的，应通过监理人向承包人发出变更指示，变更指示应说明计划变更的工程范围和变更的内容。</w:t>
      </w:r>
    </w:p>
    <w:p w14:paraId="7935532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10.3.2 监理人提出变更建议</w:t>
      </w:r>
    </w:p>
    <w:p w14:paraId="10F8619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61861AA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10.3.3 变更执行</w:t>
      </w:r>
    </w:p>
    <w:p w14:paraId="0D16BF8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530A146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62" w:name="_Toc351203571"/>
      <w:r>
        <w:rPr>
          <w:rFonts w:hint="eastAsia" w:ascii="宋体" w:hAnsi="宋体" w:eastAsia="宋体" w:cs="宋体"/>
          <w:b w:val="0"/>
          <w:bCs w:val="0"/>
          <w:color w:val="000000" w:themeColor="text1"/>
          <w:kern w:val="0"/>
          <w:highlight w:val="none"/>
          <w14:textFill>
            <w14:solidFill>
              <w14:schemeClr w14:val="tx1"/>
            </w14:solidFill>
          </w14:textFill>
        </w:rPr>
        <w:t>1</w:t>
      </w:r>
      <w:bookmarkStart w:id="363" w:name="_Toc296503087"/>
      <w:bookmarkStart w:id="364" w:name="_Toc296346588"/>
      <w:bookmarkStart w:id="365" w:name="_Toc337558791"/>
      <w:r>
        <w:rPr>
          <w:rFonts w:hint="eastAsia" w:ascii="宋体" w:hAnsi="宋体" w:eastAsia="宋体" w:cs="宋体"/>
          <w:b w:val="0"/>
          <w:bCs w:val="0"/>
          <w:color w:val="000000" w:themeColor="text1"/>
          <w:kern w:val="0"/>
          <w:highlight w:val="none"/>
          <w14:textFill>
            <w14:solidFill>
              <w14:schemeClr w14:val="tx1"/>
            </w14:solidFill>
          </w14:textFill>
        </w:rPr>
        <w:t>0.4变更估价</w:t>
      </w:r>
      <w:bookmarkEnd w:id="362"/>
    </w:p>
    <w:bookmarkEnd w:id="363"/>
    <w:bookmarkEnd w:id="364"/>
    <w:bookmarkEnd w:id="365"/>
    <w:p w14:paraId="513E8A7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10.4.1 变更估价原则</w:t>
      </w:r>
    </w:p>
    <w:p w14:paraId="360BA76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除专用合同条款另有约定外，变更估价按照本款约定处理：</w:t>
      </w:r>
    </w:p>
    <w:p w14:paraId="7456445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（1）已标价工程量清单或预算书有相同项目的，按照相同项目单价认定；</w:t>
      </w:r>
    </w:p>
    <w:p w14:paraId="2B232B2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（2）已标价工程量清单或预算书中无相同项目，但有类似项目的，参照类似项目的单价认定；</w:t>
      </w:r>
    </w:p>
    <w:p w14:paraId="36C1C21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3466AD7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10.4.2 变更估价程序</w:t>
      </w:r>
    </w:p>
    <w:p w14:paraId="168AE45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767C913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因变更引起的价格调整应计入最近一期的进度款中支付。</w:t>
      </w:r>
    </w:p>
    <w:p w14:paraId="00B6447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66" w:name="_Toc351203572"/>
      <w:r>
        <w:rPr>
          <w:rFonts w:hint="eastAsia" w:ascii="宋体" w:hAnsi="宋体" w:eastAsia="宋体" w:cs="宋体"/>
          <w:b w:val="0"/>
          <w:bCs w:val="0"/>
          <w:color w:val="000000" w:themeColor="text1"/>
          <w:kern w:val="0"/>
          <w:highlight w:val="none"/>
          <w14:textFill>
            <w14:solidFill>
              <w14:schemeClr w14:val="tx1"/>
            </w14:solidFill>
          </w14:textFill>
        </w:rPr>
        <w:t>1</w:t>
      </w:r>
      <w:bookmarkStart w:id="367" w:name="_Toc337558792"/>
      <w:bookmarkStart w:id="368" w:name="_Toc296503094"/>
      <w:bookmarkStart w:id="369" w:name="_Toc296346595"/>
      <w:r>
        <w:rPr>
          <w:rFonts w:hint="eastAsia" w:ascii="宋体" w:hAnsi="宋体" w:eastAsia="宋体" w:cs="宋体"/>
          <w:b w:val="0"/>
          <w:bCs w:val="0"/>
          <w:color w:val="000000" w:themeColor="text1"/>
          <w:kern w:val="0"/>
          <w:highlight w:val="none"/>
          <w14:textFill>
            <w14:solidFill>
              <w14:schemeClr w14:val="tx1"/>
            </w14:solidFill>
          </w14:textFill>
        </w:rPr>
        <w:t>0.5承包人的合理化建议</w:t>
      </w:r>
      <w:bookmarkEnd w:id="366"/>
    </w:p>
    <w:bookmarkEnd w:id="367"/>
    <w:bookmarkEnd w:id="368"/>
    <w:bookmarkEnd w:id="369"/>
    <w:p w14:paraId="5679AB2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承包人提出合理化建议的，应向监理人提交合理化建议说明，说明建议的内容和理由，以及实施该建议对合同价格和工期的影响。</w:t>
      </w:r>
    </w:p>
    <w:p w14:paraId="21EC49F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536727D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合理化建议降低了合同价格或者提高了工程经济效益的，发包人可对承包人给予奖励，奖励的方法和金额在专用合同条款中约定。</w:t>
      </w:r>
    </w:p>
    <w:p w14:paraId="53E8298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70" w:name="_Toc351203573"/>
      <w:r>
        <w:rPr>
          <w:rFonts w:hint="eastAsia" w:ascii="宋体" w:hAnsi="宋体" w:eastAsia="宋体" w:cs="宋体"/>
          <w:b w:val="0"/>
          <w:bCs w:val="0"/>
          <w:color w:val="000000" w:themeColor="text1"/>
          <w:kern w:val="0"/>
          <w:highlight w:val="none"/>
          <w14:textFill>
            <w14:solidFill>
              <w14:schemeClr w14:val="tx1"/>
            </w14:solidFill>
          </w14:textFill>
        </w:rPr>
        <w:t>1</w:t>
      </w:r>
      <w:bookmarkStart w:id="371" w:name="_Toc337558793"/>
      <w:r>
        <w:rPr>
          <w:rFonts w:hint="eastAsia" w:ascii="宋体" w:hAnsi="宋体" w:eastAsia="宋体" w:cs="宋体"/>
          <w:b w:val="0"/>
          <w:bCs w:val="0"/>
          <w:color w:val="000000" w:themeColor="text1"/>
          <w:kern w:val="0"/>
          <w:highlight w:val="none"/>
          <w14:textFill>
            <w14:solidFill>
              <w14:schemeClr w14:val="tx1"/>
            </w14:solidFill>
          </w14:textFill>
        </w:rPr>
        <w:t>0.6变更引起的工期调整</w:t>
      </w:r>
      <w:bookmarkEnd w:id="370"/>
      <w:r>
        <w:rPr>
          <w:rFonts w:hint="eastAsia" w:ascii="宋体" w:hAnsi="宋体" w:eastAsia="宋体" w:cs="宋体"/>
          <w:b w:val="0"/>
          <w:bCs w:val="0"/>
          <w:color w:val="000000" w:themeColor="text1"/>
          <w:kern w:val="0"/>
          <w:highlight w:val="none"/>
          <w14:textFill>
            <w14:solidFill>
              <w14:schemeClr w14:val="tx1"/>
            </w14:solidFill>
          </w14:textFill>
        </w:rPr>
        <w:t xml:space="preserve"> </w:t>
      </w:r>
      <w:bookmarkEnd w:id="371"/>
      <w:r>
        <w:rPr>
          <w:rFonts w:hint="eastAsia" w:ascii="宋体" w:hAnsi="宋体" w:eastAsia="宋体" w:cs="宋体"/>
          <w:b w:val="0"/>
          <w:bCs w:val="0"/>
          <w:color w:val="000000" w:themeColor="text1"/>
          <w:kern w:val="0"/>
          <w:highlight w:val="none"/>
          <w14:textFill>
            <w14:solidFill>
              <w14:schemeClr w14:val="tx1"/>
            </w14:solidFill>
          </w14:textFill>
        </w:rPr>
        <w:t xml:space="preserve">  </w:t>
      </w:r>
    </w:p>
    <w:p w14:paraId="6D02040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因变更引起工期变化的，合同当事人均可要求调整合同工期，由合同当事人按照第4.4款〔商定或确定〕并参考工程所在地的工期定额标准确定增减工期天数。</w:t>
      </w:r>
    </w:p>
    <w:p w14:paraId="7D0878D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72" w:name="_Toc351203574"/>
      <w:r>
        <w:rPr>
          <w:rFonts w:hint="eastAsia" w:ascii="宋体" w:hAnsi="宋体" w:eastAsia="宋体" w:cs="宋体"/>
          <w:b w:val="0"/>
          <w:bCs w:val="0"/>
          <w:color w:val="000000" w:themeColor="text1"/>
          <w:kern w:val="0"/>
          <w:highlight w:val="none"/>
          <w14:textFill>
            <w14:solidFill>
              <w14:schemeClr w14:val="tx1"/>
            </w14:solidFill>
          </w14:textFill>
        </w:rPr>
        <w:t>10.7暂估价</w:t>
      </w:r>
      <w:bookmarkEnd w:id="372"/>
    </w:p>
    <w:p w14:paraId="41ED3E8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暂估价专业分包工程、服务、材料和工程设备的明细由合同当事人在专用合同条款中约定。</w:t>
      </w:r>
    </w:p>
    <w:p w14:paraId="6048FB9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10.7.1 依法必须招标的暂估价项目</w:t>
      </w:r>
    </w:p>
    <w:p w14:paraId="1515F1A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对于依法必须招标的暂估价项目，采取以下第1种方式确定。合同当事人也可以在专用合同条款中选择其他招标方式。</w:t>
      </w:r>
    </w:p>
    <w:p w14:paraId="77C6CA5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第1种方式：对于依法必须招标的暂估价项目，由承包人招标，对该暂估价项目的确认和批准按照以下约定执行：</w:t>
      </w:r>
    </w:p>
    <w:p w14:paraId="71952AC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2F775D8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（2）承包人应当根据施工进度计划，提前14天将</w:t>
      </w:r>
      <w:r>
        <w:rPr>
          <w:rFonts w:hint="eastAsia" w:ascii="宋体" w:hAnsi="宋体" w:eastAsia="宋体" w:cs="宋体"/>
          <w:b w:val="0"/>
          <w:bCs w:val="0"/>
          <w:color w:val="000000" w:themeColor="text1"/>
          <w:kern w:val="0"/>
          <w:highlight w:val="none"/>
          <w:lang w:eastAsia="zh-CN"/>
          <w14:textFill>
            <w14:solidFill>
              <w14:schemeClr w14:val="tx1"/>
            </w14:solidFill>
          </w14:textFill>
        </w:rPr>
        <w:t>采购文件</w:t>
      </w:r>
      <w:r>
        <w:rPr>
          <w:rFonts w:hint="eastAsia" w:ascii="宋体" w:hAnsi="宋体" w:eastAsia="宋体" w:cs="宋体"/>
          <w:b w:val="0"/>
          <w:bCs w:val="0"/>
          <w:color w:val="000000" w:themeColor="text1"/>
          <w:kern w:val="0"/>
          <w:highlight w:val="none"/>
          <w14:textFill>
            <w14:solidFill>
              <w14:schemeClr w14:val="tx1"/>
            </w14:solidFill>
          </w14:textFill>
        </w:rPr>
        <w:t>通过监理人报送发包人审批，发包人应当在收到承包人报送的相关文件后7天内完成审批或提出修改意见；发包人有权确定招标控制价并按照法律规定参加评标；</w:t>
      </w:r>
    </w:p>
    <w:p w14:paraId="1C468DD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    （3）承包人与供应商、分包人在签订暂估价合同前，应当提前7天将确定的中标候选供应商或中标候选分包人的资料报送发包人，发包人应在收到资料后3天内与承包人共同确定</w:t>
      </w:r>
      <w:r>
        <w:rPr>
          <w:rFonts w:hint="eastAsia" w:ascii="宋体" w:hAnsi="宋体" w:cs="宋体"/>
          <w:b w:val="0"/>
          <w:bCs w:val="0"/>
          <w:color w:val="000000" w:themeColor="text1"/>
          <w:kern w:val="0"/>
          <w:highlight w:val="none"/>
          <w:lang w:eastAsia="zh-CN"/>
          <w14:textFill>
            <w14:solidFill>
              <w14:schemeClr w14:val="tx1"/>
            </w14:solidFill>
          </w14:textFill>
        </w:rPr>
        <w:t>成交供应商</w:t>
      </w:r>
      <w:r>
        <w:rPr>
          <w:rFonts w:hint="eastAsia" w:ascii="宋体" w:hAnsi="宋体" w:eastAsia="宋体" w:cs="宋体"/>
          <w:b w:val="0"/>
          <w:bCs w:val="0"/>
          <w:color w:val="000000" w:themeColor="text1"/>
          <w:kern w:val="0"/>
          <w:highlight w:val="none"/>
          <w14:textFill>
            <w14:solidFill>
              <w14:schemeClr w14:val="tx1"/>
            </w14:solidFill>
          </w14:textFill>
        </w:rPr>
        <w:t>；承包人应当在签订合同后7天内，将暂估价合同副本报送发包人留存。</w:t>
      </w:r>
    </w:p>
    <w:p w14:paraId="6B864F3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w:t>
      </w:r>
      <w:r>
        <w:rPr>
          <w:rFonts w:hint="eastAsia" w:ascii="宋体" w:hAnsi="宋体" w:cs="宋体"/>
          <w:b w:val="0"/>
          <w:bCs w:val="0"/>
          <w:color w:val="000000" w:themeColor="text1"/>
          <w:kern w:val="0"/>
          <w:highlight w:val="none"/>
          <w:lang w:eastAsia="zh-CN"/>
          <w14:textFill>
            <w14:solidFill>
              <w14:schemeClr w14:val="tx1"/>
            </w14:solidFill>
          </w14:textFill>
        </w:rPr>
        <w:t>成交供应商</w:t>
      </w:r>
      <w:r>
        <w:rPr>
          <w:rFonts w:hint="eastAsia" w:ascii="宋体" w:hAnsi="宋体" w:eastAsia="宋体" w:cs="宋体"/>
          <w:b w:val="0"/>
          <w:bCs w:val="0"/>
          <w:color w:val="000000" w:themeColor="text1"/>
          <w:kern w:val="0"/>
          <w:highlight w:val="none"/>
          <w14:textFill>
            <w14:solidFill>
              <w14:schemeClr w14:val="tx1"/>
            </w14:solidFill>
          </w14:textFill>
        </w:rPr>
        <w:t>后，由发包人、承包人与</w:t>
      </w:r>
      <w:r>
        <w:rPr>
          <w:rFonts w:hint="eastAsia" w:ascii="宋体" w:hAnsi="宋体" w:cs="宋体"/>
          <w:b w:val="0"/>
          <w:bCs w:val="0"/>
          <w:color w:val="000000" w:themeColor="text1"/>
          <w:kern w:val="0"/>
          <w:highlight w:val="none"/>
          <w:lang w:eastAsia="zh-CN"/>
          <w14:textFill>
            <w14:solidFill>
              <w14:schemeClr w14:val="tx1"/>
            </w14:solidFill>
          </w14:textFill>
        </w:rPr>
        <w:t>成交供应商</w:t>
      </w:r>
      <w:r>
        <w:rPr>
          <w:rFonts w:hint="eastAsia" w:ascii="宋体" w:hAnsi="宋体" w:eastAsia="宋体" w:cs="宋体"/>
          <w:b w:val="0"/>
          <w:bCs w:val="0"/>
          <w:color w:val="000000" w:themeColor="text1"/>
          <w:kern w:val="0"/>
          <w:highlight w:val="none"/>
          <w14:textFill>
            <w14:solidFill>
              <w14:schemeClr w14:val="tx1"/>
            </w14:solidFill>
          </w14:textFill>
        </w:rPr>
        <w:t>共同签订暂估价合同。</w:t>
      </w:r>
    </w:p>
    <w:p w14:paraId="54C09D2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10.7.2不属于依法必须招标的暂估价项目</w:t>
      </w:r>
    </w:p>
    <w:p w14:paraId="1EC2067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除专用合同条款另有约定外，对于不属于依法必须招标的暂估价项目，采取以下第1种方式确定： </w:t>
      </w:r>
    </w:p>
    <w:p w14:paraId="323FFD1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第1种方式：对于不属于依法必须招标的暂估价项目，按本项约定确认和批准：</w:t>
      </w:r>
    </w:p>
    <w:p w14:paraId="73B3583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14271DB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（2）发包人认为承包人确定的供应商、分包人无法满足工程质量或合同要求的，发包人可以要求承包人重新确定暂估价项目的供应商、分包人;</w:t>
      </w:r>
    </w:p>
    <w:p w14:paraId="52A491B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（3）承包人应当在签订暂估价合同后7天内，将暂估价合同副本报送发包人留存。</w:t>
      </w:r>
    </w:p>
    <w:p w14:paraId="60CFA3A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第2种方式：承包人按照第10.7.1项〔依法必须招标的暂估价项目〕约定的第1种方式确定暂估价项目。</w:t>
      </w:r>
    </w:p>
    <w:p w14:paraId="7F4AAA2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第3种方式：承包人直接实施的暂估价项目</w:t>
      </w:r>
    </w:p>
    <w:p w14:paraId="2C58DD3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承包人具备实施暂估价项目的资格和条件的，经发包人和承包人协商一致后，可由承包人自行实施暂估价项目，合同当事人可以在专用合同条款约定具体事项。</w:t>
      </w:r>
    </w:p>
    <w:p w14:paraId="57EF9DE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08AE86B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73" w:name="_Toc351203575"/>
      <w:r>
        <w:rPr>
          <w:rFonts w:hint="eastAsia" w:ascii="宋体" w:hAnsi="宋体" w:eastAsia="宋体" w:cs="宋体"/>
          <w:b w:val="0"/>
          <w:bCs w:val="0"/>
          <w:color w:val="000000" w:themeColor="text1"/>
          <w:kern w:val="0"/>
          <w:highlight w:val="none"/>
          <w14:textFill>
            <w14:solidFill>
              <w14:schemeClr w14:val="tx1"/>
            </w14:solidFill>
          </w14:textFill>
        </w:rPr>
        <w:t>1</w:t>
      </w:r>
      <w:bookmarkStart w:id="374" w:name="_Toc337558794"/>
      <w:bookmarkStart w:id="375" w:name="_Toc322522561"/>
      <w:bookmarkStart w:id="376" w:name="_Toc296503090"/>
      <w:bookmarkStart w:id="377" w:name="_Toc296346591"/>
      <w:r>
        <w:rPr>
          <w:rFonts w:hint="eastAsia" w:ascii="宋体" w:hAnsi="宋体" w:eastAsia="宋体" w:cs="宋体"/>
          <w:b w:val="0"/>
          <w:bCs w:val="0"/>
          <w:color w:val="000000" w:themeColor="text1"/>
          <w:kern w:val="0"/>
          <w:highlight w:val="none"/>
          <w14:textFill>
            <w14:solidFill>
              <w14:schemeClr w14:val="tx1"/>
            </w14:solidFill>
          </w14:textFill>
        </w:rPr>
        <w:t>0.8暂列金额</w:t>
      </w:r>
      <w:bookmarkEnd w:id="373"/>
    </w:p>
    <w:bookmarkEnd w:id="374"/>
    <w:p w14:paraId="050BD52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暂列金额应按照发包人的要求使用，发包人的要求应通过监理人发出。合同当事人可以在专用合同条款中协商确定有关事项。</w:t>
      </w:r>
    </w:p>
    <w:bookmarkEnd w:id="375"/>
    <w:bookmarkEnd w:id="376"/>
    <w:bookmarkEnd w:id="377"/>
    <w:p w14:paraId="79204F8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78" w:name="_Toc351203576"/>
      <w:r>
        <w:rPr>
          <w:rFonts w:hint="eastAsia" w:ascii="宋体" w:hAnsi="宋体" w:eastAsia="宋体" w:cs="宋体"/>
          <w:b w:val="0"/>
          <w:bCs w:val="0"/>
          <w:color w:val="000000" w:themeColor="text1"/>
          <w:kern w:val="0"/>
          <w:highlight w:val="none"/>
          <w14:textFill>
            <w14:solidFill>
              <w14:schemeClr w14:val="tx1"/>
            </w14:solidFill>
          </w14:textFill>
        </w:rPr>
        <w:t>1</w:t>
      </w:r>
      <w:bookmarkStart w:id="379" w:name="_Toc337558796"/>
      <w:bookmarkStart w:id="380" w:name="_Toc296503091"/>
      <w:bookmarkStart w:id="381" w:name="_Toc296346592"/>
      <w:r>
        <w:rPr>
          <w:rFonts w:hint="eastAsia" w:ascii="宋体" w:hAnsi="宋体" w:eastAsia="宋体" w:cs="宋体"/>
          <w:b w:val="0"/>
          <w:bCs w:val="0"/>
          <w:color w:val="000000" w:themeColor="text1"/>
          <w:kern w:val="0"/>
          <w:highlight w:val="none"/>
          <w14:textFill>
            <w14:solidFill>
              <w14:schemeClr w14:val="tx1"/>
            </w14:solidFill>
          </w14:textFill>
        </w:rPr>
        <w:t>0.9计日工</w:t>
      </w:r>
      <w:bookmarkEnd w:id="378"/>
      <w:r>
        <w:rPr>
          <w:rFonts w:hint="eastAsia" w:ascii="宋体" w:hAnsi="宋体" w:eastAsia="宋体" w:cs="宋体"/>
          <w:b w:val="0"/>
          <w:bCs w:val="0"/>
          <w:color w:val="000000" w:themeColor="text1"/>
          <w:kern w:val="0"/>
          <w:highlight w:val="none"/>
          <w14:textFill>
            <w14:solidFill>
              <w14:schemeClr w14:val="tx1"/>
            </w14:solidFill>
          </w14:textFill>
        </w:rPr>
        <w:t xml:space="preserve"> </w:t>
      </w:r>
      <w:bookmarkEnd w:id="379"/>
      <w:bookmarkEnd w:id="380"/>
      <w:bookmarkEnd w:id="381"/>
    </w:p>
    <w:p w14:paraId="4B87B6F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7CF5C40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采用计日工计价的任何一项工作，承包人应在该项工作实施过程中，每天提交以下报表和有关凭证报送监理人审查：</w:t>
      </w:r>
    </w:p>
    <w:p w14:paraId="342E0F8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（1）工作名称、内容和数量；</w:t>
      </w:r>
    </w:p>
    <w:p w14:paraId="3980A1E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（2）投入该工作的所有人员的姓名、专业、工种、级别和耗用工时；</w:t>
      </w:r>
    </w:p>
    <w:p w14:paraId="032F26A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（3）投入该工作的材料类别和数量；</w:t>
      </w:r>
    </w:p>
    <w:p w14:paraId="5A43C6F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（4）投入该工作的施工设备型号、台数和耗用台时；</w:t>
      </w:r>
    </w:p>
    <w:p w14:paraId="65D6475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（5）其他有关资料和凭证。</w:t>
      </w:r>
    </w:p>
    <w:p w14:paraId="613F739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 计日工由承包人汇总后，列入最近一期进度付款申请单，由监理人审查并经发包人批准后列入进度付款。</w:t>
      </w:r>
    </w:p>
    <w:p w14:paraId="2789909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82" w:name="_Toc351203577"/>
      <w:r>
        <w:rPr>
          <w:rFonts w:hint="eastAsia" w:ascii="宋体" w:hAnsi="宋体" w:eastAsia="宋体" w:cs="宋体"/>
          <w:b w:val="0"/>
          <w:bCs w:val="0"/>
          <w:color w:val="000000" w:themeColor="text1"/>
          <w:kern w:val="0"/>
          <w:highlight w:val="none"/>
          <w14:textFill>
            <w14:solidFill>
              <w14:schemeClr w14:val="tx1"/>
            </w14:solidFill>
          </w14:textFill>
        </w:rPr>
        <w:t>11. 价格调整</w:t>
      </w:r>
      <w:bookmarkEnd w:id="382"/>
    </w:p>
    <w:p w14:paraId="55363C9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83" w:name="_Toc351203578"/>
      <w:bookmarkStart w:id="384" w:name="_Toc296346593"/>
      <w:bookmarkStart w:id="385" w:name="_Toc337558797"/>
      <w:bookmarkStart w:id="386" w:name="_Toc296503092"/>
      <w:r>
        <w:rPr>
          <w:rFonts w:hint="eastAsia" w:ascii="宋体" w:hAnsi="宋体" w:eastAsia="宋体" w:cs="宋体"/>
          <w:b w:val="0"/>
          <w:bCs w:val="0"/>
          <w:color w:val="000000" w:themeColor="text1"/>
          <w:kern w:val="0"/>
          <w:highlight w:val="none"/>
          <w14:textFill>
            <w14:solidFill>
              <w14:schemeClr w14:val="tx1"/>
            </w14:solidFill>
          </w14:textFill>
        </w:rPr>
        <w:t>11.1市场价格波动引起的调整</w:t>
      </w:r>
      <w:bookmarkEnd w:id="383"/>
    </w:p>
    <w:bookmarkEnd w:id="384"/>
    <w:bookmarkEnd w:id="385"/>
    <w:bookmarkEnd w:id="386"/>
    <w:p w14:paraId="48CF9B5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除专用合同条款另有约定外，市场价格波动超过合同当事人约定的范围，合同价格应当调整。合同当事人可以在专用合同条款中约定选择以下一种方式对合同价格进行调整：</w:t>
      </w:r>
    </w:p>
    <w:p w14:paraId="224A3F0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第1种方式：采用价格指数进行价格调整。</w:t>
      </w:r>
    </w:p>
    <w:p w14:paraId="0242573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（1）价格调整公式</w:t>
      </w:r>
    </w:p>
    <w:p w14:paraId="5DC31B0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因人工、材料和设备等价格波动影响合同价格时，根据专用合同条款中约定的数据，按以下公式计算差额并调整合同价格：</w:t>
      </w:r>
    </w:p>
    <w:p w14:paraId="6F6D61A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object>
          <v:shape id="_x0000_i1025" o:spt="75" type="#_x0000_t75" style="height:43.9pt;width:359.8pt;" o:ole="t" filled="f" o:preferrelative="t" stroked="f" coordsize="21600,21600">
            <v:path/>
            <v:fill on="f" focussize="0,0"/>
            <v:stroke on="f" joinstyle="miter"/>
            <v:imagedata r:id="rId15" o:title="8fa28411-8182-4259-8032-728e453fdcd9"/>
            <o:lock v:ext="edit" aspectratio="t"/>
            <w10:wrap type="none"/>
            <w10:anchorlock/>
          </v:shape>
          <o:OLEObject Type="Embed" ProgID="Package" ShapeID="_x0000_i1025" DrawAspect="Content" ObjectID="_1468075725" r:id="rId14">
            <o:LockedField>false</o:LockedField>
          </o:OLEObject>
        </w:object>
      </w:r>
    </w:p>
    <w:p w14:paraId="38EFB80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公式中：ΔP——需调整的价格差额；</w:t>
      </w:r>
    </w:p>
    <w:p w14:paraId="71CB05C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object>
          <v:shape id="_x0000_i1026" o:spt="75" type="#_x0000_t75" style="height:17.95pt;width:17.95pt;" o:ole="t" filled="f" o:preferrelative="t" stroked="f" coordsize="21600,21600">
            <v:path/>
            <v:fill on="f" focussize="0,0"/>
            <v:stroke on="f" joinstyle="miter"/>
            <v:imagedata r:id="rId17" o:title="f1f124b4-35be-42e6-8d1f-3d2401015b8b"/>
            <o:lock v:ext="edit" aspectratio="t"/>
            <w10:wrap type="none"/>
            <w10:anchorlock/>
          </v:shape>
          <o:OLEObject Type="Embed" ProgID="Package" ShapeID="_x0000_i1026" DrawAspect="Content" ObjectID="_1468075726" r:id="rId16">
            <o:LockedField>false</o:LockedField>
          </o:OLEObject>
        </w:object>
      </w:r>
      <w:r>
        <w:rPr>
          <w:rFonts w:hint="eastAsia" w:ascii="宋体" w:hAnsi="宋体" w:eastAsia="宋体" w:cs="宋体"/>
          <w:b w:val="0"/>
          <w:bCs w:val="0"/>
          <w:color w:val="000000" w:themeColor="text1"/>
          <w:kern w:val="0"/>
          <w:highlight w:val="none"/>
          <w14:textFill>
            <w14:solidFill>
              <w14:schemeClr w14:val="tx1"/>
            </w14:solidFill>
          </w14:textFill>
        </w:rPr>
        <w:t>——约定的付款证书中承包人应得到的已完成工程量的金额。此项金额应不包括价格调整、不计质量保证金的扣留和支付、预付款的支付和扣回。约定的变更及其他金额已按现行价格计价的，也不计在内；</w:t>
      </w:r>
    </w:p>
    <w:p w14:paraId="51780AE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A——定值权重（即不调部分的权重）；</w:t>
      </w:r>
    </w:p>
    <w:p w14:paraId="5AAFA90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object>
          <v:shape id="_x0000_i1027" o:spt="75" type="#_x0000_t75" style="height:21.05pt;width:101pt;" o:ole="t" filled="f" o:preferrelative="t" stroked="f" coordsize="21600,21600">
            <v:path/>
            <v:fill on="f" focussize="0,0"/>
            <v:stroke on="f" joinstyle="miter"/>
            <v:imagedata r:id="rId19" o:title="a4edf1dd-5287-44c6-a081-b450a60233cf"/>
            <o:lock v:ext="edit" aspectratio="t"/>
            <w10:wrap type="none"/>
            <w10:anchorlock/>
          </v:shape>
          <o:OLEObject Type="Embed" ProgID="Package" ShapeID="_x0000_i1027" DrawAspect="Content" ObjectID="_1468075727" r:id="rId18">
            <o:LockedField>false</o:LockedField>
          </o:OLEObject>
        </w:object>
      </w:r>
      <w:r>
        <w:rPr>
          <w:rFonts w:hint="eastAsia" w:ascii="宋体" w:hAnsi="宋体" w:eastAsia="宋体" w:cs="宋体"/>
          <w:b w:val="0"/>
          <w:bCs w:val="0"/>
          <w:color w:val="000000" w:themeColor="text1"/>
          <w:kern w:val="0"/>
          <w:highlight w:val="none"/>
          <w14:textFill>
            <w14:solidFill>
              <w14:schemeClr w14:val="tx1"/>
            </w14:solidFill>
          </w14:textFill>
        </w:rPr>
        <w:t>——各可调因子的变值权重（即可调部分的权重），为各可调因子在签约合同价中所占的比例；</w:t>
      </w:r>
    </w:p>
    <w:p w14:paraId="2F6A046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object>
          <v:shape id="_x0000_i1028" o:spt="75" type="#_x0000_t75" style="height:20.6pt;width:102pt;" o:ole="t" filled="f" o:preferrelative="t" stroked="f" coordsize="21600,21600">
            <v:path/>
            <v:fill on="f" focussize="0,0"/>
            <v:stroke on="f" joinstyle="miter"/>
            <v:imagedata r:id="rId21" o:title="da5ab312-069d-4463-9f8d-882e5bed9a72"/>
            <o:lock v:ext="edit" aspectratio="t"/>
            <w10:wrap type="none"/>
            <w10:anchorlock/>
          </v:shape>
          <o:OLEObject Type="Embed" ProgID="Package" ShapeID="_x0000_i1028" DrawAspect="Content" ObjectID="_1468075728" r:id="rId20">
            <o:LockedField>false</o:LockedField>
          </o:OLEObject>
        </w:object>
      </w:r>
      <w:r>
        <w:rPr>
          <w:rFonts w:hint="eastAsia" w:ascii="宋体" w:hAnsi="宋体" w:eastAsia="宋体" w:cs="宋体"/>
          <w:b w:val="0"/>
          <w:bCs w:val="0"/>
          <w:color w:val="000000" w:themeColor="text1"/>
          <w:kern w:val="0"/>
          <w:highlight w:val="none"/>
          <w14:textFill>
            <w14:solidFill>
              <w14:schemeClr w14:val="tx1"/>
            </w14:solidFill>
          </w14:textFill>
        </w:rPr>
        <w:t>——各可调因子的现行价格指数，指约定的付款证书相关周期最后一天的前42天的各可调因子的价格指数；</w:t>
      </w:r>
    </w:p>
    <w:p w14:paraId="7E58F28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object>
          <v:shape id="_x0000_i1029" o:spt="75" type="#_x0000_t75" style="height:20.2pt;width:107.95pt;" o:ole="t" filled="f" o:preferrelative="t" stroked="f" coordsize="21600,21600">
            <v:path/>
            <v:fill on="f" focussize="0,0"/>
            <v:stroke on="f" joinstyle="miter"/>
            <v:imagedata r:id="rId23" o:title="08cae13d-5647-4291-86f8-1482dad36897"/>
            <o:lock v:ext="edit" aspectratio="t"/>
            <w10:wrap type="none"/>
            <w10:anchorlock/>
          </v:shape>
          <o:OLEObject Type="Embed" ProgID="Package" ShapeID="_x0000_i1029" DrawAspect="Content" ObjectID="_1468075729" r:id="rId22">
            <o:LockedField>false</o:LockedField>
          </o:OLEObject>
        </w:object>
      </w:r>
      <w:r>
        <w:rPr>
          <w:rFonts w:hint="eastAsia" w:ascii="宋体" w:hAnsi="宋体" w:eastAsia="宋体" w:cs="宋体"/>
          <w:b w:val="0"/>
          <w:bCs w:val="0"/>
          <w:color w:val="000000" w:themeColor="text1"/>
          <w:kern w:val="0"/>
          <w:highlight w:val="none"/>
          <w14:textFill>
            <w14:solidFill>
              <w14:schemeClr w14:val="tx1"/>
            </w14:solidFill>
          </w14:textFill>
        </w:rPr>
        <w:t>——各可调因子的基本价格指数，指基准日期的各可调因子的价格指数。</w:t>
      </w:r>
    </w:p>
    <w:p w14:paraId="796E0A6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18AE3A6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（2）暂时确定调整差额</w:t>
      </w:r>
    </w:p>
    <w:p w14:paraId="3160E50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在计算调整差额时无现行价格指数的，合同当事人同意暂用前次价格指数计算。实际价格指数有调整的，合同当事人进行相应调整。</w:t>
      </w:r>
    </w:p>
    <w:p w14:paraId="6CCB9F6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（3）权重的调整</w:t>
      </w:r>
    </w:p>
    <w:p w14:paraId="2981F78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因变更导致合同约定的权重不合理时，按照第4.4款〔商定或确定〕执行。</w:t>
      </w:r>
    </w:p>
    <w:p w14:paraId="18577FC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（4）因承包人原因工期延误后的价格调整</w:t>
      </w:r>
    </w:p>
    <w:p w14:paraId="28CC6DD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因承包人原因未按期竣工的，对合同约定的竣工日期后继续施工的工程，在使用价格调整公式时，应采用计划竣工日期与实际竣工日期的两个价格指数中较低的一个作为现行价格指数。</w:t>
      </w:r>
    </w:p>
    <w:p w14:paraId="030597E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第2种方式：采用造价信息进行价格调整。</w:t>
      </w:r>
    </w:p>
    <w:p w14:paraId="03DB15E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6B41022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5430F7C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（2）材料、工程设备价格变化的价款调整按照发包人提供的基准价格，按以下风险范围规定执行:</w:t>
      </w:r>
    </w:p>
    <w:p w14:paraId="6FCD1E6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7C13E9E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497FAC1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③承包人在已标价工程量清单或预算书中载明材料单价等于基准价格的：除专用合同条款另有约定外，合同履行期间材料单价涨跌幅以基准价格为基础超过±5%时，其超过部分据实调整。</w:t>
      </w:r>
    </w:p>
    <w:p w14:paraId="6B6DAF9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3073C87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87" w:name="OLE_LINK3"/>
      <w:r>
        <w:rPr>
          <w:rFonts w:hint="eastAsia" w:ascii="宋体" w:hAnsi="宋体" w:eastAsia="宋体" w:cs="宋体"/>
          <w:b w:val="0"/>
          <w:bCs w:val="0"/>
          <w:color w:val="000000" w:themeColor="text1"/>
          <w:kern w:val="0"/>
          <w:highlight w:val="none"/>
          <w14:textFill>
            <w14:solidFill>
              <w14:schemeClr w14:val="tx1"/>
            </w14:solidFill>
          </w14:textFill>
        </w:rPr>
        <w:t>前述基准价格是指由发包人在</w:t>
      </w:r>
      <w:r>
        <w:rPr>
          <w:rFonts w:hint="eastAsia" w:ascii="宋体" w:hAnsi="宋体" w:eastAsia="宋体" w:cs="宋体"/>
          <w:b w:val="0"/>
          <w:bCs w:val="0"/>
          <w:color w:val="000000" w:themeColor="text1"/>
          <w:kern w:val="0"/>
          <w:highlight w:val="none"/>
          <w:lang w:eastAsia="zh-CN"/>
          <w14:textFill>
            <w14:solidFill>
              <w14:schemeClr w14:val="tx1"/>
            </w14:solidFill>
          </w14:textFill>
        </w:rPr>
        <w:t>采购文件</w:t>
      </w:r>
      <w:r>
        <w:rPr>
          <w:rFonts w:hint="eastAsia" w:ascii="宋体" w:hAnsi="宋体" w:eastAsia="宋体" w:cs="宋体"/>
          <w:b w:val="0"/>
          <w:bCs w:val="0"/>
          <w:color w:val="000000" w:themeColor="text1"/>
          <w:kern w:val="0"/>
          <w:highlight w:val="none"/>
          <w14:textFill>
            <w14:solidFill>
              <w14:schemeClr w14:val="tx1"/>
            </w14:solidFill>
          </w14:textFill>
        </w:rPr>
        <w:t>或专用合同条款中给定的材料、工程设备的价格，该价格原则上应当按照省级或行业建设主管部门或其授权的工程造价管理机构发布的信息价编制。</w:t>
      </w:r>
    </w:p>
    <w:p w14:paraId="523D88B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（3）施工机械台班单价或施工机械使用费发生变化超过省级或行业建设主管部门或其授权的工程造价管理机构规定的范围时，按规定调整合同价格。</w:t>
      </w:r>
    </w:p>
    <w:p w14:paraId="1B35BA7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第3种方式：专用合同条款约定的其他方式。</w:t>
      </w:r>
    </w:p>
    <w:p w14:paraId="0FC94BA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88" w:name="_Toc351203579"/>
      <w:bookmarkStart w:id="389" w:name="_Toc337558798"/>
      <w:bookmarkStart w:id="390" w:name="_Toc296503093"/>
      <w:bookmarkStart w:id="391" w:name="_Toc296346594"/>
      <w:r>
        <w:rPr>
          <w:rFonts w:hint="eastAsia" w:ascii="宋体" w:hAnsi="宋体" w:eastAsia="宋体" w:cs="宋体"/>
          <w:b w:val="0"/>
          <w:bCs w:val="0"/>
          <w:color w:val="000000" w:themeColor="text1"/>
          <w:kern w:val="0"/>
          <w:highlight w:val="none"/>
          <w14:textFill>
            <w14:solidFill>
              <w14:schemeClr w14:val="tx1"/>
            </w14:solidFill>
          </w14:textFill>
        </w:rPr>
        <w:t>11.2法律变化引起的调整</w:t>
      </w:r>
      <w:bookmarkEnd w:id="388"/>
    </w:p>
    <w:bookmarkEnd w:id="389"/>
    <w:bookmarkEnd w:id="390"/>
    <w:bookmarkEnd w:id="391"/>
    <w:p w14:paraId="12F0168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6B5737F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因法律变化引起的合同价格和工期调整，合同当事人无法达成一致的，由总监理工程师按第4.4款〔商定或确定〕的约定处理。</w:t>
      </w:r>
    </w:p>
    <w:p w14:paraId="3CEED7E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因承包人原因造成工期延误，在工期延误期间出现法律变化的，由此增加的费用和（或）延误的工期由承包人承担。</w:t>
      </w:r>
    </w:p>
    <w:p w14:paraId="6B8B855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92" w:name="_Toc351203580"/>
      <w:bookmarkStart w:id="393" w:name="_Toc337558799"/>
      <w:bookmarkStart w:id="394" w:name="_Toc296346597"/>
      <w:bookmarkStart w:id="395" w:name="_Toc296503096"/>
      <w:r>
        <w:rPr>
          <w:rFonts w:hint="eastAsia" w:ascii="宋体" w:hAnsi="宋体" w:eastAsia="宋体" w:cs="宋体"/>
          <w:b w:val="0"/>
          <w:bCs w:val="0"/>
          <w:color w:val="000000" w:themeColor="text1"/>
          <w:kern w:val="0"/>
          <w:highlight w:val="none"/>
          <w14:textFill>
            <w14:solidFill>
              <w14:schemeClr w14:val="tx1"/>
            </w14:solidFill>
          </w14:textFill>
        </w:rPr>
        <w:t>12. 合同价格、计量与支付</w:t>
      </w:r>
      <w:bookmarkEnd w:id="392"/>
    </w:p>
    <w:bookmarkEnd w:id="393"/>
    <w:p w14:paraId="2221275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96" w:name="_Toc351203581"/>
      <w:bookmarkStart w:id="397" w:name="_Toc337558800"/>
      <w:r>
        <w:rPr>
          <w:rFonts w:hint="eastAsia" w:ascii="宋体" w:hAnsi="宋体" w:eastAsia="宋体" w:cs="宋体"/>
          <w:b w:val="0"/>
          <w:bCs w:val="0"/>
          <w:color w:val="000000" w:themeColor="text1"/>
          <w:kern w:val="0"/>
          <w:highlight w:val="none"/>
          <w14:textFill>
            <w14:solidFill>
              <w14:schemeClr w14:val="tx1"/>
            </w14:solidFill>
          </w14:textFill>
        </w:rPr>
        <w:t>12.1 合同价</w:t>
      </w:r>
      <w:bookmarkEnd w:id="394"/>
      <w:bookmarkEnd w:id="395"/>
      <w:r>
        <w:rPr>
          <w:rFonts w:hint="eastAsia" w:ascii="宋体" w:hAnsi="宋体" w:eastAsia="宋体" w:cs="宋体"/>
          <w:b w:val="0"/>
          <w:bCs w:val="0"/>
          <w:color w:val="000000" w:themeColor="text1"/>
          <w:kern w:val="0"/>
          <w:highlight w:val="none"/>
          <w14:textFill>
            <w14:solidFill>
              <w14:schemeClr w14:val="tx1"/>
            </w14:solidFill>
          </w14:textFill>
        </w:rPr>
        <w:t>格形式</w:t>
      </w:r>
      <w:bookmarkEnd w:id="396"/>
    </w:p>
    <w:bookmarkEnd w:id="397"/>
    <w:p w14:paraId="50FC3D8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发包人和承包人应在合同协议书中选择下列一种合同价格形式： </w:t>
      </w:r>
    </w:p>
    <w:p w14:paraId="7953B41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1.单价合同</w:t>
      </w:r>
    </w:p>
    <w:p w14:paraId="0FA5893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市场价格波动引起的调整〕约定执行。</w:t>
      </w:r>
    </w:p>
    <w:p w14:paraId="6294979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2.总价合同</w:t>
      </w:r>
    </w:p>
    <w:p w14:paraId="2D67A3F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41E6848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3.其它价格形式</w:t>
      </w:r>
    </w:p>
    <w:p w14:paraId="551C2A7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合同当事人可在专用合同条款中约定其他合同价格形式。</w:t>
      </w:r>
    </w:p>
    <w:p w14:paraId="70B3DCB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398" w:name="_Toc296503097"/>
      <w:bookmarkStart w:id="399" w:name="_Toc296346598"/>
      <w:bookmarkStart w:id="400" w:name="_Toc351203582"/>
      <w:bookmarkStart w:id="401" w:name="_Toc337558801"/>
      <w:r>
        <w:rPr>
          <w:rFonts w:hint="eastAsia" w:ascii="宋体" w:hAnsi="宋体" w:eastAsia="宋体" w:cs="宋体"/>
          <w:b w:val="0"/>
          <w:bCs w:val="0"/>
          <w:color w:val="000000" w:themeColor="text1"/>
          <w:kern w:val="0"/>
          <w:highlight w:val="none"/>
          <w14:textFill>
            <w14:solidFill>
              <w14:schemeClr w14:val="tx1"/>
            </w14:solidFill>
          </w14:textFill>
        </w:rPr>
        <w:t>12.2预</w:t>
      </w:r>
      <w:bookmarkEnd w:id="398"/>
      <w:bookmarkEnd w:id="399"/>
      <w:bookmarkStart w:id="402" w:name="_Toc296346601"/>
      <w:bookmarkStart w:id="403" w:name="_Toc296503100"/>
      <w:r>
        <w:rPr>
          <w:rFonts w:hint="eastAsia" w:ascii="宋体" w:hAnsi="宋体" w:eastAsia="宋体" w:cs="宋体"/>
          <w:b w:val="0"/>
          <w:bCs w:val="0"/>
          <w:color w:val="000000" w:themeColor="text1"/>
          <w:kern w:val="0"/>
          <w:highlight w:val="none"/>
          <w14:textFill>
            <w14:solidFill>
              <w14:schemeClr w14:val="tx1"/>
            </w14:solidFill>
          </w14:textFill>
        </w:rPr>
        <w:t>付款</w:t>
      </w:r>
      <w:bookmarkEnd w:id="400"/>
    </w:p>
    <w:bookmarkEnd w:id="401"/>
    <w:bookmarkEnd w:id="402"/>
    <w:bookmarkEnd w:id="403"/>
    <w:p w14:paraId="5ECCA9A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12.2.1预付款的支付</w:t>
      </w:r>
    </w:p>
    <w:p w14:paraId="0EC8D3C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预付款的支付按照专用合同条款约定执行，但至迟应在开工通知载明的开工日期7天前支付。预付款应当用于材料、工程设备、施工设备的采购及修建临时工程、组织施工队伍进场等。</w:t>
      </w:r>
    </w:p>
    <w:p w14:paraId="4757C86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除专用合同条款另有约定外，预付款在进度付款中同比例扣回。</w:t>
      </w:r>
      <w:bookmarkEnd w:id="387"/>
      <w:r>
        <w:rPr>
          <w:rFonts w:hint="eastAsia" w:ascii="宋体" w:hAnsi="宋体" w:eastAsia="宋体" w:cs="宋体"/>
          <w:b w:val="0"/>
          <w:bCs w:val="0"/>
          <w:color w:val="000000" w:themeColor="text1"/>
          <w:kern w:val="0"/>
          <w:highlight w:val="none"/>
          <w14:textFill>
            <w14:solidFill>
              <w14:schemeClr w14:val="tx1"/>
            </w14:solidFill>
          </w14:textFill>
        </w:rPr>
        <w:t>在颁发工程接收证书前，提前解除合同的，尚未扣完的预付款应与合同价款一并结算。</w:t>
      </w:r>
    </w:p>
    <w:p w14:paraId="3C7C1E2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发包人逾期支付预付款超过7天的，承包人有权向发包人发出要求预付的催告通知，发包人收到通知后7天内仍未支付的，承包人有权暂停施工，并按第16.1.1项〔发包人违约的情形〕执行。</w:t>
      </w:r>
    </w:p>
    <w:p w14:paraId="1E7D1B6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12.2.2 预付款担保</w:t>
      </w:r>
    </w:p>
    <w:p w14:paraId="279CF43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19B04E5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发包人在工程款中逐期扣回预付款后，预付款担保额度应相应减少，但剩余的预付款担保金额不得低于未被扣回的预付款金额。</w:t>
      </w:r>
    </w:p>
    <w:p w14:paraId="00DCAFB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04" w:name="_Toc351203583"/>
      <w:bookmarkStart w:id="405" w:name="_Toc337558802"/>
      <w:r>
        <w:rPr>
          <w:rFonts w:hint="eastAsia" w:ascii="宋体" w:hAnsi="宋体" w:eastAsia="宋体" w:cs="宋体"/>
          <w:b w:val="0"/>
          <w:bCs w:val="0"/>
          <w:color w:val="000000" w:themeColor="text1"/>
          <w:kern w:val="0"/>
          <w:highlight w:val="none"/>
          <w14:textFill>
            <w14:solidFill>
              <w14:schemeClr w14:val="tx1"/>
            </w14:solidFill>
          </w14:textFill>
        </w:rPr>
        <w:t>12.3计量</w:t>
      </w:r>
      <w:bookmarkEnd w:id="404"/>
    </w:p>
    <w:bookmarkEnd w:id="405"/>
    <w:p w14:paraId="79E11E1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12.3.1 计量原则</w:t>
      </w:r>
    </w:p>
    <w:p w14:paraId="484D08A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工程量计量按照合同约定的工程量计算规则、图纸及变更指示等进行计量。工程量计算规则应以相关的国家标准、行业标准等为依据，由合同当事人在专用合同条款中约定。</w:t>
      </w:r>
    </w:p>
    <w:p w14:paraId="07D500C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12.3.2 计量周期</w:t>
      </w:r>
    </w:p>
    <w:p w14:paraId="3F8B32E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除专用合同条款另有约定外，工程量的计量按月进行。</w:t>
      </w:r>
    </w:p>
    <w:p w14:paraId="02F86EB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12.3.3 单价合同的计量</w:t>
      </w:r>
    </w:p>
    <w:p w14:paraId="285D30C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除专用合同条款另有约定外，单价合同的计量按照本项约定执行：</w:t>
      </w:r>
    </w:p>
    <w:p w14:paraId="64F1739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（1）承包人应于每月25日向监理人报送上月20日至当月19日已完成的工程量报告，并附具进度付款申请单、已完成工程量报表和有关资料。</w:t>
      </w:r>
    </w:p>
    <w:p w14:paraId="2CCC957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3298337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（3）监理人未在收到承包人提交的工程量报表后的7天内完成审核的，承包人报送的工程量报告中的工程量视为承包人实际完成的工程量，据此计算工程价款。</w:t>
      </w:r>
    </w:p>
    <w:p w14:paraId="7176165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12.3.4 总价合同的计量</w:t>
      </w:r>
    </w:p>
    <w:p w14:paraId="0E9E87C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除专用合同条款另有约定外，按月计量支付的总价合同，按照本项约定执行：</w:t>
      </w:r>
    </w:p>
    <w:p w14:paraId="4E293F4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（1）承包人应于每月25日向监理人报送上月20日至当月19日已完成的工程量报告，并附具进度付款申请单、已完成工程量报表和有关资料。</w:t>
      </w:r>
    </w:p>
    <w:p w14:paraId="25C2E0D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251459B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（3）监理人未在收到承包人提交的工程量报表后的7天内完成复核的，承包人提交的工程量报告中的工程量视为承包人实际完成的工程量。</w:t>
      </w:r>
    </w:p>
    <w:p w14:paraId="4111063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12.3.5 总价合同采用支付分解表计量支付的，可以按照第12.3.4项〔总价合同的计量〕约定进行计量，但合同价款按照支付分解表进行支付。</w:t>
      </w:r>
    </w:p>
    <w:p w14:paraId="38BA250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12.3.6 其他价格形式合同的计量</w:t>
      </w:r>
    </w:p>
    <w:p w14:paraId="60FE42A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合同当事人可在专用合同条款中约定其他价格形式合同的计量方式和程序。</w:t>
      </w:r>
    </w:p>
    <w:p w14:paraId="1F7C30F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06" w:name="_Toc296346602"/>
      <w:bookmarkStart w:id="407" w:name="_Toc296503101"/>
      <w:bookmarkStart w:id="408" w:name="_Toc351203584"/>
      <w:bookmarkStart w:id="409" w:name="_Toc337558803"/>
      <w:r>
        <w:rPr>
          <w:rFonts w:hint="eastAsia" w:ascii="宋体" w:hAnsi="宋体" w:eastAsia="宋体" w:cs="宋体"/>
          <w:b w:val="0"/>
          <w:bCs w:val="0"/>
          <w:color w:val="000000" w:themeColor="text1"/>
          <w:kern w:val="0"/>
          <w:highlight w:val="none"/>
          <w14:textFill>
            <w14:solidFill>
              <w14:schemeClr w14:val="tx1"/>
            </w14:solidFill>
          </w14:textFill>
        </w:rPr>
        <w:t>12.4工程进度款支</w:t>
      </w:r>
      <w:bookmarkEnd w:id="406"/>
      <w:bookmarkEnd w:id="407"/>
      <w:r>
        <w:rPr>
          <w:rFonts w:hint="eastAsia" w:ascii="宋体" w:hAnsi="宋体" w:eastAsia="宋体" w:cs="宋体"/>
          <w:b w:val="0"/>
          <w:bCs w:val="0"/>
          <w:color w:val="000000" w:themeColor="text1"/>
          <w:kern w:val="0"/>
          <w:highlight w:val="none"/>
          <w14:textFill>
            <w14:solidFill>
              <w14:schemeClr w14:val="tx1"/>
            </w14:solidFill>
          </w14:textFill>
        </w:rPr>
        <w:t>付</w:t>
      </w:r>
      <w:bookmarkEnd w:id="408"/>
    </w:p>
    <w:bookmarkEnd w:id="409"/>
    <w:p w14:paraId="77FDDB0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12.4.1 付款周期</w:t>
      </w:r>
    </w:p>
    <w:p w14:paraId="311EA3D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除专用合同条款另有约定外，付款周期应按照第12.3.2项〔计量周期〕的约定与计量周期保持一致。</w:t>
      </w:r>
    </w:p>
    <w:p w14:paraId="618149E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12.4.2 进度付款申请单的编制</w:t>
      </w:r>
    </w:p>
    <w:p w14:paraId="34370D6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除专用合同条款另有约定外，进度付款申请单应包括下列内容：</w:t>
      </w:r>
    </w:p>
    <w:p w14:paraId="7F4CB64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（1）截至本次付款周期已完成工作对应的金额；</w:t>
      </w:r>
    </w:p>
    <w:p w14:paraId="14A508F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（2）根据第10条〔变更〕应增加和扣减的变更金额；</w:t>
      </w:r>
    </w:p>
    <w:p w14:paraId="7655517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（3）根据第12.2款〔预付款〕约定应支付的预付款和扣减的返还预付款；</w:t>
      </w:r>
    </w:p>
    <w:p w14:paraId="1EAFAFD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（4）根据第15.3款〔质量保证金〕约定应扣减的质量保证金；</w:t>
      </w:r>
    </w:p>
    <w:p w14:paraId="7CAC562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（5）根据第19条〔索赔〕应增加和扣减的索赔金额；</w:t>
      </w:r>
    </w:p>
    <w:p w14:paraId="7E8B3E0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（6）对已签发的进度款支付证书中出现错误的修正，应在本次进度付款中支付或扣除的金额；</w:t>
      </w:r>
    </w:p>
    <w:p w14:paraId="5381F14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（7）根据合同约定应增加和扣减的其他金额。</w:t>
      </w:r>
    </w:p>
    <w:p w14:paraId="5FC70F5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12.4.3 进度付款申请单的提交</w:t>
      </w:r>
    </w:p>
    <w:p w14:paraId="276905F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（1）单价合同进度付款申请单的提交</w:t>
      </w:r>
    </w:p>
    <w:p w14:paraId="1EFE8D3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3825A77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（2）总价合同进度付款申请单的提交</w:t>
      </w:r>
    </w:p>
    <w:p w14:paraId="63302FE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总价合同按月计量支付的，承包人按照第12.3.4项〔总价合同的计量〕约定的时间按月向监理人提交进度付款申请单，并附上已完成工程量报表和有关资料。</w:t>
      </w:r>
    </w:p>
    <w:p w14:paraId="77813B0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总价合同按支付分解表支付的，承包人应按照第12.4.6项〔支付分解表〕及第12.4.2项〔进度付款申请单的编制〕的约定向监理人提交进度付款申请单。</w:t>
      </w:r>
    </w:p>
    <w:p w14:paraId="4668588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（3）其他价格形式合同的进度付款申请单的提交</w:t>
      </w:r>
    </w:p>
    <w:p w14:paraId="31F4E74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合同当事人可在专用合同条款中约定其他价格形式合同的进度付款申请单的编制和提交程序。</w:t>
      </w:r>
    </w:p>
    <w:p w14:paraId="23F34FF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12.4.4 进度款审核和支付</w:t>
      </w:r>
    </w:p>
    <w:p w14:paraId="54483C6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613A98C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22548E8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（2）除专用合同条款另有约定外，发包人应在进度款支付证书或临时进度款支付证书签发后14天内完成支付，发包人逾期支付进度款的，应按照中国人民银行发布的同期同类贷款基准利率支付违约金。</w:t>
      </w:r>
    </w:p>
    <w:p w14:paraId="73A8E8F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（3）发包人签发进度款支付证书或临时进度款支付证书，不表明发包人已同意、批准或接受了承包人完成的相应部分的工作。</w:t>
      </w:r>
    </w:p>
    <w:p w14:paraId="0A0A5E1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12.4.5 进度付款的修正</w:t>
      </w:r>
    </w:p>
    <w:p w14:paraId="6797B1D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在对已签发的进度款支付证书进行阶段汇总和复核中发现错误、遗漏或重复的，发包人和承包人均有权提出修正申请。经发包人和承包人同意的修正，应在下期进度付款中支付或扣除。</w:t>
      </w:r>
    </w:p>
    <w:p w14:paraId="2AB4060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12.4.6 支付分解表</w:t>
      </w:r>
    </w:p>
    <w:p w14:paraId="1E70445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1.支付分解表的编制要求</w:t>
      </w:r>
    </w:p>
    <w:p w14:paraId="19BB47E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（1）支付分解表中所列的每期付款金额，应为第12.4.2项〔进度付款申请单的编制〕第（1）目的估算金额；</w:t>
      </w:r>
    </w:p>
    <w:p w14:paraId="6B90C9B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（2）实际进度与施工进度计划不一致的，合同当事人可按照第4.4款〔商定或确定〕修改支付分解表；</w:t>
      </w:r>
    </w:p>
    <w:p w14:paraId="2454047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（3）不采用支付分解表的，承包人应向发包人和监理人提交按季度编制的支付估算分解表，用于支付参考。</w:t>
      </w:r>
    </w:p>
    <w:p w14:paraId="7E04D2A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2.总价合同支付分解表的编制与审批</w:t>
      </w:r>
    </w:p>
    <w:p w14:paraId="0FA3513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11C2C56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（2）监理人应在收到支付分解表后7天内完成审核并报送发包人。发包人应在收到经监理人审核的支付分解表后7天内完成审批，经发包人批准的支付分解表为有约束力的支付分解表。</w:t>
      </w:r>
    </w:p>
    <w:p w14:paraId="5CEB53D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    （3）发包人逾期未完成支付分解表审批的，也未及时要求承包人进行修正和提供补充资料的，则承包人提交的支付分解表视为已经获得发包人批准。</w:t>
      </w:r>
    </w:p>
    <w:p w14:paraId="4EC5381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3.单价合同的总价项目支付分解表的编制与审批</w:t>
      </w:r>
    </w:p>
    <w:p w14:paraId="557D12E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4BBA143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10" w:name="_Toc351203585"/>
      <w:r>
        <w:rPr>
          <w:rFonts w:hint="eastAsia" w:ascii="宋体" w:hAnsi="宋体" w:eastAsia="宋体" w:cs="宋体"/>
          <w:b w:val="0"/>
          <w:bCs w:val="0"/>
          <w:color w:val="000000" w:themeColor="text1"/>
          <w:kern w:val="0"/>
          <w:highlight w:val="none"/>
          <w14:textFill>
            <w14:solidFill>
              <w14:schemeClr w14:val="tx1"/>
            </w14:solidFill>
          </w14:textFill>
        </w:rPr>
        <w:t>12.5支付账户</w:t>
      </w:r>
      <w:bookmarkEnd w:id="410"/>
    </w:p>
    <w:p w14:paraId="3986EE9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发包人应将合同价款支付至合同协议书中约定的承包人账户。</w:t>
      </w:r>
    </w:p>
    <w:p w14:paraId="0E64C32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11" w:name="_Toc351203586"/>
      <w:bookmarkStart w:id="412" w:name="_Toc322522574"/>
      <w:bookmarkStart w:id="413" w:name="_Toc296503106"/>
      <w:bookmarkStart w:id="414" w:name="_Toc337558804"/>
      <w:bookmarkStart w:id="415" w:name="_Toc296346607"/>
      <w:r>
        <w:rPr>
          <w:rFonts w:hint="eastAsia" w:ascii="宋体" w:hAnsi="宋体" w:eastAsia="宋体" w:cs="宋体"/>
          <w:b w:val="0"/>
          <w:bCs w:val="0"/>
          <w:color w:val="000000" w:themeColor="text1"/>
          <w:kern w:val="0"/>
          <w:highlight w:val="none"/>
          <w14:textFill>
            <w14:solidFill>
              <w14:schemeClr w14:val="tx1"/>
            </w14:solidFill>
          </w14:textFill>
        </w:rPr>
        <w:t>13. 验收和工程试车</w:t>
      </w:r>
      <w:bookmarkEnd w:id="411"/>
    </w:p>
    <w:bookmarkEnd w:id="412"/>
    <w:bookmarkEnd w:id="413"/>
    <w:bookmarkEnd w:id="414"/>
    <w:bookmarkEnd w:id="415"/>
    <w:p w14:paraId="4B20471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16" w:name="_Toc351203587"/>
      <w:bookmarkStart w:id="417" w:name="_Toc337558805"/>
      <w:bookmarkStart w:id="418" w:name="_Toc296503110"/>
      <w:bookmarkStart w:id="419" w:name="_Toc296346611"/>
      <w:r>
        <w:rPr>
          <w:rFonts w:hint="eastAsia" w:ascii="宋体" w:hAnsi="宋体" w:eastAsia="宋体" w:cs="宋体"/>
          <w:b w:val="0"/>
          <w:bCs w:val="0"/>
          <w:color w:val="000000" w:themeColor="text1"/>
          <w:kern w:val="0"/>
          <w:highlight w:val="none"/>
          <w14:textFill>
            <w14:solidFill>
              <w14:schemeClr w14:val="tx1"/>
            </w14:solidFill>
          </w14:textFill>
        </w:rPr>
        <w:t>13.1分部分项工程验收</w:t>
      </w:r>
      <w:bookmarkEnd w:id="416"/>
    </w:p>
    <w:bookmarkEnd w:id="417"/>
    <w:p w14:paraId="150BD46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13.1.1 分部分项工程质量应符合国家有关工程施工验收规范、标准及合同约定，承包人应按照施工组织设计的要求完成分部分项工程施工。</w:t>
      </w:r>
    </w:p>
    <w:p w14:paraId="648E029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13.1.2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4AA34BC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分部分项工程的验收资料应当作为竣工资料的组成部分。</w:t>
      </w:r>
    </w:p>
    <w:p w14:paraId="7219AB9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20" w:name="_Toc351203588"/>
      <w:bookmarkStart w:id="421" w:name="_Toc337558806"/>
      <w:r>
        <w:rPr>
          <w:rFonts w:hint="eastAsia" w:ascii="宋体" w:hAnsi="宋体" w:eastAsia="宋体" w:cs="宋体"/>
          <w:b w:val="0"/>
          <w:bCs w:val="0"/>
          <w:color w:val="000000" w:themeColor="text1"/>
          <w:kern w:val="0"/>
          <w:highlight w:val="none"/>
          <w14:textFill>
            <w14:solidFill>
              <w14:schemeClr w14:val="tx1"/>
            </w14:solidFill>
          </w14:textFill>
        </w:rPr>
        <w:t>13.2竣工验收</w:t>
      </w:r>
      <w:bookmarkEnd w:id="420"/>
    </w:p>
    <w:bookmarkEnd w:id="418"/>
    <w:bookmarkEnd w:id="419"/>
    <w:bookmarkEnd w:id="421"/>
    <w:p w14:paraId="42DA6CF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13.2.1竣工验收条件</w:t>
      </w:r>
    </w:p>
    <w:p w14:paraId="208C9D1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工程具备以下条件的，承包人可以申请竣工验收：</w:t>
      </w:r>
    </w:p>
    <w:p w14:paraId="6E7FC01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（1）除发包人同意的甩项工作和缺陷修补工作外，合同范围内的全部工程以及有关工作，包括合同要求的试验、试运行以及检验均已完成，并符合合同要求；</w:t>
      </w:r>
    </w:p>
    <w:p w14:paraId="1B452F7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（2）已按合同约定编制了甩项工作和缺陷修补工作清单以及相应的施工计划；</w:t>
      </w:r>
    </w:p>
    <w:p w14:paraId="6223B58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（3）已按合同约定的内容和份数备齐竣工资料。</w:t>
      </w:r>
    </w:p>
    <w:p w14:paraId="431FF29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13.2.2竣工验收程序</w:t>
      </w:r>
    </w:p>
    <w:p w14:paraId="0C0280B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除专用合同条款另有约定外，承包人申请竣工验收的，应当按照以下程序进行：</w:t>
      </w:r>
    </w:p>
    <w:p w14:paraId="5B92804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759169F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1008397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（3）竣工验收合格的，发包人应在验收合格后14天内向承包人签发工程接收证书。发包人无正当理由逾期不颁发工程接收证书的，自验收合格后第15天起视为已颁发工程接收证书。</w:t>
      </w:r>
    </w:p>
    <w:p w14:paraId="04F71FF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7BA67A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230AF1B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除专用合同条款另有约定外，发包人不按照本项约定组织竣工验收、颁发工程接收证书的，每逾期一天，应以签约合同价为基数，按照中国人民银行发布的同期同类贷款基准利率支付违约金。</w:t>
      </w:r>
    </w:p>
    <w:p w14:paraId="0FE7A09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13.2.3竣工日期</w:t>
      </w:r>
    </w:p>
    <w:p w14:paraId="14C82DC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422" w:name="#go14"/>
      <w:bookmarkEnd w:id="422"/>
      <w:r>
        <w:rPr>
          <w:rFonts w:hint="eastAsia" w:ascii="宋体" w:hAnsi="宋体" w:eastAsia="宋体" w:cs="宋体"/>
          <w:b w:val="0"/>
          <w:bCs w:val="0"/>
          <w:color w:val="000000" w:themeColor="text1"/>
          <w:kern w:val="0"/>
          <w:highlight w:val="none"/>
          <w14:textFill>
            <w14:solidFill>
              <w14:schemeClr w14:val="tx1"/>
            </w14:solidFill>
          </w14:textFill>
        </w:rPr>
        <w:t>收申请报告的日期为实际竣工日期；工程未经竣工验收，发包人擅自使用的，以转移占有工程之日为实际竣工日期。</w:t>
      </w:r>
    </w:p>
    <w:p w14:paraId="4436618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13.2.4 拒绝接收全部或部分工程</w:t>
      </w:r>
    </w:p>
    <w:p w14:paraId="774C763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3A55F79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13.2.5 移交、接收全部与部分工程</w:t>
      </w:r>
    </w:p>
    <w:p w14:paraId="71975FC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除专用合同条款另有约定外，合同当事人应当在颁发工程接收证书后7天内完成工程的移交。</w:t>
      </w:r>
    </w:p>
    <w:p w14:paraId="1A63E9E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发包人无正当理由不接收工程的，发包人自应当接收工程之日起，承担工程照管、成品保护、保管等与工程有关的各项费用，合同当事人可以在专用合同条款中另行约定发包人逾期接收工程的违约责任。</w:t>
      </w:r>
    </w:p>
    <w:p w14:paraId="498474B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承包人无正当理由不移交工程的，承包人应承担工程照管、成品保护、保管等与工程有关的各项费用，合同当事人可以在专用合同条款中另行约定承包人无正当理由不移交工程的违约责任。</w:t>
      </w:r>
    </w:p>
    <w:p w14:paraId="2BF7437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23" w:name="_Toc351203589"/>
      <w:bookmarkStart w:id="424" w:name="_Toc296503111"/>
      <w:bookmarkStart w:id="425" w:name="_Toc337558807"/>
      <w:bookmarkStart w:id="426" w:name="_Toc296346612"/>
      <w:r>
        <w:rPr>
          <w:rFonts w:hint="eastAsia" w:ascii="宋体" w:hAnsi="宋体" w:eastAsia="宋体" w:cs="宋体"/>
          <w:b w:val="0"/>
          <w:bCs w:val="0"/>
          <w:color w:val="000000" w:themeColor="text1"/>
          <w:kern w:val="0"/>
          <w:highlight w:val="none"/>
          <w14:textFill>
            <w14:solidFill>
              <w14:schemeClr w14:val="tx1"/>
            </w14:solidFill>
          </w14:textFill>
        </w:rPr>
        <w:t>13.3工程试车</w:t>
      </w:r>
      <w:bookmarkEnd w:id="423"/>
    </w:p>
    <w:bookmarkEnd w:id="424"/>
    <w:bookmarkEnd w:id="425"/>
    <w:bookmarkEnd w:id="426"/>
    <w:p w14:paraId="11D54E9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13.3.1试车程序</w:t>
      </w:r>
    </w:p>
    <w:p w14:paraId="7E45CDE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工程需要试车的，除专用合同条款另有约定外，试车内容应与承包人承包范围相一致，试车费用由承包人承担。工程试车应按如下程序进行：</w:t>
      </w:r>
    </w:p>
    <w:p w14:paraId="1922CB3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640FF24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7E2791E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766C194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13.3.2 试车中的责任</w:t>
      </w:r>
    </w:p>
    <w:p w14:paraId="76E8A38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687F250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61C324F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13.3.3 投料试车</w:t>
      </w:r>
    </w:p>
    <w:p w14:paraId="55CAD30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如需进行投料试车的，发包人应在工程竣工验收后组织投料试车。发包人要求在工程竣工验收前进行或需要承包人配合时，应征得承包人同意，并在专用合同条款中约定有关事项。</w:t>
      </w:r>
    </w:p>
    <w:p w14:paraId="2F2E210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2D17EF8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27" w:name="_Toc351203590"/>
      <w:bookmarkStart w:id="428" w:name="_Toc337558808"/>
      <w:r>
        <w:rPr>
          <w:rFonts w:hint="eastAsia" w:ascii="宋体" w:hAnsi="宋体" w:eastAsia="宋体" w:cs="宋体"/>
          <w:b w:val="0"/>
          <w:bCs w:val="0"/>
          <w:color w:val="000000" w:themeColor="text1"/>
          <w:kern w:val="0"/>
          <w:highlight w:val="none"/>
          <w14:textFill>
            <w14:solidFill>
              <w14:schemeClr w14:val="tx1"/>
            </w14:solidFill>
          </w14:textFill>
        </w:rPr>
        <w:t>13.4提前交付单位工程的验收</w:t>
      </w:r>
      <w:bookmarkEnd w:id="427"/>
    </w:p>
    <w:bookmarkEnd w:id="428"/>
    <w:p w14:paraId="764EFE6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13.4.1 发包人需要在工程竣工前使用单位工程的，或承包人提出提前交付已经竣工的单位工程且经发包人同意的，可进行单位工程验收，验收的程序按照第13.2款〔竣工验收〕的约定进行。</w:t>
      </w:r>
    </w:p>
    <w:p w14:paraId="296E8D5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验收合格后，由监理人向承包人出具经发包人签认的单位工程接收证书。已签发单位工程接收证书的单位工程由发包人负责照管。单位工程的验收成果和结论作为整体工程竣工验收申请报告的附件。</w:t>
      </w:r>
    </w:p>
    <w:p w14:paraId="7EC4BFA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13.4.2 发包人要求在工程竣工前交付单位工程，由此导致承包人费用增加和（或）工期延误的，由发包人承担由此增加的费用和（或）延误的工期，并支付承包人合理的利润。</w:t>
      </w:r>
    </w:p>
    <w:p w14:paraId="50F95C2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29" w:name="_Toc351203591"/>
      <w:r>
        <w:rPr>
          <w:rFonts w:hint="eastAsia" w:ascii="宋体" w:hAnsi="宋体" w:eastAsia="宋体" w:cs="宋体"/>
          <w:b w:val="0"/>
          <w:bCs w:val="0"/>
          <w:color w:val="000000" w:themeColor="text1"/>
          <w:kern w:val="0"/>
          <w:highlight w:val="none"/>
          <w14:textFill>
            <w14:solidFill>
              <w14:schemeClr w14:val="tx1"/>
            </w14:solidFill>
          </w14:textFill>
        </w:rPr>
        <w:t>13.5 施工期运行</w:t>
      </w:r>
      <w:bookmarkEnd w:id="429"/>
    </w:p>
    <w:p w14:paraId="67E86D2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3EF68EF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13.5.2 在施工期运行中发现工程或工程设备损坏或存在缺陷的，由承包人按第15.2款〔缺陷责任期〕约定进行修复。</w:t>
      </w:r>
    </w:p>
    <w:p w14:paraId="6095BB0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30" w:name="_Toc296346613"/>
      <w:bookmarkStart w:id="431" w:name="_Toc296503112"/>
      <w:bookmarkStart w:id="432" w:name="_Toc351203592"/>
      <w:bookmarkStart w:id="433" w:name="_Toc337558809"/>
      <w:r>
        <w:rPr>
          <w:rFonts w:hint="eastAsia" w:ascii="宋体" w:hAnsi="宋体" w:eastAsia="宋体" w:cs="宋体"/>
          <w:b w:val="0"/>
          <w:bCs w:val="0"/>
          <w:color w:val="000000" w:themeColor="text1"/>
          <w:kern w:val="0"/>
          <w:highlight w:val="none"/>
          <w14:textFill>
            <w14:solidFill>
              <w14:schemeClr w14:val="tx1"/>
            </w14:solidFill>
          </w14:textFill>
        </w:rPr>
        <w:t>13.6 竣工退</w:t>
      </w:r>
      <w:bookmarkEnd w:id="430"/>
      <w:bookmarkEnd w:id="431"/>
      <w:r>
        <w:rPr>
          <w:rFonts w:hint="eastAsia" w:ascii="宋体" w:hAnsi="宋体" w:eastAsia="宋体" w:cs="宋体"/>
          <w:b w:val="0"/>
          <w:bCs w:val="0"/>
          <w:color w:val="000000" w:themeColor="text1"/>
          <w:kern w:val="0"/>
          <w:highlight w:val="none"/>
          <w14:textFill>
            <w14:solidFill>
              <w14:schemeClr w14:val="tx1"/>
            </w14:solidFill>
          </w14:textFill>
        </w:rPr>
        <w:t>场</w:t>
      </w:r>
      <w:bookmarkEnd w:id="432"/>
    </w:p>
    <w:bookmarkEnd w:id="433"/>
    <w:p w14:paraId="40245BB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13.6.1 竣工退场</w:t>
      </w:r>
    </w:p>
    <w:p w14:paraId="521EAC9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颁发工程接收证书后，承包人应按以下要求对施工现场进行清理：</w:t>
      </w:r>
    </w:p>
    <w:p w14:paraId="639FAB3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（1）施工现场内残留的垃圾已全部清除出场；</w:t>
      </w:r>
    </w:p>
    <w:p w14:paraId="2967CB6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（2）临时工程已拆除，场地已进行清理、平整或复原；</w:t>
      </w:r>
    </w:p>
    <w:p w14:paraId="2B46251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（3）按合同约定应撤离的人员、承包人施工设备和剩余的材料，包括废弃的施工设备和材料，已按计划撤离施工现场；</w:t>
      </w:r>
    </w:p>
    <w:p w14:paraId="5987610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（4）施工现场周边及其附近道路、河道的施工堆积物，已全部清理；</w:t>
      </w:r>
    </w:p>
    <w:p w14:paraId="48063F0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（5）施工现场其他场地清理工作已全部完成。</w:t>
      </w:r>
    </w:p>
    <w:p w14:paraId="5B722B4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969FDB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13.6.2 地表还原</w:t>
      </w:r>
    </w:p>
    <w:p w14:paraId="4B38C12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承包人应按发包人要求恢复临时占地及清理场地，承包人未按发包人的要求恢复临时占地，或者场地清理未达到合同约定要求的，发包人有权委托其他人恢复或清理，所发生的费用由承包人承担。</w:t>
      </w:r>
    </w:p>
    <w:p w14:paraId="784905E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34" w:name="_Toc351203593"/>
      <w:bookmarkStart w:id="435" w:name="_Toc337558810"/>
      <w:bookmarkStart w:id="436" w:name="_Toc296503113"/>
      <w:bookmarkStart w:id="437" w:name="_Toc296346614"/>
      <w:r>
        <w:rPr>
          <w:rFonts w:hint="eastAsia" w:ascii="宋体" w:hAnsi="宋体" w:eastAsia="宋体" w:cs="宋体"/>
          <w:b w:val="0"/>
          <w:bCs w:val="0"/>
          <w:color w:val="000000" w:themeColor="text1"/>
          <w:kern w:val="0"/>
          <w:highlight w:val="none"/>
          <w14:textFill>
            <w14:solidFill>
              <w14:schemeClr w14:val="tx1"/>
            </w14:solidFill>
          </w14:textFill>
        </w:rPr>
        <w:t>14. 竣工结算</w:t>
      </w:r>
      <w:bookmarkEnd w:id="434"/>
    </w:p>
    <w:bookmarkEnd w:id="435"/>
    <w:p w14:paraId="21127EF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38" w:name="_Toc351203594"/>
      <w:bookmarkStart w:id="439" w:name="_Toc337558811"/>
      <w:r>
        <w:rPr>
          <w:rFonts w:hint="eastAsia" w:ascii="宋体" w:hAnsi="宋体" w:eastAsia="宋体" w:cs="宋体"/>
          <w:b w:val="0"/>
          <w:bCs w:val="0"/>
          <w:color w:val="000000" w:themeColor="text1"/>
          <w:kern w:val="0"/>
          <w:highlight w:val="none"/>
          <w14:textFill>
            <w14:solidFill>
              <w14:schemeClr w14:val="tx1"/>
            </w14:solidFill>
          </w14:textFill>
        </w:rPr>
        <w:t>14.1 竣工结算申请</w:t>
      </w:r>
      <w:bookmarkEnd w:id="438"/>
    </w:p>
    <w:bookmarkEnd w:id="439"/>
    <w:p w14:paraId="0C169AF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承包人应在工程竣工验收合格后28天内向发包人和监理人提交竣工结算申请单，并提交完整的结算资料，有关竣工结算申请单的资料清单和份数等要求由合同当事人在专用合同条款中约定。</w:t>
      </w:r>
    </w:p>
    <w:p w14:paraId="4B18E55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除专用合同条款另有约定外，竣工结算申请单应包括以下内容：</w:t>
      </w:r>
    </w:p>
    <w:p w14:paraId="46F8FD4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（1）竣工结算合同价格；</w:t>
      </w:r>
    </w:p>
    <w:p w14:paraId="0C67858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（2）发包人已支付承包人的款项；</w:t>
      </w:r>
    </w:p>
    <w:p w14:paraId="78CE77E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（3）应扣留的质量保证金。已缴纳履约保证金的或提供其他工程质量担保方式的除外； </w:t>
      </w:r>
    </w:p>
    <w:p w14:paraId="79C14F3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（4）发包人应支付承包人的合同价款。</w:t>
      </w:r>
    </w:p>
    <w:p w14:paraId="20A3CB2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40" w:name="_Toc351203595"/>
      <w:bookmarkStart w:id="441" w:name="_Toc337558812"/>
      <w:r>
        <w:rPr>
          <w:rFonts w:hint="eastAsia" w:ascii="宋体" w:hAnsi="宋体" w:eastAsia="宋体" w:cs="宋体"/>
          <w:b w:val="0"/>
          <w:bCs w:val="0"/>
          <w:color w:val="000000" w:themeColor="text1"/>
          <w:kern w:val="0"/>
          <w:highlight w:val="none"/>
          <w14:textFill>
            <w14:solidFill>
              <w14:schemeClr w14:val="tx1"/>
            </w14:solidFill>
          </w14:textFill>
        </w:rPr>
        <w:t>14.2 竣工结算审核</w:t>
      </w:r>
      <w:bookmarkEnd w:id="440"/>
    </w:p>
    <w:bookmarkEnd w:id="441"/>
    <w:p w14:paraId="17702AF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14:paraId="248485D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1DC091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0094156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4CAD60B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42" w:name="_Toc351203596"/>
      <w:bookmarkStart w:id="443" w:name="_Toc337558813"/>
      <w:r>
        <w:rPr>
          <w:rFonts w:hint="eastAsia" w:ascii="宋体" w:hAnsi="宋体" w:eastAsia="宋体" w:cs="宋体"/>
          <w:b w:val="0"/>
          <w:bCs w:val="0"/>
          <w:color w:val="000000" w:themeColor="text1"/>
          <w:kern w:val="0"/>
          <w:highlight w:val="none"/>
          <w14:textFill>
            <w14:solidFill>
              <w14:schemeClr w14:val="tx1"/>
            </w14:solidFill>
          </w14:textFill>
        </w:rPr>
        <w:t>14.3 甩项竣工协议</w:t>
      </w:r>
      <w:bookmarkEnd w:id="442"/>
    </w:p>
    <w:bookmarkEnd w:id="443"/>
    <w:p w14:paraId="7D5B478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要求甩项竣工的，合同当事人应签订甩项竣工协议。在甩项竣工协议中应明确，合同当事人按照第14.1款〔竣工结算申请〕及14.2款〔竣工结算审核〕的约定，对已完合格工程进行结算，并支付相应合同价款。</w:t>
      </w:r>
    </w:p>
    <w:p w14:paraId="3E7C111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44" w:name="_Toc351203597"/>
      <w:bookmarkStart w:id="445" w:name="_Toc337558814"/>
      <w:r>
        <w:rPr>
          <w:rFonts w:hint="eastAsia" w:ascii="宋体" w:hAnsi="宋体" w:eastAsia="宋体" w:cs="宋体"/>
          <w:b w:val="0"/>
          <w:bCs w:val="0"/>
          <w:color w:val="000000" w:themeColor="text1"/>
          <w:kern w:val="0"/>
          <w:highlight w:val="none"/>
          <w14:textFill>
            <w14:solidFill>
              <w14:schemeClr w14:val="tx1"/>
            </w14:solidFill>
          </w14:textFill>
        </w:rPr>
        <w:t>14.4 最终结清</w:t>
      </w:r>
      <w:bookmarkEnd w:id="444"/>
    </w:p>
    <w:bookmarkEnd w:id="445"/>
    <w:p w14:paraId="62B6EFB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14.4.1 最终结清申请单</w:t>
      </w:r>
    </w:p>
    <w:p w14:paraId="7F60992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（1）除专用合同条款另有约定外，承包人应在缺陷责任期终止证书颁发后7天内，按专用合同条款约定的份数向发包人提交最终结清申请单，并提供相关证明材料。</w:t>
      </w:r>
    </w:p>
    <w:p w14:paraId="1059263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除专用合同条款另有约定外，最终结清申请单应列明质量保证金、应扣除的质量保证金、缺陷责任期内发生的增减费用。</w:t>
      </w:r>
    </w:p>
    <w:p w14:paraId="1614A9F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（2）发包人对最终结清申请单内容有异议的，有权要求承包人进行修正和提供补充资料，承包人应向发包人提交修正后的最终结清申请单。</w:t>
      </w:r>
    </w:p>
    <w:p w14:paraId="69AC974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14.4.2 最终结清证书和支付</w:t>
      </w:r>
    </w:p>
    <w:p w14:paraId="3EA1B36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18947AB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6C31A47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（3）承包人对发包人颁发的最终结清证书有异议的，按第20条〔争议解决〕的约定办理。</w:t>
      </w:r>
    </w:p>
    <w:p w14:paraId="18D447D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46" w:name="_Toc351203598"/>
      <w:bookmarkStart w:id="447" w:name="_Toc337558815"/>
      <w:r>
        <w:rPr>
          <w:rFonts w:hint="eastAsia" w:ascii="宋体" w:hAnsi="宋体" w:eastAsia="宋体" w:cs="宋体"/>
          <w:b w:val="0"/>
          <w:bCs w:val="0"/>
          <w:color w:val="000000" w:themeColor="text1"/>
          <w:kern w:val="0"/>
          <w:highlight w:val="none"/>
          <w14:textFill>
            <w14:solidFill>
              <w14:schemeClr w14:val="tx1"/>
            </w14:solidFill>
          </w14:textFill>
        </w:rPr>
        <w:t>15. 缺陷责任与保修</w:t>
      </w:r>
      <w:bookmarkEnd w:id="446"/>
    </w:p>
    <w:bookmarkEnd w:id="436"/>
    <w:bookmarkEnd w:id="437"/>
    <w:bookmarkEnd w:id="447"/>
    <w:p w14:paraId="5DBEABB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48" w:name="_Toc351203599"/>
      <w:bookmarkStart w:id="449" w:name="_Toc337558816"/>
      <w:bookmarkStart w:id="450" w:name="_Toc296346615"/>
      <w:bookmarkStart w:id="451" w:name="_Toc296503114"/>
      <w:r>
        <w:rPr>
          <w:rFonts w:hint="eastAsia" w:ascii="宋体" w:hAnsi="宋体" w:eastAsia="宋体" w:cs="宋体"/>
          <w:b w:val="0"/>
          <w:bCs w:val="0"/>
          <w:color w:val="000000" w:themeColor="text1"/>
          <w:kern w:val="0"/>
          <w:highlight w:val="none"/>
          <w14:textFill>
            <w14:solidFill>
              <w14:schemeClr w14:val="tx1"/>
            </w14:solidFill>
          </w14:textFill>
        </w:rPr>
        <w:t>15.1 工程保修的原则</w:t>
      </w:r>
      <w:bookmarkEnd w:id="448"/>
    </w:p>
    <w:bookmarkEnd w:id="449"/>
    <w:p w14:paraId="08B64D5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在工程移交发包人后，因承包人原因产生的质量缺陷，承包人应承担质量缺陷责任和保修义务。缺陷责任期届满，承包人仍应按合同约定的工程各部位保修年限承担保修义务。</w:t>
      </w:r>
    </w:p>
    <w:p w14:paraId="4D4F30B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52" w:name="_Toc351203600"/>
      <w:bookmarkStart w:id="453" w:name="_Toc337558817"/>
      <w:r>
        <w:rPr>
          <w:rFonts w:hint="eastAsia" w:ascii="宋体" w:hAnsi="宋体" w:eastAsia="宋体" w:cs="宋体"/>
          <w:b w:val="0"/>
          <w:bCs w:val="0"/>
          <w:color w:val="000000" w:themeColor="text1"/>
          <w:kern w:val="0"/>
          <w:highlight w:val="none"/>
          <w14:textFill>
            <w14:solidFill>
              <w14:schemeClr w14:val="tx1"/>
            </w14:solidFill>
          </w14:textFill>
        </w:rPr>
        <w:t>15.2 缺陷责任期</w:t>
      </w:r>
      <w:bookmarkEnd w:id="450"/>
      <w:bookmarkEnd w:id="451"/>
      <w:bookmarkEnd w:id="452"/>
    </w:p>
    <w:bookmarkEnd w:id="453"/>
    <w:p w14:paraId="17E2B60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15.2.1 缺陷责任期从工程通过竣工验收之日起计算，合同当事人应在专用合同条款约定缺陷责任期的具体期限，但该期限最长不超过24个月。</w:t>
      </w:r>
    </w:p>
    <w:p w14:paraId="63143AC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5766DF9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包人延长缺陷责任期，并应在原缺陷责任期届满前发出延长通知。但缺陷责任期（含延长部分）最长不能超过24个月。</w:t>
      </w:r>
    </w:p>
    <w:p w14:paraId="1F09E6E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由他人原因造成的缺陷，发包人负责组织维修，承包人不承担费用，且发包人不得从保证金中扣除费用。</w:t>
      </w:r>
    </w:p>
    <w:p w14:paraId="4C43F5A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15.2.3 任何一项缺陷或损坏修复后，经检查证明其影响了工程或工程设备的使用性能，承包人应重新进行合同约定的试验和试运行，试验和试运行的全部费用应由责任方承担。</w:t>
      </w:r>
    </w:p>
    <w:p w14:paraId="79F310A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1910771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54" w:name="_Toc351203601"/>
      <w:bookmarkStart w:id="455" w:name="_Toc337558818"/>
      <w:bookmarkStart w:id="456" w:name="_Toc296503115"/>
      <w:bookmarkStart w:id="457" w:name="_Toc296346616"/>
      <w:r>
        <w:rPr>
          <w:rFonts w:hint="eastAsia" w:ascii="宋体" w:hAnsi="宋体" w:eastAsia="宋体" w:cs="宋体"/>
          <w:b w:val="0"/>
          <w:bCs w:val="0"/>
          <w:color w:val="000000" w:themeColor="text1"/>
          <w:kern w:val="0"/>
          <w:highlight w:val="none"/>
          <w14:textFill>
            <w14:solidFill>
              <w14:schemeClr w14:val="tx1"/>
            </w14:solidFill>
          </w14:textFill>
        </w:rPr>
        <w:t>15.3 质量保证金</w:t>
      </w:r>
      <w:bookmarkEnd w:id="454"/>
    </w:p>
    <w:bookmarkEnd w:id="455"/>
    <w:p w14:paraId="1BFE0DE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经合同当事人协商一致扣留质量保证金的，应在专用合同条款中予以明确。</w:t>
      </w:r>
    </w:p>
    <w:p w14:paraId="5526E39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在工程项目竣工前，承包人已经提供履约担保的，发包人不得同时预留工程质量保证金。</w:t>
      </w:r>
    </w:p>
    <w:p w14:paraId="6F045E2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15.3.1 承包人提供质量保证金的方式</w:t>
      </w:r>
    </w:p>
    <w:p w14:paraId="5C640A9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承包人提供质量保证金有以下三种方式：</w:t>
      </w:r>
    </w:p>
    <w:p w14:paraId="2C78290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（1）质量保证金保函； </w:t>
      </w:r>
    </w:p>
    <w:p w14:paraId="32A0448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（2）相应比例的工程款；</w:t>
      </w:r>
    </w:p>
    <w:p w14:paraId="3DD3340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（3）双方约定的其他方式。</w:t>
      </w:r>
    </w:p>
    <w:p w14:paraId="4A8221C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除专用合同条款另有约定外，质量保证金原则上采用上述第（1）种方式。</w:t>
      </w:r>
    </w:p>
    <w:p w14:paraId="5971B88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15.3.2 质量保证金的扣留</w:t>
      </w:r>
    </w:p>
    <w:p w14:paraId="58E7682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质量保证金的扣留有以下三种方式：</w:t>
      </w:r>
    </w:p>
    <w:p w14:paraId="2F59571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（1）在支付工程进度款时逐次扣留，在此情形下，质量保证金的计算基数不包括预付款的支付、扣回以及价格调整的金额；</w:t>
      </w:r>
    </w:p>
    <w:p w14:paraId="5285F64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（2）工</w:t>
      </w:r>
      <w:bookmarkStart w:id="458" w:name="#go6"/>
      <w:bookmarkEnd w:id="458"/>
      <w:r>
        <w:rPr>
          <w:rFonts w:hint="eastAsia" w:ascii="宋体" w:hAnsi="宋体" w:eastAsia="宋体" w:cs="宋体"/>
          <w:b w:val="0"/>
          <w:bCs w:val="0"/>
          <w:color w:val="000000" w:themeColor="text1"/>
          <w:kern w:val="0"/>
          <w:highlight w:val="none"/>
          <w14:textFill>
            <w14:solidFill>
              <w14:schemeClr w14:val="tx1"/>
            </w14:solidFill>
          </w14:textFill>
        </w:rPr>
        <w:t>程竣工结算时一次性扣留质量保证金；</w:t>
      </w:r>
    </w:p>
    <w:p w14:paraId="552CDDC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（3）双方约定的其他扣留方式。</w:t>
      </w:r>
    </w:p>
    <w:p w14:paraId="5A01E8C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除专用合同条款另有约定外，质量保证金的扣留原则上采用上述第（1）种方式。</w:t>
      </w:r>
    </w:p>
    <w:p w14:paraId="12F1324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w:t>
      </w:r>
      <w:bookmarkStart w:id="459" w:name="#go4"/>
      <w:bookmarkEnd w:id="459"/>
      <w:r>
        <w:rPr>
          <w:rFonts w:hint="eastAsia" w:ascii="宋体" w:hAnsi="宋体" w:eastAsia="宋体" w:cs="宋体"/>
          <w:b w:val="0"/>
          <w:bCs w:val="0"/>
          <w:color w:val="000000" w:themeColor="text1"/>
          <w:kern w:val="0"/>
          <w:highlight w:val="none"/>
          <w14:textFill>
            <w14:solidFill>
              <w14:schemeClr w14:val="tx1"/>
            </w14:solidFill>
          </w14:textFill>
        </w:rPr>
        <w:t>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7FF056D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发包人在退还质量保证金的同时按照中国人民银行发布的同期同类贷款基准利率支付利息。</w:t>
      </w:r>
    </w:p>
    <w:p w14:paraId="23964EA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15.3.3 质量保证金的退还</w:t>
      </w:r>
    </w:p>
    <w:p w14:paraId="7449775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缺陷责任期内，承包人认真履行合同约定的责任，到期后，承包人可向发包人申请返还保证金。</w:t>
      </w:r>
    </w:p>
    <w:p w14:paraId="6D6938D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1902A7E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发包人和承包人对保证金预留、返还以及工程维修质量、费用有争议的，按本合同第20条约定的争议和纠纷解决程序处理。</w:t>
      </w:r>
    </w:p>
    <w:p w14:paraId="29282C3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60" w:name="_Toc351203602"/>
      <w:bookmarkStart w:id="461" w:name="_Toc337558819"/>
      <w:r>
        <w:rPr>
          <w:rFonts w:hint="eastAsia" w:ascii="宋体" w:hAnsi="宋体" w:eastAsia="宋体" w:cs="宋体"/>
          <w:b w:val="0"/>
          <w:bCs w:val="0"/>
          <w:color w:val="000000" w:themeColor="text1"/>
          <w:kern w:val="0"/>
          <w:highlight w:val="none"/>
          <w14:textFill>
            <w14:solidFill>
              <w14:schemeClr w14:val="tx1"/>
            </w14:solidFill>
          </w14:textFill>
        </w:rPr>
        <w:t>15.4 保修</w:t>
      </w:r>
      <w:bookmarkEnd w:id="460"/>
    </w:p>
    <w:bookmarkEnd w:id="456"/>
    <w:bookmarkEnd w:id="457"/>
    <w:bookmarkEnd w:id="461"/>
    <w:p w14:paraId="034A614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15.4.1保修责任</w:t>
      </w:r>
    </w:p>
    <w:p w14:paraId="0AF1A2B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5D3AA42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发包人未经竣工验收擅自使用工程的，保修期自转移占有之日起算。</w:t>
      </w:r>
    </w:p>
    <w:p w14:paraId="204AF65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15.4.2 修复费用</w:t>
      </w:r>
    </w:p>
    <w:p w14:paraId="256129F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保修期内，修复的费用按照以下约定处理：</w:t>
      </w:r>
    </w:p>
    <w:p w14:paraId="1FF33B3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（1）保修期内，因承包人原因造成工程的缺陷、损坏，承包人应负责修复，并承担修复的费用以及因工程的缺陷、损坏造成的人身伤害和财产损失；</w:t>
      </w:r>
    </w:p>
    <w:p w14:paraId="7DBD5F3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（2）保修期内，因发包人使用不当造成工程的缺陷、损坏，可以委托承包人修复，但发包人应承担修复的费用，并支付承包人合理利润；</w:t>
      </w:r>
    </w:p>
    <w:p w14:paraId="5A7ADCF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（3）因其他原因造成工程的缺陷、损坏，可以委托承包人修复，发包人应承担修复的费用，并支付承包人合理的利润，因工程的缺陷、损坏造成的人身伤害和财产损失由责任方承担。</w:t>
      </w:r>
    </w:p>
    <w:p w14:paraId="2E5013F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15.4.3 修复通知</w:t>
      </w:r>
    </w:p>
    <w:p w14:paraId="184033C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102FD12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15.4.4 未能修复</w:t>
      </w:r>
    </w:p>
    <w:p w14:paraId="4593D87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6EF78A5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15.4.5 承包人出入权</w:t>
      </w:r>
    </w:p>
    <w:p w14:paraId="4FF62D1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7DFA882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62" w:name="_Toc351203603"/>
      <w:bookmarkStart w:id="463" w:name="_Toc337558820"/>
      <w:r>
        <w:rPr>
          <w:rFonts w:hint="eastAsia" w:ascii="宋体" w:hAnsi="宋体" w:eastAsia="宋体" w:cs="宋体"/>
          <w:b w:val="0"/>
          <w:bCs w:val="0"/>
          <w:color w:val="000000" w:themeColor="text1"/>
          <w:kern w:val="0"/>
          <w:highlight w:val="none"/>
          <w14:textFill>
            <w14:solidFill>
              <w14:schemeClr w14:val="tx1"/>
            </w14:solidFill>
          </w14:textFill>
        </w:rPr>
        <w:t>16. 违约</w:t>
      </w:r>
      <w:bookmarkEnd w:id="462"/>
    </w:p>
    <w:bookmarkEnd w:id="463"/>
    <w:p w14:paraId="1241EDC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64" w:name="_Toc296346630"/>
      <w:bookmarkStart w:id="465" w:name="_Toc296503129"/>
      <w:bookmarkStart w:id="466" w:name="_Toc351203604"/>
      <w:bookmarkStart w:id="467" w:name="_Toc337558821"/>
      <w:r>
        <w:rPr>
          <w:rFonts w:hint="eastAsia" w:ascii="宋体" w:hAnsi="宋体" w:eastAsia="宋体" w:cs="宋体"/>
          <w:b w:val="0"/>
          <w:bCs w:val="0"/>
          <w:color w:val="000000" w:themeColor="text1"/>
          <w:kern w:val="0"/>
          <w:highlight w:val="none"/>
          <w14:textFill>
            <w14:solidFill>
              <w14:schemeClr w14:val="tx1"/>
            </w14:solidFill>
          </w14:textFill>
        </w:rPr>
        <w:t>16.1 发</w:t>
      </w:r>
      <w:bookmarkEnd w:id="464"/>
      <w:bookmarkEnd w:id="465"/>
      <w:r>
        <w:rPr>
          <w:rFonts w:hint="eastAsia" w:ascii="宋体" w:hAnsi="宋体" w:eastAsia="宋体" w:cs="宋体"/>
          <w:b w:val="0"/>
          <w:bCs w:val="0"/>
          <w:color w:val="000000" w:themeColor="text1"/>
          <w:kern w:val="0"/>
          <w:highlight w:val="none"/>
          <w14:textFill>
            <w14:solidFill>
              <w14:schemeClr w14:val="tx1"/>
            </w14:solidFill>
          </w14:textFill>
        </w:rPr>
        <w:t>包人违约</w:t>
      </w:r>
      <w:bookmarkEnd w:id="466"/>
    </w:p>
    <w:bookmarkEnd w:id="467"/>
    <w:p w14:paraId="5E47CED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16.1.1 发包人违约的情形</w:t>
      </w:r>
    </w:p>
    <w:p w14:paraId="61914C6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在合同履行过程中发生的下列情形，属于发包人违约：</w:t>
      </w:r>
    </w:p>
    <w:p w14:paraId="7CEB805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（1）因发包人原因未能在计划开工日期前7天内下达开工通知的；</w:t>
      </w:r>
    </w:p>
    <w:p w14:paraId="36FCAA3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（2）因发包人原因未能按合同约定支付合同价款的；</w:t>
      </w:r>
    </w:p>
    <w:p w14:paraId="29307DE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（3）发包人违反第10.1款〔变更的范围〕第（2）项约定，自行实施被取消的工作或转由他人实施的；</w:t>
      </w:r>
    </w:p>
    <w:p w14:paraId="64C3FD1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（4）发包人提供的材料、工程设备的规格、数量或质量不符合合同约定，或因发包人原因导致交货日期延误或交货地点变更等情况的；</w:t>
      </w:r>
    </w:p>
    <w:p w14:paraId="60795B4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（5）因发包人违反合同约定造成暂停施工的；</w:t>
      </w:r>
    </w:p>
    <w:p w14:paraId="5A32B6E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（6）发包人无正当理由没有在约定期限内发出复工指示，导致承包人无法复工的；</w:t>
      </w:r>
    </w:p>
    <w:p w14:paraId="042BE92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（7）发包人明确表示或者以其行为表明不履行合同主要义务的；</w:t>
      </w:r>
    </w:p>
    <w:p w14:paraId="695921A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（8）发包人未能按照合同约定履行其他义务的。</w:t>
      </w:r>
    </w:p>
    <w:p w14:paraId="4029BB1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72191C5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16.1.2 发包人违约的责任</w:t>
      </w:r>
    </w:p>
    <w:p w14:paraId="37A7C70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发包人应承担因其违约给承包人增加的费用和（或）延误的工期，并支付承包人合理的利润。此外，合同当事人可在专用合同条款中另行约定发包人违约责任的承担方式和计算方法。</w:t>
      </w:r>
    </w:p>
    <w:p w14:paraId="642AB3C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16.1.3 因发包人违约解除合同</w:t>
      </w:r>
    </w:p>
    <w:p w14:paraId="0A07534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260D971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16.1.4 因发包人违约解除合同后的付款</w:t>
      </w:r>
    </w:p>
    <w:p w14:paraId="4DF3147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承包人按照本款约定解除合同的，发包人应在解除合同后28天内支付下列款项，并解除履约担保：</w:t>
      </w:r>
    </w:p>
    <w:p w14:paraId="3978A59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（1）合同解除前所完成工作的价款；</w:t>
      </w:r>
    </w:p>
    <w:p w14:paraId="57EA51F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（2）承包人为工程施工订购并已付款的材料、工程设备和其他物品的价款；</w:t>
      </w:r>
    </w:p>
    <w:p w14:paraId="07645D6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（3）承包人撤离施工现场以及遣散承包人人员的款项；</w:t>
      </w:r>
    </w:p>
    <w:p w14:paraId="1E4116D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（4）按照合同约定在合同解除前应支付的违约金；</w:t>
      </w:r>
    </w:p>
    <w:p w14:paraId="547C1D0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（5）按照合同约定应当支付给承包人的其他款项；</w:t>
      </w:r>
    </w:p>
    <w:p w14:paraId="17AE002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（6）按照合同约定应退还的质量保证金；</w:t>
      </w:r>
    </w:p>
    <w:p w14:paraId="2236529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（7）因解除合同给承包人造成的损失。</w:t>
      </w:r>
    </w:p>
    <w:p w14:paraId="3981141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合同当事人未能就解除合同后的结清达成一致的，按照第20条〔争议解决〕的约定处理。</w:t>
      </w:r>
    </w:p>
    <w:p w14:paraId="048CA52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承包人应妥善做好已完工程和与工程有关的已购材料、工程设备的保护和移交工作，并将施工设备和人员撤出施工现场，发包人应为承包人撤出提供必要条件。</w:t>
      </w:r>
    </w:p>
    <w:p w14:paraId="45ADB2E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68" w:name="_Toc351203605"/>
      <w:bookmarkStart w:id="469" w:name="_Toc337558822"/>
      <w:bookmarkStart w:id="470" w:name="_Toc296503131"/>
      <w:bookmarkStart w:id="471" w:name="_Toc296346632"/>
      <w:r>
        <w:rPr>
          <w:rFonts w:hint="eastAsia" w:ascii="宋体" w:hAnsi="宋体" w:eastAsia="宋体" w:cs="宋体"/>
          <w:b w:val="0"/>
          <w:bCs w:val="0"/>
          <w:color w:val="000000" w:themeColor="text1"/>
          <w:kern w:val="0"/>
          <w:highlight w:val="none"/>
          <w14:textFill>
            <w14:solidFill>
              <w14:schemeClr w14:val="tx1"/>
            </w14:solidFill>
          </w14:textFill>
        </w:rPr>
        <w:t>16.2 承包人违约</w:t>
      </w:r>
      <w:bookmarkEnd w:id="468"/>
    </w:p>
    <w:bookmarkEnd w:id="469"/>
    <w:bookmarkEnd w:id="470"/>
    <w:bookmarkEnd w:id="471"/>
    <w:p w14:paraId="5A0C1E2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16.2.1 承包人违约的情形</w:t>
      </w:r>
    </w:p>
    <w:p w14:paraId="5A4513C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在合同履行过程中发生的下列情形，属于承包人违约：</w:t>
      </w:r>
    </w:p>
    <w:p w14:paraId="2A9120E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（1）承包人违反合同约定进行转包或违法分包的；</w:t>
      </w:r>
    </w:p>
    <w:p w14:paraId="24117A9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（2）承包人违反合同约定采购和使用不合格的材料和工程设备的；</w:t>
      </w:r>
    </w:p>
    <w:p w14:paraId="3A5F203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（3）因承包人原因导致工程质量不符合合同要求的； </w:t>
      </w:r>
    </w:p>
    <w:p w14:paraId="7556923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（4）承包人违反第8.9款〔材料与设备专用要求〕的约定，未经批准，私自将已按照合同约定进入施工现场的材料或设备撤离施工现场的；</w:t>
      </w:r>
    </w:p>
    <w:p w14:paraId="1BF1450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（5）承包人未能按施工进度计划及时完成合同约定的工作，造成工期延误的；</w:t>
      </w:r>
    </w:p>
    <w:p w14:paraId="39D4202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（6）承包人在缺陷责任期及保修期内，未能在合理期限对工程缺陷进行修复，或拒绝按发包人要求进行修复的；</w:t>
      </w:r>
    </w:p>
    <w:p w14:paraId="7ADE40B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（7）承包人明确表示或者以其行为表明不履行合同主要义务的；</w:t>
      </w:r>
    </w:p>
    <w:p w14:paraId="2D9A661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（8）承包人未能按照合同约定履行其他义务的。</w:t>
      </w:r>
    </w:p>
    <w:p w14:paraId="604C65F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承包人发生除本项第（7）目约定以外的其他违约情况时，监理人可向承包人发出整改通知，要求其在指定的期限内改正。</w:t>
      </w:r>
    </w:p>
    <w:p w14:paraId="072679A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16.2.2 承包人违约的责任</w:t>
      </w:r>
    </w:p>
    <w:p w14:paraId="0186BD3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承包人应承担因其违约行为而增加的费用和（或）延误的工期。此外，合同当事人可在专用合同条款中另行约定承包人违约责任的承担方式和计算方法。</w:t>
      </w:r>
    </w:p>
    <w:p w14:paraId="5E81BD4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16.2.3 因承包人违约解除合同</w:t>
      </w:r>
    </w:p>
    <w:p w14:paraId="570D2E3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7E2EBB5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16.2.4因承包人违约解除合同后的处理</w:t>
      </w:r>
    </w:p>
    <w:p w14:paraId="436DCE3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因承包人原因导致合同解除的，则合同当事人应在合同解除后28天内完成估价、付款和清算，并按以下约定执行：</w:t>
      </w:r>
    </w:p>
    <w:p w14:paraId="72A9EC6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（1）合同解除后，按第4.4款〔商定或确定〕商定或确定承包人实际完成工作对应的合同价款，以及承包人已提供的材料、工程设备、施工设备和临时工程等的价值；</w:t>
      </w:r>
    </w:p>
    <w:p w14:paraId="58D1269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（2）合同解除后，承包人应支付的违约金；</w:t>
      </w:r>
    </w:p>
    <w:p w14:paraId="43DFA67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（3）合同解除后，因解除合同给发包人造成的损失；</w:t>
      </w:r>
    </w:p>
    <w:p w14:paraId="64D85A1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（4）合同解除后，承包人应按照发包人要求和监理人的指示完成现场的清理和撤离；</w:t>
      </w:r>
    </w:p>
    <w:p w14:paraId="38961F8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（5）发包人和承包人应在合同解除后进行清算，出具最终结清付款证书，结清全部款项。</w:t>
      </w:r>
    </w:p>
    <w:p w14:paraId="62C67C3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因承包人违约解除合同的，发包人有权暂停对承包人的付款，查清各项付款和已扣款项。发包人和承包人未能就合同解除后的清算和款项支付达成一致的，按照第20条〔争议解决〕的约定处理。</w:t>
      </w:r>
    </w:p>
    <w:p w14:paraId="3421124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16.2.5采购合同权益转让</w:t>
      </w:r>
    </w:p>
    <w:p w14:paraId="4669390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4BF15EF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72" w:name="_Toc351203606"/>
      <w:r>
        <w:rPr>
          <w:rFonts w:hint="eastAsia" w:ascii="宋体" w:hAnsi="宋体" w:eastAsia="宋体" w:cs="宋体"/>
          <w:b w:val="0"/>
          <w:bCs w:val="0"/>
          <w:color w:val="000000" w:themeColor="text1"/>
          <w:kern w:val="0"/>
          <w:highlight w:val="none"/>
          <w14:textFill>
            <w14:solidFill>
              <w14:schemeClr w14:val="tx1"/>
            </w14:solidFill>
          </w14:textFill>
        </w:rPr>
        <w:t>16.3 第三人造成的违约</w:t>
      </w:r>
      <w:bookmarkEnd w:id="472"/>
    </w:p>
    <w:p w14:paraId="0886CCE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在履行合同过程中，一方当事人因第三人的原因造成违约的，应当向对方当事人承担违约责任。一方当事人和第三人之间的纠纷，依照法律规定或者按照约定解决。</w:t>
      </w:r>
    </w:p>
    <w:p w14:paraId="6DC0625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73" w:name="_Toc351203607"/>
      <w:bookmarkStart w:id="474" w:name="_Toc296503116"/>
      <w:bookmarkStart w:id="475" w:name="_Toc337558823"/>
      <w:bookmarkStart w:id="476" w:name="_Toc296346617"/>
      <w:r>
        <w:rPr>
          <w:rFonts w:hint="eastAsia" w:ascii="宋体" w:hAnsi="宋体" w:eastAsia="宋体" w:cs="宋体"/>
          <w:b w:val="0"/>
          <w:bCs w:val="0"/>
          <w:color w:val="000000" w:themeColor="text1"/>
          <w:kern w:val="0"/>
          <w:highlight w:val="none"/>
          <w14:textFill>
            <w14:solidFill>
              <w14:schemeClr w14:val="tx1"/>
            </w14:solidFill>
          </w14:textFill>
        </w:rPr>
        <w:t>17. 不可抗力</w:t>
      </w:r>
      <w:bookmarkEnd w:id="473"/>
      <w:r>
        <w:rPr>
          <w:rFonts w:hint="eastAsia" w:ascii="宋体" w:hAnsi="宋体" w:eastAsia="宋体" w:cs="宋体"/>
          <w:b w:val="0"/>
          <w:bCs w:val="0"/>
          <w:color w:val="000000" w:themeColor="text1"/>
          <w:kern w:val="0"/>
          <w:highlight w:val="none"/>
          <w14:textFill>
            <w14:solidFill>
              <w14:schemeClr w14:val="tx1"/>
            </w14:solidFill>
          </w14:textFill>
        </w:rPr>
        <w:t xml:space="preserve"> </w:t>
      </w:r>
      <w:bookmarkEnd w:id="474"/>
      <w:bookmarkEnd w:id="475"/>
      <w:bookmarkEnd w:id="476"/>
    </w:p>
    <w:p w14:paraId="1B22512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77" w:name="_Toc351203608"/>
      <w:bookmarkStart w:id="478" w:name="_Toc296346618"/>
      <w:bookmarkStart w:id="479" w:name="_Toc337558824"/>
      <w:bookmarkStart w:id="480" w:name="_Toc296503117"/>
      <w:r>
        <w:rPr>
          <w:rFonts w:hint="eastAsia" w:ascii="宋体" w:hAnsi="宋体" w:eastAsia="宋体" w:cs="宋体"/>
          <w:b w:val="0"/>
          <w:bCs w:val="0"/>
          <w:color w:val="000000" w:themeColor="text1"/>
          <w:kern w:val="0"/>
          <w:highlight w:val="none"/>
          <w14:textFill>
            <w14:solidFill>
              <w14:schemeClr w14:val="tx1"/>
            </w14:solidFill>
          </w14:textFill>
        </w:rPr>
        <w:t>17.1 不可抗力的确认</w:t>
      </w:r>
      <w:bookmarkEnd w:id="477"/>
    </w:p>
    <w:bookmarkEnd w:id="478"/>
    <w:bookmarkEnd w:id="479"/>
    <w:bookmarkEnd w:id="480"/>
    <w:p w14:paraId="4D26A93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不可抗力是指合同当事人在签订合同时不可预见，在合同履行过程中不可避免且不能克服的自然灾害和社会性突发事件，如地震、海啸、瘟疫、骚乱、戒严、暴动、战争和专用合同条款中约定的其他情形。</w:t>
      </w:r>
    </w:p>
    <w:p w14:paraId="5CCE27E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5BD0FEC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81" w:name="_Toc351203609"/>
      <w:bookmarkStart w:id="482" w:name="_Toc296346619"/>
      <w:bookmarkStart w:id="483" w:name="_Toc296503118"/>
      <w:bookmarkStart w:id="484" w:name="_Toc337558825"/>
      <w:r>
        <w:rPr>
          <w:rFonts w:hint="eastAsia" w:ascii="宋体" w:hAnsi="宋体" w:eastAsia="宋体" w:cs="宋体"/>
          <w:b w:val="0"/>
          <w:bCs w:val="0"/>
          <w:color w:val="000000" w:themeColor="text1"/>
          <w:kern w:val="0"/>
          <w:highlight w:val="none"/>
          <w14:textFill>
            <w14:solidFill>
              <w14:schemeClr w14:val="tx1"/>
            </w14:solidFill>
          </w14:textFill>
        </w:rPr>
        <w:t>17.2 不可抗力的通知</w:t>
      </w:r>
      <w:bookmarkEnd w:id="481"/>
    </w:p>
    <w:bookmarkEnd w:id="482"/>
    <w:bookmarkEnd w:id="483"/>
    <w:bookmarkEnd w:id="484"/>
    <w:p w14:paraId="62B31CB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合同一方当事人遇到不可抗力事件，使其履行合同义务受到阻碍时，应立即通知合同另一方当事人和监理人，书面说明不可抗力和受阻碍的详细情况，并提供必要的证明。</w:t>
      </w:r>
    </w:p>
    <w:p w14:paraId="7671482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不可抗力持续发生的，合同一方当事人应及时向合同另一方当事人和监理人提交中间报告，说明不可抗力和履行合同受阻的情况，并于不可抗力事件结束后28天内提交最终报告及有关资料。</w:t>
      </w:r>
    </w:p>
    <w:p w14:paraId="1F716FB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85" w:name="_Toc351203610"/>
      <w:bookmarkStart w:id="486" w:name="_Toc337558826"/>
      <w:bookmarkStart w:id="487" w:name="_Toc296503119"/>
      <w:bookmarkStart w:id="488" w:name="_Toc296346620"/>
      <w:r>
        <w:rPr>
          <w:rFonts w:hint="eastAsia" w:ascii="宋体" w:hAnsi="宋体" w:eastAsia="宋体" w:cs="宋体"/>
          <w:b w:val="0"/>
          <w:bCs w:val="0"/>
          <w:color w:val="000000" w:themeColor="text1"/>
          <w:kern w:val="0"/>
          <w:highlight w:val="none"/>
          <w14:textFill>
            <w14:solidFill>
              <w14:schemeClr w14:val="tx1"/>
            </w14:solidFill>
          </w14:textFill>
        </w:rPr>
        <w:t>17.3 不可抗力后果的承担</w:t>
      </w:r>
      <w:bookmarkEnd w:id="485"/>
    </w:p>
    <w:bookmarkEnd w:id="486"/>
    <w:bookmarkEnd w:id="487"/>
    <w:bookmarkEnd w:id="488"/>
    <w:p w14:paraId="4186625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17.3.1 不可抗力引起的后果及造成的损失由合同当事人按照法律规定及合同约定各自承担。不可抗力发生前已完成的工程应当按照合同约定进行计量支付。</w:t>
      </w:r>
    </w:p>
    <w:p w14:paraId="7835D74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17.3.2 不可抗力导致的人员伤亡、财产损失、费用增加和（或）工期延误等后果，由合同当事人按以下原则承担：</w:t>
      </w:r>
    </w:p>
    <w:p w14:paraId="44E006C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（1）永久工程、已运至施工现场的材料和工程设备的损坏，以及因工程损坏造成的第三人人员伤亡和财产损失由发包人承担；</w:t>
      </w:r>
    </w:p>
    <w:p w14:paraId="35ABFC1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（2）承包人施工设备的损坏由承包人承担；</w:t>
      </w:r>
    </w:p>
    <w:p w14:paraId="6473EFF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（3）发包人和承包人承担各自人员伤亡和财产的损失；</w:t>
      </w:r>
    </w:p>
    <w:p w14:paraId="1CFE786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（4）因不可抗力影响承包人履行合同约定的义务，已经引起或将引起工期延误的，应当顺延工期，由此导致承包人停工的费用损失由发包人和承包人合理分担，停工期间必须支付的工人工资由发包人承担；</w:t>
      </w:r>
    </w:p>
    <w:p w14:paraId="02F8931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（5）因不可抗力引起或将引起工期延误，发包人要求赶工的，由此增加的赶工费用由发包人承担；</w:t>
      </w:r>
    </w:p>
    <w:p w14:paraId="1E8E01D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（6）承包人在停工期间按照发包人要求照管、清理和修复工程的费用由发包人承担。</w:t>
      </w:r>
    </w:p>
    <w:p w14:paraId="0C1B141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不可抗力发生后，合同当事人均应采取措施尽量避免和减少损失的扩大，任何一方当事人没有采取有效措施导致损失扩大的，应对扩大的损失承担责任。</w:t>
      </w:r>
    </w:p>
    <w:p w14:paraId="648FAB3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因合同一方迟延履行合同义务，在迟延履行期间遭遇不可抗力的，不免除其违约责任。</w:t>
      </w:r>
    </w:p>
    <w:p w14:paraId="3B13986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89" w:name="_Toc351203611"/>
      <w:bookmarkStart w:id="490" w:name="_Toc337558827"/>
      <w:r>
        <w:rPr>
          <w:rFonts w:hint="eastAsia" w:ascii="宋体" w:hAnsi="宋体" w:eastAsia="宋体" w:cs="宋体"/>
          <w:b w:val="0"/>
          <w:bCs w:val="0"/>
          <w:color w:val="000000" w:themeColor="text1"/>
          <w:kern w:val="0"/>
          <w:highlight w:val="none"/>
          <w14:textFill>
            <w14:solidFill>
              <w14:schemeClr w14:val="tx1"/>
            </w14:solidFill>
          </w14:textFill>
        </w:rPr>
        <w:t>17.4 因不可抗力解除合同</w:t>
      </w:r>
      <w:bookmarkEnd w:id="489"/>
    </w:p>
    <w:bookmarkEnd w:id="490"/>
    <w:p w14:paraId="280EB31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因不可抗力导致合同无法履行连续超过84天或累计超过140天的，发包人和承包人均有权解除合同。合同解除后，由双方当事人按照第4.4款〔商定或确定〕商定或确定发包人应支付的款项，该款项包括：</w:t>
      </w:r>
    </w:p>
    <w:p w14:paraId="2C01342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（1）合同解除前承包人已完成工作的价款；</w:t>
      </w:r>
    </w:p>
    <w:p w14:paraId="51A0F54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（2）承包人为工程订购的并已交付给承包人，或承包人有责任接受交付的材料、工程设备和其他物品的价款；</w:t>
      </w:r>
    </w:p>
    <w:p w14:paraId="684C4E8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（3）发包人要求承包人退货或解除订货合同而产生的费用，或因不能退货或解除合同而产生的损失；</w:t>
      </w:r>
    </w:p>
    <w:p w14:paraId="1DEF385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（4）承包人撤离施工现场以及遣散承包人人员的费用；</w:t>
      </w:r>
    </w:p>
    <w:p w14:paraId="3CDFAC3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（5）按照合同约定在合同解除前应支付给承包人的其他款项；</w:t>
      </w:r>
    </w:p>
    <w:p w14:paraId="75D5704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（6）扣减承包人按照合同约定应向发包人支付的款项；</w:t>
      </w:r>
    </w:p>
    <w:p w14:paraId="0373523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（7）双方商定或确定的其他款项。</w:t>
      </w:r>
    </w:p>
    <w:p w14:paraId="7B63FDE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除专用合同条款另有约定外，合同解除后，发包人应在商定或确定上述款项后28天内完成上述款项的支付。</w:t>
      </w:r>
    </w:p>
    <w:p w14:paraId="0888167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91" w:name="_Toc351203612"/>
      <w:bookmarkStart w:id="492" w:name="_Toc337558828"/>
      <w:bookmarkStart w:id="493" w:name="_Toc296346621"/>
      <w:bookmarkStart w:id="494" w:name="_Toc296503120"/>
      <w:r>
        <w:rPr>
          <w:rFonts w:hint="eastAsia" w:ascii="宋体" w:hAnsi="宋体" w:eastAsia="宋体" w:cs="宋体"/>
          <w:b w:val="0"/>
          <w:bCs w:val="0"/>
          <w:color w:val="000000" w:themeColor="text1"/>
          <w:kern w:val="0"/>
          <w:highlight w:val="none"/>
          <w14:textFill>
            <w14:solidFill>
              <w14:schemeClr w14:val="tx1"/>
            </w14:solidFill>
          </w14:textFill>
        </w:rPr>
        <w:t>18. 保险</w:t>
      </w:r>
      <w:bookmarkEnd w:id="491"/>
    </w:p>
    <w:bookmarkEnd w:id="492"/>
    <w:bookmarkEnd w:id="493"/>
    <w:bookmarkEnd w:id="494"/>
    <w:p w14:paraId="19770C9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95" w:name="_Toc351203613"/>
      <w:bookmarkStart w:id="496" w:name="_Toc337558829"/>
      <w:bookmarkStart w:id="497" w:name="_Toc296503121"/>
      <w:bookmarkStart w:id="498" w:name="_Toc296346622"/>
      <w:r>
        <w:rPr>
          <w:rFonts w:hint="eastAsia" w:ascii="宋体" w:hAnsi="宋体" w:eastAsia="宋体" w:cs="宋体"/>
          <w:b w:val="0"/>
          <w:bCs w:val="0"/>
          <w:color w:val="000000" w:themeColor="text1"/>
          <w:kern w:val="0"/>
          <w:highlight w:val="none"/>
          <w14:textFill>
            <w14:solidFill>
              <w14:schemeClr w14:val="tx1"/>
            </w14:solidFill>
          </w14:textFill>
        </w:rPr>
        <w:t>18.1 工程保险</w:t>
      </w:r>
      <w:bookmarkEnd w:id="495"/>
    </w:p>
    <w:bookmarkEnd w:id="496"/>
    <w:bookmarkEnd w:id="497"/>
    <w:bookmarkEnd w:id="498"/>
    <w:p w14:paraId="35EAA63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除专用合同条款另有约定外，发包人应投保建筑工程一切险或安装工程一切险；发包人委托承包人投保的，因投保产生的保险费和其他相关费用由发包人承担。</w:t>
      </w:r>
    </w:p>
    <w:p w14:paraId="230658A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499" w:name="_Toc351203614"/>
      <w:bookmarkStart w:id="500" w:name="_Toc337558830"/>
      <w:bookmarkStart w:id="501" w:name="_Toc296346623"/>
      <w:bookmarkStart w:id="502" w:name="_Toc296503122"/>
      <w:r>
        <w:rPr>
          <w:rFonts w:hint="eastAsia" w:ascii="宋体" w:hAnsi="宋体" w:eastAsia="宋体" w:cs="宋体"/>
          <w:b w:val="0"/>
          <w:bCs w:val="0"/>
          <w:color w:val="000000" w:themeColor="text1"/>
          <w:kern w:val="0"/>
          <w:highlight w:val="none"/>
          <w14:textFill>
            <w14:solidFill>
              <w14:schemeClr w14:val="tx1"/>
            </w14:solidFill>
          </w14:textFill>
        </w:rPr>
        <w:t>18.2 工伤保险</w:t>
      </w:r>
      <w:bookmarkEnd w:id="499"/>
    </w:p>
    <w:bookmarkEnd w:id="500"/>
    <w:bookmarkEnd w:id="501"/>
    <w:bookmarkEnd w:id="502"/>
    <w:p w14:paraId="6F4561C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18.2.1 发包人应依照法律规定参加工伤保险，并为在施工现场的全部员工办理工伤保险，缴纳工伤保险费，并要求监理人及由发包人为履行合同聘请的第三方依法参加工伤保险。</w:t>
      </w:r>
    </w:p>
    <w:p w14:paraId="7E522F5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18.2.2 承包人应依照法律规定参加工伤保险，并为其履行合同的全部员工办理工伤保险，缴纳工伤保险费，并要求分包人及由承包人为履行合同聘请的第三方依法参加工伤保险。</w:t>
      </w:r>
    </w:p>
    <w:p w14:paraId="5D991D4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03" w:name="_Toc351203615"/>
      <w:bookmarkStart w:id="504" w:name="_Toc337558831"/>
      <w:bookmarkStart w:id="505" w:name="_Toc296346626"/>
      <w:bookmarkStart w:id="506" w:name="_Toc296503125"/>
      <w:r>
        <w:rPr>
          <w:rFonts w:hint="eastAsia" w:ascii="宋体" w:hAnsi="宋体" w:eastAsia="宋体" w:cs="宋体"/>
          <w:b w:val="0"/>
          <w:bCs w:val="0"/>
          <w:color w:val="000000" w:themeColor="text1"/>
          <w:kern w:val="0"/>
          <w:highlight w:val="none"/>
          <w14:textFill>
            <w14:solidFill>
              <w14:schemeClr w14:val="tx1"/>
            </w14:solidFill>
          </w14:textFill>
        </w:rPr>
        <w:t>18.3其他保险</w:t>
      </w:r>
      <w:bookmarkEnd w:id="503"/>
    </w:p>
    <w:bookmarkEnd w:id="504"/>
    <w:bookmarkEnd w:id="505"/>
    <w:bookmarkEnd w:id="506"/>
    <w:p w14:paraId="7F7184E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发包人和承包人可以为其施工现场的全部人员办理意外伤害保险并支付保险费，包括其员工及为履行合同聘请的第三方的人员，具体事项由合同当事人在专用合同条款约定。</w:t>
      </w:r>
    </w:p>
    <w:p w14:paraId="1B8EC87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除专用合同条款另有约定外，承包人应为其施工设备等办理财产保险。</w:t>
      </w:r>
    </w:p>
    <w:p w14:paraId="0239405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07" w:name="_Toc351203616"/>
      <w:r>
        <w:rPr>
          <w:rFonts w:hint="eastAsia" w:ascii="宋体" w:hAnsi="宋体" w:eastAsia="宋体" w:cs="宋体"/>
          <w:b w:val="0"/>
          <w:bCs w:val="0"/>
          <w:color w:val="000000" w:themeColor="text1"/>
          <w:kern w:val="0"/>
          <w:highlight w:val="none"/>
          <w14:textFill>
            <w14:solidFill>
              <w14:schemeClr w14:val="tx1"/>
            </w14:solidFill>
          </w14:textFill>
        </w:rPr>
        <w:t>18.4持续保险</w:t>
      </w:r>
      <w:bookmarkEnd w:id="507"/>
    </w:p>
    <w:p w14:paraId="65916BE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合同当事人应与保险人保持联系，使保险人能够随时了解工程实施中的变动，并确保按保险合同条款要求持续保险。</w:t>
      </w:r>
    </w:p>
    <w:p w14:paraId="4C05C48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08" w:name="_Toc351203617"/>
      <w:bookmarkStart w:id="509" w:name="_Toc296346627"/>
      <w:bookmarkStart w:id="510" w:name="_Toc296503126"/>
      <w:bookmarkStart w:id="511" w:name="_Toc337558832"/>
      <w:r>
        <w:rPr>
          <w:rFonts w:hint="eastAsia" w:ascii="宋体" w:hAnsi="宋体" w:eastAsia="宋体" w:cs="宋体"/>
          <w:b w:val="0"/>
          <w:bCs w:val="0"/>
          <w:color w:val="000000" w:themeColor="text1"/>
          <w:kern w:val="0"/>
          <w:highlight w:val="none"/>
          <w14:textFill>
            <w14:solidFill>
              <w14:schemeClr w14:val="tx1"/>
            </w14:solidFill>
          </w14:textFill>
        </w:rPr>
        <w:t>18.5 保险凭证</w:t>
      </w:r>
      <w:bookmarkEnd w:id="508"/>
    </w:p>
    <w:bookmarkEnd w:id="509"/>
    <w:bookmarkEnd w:id="510"/>
    <w:bookmarkEnd w:id="511"/>
    <w:p w14:paraId="61C9265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合同当事人应及时向另一方当事人提交其已投保的各项保险的凭证和保险单复印件。</w:t>
      </w:r>
    </w:p>
    <w:p w14:paraId="29B66B7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12" w:name="_Toc351203618"/>
      <w:bookmarkStart w:id="513" w:name="_Toc296346628"/>
      <w:bookmarkStart w:id="514" w:name="_Toc337558833"/>
      <w:bookmarkStart w:id="515" w:name="_Toc296503127"/>
      <w:r>
        <w:rPr>
          <w:rFonts w:hint="eastAsia" w:ascii="宋体" w:hAnsi="宋体" w:eastAsia="宋体" w:cs="宋体"/>
          <w:b w:val="0"/>
          <w:bCs w:val="0"/>
          <w:color w:val="000000" w:themeColor="text1"/>
          <w:kern w:val="0"/>
          <w:highlight w:val="none"/>
          <w14:textFill>
            <w14:solidFill>
              <w14:schemeClr w14:val="tx1"/>
            </w14:solidFill>
          </w14:textFill>
        </w:rPr>
        <w:t>18.6 未按约定投保的补救</w:t>
      </w:r>
      <w:bookmarkEnd w:id="512"/>
    </w:p>
    <w:bookmarkEnd w:id="513"/>
    <w:bookmarkEnd w:id="514"/>
    <w:bookmarkEnd w:id="515"/>
    <w:p w14:paraId="673177B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18.6.1发包人未按合同约定办理保险，或未能使保险持续有效的，则承包人可代为办理，所需费用由发包人承担。发包人未按合同约定办理保险，导致未能得到足额赔偿的，由发包人负责补足。</w:t>
      </w:r>
    </w:p>
    <w:p w14:paraId="3440867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18.6.2承包人未按合同约定办理保险，或未能使保险持续有效的，则发包人可代为办理，所需费用由承包人承担。承包人未按合同约定办理保险，导致未能得到足额赔偿的，由承包人负责补足。</w:t>
      </w:r>
    </w:p>
    <w:p w14:paraId="498697F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16" w:name="_Toc351203619"/>
      <w:bookmarkStart w:id="517" w:name="_Toc337558834"/>
      <w:r>
        <w:rPr>
          <w:rFonts w:hint="eastAsia" w:ascii="宋体" w:hAnsi="宋体" w:eastAsia="宋体" w:cs="宋体"/>
          <w:b w:val="0"/>
          <w:bCs w:val="0"/>
          <w:color w:val="000000" w:themeColor="text1"/>
          <w:kern w:val="0"/>
          <w:highlight w:val="none"/>
          <w14:textFill>
            <w14:solidFill>
              <w14:schemeClr w14:val="tx1"/>
            </w14:solidFill>
          </w14:textFill>
        </w:rPr>
        <w:t>18.7 通知义务</w:t>
      </w:r>
      <w:bookmarkEnd w:id="516"/>
    </w:p>
    <w:bookmarkEnd w:id="517"/>
    <w:p w14:paraId="0EAE56F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除专用合同条款另有约定外，发包人变更除工伤保险之外的保险合同时，应事先征得承包人同意，并通知监理人；承包人变更除工伤保险之外的保险合同时，应事先征得发包人同意，并通知监理人。</w:t>
      </w:r>
    </w:p>
    <w:p w14:paraId="1BCF0A7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保险事故发生时，投保人应按照保险合同规定的条件和期限及时向保险人报告。发包人和承包人应当在知道保险事故发生后及时通知对方。</w:t>
      </w:r>
    </w:p>
    <w:p w14:paraId="4263397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18" w:name="_Toc351203620"/>
      <w:bookmarkStart w:id="519" w:name="_Toc296346641"/>
      <w:bookmarkStart w:id="520" w:name="_Toc296503140"/>
      <w:bookmarkStart w:id="521" w:name="_Toc337558835"/>
      <w:r>
        <w:rPr>
          <w:rFonts w:hint="eastAsia" w:ascii="宋体" w:hAnsi="宋体" w:eastAsia="宋体" w:cs="宋体"/>
          <w:b w:val="0"/>
          <w:bCs w:val="0"/>
          <w:color w:val="000000" w:themeColor="text1"/>
          <w:kern w:val="0"/>
          <w:highlight w:val="none"/>
          <w14:textFill>
            <w14:solidFill>
              <w14:schemeClr w14:val="tx1"/>
            </w14:solidFill>
          </w14:textFill>
        </w:rPr>
        <w:t>19. 索赔</w:t>
      </w:r>
      <w:bookmarkEnd w:id="518"/>
    </w:p>
    <w:bookmarkEnd w:id="519"/>
    <w:bookmarkEnd w:id="520"/>
    <w:bookmarkEnd w:id="521"/>
    <w:p w14:paraId="225CC40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22" w:name="_Toc351203621"/>
      <w:bookmarkStart w:id="523" w:name="_Toc337558836"/>
      <w:bookmarkStart w:id="524" w:name="_Toc296503141"/>
      <w:bookmarkStart w:id="525" w:name="_Toc296346642"/>
      <w:r>
        <w:rPr>
          <w:rFonts w:hint="eastAsia" w:ascii="宋体" w:hAnsi="宋体" w:eastAsia="宋体" w:cs="宋体"/>
          <w:b w:val="0"/>
          <w:bCs w:val="0"/>
          <w:color w:val="000000" w:themeColor="text1"/>
          <w:kern w:val="0"/>
          <w:highlight w:val="none"/>
          <w14:textFill>
            <w14:solidFill>
              <w14:schemeClr w14:val="tx1"/>
            </w14:solidFill>
          </w14:textFill>
        </w:rPr>
        <w:t>19.1承包人的索赔</w:t>
      </w:r>
      <w:bookmarkEnd w:id="522"/>
    </w:p>
    <w:bookmarkEnd w:id="523"/>
    <w:bookmarkEnd w:id="524"/>
    <w:bookmarkEnd w:id="525"/>
    <w:p w14:paraId="4A88487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根据合同约定，承包人认为有权得到追加付款和（或）延长工期的，应按以下程序向发包人提出索赔：</w:t>
      </w:r>
    </w:p>
    <w:p w14:paraId="5A7AD66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2A443236">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（2）承包人应在发出索赔意向通知书后28天内，向监理人正式递交索赔报告；索赔报告应详细说明索赔理由以及要求追加的付款金额和（或）延长的工期，并附必要的记录和证明材料；</w:t>
      </w:r>
    </w:p>
    <w:p w14:paraId="5D2F42C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（3）索赔事件具有持续影响的，承包人应按合理时间间隔继续递交延续索赔通知，说明持续影响的实际情况和记录，列出累计的追加付款金额和（或）工期延长天数；</w:t>
      </w:r>
    </w:p>
    <w:p w14:paraId="72663BC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（4）在索赔事件影响结束后28天内，承包人应向监理人递交最终索赔报告，说明最终要求索赔的追加付款金额和（或）延长的工期，并附必要的记录和证明材料。</w:t>
      </w:r>
    </w:p>
    <w:p w14:paraId="0BE3051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26" w:name="_Toc351203622"/>
      <w:bookmarkStart w:id="527" w:name="_Toc296503142"/>
      <w:bookmarkStart w:id="528" w:name="_Toc296346643"/>
      <w:bookmarkStart w:id="529" w:name="_Toc337558837"/>
      <w:r>
        <w:rPr>
          <w:rFonts w:hint="eastAsia" w:ascii="宋体" w:hAnsi="宋体" w:eastAsia="宋体" w:cs="宋体"/>
          <w:b w:val="0"/>
          <w:bCs w:val="0"/>
          <w:color w:val="000000" w:themeColor="text1"/>
          <w:kern w:val="0"/>
          <w:highlight w:val="none"/>
          <w14:textFill>
            <w14:solidFill>
              <w14:schemeClr w14:val="tx1"/>
            </w14:solidFill>
          </w14:textFill>
        </w:rPr>
        <w:t>19.2 对承包人索赔的处理</w:t>
      </w:r>
      <w:bookmarkEnd w:id="526"/>
    </w:p>
    <w:bookmarkEnd w:id="527"/>
    <w:bookmarkEnd w:id="528"/>
    <w:bookmarkEnd w:id="529"/>
    <w:p w14:paraId="29B924E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对承包人索赔的处理如下：</w:t>
      </w:r>
    </w:p>
    <w:p w14:paraId="7B8768F0">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（1）监理人应在收到索赔报告后14天内完成审查并报送发包人。监理人对索赔报告存在异议的，有权要求承包人提交全部原始记录副本；</w:t>
      </w:r>
    </w:p>
    <w:p w14:paraId="5C65CE67">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（2）发包人应在监理人收到索赔报告或有关索赔的进一步证明材料后的28天内，由监理人向承包人出具经发包人签认的索赔处理结果。发包人逾期答复的，则视为认可承包人的索赔要求；</w:t>
      </w:r>
    </w:p>
    <w:p w14:paraId="5208308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（3）承包人接受索赔处理结果的，索赔款项在当期进度款中进行支付；承包人不接受索赔处理结果的，按照第20条〔争议解决〕约定处理。</w:t>
      </w:r>
    </w:p>
    <w:p w14:paraId="317B365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30" w:name="_Toc351203623"/>
      <w:bookmarkStart w:id="531" w:name="_Toc337558838"/>
      <w:bookmarkStart w:id="532" w:name="_Toc296346644"/>
      <w:bookmarkStart w:id="533" w:name="_Toc296503143"/>
      <w:r>
        <w:rPr>
          <w:rFonts w:hint="eastAsia" w:ascii="宋体" w:hAnsi="宋体" w:eastAsia="宋体" w:cs="宋体"/>
          <w:b w:val="0"/>
          <w:bCs w:val="0"/>
          <w:color w:val="000000" w:themeColor="text1"/>
          <w:kern w:val="0"/>
          <w:highlight w:val="none"/>
          <w14:textFill>
            <w14:solidFill>
              <w14:schemeClr w14:val="tx1"/>
            </w14:solidFill>
          </w14:textFill>
        </w:rPr>
        <w:t>19.3发包人的索赔</w:t>
      </w:r>
      <w:bookmarkEnd w:id="530"/>
    </w:p>
    <w:bookmarkEnd w:id="531"/>
    <w:bookmarkEnd w:id="532"/>
    <w:bookmarkEnd w:id="533"/>
    <w:p w14:paraId="22F6E71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根据合同约定，发包人认为有权得到赔付金额和（或）延长缺陷责任期的，监理人应向承包人发出通知并附有详细的证明。</w:t>
      </w:r>
    </w:p>
    <w:p w14:paraId="682A7B3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3F553C3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34" w:name="_Toc351203624"/>
      <w:bookmarkStart w:id="535" w:name="_Toc296346645"/>
      <w:bookmarkStart w:id="536" w:name="_Toc296503144"/>
      <w:bookmarkStart w:id="537" w:name="_Toc337558839"/>
      <w:r>
        <w:rPr>
          <w:rFonts w:hint="eastAsia" w:ascii="宋体" w:hAnsi="宋体" w:eastAsia="宋体" w:cs="宋体"/>
          <w:b w:val="0"/>
          <w:bCs w:val="0"/>
          <w:color w:val="000000" w:themeColor="text1"/>
          <w:kern w:val="0"/>
          <w:highlight w:val="none"/>
          <w14:textFill>
            <w14:solidFill>
              <w14:schemeClr w14:val="tx1"/>
            </w14:solidFill>
          </w14:textFill>
        </w:rPr>
        <w:t>19.4 对发包人索赔的处理</w:t>
      </w:r>
      <w:bookmarkEnd w:id="534"/>
    </w:p>
    <w:bookmarkEnd w:id="535"/>
    <w:bookmarkEnd w:id="536"/>
    <w:bookmarkEnd w:id="537"/>
    <w:p w14:paraId="05BB4CC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对发包人索赔的处理如下：</w:t>
      </w:r>
    </w:p>
    <w:p w14:paraId="3C70F25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（1）承包人收到发包人提交的索赔报告后，应及时审查索赔报告的内容、查验发包人证明材料；</w:t>
      </w:r>
    </w:p>
    <w:p w14:paraId="68A09A8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（2）承包人应在收到索赔报告或有关索赔的进一步证明材料后28天内，将索赔处理结果答复发包人。如果承包人未在上述期限内作出答复的，则视为对发包人索赔要求的认可；</w:t>
      </w:r>
    </w:p>
    <w:p w14:paraId="6C96BE4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（3）承包人接受索赔处理结果的，发包人可从应支付给承包人的合同价款中扣除赔付的金额或延长缺陷责任期；发包人不接受索赔处理结果的，按第20条〔争议解决〕约定处理。</w:t>
      </w:r>
    </w:p>
    <w:p w14:paraId="6287467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38" w:name="_Toc351203625"/>
      <w:r>
        <w:rPr>
          <w:rFonts w:hint="eastAsia" w:ascii="宋体" w:hAnsi="宋体" w:eastAsia="宋体" w:cs="宋体"/>
          <w:b w:val="0"/>
          <w:bCs w:val="0"/>
          <w:color w:val="000000" w:themeColor="text1"/>
          <w:kern w:val="0"/>
          <w:highlight w:val="none"/>
          <w14:textFill>
            <w14:solidFill>
              <w14:schemeClr w14:val="tx1"/>
            </w14:solidFill>
          </w14:textFill>
        </w:rPr>
        <w:t>19.5 提出索赔的期限</w:t>
      </w:r>
      <w:bookmarkEnd w:id="538"/>
    </w:p>
    <w:p w14:paraId="6554CE3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（1）承包人按第14.2款〔竣工结算审核〕约定接收竣工付款证书后，应被视为已无权再提出在工程接收证书颁发前所发生的任何索赔。</w:t>
      </w:r>
    </w:p>
    <w:p w14:paraId="618E392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（2）承包人按第14.4款〔最终结清〕提交的最终结清申请单中，只限于提出工程接收证书颁发后发生的索赔。提出索赔的期限自接受最终结清证书时终止。</w:t>
      </w:r>
    </w:p>
    <w:p w14:paraId="0EDF6E29">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39" w:name="_Toc351203626"/>
      <w:r>
        <w:rPr>
          <w:rFonts w:hint="eastAsia" w:ascii="宋体" w:hAnsi="宋体" w:eastAsia="宋体" w:cs="宋体"/>
          <w:b w:val="0"/>
          <w:bCs w:val="0"/>
          <w:color w:val="000000" w:themeColor="text1"/>
          <w:kern w:val="0"/>
          <w:highlight w:val="none"/>
          <w14:textFill>
            <w14:solidFill>
              <w14:schemeClr w14:val="tx1"/>
            </w14:solidFill>
          </w14:textFill>
        </w:rPr>
        <w:t>20</w:t>
      </w:r>
      <w:bookmarkStart w:id="540" w:name="_Toc296346647"/>
      <w:bookmarkStart w:id="541" w:name="_Toc337558840"/>
      <w:bookmarkStart w:id="542" w:name="_Toc296503146"/>
      <w:r>
        <w:rPr>
          <w:rFonts w:hint="eastAsia" w:ascii="宋体" w:hAnsi="宋体" w:eastAsia="宋体" w:cs="宋体"/>
          <w:b w:val="0"/>
          <w:bCs w:val="0"/>
          <w:color w:val="000000" w:themeColor="text1"/>
          <w:kern w:val="0"/>
          <w:highlight w:val="none"/>
          <w14:textFill>
            <w14:solidFill>
              <w14:schemeClr w14:val="tx1"/>
            </w14:solidFill>
          </w14:textFill>
        </w:rPr>
        <w:t>. 争议解决</w:t>
      </w:r>
      <w:bookmarkEnd w:id="539"/>
    </w:p>
    <w:bookmarkEnd w:id="540"/>
    <w:bookmarkEnd w:id="541"/>
    <w:bookmarkEnd w:id="542"/>
    <w:p w14:paraId="7C7309DF">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43" w:name="_Toc351203627"/>
      <w:bookmarkStart w:id="544" w:name="_Toc337558841"/>
      <w:bookmarkStart w:id="545" w:name="_Toc296503147"/>
      <w:bookmarkStart w:id="546" w:name="_Toc296346648"/>
      <w:r>
        <w:rPr>
          <w:rFonts w:hint="eastAsia" w:ascii="宋体" w:hAnsi="宋体" w:eastAsia="宋体" w:cs="宋体"/>
          <w:b w:val="0"/>
          <w:bCs w:val="0"/>
          <w:color w:val="000000" w:themeColor="text1"/>
          <w:kern w:val="0"/>
          <w:highlight w:val="none"/>
          <w14:textFill>
            <w14:solidFill>
              <w14:schemeClr w14:val="tx1"/>
            </w14:solidFill>
          </w14:textFill>
        </w:rPr>
        <w:t>20.1和解</w:t>
      </w:r>
      <w:bookmarkEnd w:id="543"/>
    </w:p>
    <w:bookmarkEnd w:id="544"/>
    <w:bookmarkEnd w:id="545"/>
    <w:bookmarkEnd w:id="546"/>
    <w:p w14:paraId="6E7BED5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合同当事人可以就争议自行和解，自行和解达成协议的经双方签字并盖章后作为合同补充文件，双方均应遵照执行。</w:t>
      </w:r>
    </w:p>
    <w:p w14:paraId="29B31ED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47" w:name="_Toc351203628"/>
      <w:r>
        <w:rPr>
          <w:rFonts w:hint="eastAsia" w:ascii="宋体" w:hAnsi="宋体" w:eastAsia="宋体" w:cs="宋体"/>
          <w:b w:val="0"/>
          <w:bCs w:val="0"/>
          <w:color w:val="000000" w:themeColor="text1"/>
          <w:kern w:val="0"/>
          <w:highlight w:val="none"/>
          <w14:textFill>
            <w14:solidFill>
              <w14:schemeClr w14:val="tx1"/>
            </w14:solidFill>
          </w14:textFill>
        </w:rPr>
        <w:t>20</w:t>
      </w:r>
      <w:bookmarkStart w:id="548" w:name="_Toc296503148"/>
      <w:bookmarkStart w:id="549" w:name="_Toc337558842"/>
      <w:bookmarkStart w:id="550" w:name="_Toc296346649"/>
      <w:r>
        <w:rPr>
          <w:rFonts w:hint="eastAsia" w:ascii="宋体" w:hAnsi="宋体" w:eastAsia="宋体" w:cs="宋体"/>
          <w:b w:val="0"/>
          <w:bCs w:val="0"/>
          <w:color w:val="000000" w:themeColor="text1"/>
          <w:kern w:val="0"/>
          <w:highlight w:val="none"/>
          <w14:textFill>
            <w14:solidFill>
              <w14:schemeClr w14:val="tx1"/>
            </w14:solidFill>
          </w14:textFill>
        </w:rPr>
        <w:t>.2调解</w:t>
      </w:r>
      <w:bookmarkEnd w:id="547"/>
    </w:p>
    <w:bookmarkEnd w:id="548"/>
    <w:bookmarkEnd w:id="549"/>
    <w:bookmarkEnd w:id="550"/>
    <w:p w14:paraId="7EAE385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合同当事人可以就争议请求建设行政主管部门、行业协会或其他第三方进行调解，调解达成协议的，经双方签字并盖章后作为合同补充文件，双方均应遵照执行。</w:t>
      </w:r>
    </w:p>
    <w:p w14:paraId="65937EB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51" w:name="_Toc351203629"/>
      <w:bookmarkStart w:id="552" w:name="_Toc296503149"/>
      <w:bookmarkStart w:id="553" w:name="_Toc296346650"/>
      <w:bookmarkStart w:id="554" w:name="_Toc337558843"/>
      <w:r>
        <w:rPr>
          <w:rFonts w:hint="eastAsia" w:ascii="宋体" w:hAnsi="宋体" w:eastAsia="宋体" w:cs="宋体"/>
          <w:b w:val="0"/>
          <w:bCs w:val="0"/>
          <w:color w:val="000000" w:themeColor="text1"/>
          <w:kern w:val="0"/>
          <w:highlight w:val="none"/>
          <w14:textFill>
            <w14:solidFill>
              <w14:schemeClr w14:val="tx1"/>
            </w14:solidFill>
          </w14:textFill>
        </w:rPr>
        <w:t>20.3争议评审</w:t>
      </w:r>
      <w:bookmarkEnd w:id="551"/>
    </w:p>
    <w:bookmarkEnd w:id="552"/>
    <w:bookmarkEnd w:id="553"/>
    <w:bookmarkEnd w:id="554"/>
    <w:p w14:paraId="4724126E">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合同当事人在专用合同条款中约定采取争议评审方式解决争议以及评审规则，并按下列约定执行： </w:t>
      </w:r>
    </w:p>
    <w:p w14:paraId="59B03748">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20.3.1 争议评审小组的确定</w:t>
      </w:r>
    </w:p>
    <w:p w14:paraId="0DBECC6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合同当事人可以共同选择一名或三名争议评审员，组成争议评审小组。除专用合同条款另有约定外，合同当事人应当自合同签订后28天内，或者争议发生后14天内，选定争议评审员。</w:t>
      </w:r>
    </w:p>
    <w:p w14:paraId="705E848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25A43072">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除专用合同条款另有约定外，评审员报酬由发包人和承包人各承担一半。</w:t>
      </w:r>
    </w:p>
    <w:p w14:paraId="14BA748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20.3.2 争议评审小组的决定</w:t>
      </w:r>
    </w:p>
    <w:p w14:paraId="6D8E8D6C">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52029F43">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20.3.3 争议评审小组决定的效力</w:t>
      </w:r>
    </w:p>
    <w:p w14:paraId="3A0F6E1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争议评审小组作出的书面决定经合同当事人签字确认后，对双方具有约束力，双方应遵照执行。</w:t>
      </w:r>
    </w:p>
    <w:p w14:paraId="5CF052AD">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任何一方当事人不接受争议评审小组决定或不履行争议评审小组决定的，双方可选择采用其他争议解决方式。</w:t>
      </w:r>
    </w:p>
    <w:p w14:paraId="07708144">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55" w:name="_Toc351203630"/>
      <w:bookmarkStart w:id="556" w:name="_Toc296503150"/>
      <w:bookmarkStart w:id="557" w:name="_Toc337558844"/>
      <w:bookmarkStart w:id="558" w:name="_Toc296346651"/>
      <w:r>
        <w:rPr>
          <w:rFonts w:hint="eastAsia" w:ascii="宋体" w:hAnsi="宋体" w:eastAsia="宋体" w:cs="宋体"/>
          <w:b w:val="0"/>
          <w:bCs w:val="0"/>
          <w:color w:val="000000" w:themeColor="text1"/>
          <w:kern w:val="0"/>
          <w:highlight w:val="none"/>
          <w14:textFill>
            <w14:solidFill>
              <w14:schemeClr w14:val="tx1"/>
            </w14:solidFill>
          </w14:textFill>
        </w:rPr>
        <w:t>20.4仲裁或诉讼</w:t>
      </w:r>
      <w:bookmarkEnd w:id="555"/>
    </w:p>
    <w:bookmarkEnd w:id="556"/>
    <w:bookmarkEnd w:id="557"/>
    <w:bookmarkEnd w:id="558"/>
    <w:p w14:paraId="24F61F2B">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因合同及合同有关事项产生的争议，合同当事人可以在专用合同条款中约定以下一种方式解决争议：</w:t>
      </w:r>
    </w:p>
    <w:p w14:paraId="30083695">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（1）向约定的仲裁委员会申请仲裁；</w:t>
      </w:r>
    </w:p>
    <w:p w14:paraId="120F1371">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（2）向有管辖权的人民法院起诉。</w:t>
      </w:r>
    </w:p>
    <w:p w14:paraId="1C1FA67A">
      <w:pPr>
        <w:spacing w:line="360" w:lineRule="auto"/>
        <w:ind w:firstLine="420" w:firstLineChars="200"/>
        <w:rPr>
          <w:rFonts w:hint="eastAsia" w:ascii="宋体" w:hAnsi="宋体" w:eastAsia="宋体" w:cs="宋体"/>
          <w:b w:val="0"/>
          <w:bCs w:val="0"/>
          <w:color w:val="000000" w:themeColor="text1"/>
          <w:kern w:val="0"/>
          <w:highlight w:val="none"/>
          <w14:textFill>
            <w14:solidFill>
              <w14:schemeClr w14:val="tx1"/>
            </w14:solidFill>
          </w14:textFill>
        </w:rPr>
      </w:pPr>
      <w:bookmarkStart w:id="559" w:name="_Toc351203631"/>
      <w:bookmarkStart w:id="560" w:name="_Toc296503152"/>
      <w:bookmarkStart w:id="561" w:name="_Toc296346653"/>
      <w:bookmarkStart w:id="562" w:name="_Toc337558845"/>
      <w:r>
        <w:rPr>
          <w:rFonts w:hint="eastAsia" w:ascii="宋体" w:hAnsi="宋体" w:eastAsia="宋体" w:cs="宋体"/>
          <w:b w:val="0"/>
          <w:bCs w:val="0"/>
          <w:color w:val="000000" w:themeColor="text1"/>
          <w:kern w:val="0"/>
          <w:highlight w:val="none"/>
          <w14:textFill>
            <w14:solidFill>
              <w14:schemeClr w14:val="tx1"/>
            </w14:solidFill>
          </w14:textFill>
        </w:rPr>
        <w:t>20.5争议解决条款效力</w:t>
      </w:r>
      <w:bookmarkEnd w:id="559"/>
    </w:p>
    <w:bookmarkEnd w:id="560"/>
    <w:bookmarkEnd w:id="561"/>
    <w:bookmarkEnd w:id="562"/>
    <w:p w14:paraId="5F8A2973">
      <w:pPr>
        <w:spacing w:line="360" w:lineRule="auto"/>
        <w:ind w:firstLine="420" w:firstLineChars="200"/>
        <w:rPr>
          <w:rFonts w:hint="eastAsia" w:ascii="宋体" w:hAnsi="宋体" w:eastAsia="宋体" w:cs="宋体"/>
          <w:b/>
          <w:bCs/>
          <w:color w:val="000000" w:themeColor="text1"/>
          <w:kern w:val="0"/>
          <w:highlight w:val="none"/>
          <w14:textFill>
            <w14:solidFill>
              <w14:schemeClr w14:val="tx1"/>
            </w14:solidFill>
          </w14:textFill>
        </w:rPr>
      </w:pPr>
      <w:r>
        <w:rPr>
          <w:rFonts w:hint="eastAsia" w:ascii="宋体" w:hAnsi="宋体" w:eastAsia="宋体" w:cs="宋体"/>
          <w:b w:val="0"/>
          <w:bCs w:val="0"/>
          <w:color w:val="000000" w:themeColor="text1"/>
          <w:kern w:val="0"/>
          <w:highlight w:val="none"/>
          <w14:textFill>
            <w14:solidFill>
              <w14:schemeClr w14:val="tx1"/>
            </w14:solidFill>
          </w14:textFill>
        </w:rPr>
        <w:t>合同有关争议解决的条款独立存在，合同的变更、解除、终止、无效或者被撤销均不影响其效力。</w:t>
      </w:r>
    </w:p>
    <w:p w14:paraId="40B8E2AB">
      <w:pPr>
        <w:rPr>
          <w:rFonts w:hint="eastAsia" w:ascii="宋体" w:hAnsi="宋体" w:eastAsia="宋体" w:cs="宋体"/>
          <w:color w:val="000000" w:themeColor="text1"/>
          <w:sz w:val="30"/>
          <w:szCs w:val="30"/>
          <w:highlight w:val="none"/>
          <w14:textFill>
            <w14:solidFill>
              <w14:schemeClr w14:val="tx1"/>
            </w14:solidFill>
          </w14:textFill>
        </w:rPr>
      </w:pPr>
      <w:bookmarkStart w:id="563" w:name="_Toc389065257"/>
      <w:bookmarkStart w:id="564" w:name="_Toc78449779"/>
      <w:bookmarkStart w:id="565" w:name="_Toc1204138598"/>
      <w:bookmarkStart w:id="566" w:name="_Toc407135193"/>
      <w:bookmarkStart w:id="567" w:name="_Toc704444909"/>
      <w:r>
        <w:rPr>
          <w:rFonts w:hint="eastAsia" w:ascii="宋体" w:hAnsi="宋体" w:eastAsia="宋体" w:cs="宋体"/>
          <w:color w:val="000000" w:themeColor="text1"/>
          <w:sz w:val="30"/>
          <w:szCs w:val="30"/>
          <w:highlight w:val="none"/>
          <w14:textFill>
            <w14:solidFill>
              <w14:schemeClr w14:val="tx1"/>
            </w14:solidFill>
          </w14:textFill>
        </w:rPr>
        <w:br w:type="page"/>
      </w:r>
    </w:p>
    <w:p w14:paraId="20523BC7">
      <w:pPr>
        <w:pStyle w:val="4"/>
        <w:keepNext w:val="0"/>
        <w:keepLines w:val="0"/>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第三部分 专用合同条款</w:t>
      </w:r>
      <w:bookmarkEnd w:id="132"/>
      <w:bookmarkEnd w:id="133"/>
      <w:bookmarkEnd w:id="134"/>
      <w:bookmarkEnd w:id="563"/>
      <w:bookmarkEnd w:id="564"/>
      <w:bookmarkEnd w:id="565"/>
      <w:bookmarkEnd w:id="566"/>
      <w:bookmarkEnd w:id="567"/>
    </w:p>
    <w:p w14:paraId="2CA1BCCD">
      <w:pPr>
        <w:pStyle w:val="5"/>
        <w:rPr>
          <w:rFonts w:hint="eastAsia" w:ascii="宋体" w:hAnsi="宋体" w:eastAsia="宋体" w:cs="宋体"/>
          <w:color w:val="000000" w:themeColor="text1"/>
          <w:highlight w:val="none"/>
          <w14:textFill>
            <w14:solidFill>
              <w14:schemeClr w14:val="tx1"/>
            </w14:solidFill>
          </w14:textFill>
        </w:rPr>
      </w:pPr>
      <w:bookmarkStart w:id="568" w:name="_Toc1013968286"/>
      <w:bookmarkStart w:id="569" w:name="_Toc407135194"/>
      <w:bookmarkStart w:id="570" w:name="_Toc373478339"/>
      <w:bookmarkStart w:id="571" w:name="_Toc373227692"/>
      <w:bookmarkStart w:id="572" w:name="_Toc1516097295"/>
      <w:bookmarkStart w:id="573" w:name="_Toc351203633"/>
      <w:bookmarkStart w:id="574" w:name="_Toc389065258"/>
      <w:bookmarkStart w:id="575" w:name="_Toc78449780"/>
      <w:r>
        <w:rPr>
          <w:rFonts w:hint="eastAsia" w:ascii="宋体" w:hAnsi="宋体" w:eastAsia="宋体" w:cs="宋体"/>
          <w:color w:val="000000" w:themeColor="text1"/>
          <w:highlight w:val="none"/>
          <w14:textFill>
            <w14:solidFill>
              <w14:schemeClr w14:val="tx1"/>
            </w14:solidFill>
          </w14:textFill>
        </w:rPr>
        <w:t>1</w:t>
      </w:r>
      <w:bookmarkStart w:id="576" w:name="_Toc297048342"/>
      <w:bookmarkStart w:id="577" w:name="_Toc296891196"/>
      <w:bookmarkStart w:id="578" w:name="_Toc296346657"/>
      <w:bookmarkStart w:id="579" w:name="_Toc296347155"/>
      <w:bookmarkStart w:id="580" w:name="_Toc297120456"/>
      <w:bookmarkStart w:id="581" w:name="_Toc296944495"/>
      <w:bookmarkStart w:id="582" w:name="_Toc292559361"/>
      <w:bookmarkStart w:id="583" w:name="_Toc292559866"/>
      <w:bookmarkStart w:id="584" w:name="_Toc296890984"/>
      <w:bookmarkStart w:id="585" w:name="_Toc296503156"/>
      <w:r>
        <w:rPr>
          <w:rFonts w:hint="eastAsia" w:ascii="宋体" w:hAnsi="宋体" w:eastAsia="宋体" w:cs="宋体"/>
          <w:color w:val="000000" w:themeColor="text1"/>
          <w:highlight w:val="none"/>
          <w14:textFill>
            <w14:solidFill>
              <w14:schemeClr w14:val="tx1"/>
            </w14:solidFill>
          </w14:textFill>
        </w:rPr>
        <w:t>. 一般约定</w:t>
      </w:r>
      <w:bookmarkEnd w:id="568"/>
      <w:bookmarkEnd w:id="569"/>
      <w:bookmarkEnd w:id="570"/>
      <w:bookmarkEnd w:id="571"/>
      <w:bookmarkEnd w:id="572"/>
      <w:bookmarkEnd w:id="573"/>
      <w:bookmarkEnd w:id="574"/>
      <w:bookmarkEnd w:id="575"/>
    </w:p>
    <w:bookmarkEnd w:id="576"/>
    <w:bookmarkEnd w:id="577"/>
    <w:bookmarkEnd w:id="578"/>
    <w:bookmarkEnd w:id="579"/>
    <w:bookmarkEnd w:id="580"/>
    <w:bookmarkEnd w:id="581"/>
    <w:bookmarkEnd w:id="582"/>
    <w:bookmarkEnd w:id="583"/>
    <w:bookmarkEnd w:id="584"/>
    <w:bookmarkEnd w:id="585"/>
    <w:p w14:paraId="51010C9B">
      <w:pPr>
        <w:pStyle w:val="6"/>
        <w:rPr>
          <w:rFonts w:hint="eastAsia" w:ascii="宋体" w:hAnsi="宋体" w:eastAsia="宋体" w:cs="宋体"/>
          <w:color w:val="000000" w:themeColor="text1"/>
          <w:highlight w:val="none"/>
          <w14:textFill>
            <w14:solidFill>
              <w14:schemeClr w14:val="tx1"/>
            </w14:solidFill>
          </w14:textFill>
        </w:rPr>
      </w:pPr>
      <w:bookmarkStart w:id="586" w:name="_Toc373478340"/>
      <w:bookmarkStart w:id="587" w:name="_Toc389065259"/>
      <w:bookmarkStart w:id="588" w:name="_Toc407135195"/>
      <w:bookmarkStart w:id="589" w:name="_Toc78449781"/>
      <w:bookmarkStart w:id="590" w:name="_Toc1618220701"/>
      <w:bookmarkStart w:id="591" w:name="_Toc373227693"/>
      <w:bookmarkStart w:id="592" w:name="_Toc155697041"/>
      <w:r>
        <w:rPr>
          <w:rFonts w:hint="eastAsia" w:ascii="宋体" w:hAnsi="宋体" w:eastAsia="宋体" w:cs="宋体"/>
          <w:color w:val="000000" w:themeColor="text1"/>
          <w:highlight w:val="none"/>
          <w14:textFill>
            <w14:solidFill>
              <w14:schemeClr w14:val="tx1"/>
            </w14:solidFill>
          </w14:textFill>
        </w:rPr>
        <w:t>1.1 词语定义</w:t>
      </w:r>
      <w:bookmarkEnd w:id="586"/>
      <w:bookmarkEnd w:id="587"/>
      <w:bookmarkEnd w:id="588"/>
      <w:bookmarkEnd w:id="589"/>
      <w:bookmarkEnd w:id="590"/>
      <w:bookmarkEnd w:id="591"/>
      <w:bookmarkEnd w:id="592"/>
    </w:p>
    <w:p w14:paraId="0DED521E">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1.1.1 合同</w:t>
      </w:r>
    </w:p>
    <w:p w14:paraId="5DE7267E">
      <w:pPr>
        <w:pStyle w:val="3"/>
        <w:spacing w:before="157" w:line="360" w:lineRule="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1.1.1.10 其他合同文件包括：</w:t>
      </w:r>
      <w:r>
        <w:rPr>
          <w:rFonts w:hint="eastAsia" w:ascii="宋体" w:hAnsi="宋体" w:eastAsia="宋体" w:cs="宋体"/>
          <w:color w:val="000000" w:themeColor="text1"/>
          <w:spacing w:val="2"/>
          <w:sz w:val="21"/>
          <w:szCs w:val="21"/>
          <w:highlight w:val="none"/>
          <w:u w:val="single" w:color="auto"/>
          <w14:textFill>
            <w14:solidFill>
              <w14:schemeClr w14:val="tx1"/>
            </w14:solidFill>
          </w14:textFill>
        </w:rPr>
        <w:t>双方约定的与工程施工有关的具有合同约束力的文件或书</w:t>
      </w:r>
      <w:r>
        <w:rPr>
          <w:rFonts w:hint="eastAsia" w:ascii="宋体" w:hAnsi="宋体" w:eastAsia="宋体" w:cs="宋体"/>
          <w:color w:val="000000" w:themeColor="text1"/>
          <w:sz w:val="21"/>
          <w:szCs w:val="21"/>
          <w:highlight w:val="none"/>
          <w:u w:val="single" w:color="auto"/>
          <w14:textFill>
            <w14:solidFill>
              <w14:schemeClr w14:val="tx1"/>
            </w14:solidFill>
          </w14:textFill>
        </w:rPr>
        <w:t>面</w:t>
      </w:r>
      <w:r>
        <w:rPr>
          <w:rFonts w:hint="eastAsia" w:ascii="宋体" w:hAnsi="宋体" w:eastAsia="宋体" w:cs="宋体"/>
          <w:color w:val="000000" w:themeColor="text1"/>
          <w:sz w:val="21"/>
          <w:szCs w:val="21"/>
          <w:highlight w:val="none"/>
          <w:u w:val="single" w:color="auto"/>
          <w:lang w:eastAsia="zh-CN"/>
          <w14:textFill>
            <w14:solidFill>
              <w14:schemeClr w14:val="tx1"/>
            </w14:solidFill>
          </w14:textFill>
        </w:rPr>
        <w:t>协议</w:t>
      </w:r>
      <w:r>
        <w:rPr>
          <w:rFonts w:hint="eastAsia" w:ascii="宋体" w:hAnsi="宋体" w:eastAsia="宋体" w:cs="宋体"/>
          <w:color w:val="000000" w:themeColor="text1"/>
          <w:highlight w:val="none"/>
          <w14:textFill>
            <w14:solidFill>
              <w14:schemeClr w14:val="tx1"/>
            </w14:solidFill>
          </w14:textFill>
        </w:rPr>
        <w:t>。</w:t>
      </w:r>
    </w:p>
    <w:p w14:paraId="26DC4FAF">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1.1.2 合同当事人及其他相关方</w:t>
      </w:r>
    </w:p>
    <w:p w14:paraId="46B8C33B">
      <w:pPr>
        <w:spacing w:line="360" w:lineRule="auto"/>
        <w:ind w:firstLine="420" w:firstLineChars="200"/>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1.1.2.4 监理人：</w:t>
      </w:r>
    </w:p>
    <w:p w14:paraId="2C3C4654">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名    称：</w:t>
      </w:r>
      <w:r>
        <w:rPr>
          <w:rFonts w:hint="eastAsia" w:ascii="宋体" w:hAnsi="宋体" w:eastAsia="宋体" w:cs="宋体"/>
          <w:color w:val="000000" w:themeColor="text1"/>
          <w:highlight w:val="none"/>
          <w:u w:val="single"/>
          <w14:textFill>
            <w14:solidFill>
              <w14:schemeClr w14:val="tx1"/>
            </w14:solidFill>
          </w14:textFill>
        </w:rPr>
        <w:t>发包人安排并通知到位</w:t>
      </w:r>
      <w:r>
        <w:rPr>
          <w:rFonts w:ascii="宋体" w:hAnsi="宋体" w:eastAsia="宋体" w:cs="宋体"/>
          <w:color w:val="000000" w:themeColor="text1"/>
          <w:highlight w:val="none"/>
          <w14:textFill>
            <w14:solidFill>
              <w14:schemeClr w14:val="tx1"/>
            </w14:solidFill>
          </w14:textFill>
        </w:rPr>
        <w:t>(由发包人补充填写)</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7812F1C1">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资质类别和等级：</w:t>
      </w:r>
      <w:r>
        <w:rPr>
          <w:rFonts w:ascii="宋体" w:hAnsi="宋体" w:eastAsia="宋体" w:cs="宋体"/>
          <w:color w:val="000000" w:themeColor="text1"/>
          <w:highlight w:val="none"/>
          <w14:textFill>
            <w14:solidFill>
              <w14:schemeClr w14:val="tx1"/>
            </w14:solidFill>
          </w14:textFill>
        </w:rPr>
        <w:t>XXX(由发包人补充填写)</w:t>
      </w:r>
      <w:r>
        <w:rPr>
          <w:rFonts w:hint="eastAsia" w:ascii="宋体" w:hAnsi="宋体" w:eastAsia="宋体" w:cs="宋体"/>
          <w:color w:val="000000" w:themeColor="text1"/>
          <w:highlight w:val="none"/>
          <w14:textFill>
            <w14:solidFill>
              <w14:schemeClr w14:val="tx1"/>
            </w14:solidFill>
          </w14:textFill>
        </w:rPr>
        <w:t>；</w:t>
      </w:r>
    </w:p>
    <w:p w14:paraId="10D34148">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spacing w:val="13"/>
          <w:highlight w:val="none"/>
          <w:u w:val="single"/>
          <w14:textFill>
            <w14:solidFill>
              <w14:schemeClr w14:val="tx1"/>
            </w14:solidFill>
          </w14:textFill>
        </w:rPr>
        <w:t>详见监理合同</w:t>
      </w:r>
      <w:r>
        <w:rPr>
          <w:rFonts w:ascii="宋体" w:hAnsi="宋体" w:eastAsia="宋体" w:cs="宋体"/>
          <w:color w:val="000000" w:themeColor="text1"/>
          <w:highlight w:val="none"/>
          <w14:textFill>
            <w14:solidFill>
              <w14:schemeClr w14:val="tx1"/>
            </w14:solidFill>
          </w14:textFill>
        </w:rPr>
        <w:t>(由发包人补充填写)</w:t>
      </w:r>
      <w:r>
        <w:rPr>
          <w:rFonts w:hint="eastAsia" w:ascii="宋体" w:hAnsi="宋体" w:eastAsia="宋体" w:cs="宋体"/>
          <w:color w:val="000000" w:themeColor="text1"/>
          <w:highlight w:val="none"/>
          <w14:textFill>
            <w14:solidFill>
              <w14:schemeClr w14:val="tx1"/>
            </w14:solidFill>
          </w14:textFill>
        </w:rPr>
        <w:t>；</w:t>
      </w:r>
    </w:p>
    <w:p w14:paraId="4BCF7030">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电子信箱：</w:t>
      </w:r>
      <w:r>
        <w:rPr>
          <w:rFonts w:hint="eastAsia" w:ascii="宋体" w:hAnsi="宋体" w:eastAsia="宋体" w:cs="宋体"/>
          <w:color w:val="000000" w:themeColor="text1"/>
          <w:spacing w:val="13"/>
          <w:highlight w:val="none"/>
          <w:u w:val="single"/>
          <w14:textFill>
            <w14:solidFill>
              <w14:schemeClr w14:val="tx1"/>
            </w14:solidFill>
          </w14:textFill>
        </w:rPr>
        <w:t>详见监理合同</w:t>
      </w:r>
      <w:r>
        <w:rPr>
          <w:rFonts w:ascii="宋体" w:hAnsi="宋体" w:eastAsia="宋体" w:cs="宋体"/>
          <w:color w:val="000000" w:themeColor="text1"/>
          <w:highlight w:val="none"/>
          <w14:textFill>
            <w14:solidFill>
              <w14:schemeClr w14:val="tx1"/>
            </w14:solidFill>
          </w14:textFill>
        </w:rPr>
        <w:t>(由发包人补充填写)</w:t>
      </w:r>
      <w:r>
        <w:rPr>
          <w:rFonts w:hint="eastAsia" w:ascii="宋体" w:hAnsi="宋体" w:eastAsia="宋体" w:cs="宋体"/>
          <w:color w:val="000000" w:themeColor="text1"/>
          <w:highlight w:val="none"/>
          <w14:textFill>
            <w14:solidFill>
              <w14:schemeClr w14:val="tx1"/>
            </w14:solidFill>
          </w14:textFill>
        </w:rPr>
        <w:t>；</w:t>
      </w:r>
    </w:p>
    <w:p w14:paraId="3DD3376B">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通信地址：</w:t>
      </w:r>
      <w:r>
        <w:rPr>
          <w:rFonts w:hint="eastAsia" w:ascii="宋体" w:hAnsi="宋体" w:eastAsia="宋体" w:cs="宋体"/>
          <w:color w:val="000000" w:themeColor="text1"/>
          <w:spacing w:val="13"/>
          <w:highlight w:val="none"/>
          <w:u w:val="single"/>
          <w14:textFill>
            <w14:solidFill>
              <w14:schemeClr w14:val="tx1"/>
            </w14:solidFill>
          </w14:textFill>
        </w:rPr>
        <w:t>详见监理合同</w:t>
      </w:r>
      <w:r>
        <w:rPr>
          <w:rFonts w:ascii="宋体" w:hAnsi="宋体" w:eastAsia="宋体" w:cs="宋体"/>
          <w:color w:val="000000" w:themeColor="text1"/>
          <w:highlight w:val="none"/>
          <w14:textFill>
            <w14:solidFill>
              <w14:schemeClr w14:val="tx1"/>
            </w14:solidFill>
          </w14:textFill>
        </w:rPr>
        <w:t>(由发包人补充填写)</w:t>
      </w:r>
      <w:r>
        <w:rPr>
          <w:rFonts w:hint="eastAsia" w:ascii="宋体" w:hAnsi="宋体" w:eastAsia="宋体" w:cs="宋体"/>
          <w:color w:val="000000" w:themeColor="text1"/>
          <w:highlight w:val="none"/>
          <w14:textFill>
            <w14:solidFill>
              <w14:schemeClr w14:val="tx1"/>
            </w14:solidFill>
          </w14:textFill>
        </w:rPr>
        <w:t>。</w:t>
      </w:r>
    </w:p>
    <w:p w14:paraId="76D22ECE">
      <w:pPr>
        <w:spacing w:line="360" w:lineRule="auto"/>
        <w:ind w:firstLine="420" w:firstLineChars="200"/>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1.1.2.5 设计人：</w:t>
      </w:r>
    </w:p>
    <w:p w14:paraId="10DB1A7E">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名    称：</w:t>
      </w:r>
      <w:r>
        <w:rPr>
          <w:rFonts w:hint="eastAsia" w:ascii="宋体" w:hAnsi="宋体" w:eastAsia="宋体" w:cs="宋体"/>
          <w:color w:val="000000" w:themeColor="text1"/>
          <w:highlight w:val="none"/>
          <w:u w:val="single"/>
          <w14:textFill>
            <w14:solidFill>
              <w14:schemeClr w14:val="tx1"/>
            </w14:solidFill>
          </w14:textFill>
        </w:rPr>
        <w:t xml:space="preserve"> 发包人安排并通知到位</w:t>
      </w:r>
      <w:r>
        <w:rPr>
          <w:rFonts w:ascii="宋体" w:hAnsi="宋体" w:eastAsia="宋体" w:cs="宋体"/>
          <w:color w:val="000000" w:themeColor="text1"/>
          <w:highlight w:val="none"/>
          <w14:textFill>
            <w14:solidFill>
              <w14:schemeClr w14:val="tx1"/>
            </w14:solidFill>
          </w14:textFill>
        </w:rPr>
        <w:t>(由发包人补充填写)</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50CA6406">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资质类别和等级：</w:t>
      </w:r>
      <w:r>
        <w:rPr>
          <w:rFonts w:hint="eastAsia" w:ascii="宋体" w:hAnsi="宋体" w:eastAsia="宋体" w:cs="宋体"/>
          <w:color w:val="000000" w:themeColor="text1"/>
          <w:spacing w:val="37"/>
          <w:highlight w:val="none"/>
          <w:u w:val="single"/>
          <w14:textFill>
            <w14:solidFill>
              <w14:schemeClr w14:val="tx1"/>
            </w14:solidFill>
          </w14:textFill>
        </w:rPr>
        <w:t>详见设计合同</w:t>
      </w:r>
      <w:r>
        <w:rPr>
          <w:rFonts w:ascii="宋体" w:hAnsi="宋体" w:eastAsia="宋体" w:cs="宋体"/>
          <w:color w:val="000000" w:themeColor="text1"/>
          <w:highlight w:val="none"/>
          <w14:textFill>
            <w14:solidFill>
              <w14:schemeClr w14:val="tx1"/>
            </w14:solidFill>
          </w14:textFill>
        </w:rPr>
        <w:t>(由发包人补充填写)</w:t>
      </w:r>
      <w:r>
        <w:rPr>
          <w:rFonts w:hint="eastAsia" w:ascii="宋体" w:hAnsi="宋体" w:eastAsia="宋体" w:cs="宋体"/>
          <w:color w:val="000000" w:themeColor="text1"/>
          <w:highlight w:val="none"/>
          <w14:textFill>
            <w14:solidFill>
              <w14:schemeClr w14:val="tx1"/>
            </w14:solidFill>
          </w14:textFill>
        </w:rPr>
        <w:t>；</w:t>
      </w:r>
    </w:p>
    <w:p w14:paraId="71ED8F2D">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spacing w:val="37"/>
          <w:highlight w:val="none"/>
          <w:u w:val="single"/>
          <w14:textFill>
            <w14:solidFill>
              <w14:schemeClr w14:val="tx1"/>
            </w14:solidFill>
          </w14:textFill>
        </w:rPr>
        <w:t>详见设计合同</w:t>
      </w:r>
      <w:r>
        <w:rPr>
          <w:rFonts w:ascii="宋体" w:hAnsi="宋体" w:eastAsia="宋体" w:cs="宋体"/>
          <w:color w:val="000000" w:themeColor="text1"/>
          <w:highlight w:val="none"/>
          <w14:textFill>
            <w14:solidFill>
              <w14:schemeClr w14:val="tx1"/>
            </w14:solidFill>
          </w14:textFill>
        </w:rPr>
        <w:t>(由发包人补充填写)</w:t>
      </w:r>
      <w:r>
        <w:rPr>
          <w:rFonts w:hint="eastAsia" w:ascii="宋体" w:hAnsi="宋体" w:eastAsia="宋体" w:cs="宋体"/>
          <w:color w:val="000000" w:themeColor="text1"/>
          <w:highlight w:val="none"/>
          <w14:textFill>
            <w14:solidFill>
              <w14:schemeClr w14:val="tx1"/>
            </w14:solidFill>
          </w14:textFill>
        </w:rPr>
        <w:t>；</w:t>
      </w:r>
    </w:p>
    <w:p w14:paraId="061B3142">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电子信箱：</w:t>
      </w:r>
      <w:r>
        <w:rPr>
          <w:rFonts w:hint="eastAsia" w:ascii="宋体" w:hAnsi="宋体" w:eastAsia="宋体" w:cs="宋体"/>
          <w:color w:val="000000" w:themeColor="text1"/>
          <w:spacing w:val="37"/>
          <w:highlight w:val="none"/>
          <w:u w:val="single"/>
          <w14:textFill>
            <w14:solidFill>
              <w14:schemeClr w14:val="tx1"/>
            </w14:solidFill>
          </w14:textFill>
        </w:rPr>
        <w:t>详见设计合同</w:t>
      </w:r>
      <w:r>
        <w:rPr>
          <w:rFonts w:ascii="宋体" w:hAnsi="宋体" w:eastAsia="宋体" w:cs="宋体"/>
          <w:color w:val="000000" w:themeColor="text1"/>
          <w:highlight w:val="none"/>
          <w14:textFill>
            <w14:solidFill>
              <w14:schemeClr w14:val="tx1"/>
            </w14:solidFill>
          </w14:textFill>
        </w:rPr>
        <w:t>(由发包人补充填写)</w:t>
      </w:r>
      <w:r>
        <w:rPr>
          <w:rFonts w:hint="eastAsia" w:ascii="宋体" w:hAnsi="宋体" w:eastAsia="宋体" w:cs="宋体"/>
          <w:color w:val="000000" w:themeColor="text1"/>
          <w:highlight w:val="none"/>
          <w14:textFill>
            <w14:solidFill>
              <w14:schemeClr w14:val="tx1"/>
            </w14:solidFill>
          </w14:textFill>
        </w:rPr>
        <w:t>；</w:t>
      </w:r>
    </w:p>
    <w:p w14:paraId="5809426B">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通信地址：</w:t>
      </w:r>
      <w:r>
        <w:rPr>
          <w:rFonts w:hint="eastAsia" w:ascii="宋体" w:hAnsi="宋体" w:eastAsia="宋体" w:cs="宋体"/>
          <w:color w:val="000000" w:themeColor="text1"/>
          <w:spacing w:val="37"/>
          <w:highlight w:val="none"/>
          <w:u w:val="single"/>
          <w14:textFill>
            <w14:solidFill>
              <w14:schemeClr w14:val="tx1"/>
            </w14:solidFill>
          </w14:textFill>
        </w:rPr>
        <w:t>详见设计合同</w:t>
      </w:r>
      <w:r>
        <w:rPr>
          <w:rFonts w:ascii="宋体" w:hAnsi="宋体" w:eastAsia="宋体" w:cs="宋体"/>
          <w:color w:val="000000" w:themeColor="text1"/>
          <w:highlight w:val="none"/>
          <w14:textFill>
            <w14:solidFill>
              <w14:schemeClr w14:val="tx1"/>
            </w14:solidFill>
          </w14:textFill>
        </w:rPr>
        <w:t>(由发包人补充填写)</w:t>
      </w:r>
      <w:r>
        <w:rPr>
          <w:rFonts w:hint="eastAsia" w:ascii="宋体" w:hAnsi="宋体" w:eastAsia="宋体" w:cs="宋体"/>
          <w:color w:val="000000" w:themeColor="text1"/>
          <w:highlight w:val="none"/>
          <w14:textFill>
            <w14:solidFill>
              <w14:schemeClr w14:val="tx1"/>
            </w14:solidFill>
          </w14:textFill>
        </w:rPr>
        <w:t>。</w:t>
      </w:r>
    </w:p>
    <w:p w14:paraId="73579A05">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1.1.3 工程和设备</w:t>
      </w:r>
    </w:p>
    <w:p w14:paraId="70F0477D">
      <w:pPr>
        <w:spacing w:line="360" w:lineRule="auto"/>
        <w:ind w:firstLine="420" w:firstLineChars="200"/>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1.1.3.7 作为施工现场组成部分的其他场所包括：</w:t>
      </w:r>
      <w:r>
        <w:rPr>
          <w:rFonts w:hint="eastAsia" w:ascii="宋体" w:hAnsi="宋体" w:eastAsia="宋体" w:cs="宋体"/>
          <w:color w:val="000000" w:themeColor="text1"/>
          <w:highlight w:val="none"/>
          <w:u w:val="single"/>
          <w:lang w:val="en-US" w:eastAsia="zh-CN"/>
          <w14:textFill>
            <w14:solidFill>
              <w14:schemeClr w14:val="tx1"/>
            </w14:solidFill>
          </w14:textFill>
        </w:rPr>
        <w:t>指用于合同工程施工的场所，以及在合同中指定作为施工场地组成部分的其他场所，包括永久占地和临时占地</w:t>
      </w:r>
      <w:r>
        <w:rPr>
          <w:rFonts w:hint="eastAsia" w:ascii="宋体" w:hAnsi="宋体" w:eastAsia="宋体" w:cs="宋体"/>
          <w:color w:val="000000" w:themeColor="text1"/>
          <w:highlight w:val="none"/>
          <w14:textFill>
            <w14:solidFill>
              <w14:schemeClr w14:val="tx1"/>
            </w14:solidFill>
          </w14:textFill>
        </w:rPr>
        <w:t>。</w:t>
      </w:r>
    </w:p>
    <w:p w14:paraId="73A415E5">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1.1.3.9 永久占地包括：</w:t>
      </w:r>
      <w:r>
        <w:rPr>
          <w:rFonts w:hint="eastAsia" w:ascii="宋体" w:hAnsi="宋体" w:eastAsia="宋体" w:cs="宋体"/>
          <w:color w:val="000000" w:themeColor="text1"/>
          <w:kern w:val="0"/>
          <w:highlight w:val="none"/>
          <w:u w:val="single"/>
          <w14:textFill>
            <w14:solidFill>
              <w14:schemeClr w14:val="tx1"/>
            </w14:solidFill>
          </w14:textFill>
        </w:rPr>
        <w:t>依据选址图、设计图纸或其他文件规定的范围</w:t>
      </w:r>
      <w:r>
        <w:rPr>
          <w:rFonts w:hint="eastAsia" w:ascii="宋体" w:hAnsi="宋体" w:eastAsia="宋体" w:cs="宋体"/>
          <w:color w:val="000000" w:themeColor="text1"/>
          <w:kern w:val="0"/>
          <w:highlight w:val="none"/>
          <w14:textFill>
            <w14:solidFill>
              <w14:schemeClr w14:val="tx1"/>
            </w14:solidFill>
          </w14:textFill>
        </w:rPr>
        <w:t>。</w:t>
      </w:r>
    </w:p>
    <w:p w14:paraId="3FF79936">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1.1.3.10 临时占地包括：</w:t>
      </w:r>
      <w:r>
        <w:rPr>
          <w:rFonts w:hint="eastAsia" w:ascii="宋体" w:hAnsi="宋体" w:eastAsia="宋体" w:cs="宋体"/>
          <w:color w:val="000000" w:themeColor="text1"/>
          <w:kern w:val="0"/>
          <w:highlight w:val="none"/>
          <w:u w:val="single"/>
          <w14:textFill>
            <w14:solidFill>
              <w14:schemeClr w14:val="tx1"/>
            </w14:solidFill>
          </w14:textFill>
        </w:rPr>
        <w:t>根据施工现场双方约定</w:t>
      </w:r>
      <w:r>
        <w:rPr>
          <w:rFonts w:hint="eastAsia" w:ascii="宋体" w:hAnsi="宋体" w:eastAsia="宋体" w:cs="宋体"/>
          <w:color w:val="000000" w:themeColor="text1"/>
          <w:kern w:val="0"/>
          <w:highlight w:val="none"/>
          <w14:textFill>
            <w14:solidFill>
              <w14:schemeClr w14:val="tx1"/>
            </w14:solidFill>
          </w14:textFill>
        </w:rPr>
        <w:t>。</w:t>
      </w:r>
    </w:p>
    <w:p w14:paraId="0377F0F8">
      <w:pPr>
        <w:pStyle w:val="6"/>
        <w:rPr>
          <w:rFonts w:hint="eastAsia" w:ascii="宋体" w:hAnsi="宋体" w:eastAsia="宋体" w:cs="宋体"/>
          <w:color w:val="000000" w:themeColor="text1"/>
          <w:highlight w:val="none"/>
          <w14:textFill>
            <w14:solidFill>
              <w14:schemeClr w14:val="tx1"/>
            </w14:solidFill>
          </w14:textFill>
        </w:rPr>
      </w:pPr>
      <w:bookmarkStart w:id="593" w:name="_Toc373227694"/>
      <w:bookmarkStart w:id="594" w:name="_Toc1182598796"/>
      <w:bookmarkStart w:id="595" w:name="_Toc389065260"/>
      <w:bookmarkStart w:id="596" w:name="_Toc407135196"/>
      <w:bookmarkStart w:id="597" w:name="_Toc78449782"/>
      <w:bookmarkStart w:id="598" w:name="_Toc373478341"/>
      <w:bookmarkStart w:id="599" w:name="_Toc1162259329"/>
      <w:r>
        <w:rPr>
          <w:rFonts w:hint="eastAsia" w:ascii="宋体" w:hAnsi="宋体" w:eastAsia="宋体" w:cs="宋体"/>
          <w:color w:val="000000" w:themeColor="text1"/>
          <w:highlight w:val="none"/>
          <w14:textFill>
            <w14:solidFill>
              <w14:schemeClr w14:val="tx1"/>
            </w14:solidFill>
          </w14:textFill>
        </w:rPr>
        <w:t>1.3 法律</w:t>
      </w:r>
      <w:bookmarkEnd w:id="593"/>
      <w:bookmarkEnd w:id="594"/>
      <w:bookmarkEnd w:id="595"/>
      <w:bookmarkEnd w:id="596"/>
      <w:bookmarkEnd w:id="597"/>
      <w:bookmarkEnd w:id="598"/>
      <w:bookmarkEnd w:id="599"/>
    </w:p>
    <w:p w14:paraId="6E8D965A">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适用于合同的其他规范性文件：</w:t>
      </w:r>
      <w:r>
        <w:rPr>
          <w:rFonts w:hint="eastAsia" w:ascii="宋体" w:hAnsi="宋体" w:eastAsia="宋体" w:cs="宋体"/>
          <w:color w:val="000000" w:themeColor="text1"/>
          <w:highlight w:val="none"/>
          <w:u w:val="single"/>
          <w14:textFill>
            <w14:solidFill>
              <w14:schemeClr w14:val="tx1"/>
            </w14:solidFill>
          </w14:textFill>
        </w:rPr>
        <w:t>适用于合同的其他规范性文件： 《建筑法》、《招投标法》、《民法典》、《建筑工程质量管理条例》、本地区的行业标准或规范等</w:t>
      </w:r>
      <w:r>
        <w:rPr>
          <w:rFonts w:hint="eastAsia" w:ascii="宋体" w:hAnsi="宋体" w:eastAsia="宋体" w:cs="宋体"/>
          <w:color w:val="000000" w:themeColor="text1"/>
          <w:highlight w:val="none"/>
          <w14:textFill>
            <w14:solidFill>
              <w14:schemeClr w14:val="tx1"/>
            </w14:solidFill>
          </w14:textFill>
        </w:rPr>
        <w:t>。</w:t>
      </w:r>
    </w:p>
    <w:p w14:paraId="233BD1CE">
      <w:pPr>
        <w:pStyle w:val="6"/>
        <w:rPr>
          <w:rFonts w:hint="eastAsia" w:ascii="宋体" w:hAnsi="宋体" w:eastAsia="宋体" w:cs="宋体"/>
          <w:color w:val="000000" w:themeColor="text1"/>
          <w:highlight w:val="none"/>
          <w14:textFill>
            <w14:solidFill>
              <w14:schemeClr w14:val="tx1"/>
            </w14:solidFill>
          </w14:textFill>
        </w:rPr>
      </w:pPr>
      <w:bookmarkStart w:id="600" w:name="_Toc407135197"/>
      <w:bookmarkStart w:id="601" w:name="_Toc1569433547"/>
      <w:bookmarkStart w:id="602" w:name="_Toc373227695"/>
      <w:bookmarkStart w:id="603" w:name="_Toc1694357896"/>
      <w:bookmarkStart w:id="604" w:name="_Toc373478342"/>
      <w:bookmarkStart w:id="605" w:name="_Toc389065261"/>
      <w:bookmarkStart w:id="606" w:name="_Toc78449783"/>
      <w:r>
        <w:rPr>
          <w:rFonts w:hint="eastAsia" w:ascii="宋体" w:hAnsi="宋体" w:eastAsia="宋体" w:cs="宋体"/>
          <w:color w:val="000000" w:themeColor="text1"/>
          <w:highlight w:val="none"/>
          <w14:textFill>
            <w14:solidFill>
              <w14:schemeClr w14:val="tx1"/>
            </w14:solidFill>
          </w14:textFill>
        </w:rPr>
        <w:t>1.4 标准和规范</w:t>
      </w:r>
      <w:bookmarkEnd w:id="600"/>
      <w:bookmarkEnd w:id="601"/>
      <w:bookmarkEnd w:id="602"/>
      <w:bookmarkEnd w:id="603"/>
      <w:bookmarkEnd w:id="604"/>
      <w:bookmarkEnd w:id="605"/>
      <w:bookmarkEnd w:id="606"/>
    </w:p>
    <w:p w14:paraId="76C1CBD5">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1.4.1 适用于工程的标准规范包括：</w:t>
      </w:r>
      <w:r>
        <w:rPr>
          <w:rFonts w:hint="eastAsia" w:ascii="宋体" w:hAnsi="宋体" w:eastAsia="宋体" w:cs="宋体"/>
          <w:color w:val="000000" w:themeColor="text1"/>
          <w:highlight w:val="none"/>
          <w:u w:val="single"/>
          <w14:textFill>
            <w14:solidFill>
              <w14:schemeClr w14:val="tx1"/>
            </w14:solidFill>
          </w14:textFill>
        </w:rPr>
        <w:t>《建筑工程施工质理验收统一标准》、《建筑工程管理条例》等与本工程施工、验收相关的规范</w:t>
      </w:r>
      <w:r>
        <w:rPr>
          <w:rFonts w:hint="eastAsia" w:ascii="宋体" w:hAnsi="宋体" w:eastAsia="宋体" w:cs="宋体"/>
          <w:color w:val="000000" w:themeColor="text1"/>
          <w:highlight w:val="none"/>
          <w14:textFill>
            <w14:solidFill>
              <w14:schemeClr w14:val="tx1"/>
            </w14:solidFill>
          </w14:textFill>
        </w:rPr>
        <w:t>。</w:t>
      </w:r>
    </w:p>
    <w:p w14:paraId="58D5D006">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1.4.2 发包人提供国外标准、规范的名称：</w:t>
      </w:r>
      <w:r>
        <w:rPr>
          <w:rFonts w:hint="eastAsia" w:ascii="宋体" w:hAnsi="宋体" w:eastAsia="宋体" w:cs="宋体"/>
          <w:color w:val="000000" w:themeColor="text1"/>
          <w:highlight w:val="none"/>
          <w:u w:val="single"/>
          <w:lang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p w14:paraId="57ADCBDD">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发包人提供国外标准、规范的份数：</w:t>
      </w:r>
      <w:r>
        <w:rPr>
          <w:rFonts w:hint="eastAsia" w:ascii="宋体" w:hAnsi="宋体" w:eastAsia="宋体" w:cs="宋体"/>
          <w:color w:val="000000" w:themeColor="text1"/>
          <w:kern w:val="0"/>
          <w:highlight w:val="none"/>
          <w:u w:val="single"/>
          <w:lang w:eastAsia="zh-CN"/>
          <w14:textFill>
            <w14:solidFill>
              <w14:schemeClr w14:val="tx1"/>
            </w14:solidFill>
          </w14:textFill>
        </w:rPr>
        <w:t>无</w:t>
      </w:r>
      <w:r>
        <w:rPr>
          <w:rFonts w:hint="eastAsia" w:ascii="宋体" w:hAnsi="宋体" w:eastAsia="宋体" w:cs="宋体"/>
          <w:color w:val="000000" w:themeColor="text1"/>
          <w:kern w:val="0"/>
          <w:highlight w:val="none"/>
          <w14:textFill>
            <w14:solidFill>
              <w14:schemeClr w14:val="tx1"/>
            </w14:solidFill>
          </w14:textFill>
        </w:rPr>
        <w:t>；</w:t>
      </w:r>
    </w:p>
    <w:p w14:paraId="43650652">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发包人提供国外标准、规范的名称：</w:t>
      </w:r>
      <w:r>
        <w:rPr>
          <w:rFonts w:hint="eastAsia" w:ascii="宋体" w:hAnsi="宋体" w:eastAsia="宋体" w:cs="宋体"/>
          <w:color w:val="000000" w:themeColor="text1"/>
          <w:kern w:val="0"/>
          <w:highlight w:val="none"/>
          <w:u w:val="single"/>
          <w:lang w:eastAsia="zh-CN"/>
          <w14:textFill>
            <w14:solidFill>
              <w14:schemeClr w14:val="tx1"/>
            </w14:solidFill>
          </w14:textFill>
        </w:rPr>
        <w:t>无</w:t>
      </w:r>
      <w:r>
        <w:rPr>
          <w:rFonts w:hint="eastAsia" w:ascii="宋体" w:hAnsi="宋体" w:eastAsia="宋体" w:cs="宋体"/>
          <w:color w:val="000000" w:themeColor="text1"/>
          <w:kern w:val="0"/>
          <w:highlight w:val="none"/>
          <w14:textFill>
            <w14:solidFill>
              <w14:schemeClr w14:val="tx1"/>
            </w14:solidFill>
          </w14:textFill>
        </w:rPr>
        <w:t>。</w:t>
      </w:r>
    </w:p>
    <w:p w14:paraId="20DD909D">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1.4.3 发包人对工程的技术标准和功能要求的特殊要求： </w:t>
      </w:r>
      <w:r>
        <w:rPr>
          <w:rFonts w:hint="eastAsia" w:ascii="宋体" w:hAnsi="宋体" w:eastAsia="宋体" w:cs="宋体"/>
          <w:color w:val="000000" w:themeColor="text1"/>
          <w:highlight w:val="none"/>
          <w:u w:val="single"/>
          <w14:textFill>
            <w14:solidFill>
              <w14:schemeClr w14:val="tx1"/>
            </w14:solidFill>
          </w14:textFill>
        </w:rPr>
        <w:t>施工图纸、涉及本工程的施工及验收规范等</w:t>
      </w:r>
      <w:r>
        <w:rPr>
          <w:rFonts w:hint="eastAsia" w:ascii="宋体" w:hAnsi="宋体" w:eastAsia="宋体" w:cs="宋体"/>
          <w:color w:val="000000" w:themeColor="text1"/>
          <w:highlight w:val="none"/>
          <w14:textFill>
            <w14:solidFill>
              <w14:schemeClr w14:val="tx1"/>
            </w14:solidFill>
          </w14:textFill>
        </w:rPr>
        <w:t>。</w:t>
      </w:r>
    </w:p>
    <w:p w14:paraId="7CB0E1AE">
      <w:pPr>
        <w:pStyle w:val="6"/>
        <w:rPr>
          <w:rFonts w:hint="eastAsia" w:ascii="宋体" w:hAnsi="宋体" w:eastAsia="宋体" w:cs="宋体"/>
          <w:color w:val="000000" w:themeColor="text1"/>
          <w:highlight w:val="none"/>
          <w14:textFill>
            <w14:solidFill>
              <w14:schemeClr w14:val="tx1"/>
            </w14:solidFill>
          </w14:textFill>
        </w:rPr>
      </w:pPr>
      <w:bookmarkStart w:id="607" w:name="_Toc188277238"/>
      <w:bookmarkStart w:id="608" w:name="_Toc78449784"/>
      <w:bookmarkStart w:id="609" w:name="_Toc24431861"/>
      <w:bookmarkStart w:id="610" w:name="_Toc407135198"/>
      <w:bookmarkStart w:id="611" w:name="_Toc389065262"/>
      <w:bookmarkStart w:id="612" w:name="_Toc373478343"/>
      <w:bookmarkStart w:id="613" w:name="_Toc373227696"/>
      <w:r>
        <w:rPr>
          <w:rFonts w:hint="eastAsia" w:ascii="宋体" w:hAnsi="宋体" w:eastAsia="宋体" w:cs="宋体"/>
          <w:color w:val="000000" w:themeColor="text1"/>
          <w:highlight w:val="none"/>
          <w14:textFill>
            <w14:solidFill>
              <w14:schemeClr w14:val="tx1"/>
            </w14:solidFill>
          </w14:textFill>
        </w:rPr>
        <w:t>1.5 合同文件的优先顺序</w:t>
      </w:r>
      <w:bookmarkEnd w:id="607"/>
      <w:bookmarkEnd w:id="608"/>
      <w:bookmarkEnd w:id="609"/>
      <w:bookmarkEnd w:id="610"/>
      <w:bookmarkEnd w:id="611"/>
      <w:bookmarkEnd w:id="612"/>
      <w:bookmarkEnd w:id="613"/>
    </w:p>
    <w:p w14:paraId="591838CC">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kern w:val="0"/>
          <w:highlight w:val="none"/>
          <w:lang w:val="en-US" w:eastAsia="zh-CN"/>
          <w14:textFill>
            <w14:solidFill>
              <w14:schemeClr w14:val="tx1"/>
            </w14:solidFill>
          </w14:textFill>
        </w:rPr>
        <w:t>1</w:t>
      </w:r>
      <w:r>
        <w:rPr>
          <w:rFonts w:hint="eastAsia" w:ascii="宋体" w:hAnsi="宋体" w:eastAsia="宋体" w:cs="宋体"/>
          <w:color w:val="000000" w:themeColor="text1"/>
          <w:kern w:val="0"/>
          <w:highlight w:val="none"/>
          <w14:textFill>
            <w14:solidFill>
              <w14:schemeClr w14:val="tx1"/>
            </w14:solidFill>
          </w14:textFill>
        </w:rPr>
        <w:t>）合同协议书；</w:t>
      </w:r>
    </w:p>
    <w:p w14:paraId="15C1F37C">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bookmarkStart w:id="614" w:name="bookmark916"/>
      <w:bookmarkEnd w:id="614"/>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kern w:val="0"/>
          <w:highlight w:val="none"/>
          <w:lang w:val="en-US" w:eastAsia="zh-CN"/>
          <w14:textFill>
            <w14:solidFill>
              <w14:schemeClr w14:val="tx1"/>
            </w14:solidFill>
          </w14:textFill>
        </w:rPr>
        <w:t>2</w:t>
      </w:r>
      <w:r>
        <w:rPr>
          <w:rFonts w:hint="eastAsia" w:ascii="宋体" w:hAnsi="宋体" w:eastAsia="宋体" w:cs="宋体"/>
          <w:color w:val="000000" w:themeColor="text1"/>
          <w:kern w:val="0"/>
          <w:highlight w:val="none"/>
          <w14:textFill>
            <w14:solidFill>
              <w14:schemeClr w14:val="tx1"/>
            </w14:solidFill>
          </w14:textFill>
        </w:rPr>
        <w:t>）专用合同条款；</w:t>
      </w:r>
    </w:p>
    <w:p w14:paraId="3B853752">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bookmarkStart w:id="615" w:name="bookmark917"/>
      <w:bookmarkEnd w:id="615"/>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kern w:val="0"/>
          <w:highlight w:val="none"/>
          <w:lang w:val="en-US" w:eastAsia="zh-CN"/>
          <w14:textFill>
            <w14:solidFill>
              <w14:schemeClr w14:val="tx1"/>
            </w14:solidFill>
          </w14:textFill>
        </w:rPr>
        <w:t>3</w:t>
      </w:r>
      <w:r>
        <w:rPr>
          <w:rFonts w:hint="eastAsia" w:ascii="宋体" w:hAnsi="宋体" w:eastAsia="宋体" w:cs="宋体"/>
          <w:color w:val="000000" w:themeColor="text1"/>
          <w:kern w:val="0"/>
          <w:highlight w:val="none"/>
          <w14:textFill>
            <w14:solidFill>
              <w14:schemeClr w14:val="tx1"/>
            </w14:solidFill>
          </w14:textFill>
        </w:rPr>
        <w:t>）通用合同条款；</w:t>
      </w:r>
    </w:p>
    <w:p w14:paraId="64F3BA49">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bookmarkStart w:id="616" w:name="bookmark918"/>
      <w:bookmarkEnd w:id="616"/>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kern w:val="0"/>
          <w:highlight w:val="none"/>
          <w:lang w:val="en-US" w:eastAsia="zh-CN"/>
          <w14:textFill>
            <w14:solidFill>
              <w14:schemeClr w14:val="tx1"/>
            </w14:solidFill>
          </w14:textFill>
        </w:rPr>
        <w:t>4</w:t>
      </w:r>
      <w:r>
        <w:rPr>
          <w:rFonts w:hint="eastAsia" w:ascii="宋体" w:hAnsi="宋体" w:eastAsia="宋体" w:cs="宋体"/>
          <w:color w:val="000000" w:themeColor="text1"/>
          <w:kern w:val="0"/>
          <w:highlight w:val="none"/>
          <w14:textFill>
            <w14:solidFill>
              <w14:schemeClr w14:val="tx1"/>
            </w14:solidFill>
          </w14:textFill>
        </w:rPr>
        <w:t>）技术标准和要求；</w:t>
      </w:r>
    </w:p>
    <w:p w14:paraId="3FFAAFA5">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bookmarkStart w:id="617" w:name="bookmark919"/>
      <w:bookmarkEnd w:id="617"/>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kern w:val="0"/>
          <w:highlight w:val="none"/>
          <w:lang w:val="en-US" w:eastAsia="zh-CN"/>
          <w14:textFill>
            <w14:solidFill>
              <w14:schemeClr w14:val="tx1"/>
            </w14:solidFill>
          </w14:textFill>
        </w:rPr>
        <w:t>5</w:t>
      </w:r>
      <w:r>
        <w:rPr>
          <w:rFonts w:hint="eastAsia" w:ascii="宋体" w:hAnsi="宋体" w:eastAsia="宋体" w:cs="宋体"/>
          <w:color w:val="000000" w:themeColor="text1"/>
          <w:kern w:val="0"/>
          <w:highlight w:val="none"/>
          <w14:textFill>
            <w14:solidFill>
              <w14:schemeClr w14:val="tx1"/>
            </w14:solidFill>
          </w14:textFill>
        </w:rPr>
        <w:t>）已标价工程量清单；</w:t>
      </w:r>
    </w:p>
    <w:p w14:paraId="72C95B80">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bookmarkStart w:id="618" w:name="bookmark920"/>
      <w:bookmarkEnd w:id="618"/>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kern w:val="0"/>
          <w:highlight w:val="none"/>
          <w:lang w:val="en-US" w:eastAsia="zh-CN"/>
          <w14:textFill>
            <w14:solidFill>
              <w14:schemeClr w14:val="tx1"/>
            </w14:solidFill>
          </w14:textFill>
        </w:rPr>
        <w:t>6</w:t>
      </w:r>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kern w:val="0"/>
          <w:highlight w:val="none"/>
          <w:lang w:eastAsia="zh-CN"/>
          <w14:textFill>
            <w14:solidFill>
              <w14:schemeClr w14:val="tx1"/>
            </w14:solidFill>
          </w14:textFill>
        </w:rPr>
        <w:t>图纸</w:t>
      </w:r>
      <w:r>
        <w:rPr>
          <w:rFonts w:hint="eastAsia" w:ascii="宋体" w:hAnsi="宋体" w:eastAsia="宋体" w:cs="宋体"/>
          <w:color w:val="000000" w:themeColor="text1"/>
          <w:kern w:val="0"/>
          <w:highlight w:val="none"/>
          <w14:textFill>
            <w14:solidFill>
              <w14:schemeClr w14:val="tx1"/>
            </w14:solidFill>
          </w14:textFill>
        </w:rPr>
        <w:t>；</w:t>
      </w:r>
    </w:p>
    <w:p w14:paraId="6D6D042C">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bookmarkStart w:id="619" w:name="bookmark921"/>
      <w:bookmarkEnd w:id="619"/>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kern w:val="0"/>
          <w:highlight w:val="none"/>
          <w:lang w:val="en-US" w:eastAsia="zh-CN"/>
          <w14:textFill>
            <w14:solidFill>
              <w14:schemeClr w14:val="tx1"/>
            </w14:solidFill>
          </w14:textFill>
        </w:rPr>
        <w:t>7</w:t>
      </w:r>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kern w:val="0"/>
          <w:highlight w:val="none"/>
          <w:u w:val="none"/>
          <w14:textFill>
            <w14:solidFill>
              <w14:schemeClr w14:val="tx1"/>
            </w14:solidFill>
          </w14:textFill>
        </w:rPr>
        <w:t>其他合同文件</w:t>
      </w:r>
      <w:r>
        <w:rPr>
          <w:rFonts w:hint="eastAsia" w:ascii="宋体" w:hAnsi="宋体" w:eastAsia="宋体" w:cs="宋体"/>
          <w:color w:val="000000" w:themeColor="text1"/>
          <w:kern w:val="0"/>
          <w:highlight w:val="none"/>
          <w14:textFill>
            <w14:solidFill>
              <w14:schemeClr w14:val="tx1"/>
            </w14:solidFill>
          </w14:textFill>
        </w:rPr>
        <w:t>；</w:t>
      </w:r>
    </w:p>
    <w:p w14:paraId="1650257B">
      <w:pPr>
        <w:autoSpaceDE/>
        <w:autoSpaceDN/>
        <w:adjustRightInd/>
        <w:spacing w:line="360" w:lineRule="auto"/>
        <w:ind w:firstLine="420" w:firstLineChars="200"/>
        <w:jc w:val="left"/>
        <w:rPr>
          <w:rFonts w:hint="eastAsia" w:ascii="宋体" w:hAnsi="宋体" w:eastAsia="宋体" w:cs="宋体"/>
          <w:color w:val="000000" w:themeColor="text1"/>
          <w:kern w:val="0"/>
          <w:highlight w:val="none"/>
          <w:u w:val="none"/>
          <w14:textFill>
            <w14:solidFill>
              <w14:schemeClr w14:val="tx1"/>
            </w14:solidFill>
          </w14:textFill>
        </w:rPr>
      </w:pPr>
      <w:bookmarkStart w:id="620" w:name="bookmark922"/>
      <w:bookmarkEnd w:id="620"/>
      <w:r>
        <w:rPr>
          <w:rFonts w:hint="eastAsia" w:ascii="宋体" w:hAnsi="宋体" w:eastAsia="宋体" w:cs="宋体"/>
          <w:color w:val="000000" w:themeColor="text1"/>
          <w:kern w:val="0"/>
          <w:highlight w:val="none"/>
          <w:u w:val="none"/>
          <w:lang w:val="en-US" w:eastAsia="zh-CN"/>
          <w14:textFill>
            <w14:solidFill>
              <w14:schemeClr w14:val="tx1"/>
            </w14:solidFill>
          </w14:textFill>
        </w:rPr>
        <w:t>（8）《建设工程工程量清单计价规范（GB5050-2013）》及其广西实施细则及《关于建筑业实施营业税改征增值税后广西壮族自治区建设工程计价依据调整的通知》（桂建标〔2016〕17 号）、《建设工程工程量清单计算规范（GB5854~50862-2013）》及其广西实施细则（修订本） (适用于实行工程量清单计价的项目) ；</w:t>
      </w:r>
    </w:p>
    <w:p w14:paraId="73A65129">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上述各项合同文件包括合同当事人就该项合同文件所作出的补充和修改，属于同一类内容的文件，应以最新签署的为准（违反</w:t>
      </w:r>
      <w:r>
        <w:rPr>
          <w:rFonts w:hint="eastAsia" w:ascii="宋体" w:hAnsi="宋体" w:eastAsia="宋体" w:cs="宋体"/>
          <w:color w:val="000000" w:themeColor="text1"/>
          <w:kern w:val="0"/>
          <w:highlight w:val="none"/>
          <w:lang w:eastAsia="zh-CN"/>
          <w14:textFill>
            <w14:solidFill>
              <w14:schemeClr w14:val="tx1"/>
            </w14:solidFill>
          </w14:textFill>
        </w:rPr>
        <w:t>采购文件</w:t>
      </w:r>
      <w:r>
        <w:rPr>
          <w:rFonts w:hint="eastAsia" w:ascii="宋体" w:hAnsi="宋体" w:eastAsia="宋体" w:cs="宋体"/>
          <w:color w:val="000000" w:themeColor="text1"/>
          <w:kern w:val="0"/>
          <w:highlight w:val="none"/>
          <w14:textFill>
            <w14:solidFill>
              <w14:schemeClr w14:val="tx1"/>
            </w14:solidFill>
          </w14:textFill>
        </w:rPr>
        <w:t>实质性内容的约定除外）。专用合同条款及其附件须经合同当事人签字或盖章。</w:t>
      </w:r>
    </w:p>
    <w:p w14:paraId="1C352357">
      <w:pPr>
        <w:pStyle w:val="6"/>
        <w:rPr>
          <w:rFonts w:hint="eastAsia" w:ascii="宋体" w:hAnsi="宋体" w:eastAsia="宋体" w:cs="宋体"/>
          <w:color w:val="000000" w:themeColor="text1"/>
          <w:highlight w:val="none"/>
          <w14:textFill>
            <w14:solidFill>
              <w14:schemeClr w14:val="tx1"/>
            </w14:solidFill>
          </w14:textFill>
        </w:rPr>
      </w:pPr>
      <w:bookmarkStart w:id="621" w:name="_Toc407135199"/>
      <w:bookmarkStart w:id="622" w:name="_Toc389065263"/>
      <w:bookmarkStart w:id="623" w:name="_Toc1531480704"/>
      <w:bookmarkStart w:id="624" w:name="_Toc78449785"/>
      <w:bookmarkStart w:id="625" w:name="_Toc373227697"/>
      <w:bookmarkStart w:id="626" w:name="_Toc373478344"/>
      <w:bookmarkStart w:id="627" w:name="_Toc1537247101"/>
      <w:r>
        <w:rPr>
          <w:rFonts w:hint="eastAsia" w:ascii="宋体" w:hAnsi="宋体" w:eastAsia="宋体" w:cs="宋体"/>
          <w:color w:val="000000" w:themeColor="text1"/>
          <w:highlight w:val="none"/>
          <w14:textFill>
            <w14:solidFill>
              <w14:schemeClr w14:val="tx1"/>
            </w14:solidFill>
          </w14:textFill>
        </w:rPr>
        <w:t>1.6 图纸和承包人文件</w:t>
      </w:r>
      <w:bookmarkEnd w:id="621"/>
      <w:bookmarkEnd w:id="622"/>
      <w:bookmarkEnd w:id="623"/>
      <w:bookmarkEnd w:id="624"/>
      <w:bookmarkEnd w:id="625"/>
      <w:bookmarkEnd w:id="626"/>
      <w:bookmarkEnd w:id="627"/>
      <w:r>
        <w:rPr>
          <w:rFonts w:hint="eastAsia" w:ascii="宋体" w:hAnsi="宋体" w:eastAsia="宋体" w:cs="宋体"/>
          <w:color w:val="000000" w:themeColor="text1"/>
          <w:highlight w:val="none"/>
          <w14:textFill>
            <w14:solidFill>
              <w14:schemeClr w14:val="tx1"/>
            </w14:solidFill>
          </w14:textFill>
        </w:rPr>
        <w:tab/>
      </w:r>
    </w:p>
    <w:p w14:paraId="5F207787">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1.6.1 图纸的提供</w:t>
      </w:r>
    </w:p>
    <w:p w14:paraId="4FE5A7D8">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发包人向承包人提供图纸的期限：</w:t>
      </w:r>
      <w:r>
        <w:rPr>
          <w:rFonts w:hint="eastAsia" w:ascii="宋体" w:hAnsi="宋体" w:eastAsia="宋体" w:cs="宋体"/>
          <w:color w:val="000000" w:themeColor="text1"/>
          <w:szCs w:val="21"/>
          <w:highlight w:val="none"/>
          <w:u w:val="single"/>
          <w14:textFill>
            <w14:solidFill>
              <w14:schemeClr w14:val="tx1"/>
            </w14:solidFill>
          </w14:textFill>
        </w:rPr>
        <w:t>合同</w:t>
      </w:r>
      <w:r>
        <w:rPr>
          <w:rFonts w:hint="eastAsia" w:ascii="宋体" w:hAnsi="宋体" w:eastAsia="宋体" w:cs="宋体"/>
          <w:color w:val="000000" w:themeColor="text1"/>
          <w:szCs w:val="21"/>
          <w:highlight w:val="none"/>
          <w:u w:val="single"/>
          <w:lang w:eastAsia="zh-CN"/>
          <w14:textFill>
            <w14:solidFill>
              <w14:schemeClr w14:val="tx1"/>
            </w14:solidFill>
          </w14:textFill>
        </w:rPr>
        <w:t>生效后</w:t>
      </w:r>
      <w:r>
        <w:rPr>
          <w:rFonts w:hint="eastAsia" w:ascii="宋体" w:hAnsi="宋体" w:eastAsia="宋体" w:cs="宋体"/>
          <w:color w:val="000000" w:themeColor="text1"/>
          <w:szCs w:val="21"/>
          <w:highlight w:val="none"/>
          <w:u w:val="single"/>
          <w:lang w:val="en-US" w:eastAsia="zh-CN"/>
          <w14:textFill>
            <w14:solidFill>
              <w14:schemeClr w14:val="tx1"/>
            </w14:solidFill>
          </w14:textFill>
        </w:rPr>
        <w:t>5日内</w:t>
      </w:r>
      <w:r>
        <w:rPr>
          <w:rFonts w:hint="eastAsia" w:ascii="宋体" w:hAnsi="宋体" w:eastAsia="宋体" w:cs="宋体"/>
          <w:color w:val="000000" w:themeColor="text1"/>
          <w:highlight w:val="none"/>
          <w14:textFill>
            <w14:solidFill>
              <w14:schemeClr w14:val="tx1"/>
            </w14:solidFill>
          </w14:textFill>
        </w:rPr>
        <w:t>；</w:t>
      </w:r>
    </w:p>
    <w:p w14:paraId="266AD97E">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发包人向承包人提供图纸的数量：</w:t>
      </w:r>
      <w:r>
        <w:rPr>
          <w:rFonts w:hint="eastAsia" w:ascii="宋体" w:hAnsi="宋体" w:eastAsia="宋体" w:cs="宋体"/>
          <w:color w:val="000000" w:themeColor="text1"/>
          <w:highlight w:val="none"/>
          <w:u w:val="single"/>
          <w:lang w:val="en-US" w:eastAsia="zh-CN"/>
          <w14:textFill>
            <w14:solidFill>
              <w14:schemeClr w14:val="tx1"/>
            </w14:solidFill>
          </w14:textFill>
        </w:rPr>
        <w:t>一式2</w:t>
      </w:r>
      <w:r>
        <w:rPr>
          <w:rFonts w:hint="eastAsia" w:ascii="宋体" w:hAnsi="宋体" w:eastAsia="宋体" w:cs="宋体"/>
          <w:color w:val="000000" w:themeColor="text1"/>
          <w:highlight w:val="none"/>
          <w14:textFill>
            <w14:solidFill>
              <w14:schemeClr w14:val="tx1"/>
            </w14:solidFill>
          </w14:textFill>
        </w:rPr>
        <w:t>套（承包人需要增加图纸套数的，发包人应代为复制，复制费用由承包人承担）；</w:t>
      </w:r>
    </w:p>
    <w:p w14:paraId="7F0226BB">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发包人向承包人提供图纸的内容：</w:t>
      </w:r>
      <w:r>
        <w:rPr>
          <w:rFonts w:hint="eastAsia" w:ascii="宋体" w:hAnsi="宋体" w:eastAsia="宋体" w:cs="宋体"/>
          <w:color w:val="000000" w:themeColor="text1"/>
          <w:highlight w:val="none"/>
          <w:u w:val="single"/>
          <w14:textFill>
            <w14:solidFill>
              <w14:schemeClr w14:val="tx1"/>
            </w14:solidFill>
          </w14:textFill>
        </w:rPr>
        <w:t>详见施工图纸</w:t>
      </w:r>
      <w:r>
        <w:rPr>
          <w:rFonts w:hint="eastAsia" w:ascii="宋体" w:hAnsi="宋体" w:eastAsia="宋体" w:cs="宋体"/>
          <w:color w:val="000000" w:themeColor="text1"/>
          <w:highlight w:val="none"/>
          <w14:textFill>
            <w14:solidFill>
              <w14:schemeClr w14:val="tx1"/>
            </w14:solidFill>
          </w14:textFill>
        </w:rPr>
        <w:t>。</w:t>
      </w:r>
    </w:p>
    <w:p w14:paraId="6051A8B7">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1.6.4 承包人文件</w:t>
      </w:r>
    </w:p>
    <w:p w14:paraId="76C1439C">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需要由承包人提供的文件，包括：</w:t>
      </w:r>
      <w:r>
        <w:rPr>
          <w:rFonts w:hint="eastAsia" w:ascii="宋体" w:hAnsi="宋体" w:eastAsia="宋体" w:cs="宋体"/>
          <w:color w:val="000000" w:themeColor="text1"/>
          <w:highlight w:val="none"/>
          <w:u w:val="single"/>
          <w14:textFill>
            <w14:solidFill>
              <w14:schemeClr w14:val="tx1"/>
            </w14:solidFill>
          </w14:textFill>
        </w:rPr>
        <w:t>除专用合同条款约定的由承包人提供的设计文件外，本项约定的其他应由承包人提供的文件，包括必要的加工图和大样图，均不是合同计量与支付的依据文件。由承包人提供的文件范围：工程建设项目竣工验收前，承包人应根据合同工作内容要求， 分别整理竣工验收资料（含竣工图），汇总为完整的建设项目竣工资料报发包人（费用由承包人负责</w:t>
      </w:r>
      <w:r>
        <w:rPr>
          <w:rFonts w:hint="eastAsia" w:ascii="宋体" w:hAnsi="宋体" w:eastAsia="宋体" w:cs="宋体"/>
          <w:color w:val="000000" w:themeColor="text1"/>
          <w:highlight w:val="none"/>
          <w:u w:val="singl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w:t>
      </w:r>
    </w:p>
    <w:p w14:paraId="17C9250E">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承包人提供的文件的期限为：</w:t>
      </w:r>
      <w:r>
        <w:rPr>
          <w:rFonts w:hint="eastAsia" w:ascii="宋体" w:hAnsi="宋体" w:eastAsia="宋体" w:cs="宋体"/>
          <w:color w:val="000000" w:themeColor="text1"/>
          <w:szCs w:val="21"/>
          <w:highlight w:val="none"/>
          <w:u w:val="single"/>
          <w14:textFill>
            <w14:solidFill>
              <w14:schemeClr w14:val="tx1"/>
            </w14:solidFill>
          </w14:textFill>
        </w:rPr>
        <w:t>竣工验收正式通过后</w:t>
      </w:r>
      <w:r>
        <w:rPr>
          <w:rFonts w:hint="eastAsia" w:ascii="宋体" w:hAnsi="宋体" w:eastAsia="宋体" w:cs="宋体"/>
          <w:color w:val="000000" w:themeColor="text1"/>
          <w:szCs w:val="21"/>
          <w:highlight w:val="none"/>
          <w:u w:val="single"/>
          <w:lang w:val="en-US" w:eastAsia="zh-CN"/>
          <w14:textFill>
            <w14:solidFill>
              <w14:schemeClr w14:val="tx1"/>
            </w14:solidFill>
          </w14:textFill>
        </w:rPr>
        <w:t>30天内</w:t>
      </w:r>
      <w:r>
        <w:rPr>
          <w:rFonts w:hint="eastAsia" w:ascii="宋体" w:hAnsi="宋体" w:eastAsia="宋体" w:cs="宋体"/>
          <w:color w:val="000000" w:themeColor="text1"/>
          <w:highlight w:val="none"/>
          <w14:textFill>
            <w14:solidFill>
              <w14:schemeClr w14:val="tx1"/>
            </w14:solidFill>
          </w14:textFill>
        </w:rPr>
        <w:t>；</w:t>
      </w:r>
    </w:p>
    <w:p w14:paraId="6179E091">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承包人提供的文件的数量为：</w:t>
      </w:r>
      <w:r>
        <w:rPr>
          <w:rFonts w:hint="eastAsia" w:ascii="宋体" w:hAnsi="宋体" w:eastAsia="宋体" w:cs="宋体"/>
          <w:color w:val="000000" w:themeColor="text1"/>
          <w:highlight w:val="none"/>
          <w:u w:val="single"/>
          <w:lang w:eastAsia="zh-CN"/>
          <w14:textFill>
            <w14:solidFill>
              <w14:schemeClr w14:val="tx1"/>
            </w14:solidFill>
          </w14:textFill>
        </w:rPr>
        <w:t>按需提供</w:t>
      </w:r>
      <w:r>
        <w:rPr>
          <w:rFonts w:hint="eastAsia" w:ascii="宋体" w:hAnsi="宋体" w:eastAsia="宋体" w:cs="宋体"/>
          <w:color w:val="000000" w:themeColor="text1"/>
          <w:highlight w:val="none"/>
          <w14:textFill>
            <w14:solidFill>
              <w14:schemeClr w14:val="tx1"/>
            </w14:solidFill>
          </w14:textFill>
        </w:rPr>
        <w:t>；</w:t>
      </w:r>
    </w:p>
    <w:p w14:paraId="72B14166">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承包人提供的文件的形式为：</w:t>
      </w:r>
      <w:r>
        <w:rPr>
          <w:rFonts w:hint="eastAsia" w:ascii="宋体" w:hAnsi="宋体" w:eastAsia="宋体" w:cs="宋体"/>
          <w:color w:val="000000" w:themeColor="text1"/>
          <w:highlight w:val="none"/>
          <w:u w:val="single"/>
          <w:lang w:eastAsia="zh-CN"/>
          <w14:textFill>
            <w14:solidFill>
              <w14:schemeClr w14:val="tx1"/>
            </w14:solidFill>
          </w14:textFill>
        </w:rPr>
        <w:t>纸质版本</w:t>
      </w:r>
      <w:r>
        <w:rPr>
          <w:rFonts w:hint="eastAsia" w:ascii="宋体" w:hAnsi="宋体" w:eastAsia="宋体" w:cs="宋体"/>
          <w:color w:val="000000" w:themeColor="text1"/>
          <w:highlight w:val="none"/>
          <w14:textFill>
            <w14:solidFill>
              <w14:schemeClr w14:val="tx1"/>
            </w14:solidFill>
          </w14:textFill>
        </w:rPr>
        <w:t>；</w:t>
      </w:r>
    </w:p>
    <w:p w14:paraId="5AF0C652">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其他约定：</w:t>
      </w:r>
      <w:r>
        <w:rPr>
          <w:rFonts w:hint="eastAsia" w:ascii="宋体" w:hAnsi="宋体" w:eastAsia="宋体" w:cs="宋体"/>
          <w:color w:val="000000" w:themeColor="text1"/>
          <w:highlight w:val="none"/>
          <w:u w:val="single"/>
          <w14:textFill>
            <w14:solidFill>
              <w14:schemeClr w14:val="tx1"/>
            </w14:solidFill>
          </w14:textFill>
        </w:rPr>
        <w:t>承包人按国家、地方的工程竣工验收有关规定，向发包人提交完整的竣工资料、 竣工图及竣工验收报告；由监理工程师负责审核并组织竣工验收。承包人提交的工程文件（档 案）、竣工资料、竣工图必须满足国家、地方（含城建档案管理部门等）相关规范、规定，否则，监理单位及发包人均有权拒绝竣工验收及结算，承包人因此逾期交付的，发包人有权按本合同的相关条款追究其违约责任</w:t>
      </w:r>
      <w:r>
        <w:rPr>
          <w:rFonts w:hint="eastAsia" w:ascii="宋体" w:hAnsi="宋体" w:eastAsia="宋体" w:cs="宋体"/>
          <w:color w:val="000000" w:themeColor="text1"/>
          <w:highlight w:val="none"/>
          <w14:textFill>
            <w14:solidFill>
              <w14:schemeClr w14:val="tx1"/>
            </w14:solidFill>
          </w14:textFill>
        </w:rPr>
        <w:t>；</w:t>
      </w:r>
    </w:p>
    <w:p w14:paraId="4232C2AD">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发包人审批承包人文件的期限：</w:t>
      </w:r>
      <w:r>
        <w:rPr>
          <w:rFonts w:hint="eastAsia" w:ascii="宋体" w:hAnsi="宋体" w:eastAsia="宋体" w:cs="宋体"/>
          <w:color w:val="000000" w:themeColor="text1"/>
          <w:highlight w:val="none"/>
          <w:u w:val="single"/>
          <w:lang w:eastAsia="zh-CN"/>
          <w14:textFill>
            <w14:solidFill>
              <w14:schemeClr w14:val="tx1"/>
            </w14:solidFill>
          </w14:textFill>
        </w:rPr>
        <w:t>收到后</w:t>
      </w:r>
      <w:r>
        <w:rPr>
          <w:rFonts w:hint="eastAsia" w:ascii="宋体" w:hAnsi="宋体" w:eastAsia="宋体" w:cs="宋体"/>
          <w:color w:val="000000" w:themeColor="text1"/>
          <w:highlight w:val="none"/>
          <w:u w:val="single"/>
          <w:lang w:val="en-US" w:eastAsia="zh-CN"/>
          <w14:textFill>
            <w14:solidFill>
              <w14:schemeClr w14:val="tx1"/>
            </w14:solidFill>
          </w14:textFill>
        </w:rPr>
        <w:t>30天内</w:t>
      </w:r>
      <w:r>
        <w:rPr>
          <w:rFonts w:hint="eastAsia" w:ascii="宋体" w:hAnsi="宋体" w:eastAsia="宋体" w:cs="宋体"/>
          <w:color w:val="000000" w:themeColor="text1"/>
          <w:highlight w:val="none"/>
          <w14:textFill>
            <w14:solidFill>
              <w14:schemeClr w14:val="tx1"/>
            </w14:solidFill>
          </w14:textFill>
        </w:rPr>
        <w:t>。</w:t>
      </w:r>
    </w:p>
    <w:p w14:paraId="485C9E15">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1.6.5 现场图纸准备</w:t>
      </w:r>
    </w:p>
    <w:p w14:paraId="55321D08">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关于现场图纸准备的约定：</w:t>
      </w:r>
      <w:r>
        <w:rPr>
          <w:rFonts w:hint="eastAsia" w:ascii="宋体" w:hAnsi="宋体" w:eastAsia="宋体" w:cs="宋体"/>
          <w:color w:val="000000" w:themeColor="text1"/>
          <w:szCs w:val="21"/>
          <w:highlight w:val="none"/>
          <w:u w:val="single"/>
          <w:lang w:eastAsia="zh-CN"/>
          <w14:textFill>
            <w14:solidFill>
              <w14:schemeClr w14:val="tx1"/>
            </w14:solidFill>
          </w14:textFill>
        </w:rPr>
        <w:t>开工前</w:t>
      </w:r>
      <w:r>
        <w:rPr>
          <w:rFonts w:hint="eastAsia" w:ascii="宋体" w:hAnsi="宋体" w:eastAsia="宋体" w:cs="宋体"/>
          <w:color w:val="000000" w:themeColor="text1"/>
          <w:szCs w:val="21"/>
          <w:highlight w:val="none"/>
          <w:u w:val="single"/>
          <w:lang w:val="en-US" w:eastAsia="zh-CN"/>
          <w14:textFill>
            <w14:solidFill>
              <w14:schemeClr w14:val="tx1"/>
            </w14:solidFill>
          </w14:textFill>
        </w:rPr>
        <w:t>7天完成图纸会审</w:t>
      </w:r>
      <w:r>
        <w:rPr>
          <w:rFonts w:hint="eastAsia" w:ascii="宋体" w:hAnsi="宋体" w:eastAsia="宋体" w:cs="宋体"/>
          <w:color w:val="000000" w:themeColor="text1"/>
          <w:highlight w:val="none"/>
          <w14:textFill>
            <w14:solidFill>
              <w14:schemeClr w14:val="tx1"/>
            </w14:solidFill>
          </w14:textFill>
        </w:rPr>
        <w:t>。</w:t>
      </w:r>
    </w:p>
    <w:p w14:paraId="3A2D50BE">
      <w:pPr>
        <w:pStyle w:val="6"/>
        <w:rPr>
          <w:rFonts w:hint="eastAsia" w:ascii="宋体" w:hAnsi="宋体" w:eastAsia="宋体" w:cs="宋体"/>
          <w:color w:val="000000" w:themeColor="text1"/>
          <w:highlight w:val="none"/>
          <w14:textFill>
            <w14:solidFill>
              <w14:schemeClr w14:val="tx1"/>
            </w14:solidFill>
          </w14:textFill>
        </w:rPr>
      </w:pPr>
      <w:bookmarkStart w:id="628" w:name="_Toc373478345"/>
      <w:bookmarkStart w:id="629" w:name="_Toc389065264"/>
      <w:bookmarkStart w:id="630" w:name="_Toc1944260835"/>
      <w:bookmarkStart w:id="631" w:name="_Toc110523719"/>
      <w:bookmarkStart w:id="632" w:name="_Toc407135200"/>
      <w:bookmarkStart w:id="633" w:name="_Toc78449786"/>
      <w:bookmarkStart w:id="634" w:name="_Toc373227698"/>
      <w:r>
        <w:rPr>
          <w:rFonts w:hint="eastAsia" w:ascii="宋体" w:hAnsi="宋体" w:eastAsia="宋体" w:cs="宋体"/>
          <w:color w:val="000000" w:themeColor="text1"/>
          <w:highlight w:val="none"/>
          <w14:textFill>
            <w14:solidFill>
              <w14:schemeClr w14:val="tx1"/>
            </w14:solidFill>
          </w14:textFill>
        </w:rPr>
        <w:t>1.7 联络</w:t>
      </w:r>
      <w:bookmarkEnd w:id="628"/>
      <w:bookmarkEnd w:id="629"/>
      <w:bookmarkEnd w:id="630"/>
      <w:bookmarkEnd w:id="631"/>
      <w:bookmarkEnd w:id="632"/>
      <w:bookmarkEnd w:id="633"/>
      <w:bookmarkEnd w:id="634"/>
    </w:p>
    <w:p w14:paraId="3886EBCF">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1.7.1发包人和承包人应当在</w:t>
      </w:r>
      <w:r>
        <w:rPr>
          <w:rFonts w:hint="eastAsia" w:ascii="宋体" w:hAnsi="宋体" w:eastAsia="宋体" w:cs="宋体"/>
          <w:color w:val="000000" w:themeColor="text1"/>
          <w:highlight w:val="none"/>
          <w:u w:val="single"/>
          <w:lang w:val="en-US" w:eastAsia="zh-CN"/>
          <w14:textFill>
            <w14:solidFill>
              <w14:schemeClr w14:val="tx1"/>
            </w14:solidFill>
          </w14:textFill>
        </w:rPr>
        <w:t>7</w:t>
      </w:r>
      <w:r>
        <w:rPr>
          <w:rFonts w:hint="eastAsia" w:ascii="宋体" w:hAnsi="宋体" w:eastAsia="宋体" w:cs="宋体"/>
          <w:color w:val="000000" w:themeColor="text1"/>
          <w:kern w:val="0"/>
          <w:highlight w:val="none"/>
          <w14:textFill>
            <w14:solidFill>
              <w14:schemeClr w14:val="tx1"/>
            </w14:solidFill>
          </w14:textFill>
        </w:rPr>
        <w:t>天内将与合同有关的通知、批准、证明、证书、指示、指令、要求、请求、同意、意见、确定和决定等书面函件送达对方当事人。</w:t>
      </w:r>
    </w:p>
    <w:p w14:paraId="73138783">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1.7.2 发包人接收文件的地点：</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kern w:val="0"/>
          <w:highlight w:val="none"/>
          <w14:textFill>
            <w14:solidFill>
              <w14:schemeClr w14:val="tx1"/>
            </w14:solidFill>
          </w14:textFill>
        </w:rPr>
        <w:t>；</w:t>
      </w:r>
    </w:p>
    <w:p w14:paraId="539BDF1F">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发包人指定的接收人为：</w:t>
      </w:r>
      <w:r>
        <w:rPr>
          <w:rFonts w:hint="eastAsia" w:ascii="宋体" w:hAnsi="宋体" w:eastAsia="宋体" w:cs="宋体"/>
          <w:color w:val="000000" w:themeColor="text1"/>
          <w:highlight w:val="none"/>
          <w:u w:val="single"/>
          <w14:textFill>
            <w14:solidFill>
              <w14:schemeClr w14:val="tx1"/>
            </w14:solidFill>
          </w14:textFill>
        </w:rPr>
        <w:t>发包人现场代表</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highlight w:val="none"/>
          <w14:textFill>
            <w14:solidFill>
              <w14:schemeClr w14:val="tx1"/>
            </w14:solidFill>
          </w14:textFill>
        </w:rPr>
        <w:t>。</w:t>
      </w:r>
    </w:p>
    <w:p w14:paraId="145A953C">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承包人接收文件的地点：</w:t>
      </w:r>
      <w:r>
        <w:rPr>
          <w:rFonts w:hint="eastAsia" w:ascii="宋体" w:hAnsi="宋体" w:eastAsia="宋体" w:cs="宋体"/>
          <w:color w:val="000000" w:themeColor="text1"/>
          <w:highlight w:val="none"/>
          <w:u w:val="single"/>
          <w14:textFill>
            <w14:solidFill>
              <w14:schemeClr w14:val="tx1"/>
            </w14:solidFill>
          </w14:textFill>
        </w:rPr>
        <w:t xml:space="preserve">   由承包人指定  </w:t>
      </w:r>
      <w:r>
        <w:rPr>
          <w:rFonts w:hint="eastAsia" w:ascii="宋体" w:hAnsi="宋体" w:eastAsia="宋体" w:cs="宋体"/>
          <w:color w:val="000000" w:themeColor="text1"/>
          <w:kern w:val="0"/>
          <w:highlight w:val="none"/>
          <w14:textFill>
            <w14:solidFill>
              <w14:schemeClr w14:val="tx1"/>
            </w14:solidFill>
          </w14:textFill>
        </w:rPr>
        <w:t>；</w:t>
      </w:r>
    </w:p>
    <w:p w14:paraId="2E7F68AC">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承包人指定的接收人为：</w:t>
      </w:r>
      <w:r>
        <w:rPr>
          <w:rFonts w:hint="eastAsia" w:ascii="宋体" w:hAnsi="宋体" w:eastAsia="宋体" w:cs="宋体"/>
          <w:color w:val="000000" w:themeColor="text1"/>
          <w:highlight w:val="none"/>
          <w:u w:val="single"/>
          <w14:textFill>
            <w14:solidFill>
              <w14:schemeClr w14:val="tx1"/>
            </w14:solidFill>
          </w14:textFill>
        </w:rPr>
        <w:t xml:space="preserve">   由承包人指定  </w:t>
      </w:r>
      <w:r>
        <w:rPr>
          <w:rFonts w:hint="eastAsia" w:ascii="宋体" w:hAnsi="宋体" w:eastAsia="宋体" w:cs="宋体"/>
          <w:color w:val="000000" w:themeColor="text1"/>
          <w:kern w:val="0"/>
          <w:highlight w:val="none"/>
          <w14:textFill>
            <w14:solidFill>
              <w14:schemeClr w14:val="tx1"/>
            </w14:solidFill>
          </w14:textFill>
        </w:rPr>
        <w:t>。</w:t>
      </w:r>
    </w:p>
    <w:p w14:paraId="19DAEFF9">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监理人接收文件的地点：</w:t>
      </w:r>
      <w:r>
        <w:rPr>
          <w:rFonts w:hint="eastAsia" w:ascii="宋体" w:hAnsi="宋体" w:eastAsia="宋体" w:cs="宋体"/>
          <w:color w:val="000000" w:themeColor="text1"/>
          <w:highlight w:val="none"/>
          <w:u w:val="single"/>
          <w14:textFill>
            <w14:solidFill>
              <w14:schemeClr w14:val="tx1"/>
            </w14:solidFill>
          </w14:textFill>
        </w:rPr>
        <w:t xml:space="preserve">  由监理人指定  </w:t>
      </w:r>
      <w:r>
        <w:rPr>
          <w:rFonts w:hint="eastAsia" w:ascii="宋体" w:hAnsi="宋体" w:eastAsia="宋体" w:cs="宋体"/>
          <w:color w:val="000000" w:themeColor="text1"/>
          <w:kern w:val="0"/>
          <w:highlight w:val="none"/>
          <w14:textFill>
            <w14:solidFill>
              <w14:schemeClr w14:val="tx1"/>
            </w14:solidFill>
          </w14:textFill>
        </w:rPr>
        <w:t>；</w:t>
      </w:r>
    </w:p>
    <w:p w14:paraId="43597F79">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监理人指定的接收人为：</w:t>
      </w:r>
      <w:r>
        <w:rPr>
          <w:rFonts w:hint="eastAsia" w:ascii="宋体" w:hAnsi="宋体" w:eastAsia="宋体" w:cs="宋体"/>
          <w:color w:val="000000" w:themeColor="text1"/>
          <w:highlight w:val="none"/>
          <w:u w:val="single"/>
          <w14:textFill>
            <w14:solidFill>
              <w14:schemeClr w14:val="tx1"/>
            </w14:solidFill>
          </w14:textFill>
        </w:rPr>
        <w:t xml:space="preserve">  由监理人指定  </w:t>
      </w:r>
      <w:r>
        <w:rPr>
          <w:rFonts w:hint="eastAsia" w:ascii="宋体" w:hAnsi="宋体" w:eastAsia="宋体" w:cs="宋体"/>
          <w:color w:val="000000" w:themeColor="text1"/>
          <w:kern w:val="0"/>
          <w:highlight w:val="none"/>
          <w14:textFill>
            <w14:solidFill>
              <w14:schemeClr w14:val="tx1"/>
            </w14:solidFill>
          </w14:textFill>
        </w:rPr>
        <w:t>。</w:t>
      </w:r>
    </w:p>
    <w:p w14:paraId="09408E02">
      <w:pPr>
        <w:pStyle w:val="6"/>
        <w:rPr>
          <w:rFonts w:hint="eastAsia" w:ascii="宋体" w:hAnsi="宋体" w:eastAsia="宋体" w:cs="宋体"/>
          <w:color w:val="000000" w:themeColor="text1"/>
          <w:highlight w:val="none"/>
          <w14:textFill>
            <w14:solidFill>
              <w14:schemeClr w14:val="tx1"/>
            </w14:solidFill>
          </w14:textFill>
        </w:rPr>
      </w:pPr>
      <w:bookmarkStart w:id="635" w:name="_Toc389065265"/>
      <w:bookmarkStart w:id="636" w:name="_Toc78449787"/>
      <w:bookmarkStart w:id="637" w:name="_Toc224348539"/>
      <w:bookmarkStart w:id="638" w:name="_Toc407135201"/>
      <w:bookmarkStart w:id="639" w:name="_Toc373478346"/>
      <w:bookmarkStart w:id="640" w:name="_Toc373227699"/>
      <w:bookmarkStart w:id="641" w:name="_Toc1387231545"/>
      <w:r>
        <w:rPr>
          <w:rFonts w:hint="eastAsia" w:ascii="宋体" w:hAnsi="宋体" w:eastAsia="宋体" w:cs="宋体"/>
          <w:color w:val="000000" w:themeColor="text1"/>
          <w:highlight w:val="none"/>
          <w14:textFill>
            <w14:solidFill>
              <w14:schemeClr w14:val="tx1"/>
            </w14:solidFill>
          </w14:textFill>
        </w:rPr>
        <w:t>1.10 交通运输</w:t>
      </w:r>
      <w:bookmarkEnd w:id="635"/>
      <w:bookmarkEnd w:id="636"/>
      <w:bookmarkEnd w:id="637"/>
      <w:bookmarkEnd w:id="638"/>
      <w:bookmarkEnd w:id="639"/>
      <w:bookmarkEnd w:id="640"/>
      <w:bookmarkEnd w:id="641"/>
    </w:p>
    <w:p w14:paraId="213202BC">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bookmarkStart w:id="642" w:name="_Toc304295521"/>
      <w:bookmarkStart w:id="643" w:name="_Toc312677986"/>
      <w:bookmarkStart w:id="644" w:name="_Toc300934943"/>
      <w:bookmarkStart w:id="645" w:name="_Toc303539100"/>
      <w:bookmarkStart w:id="646" w:name="_Toc318581155"/>
      <w:r>
        <w:rPr>
          <w:rFonts w:hint="eastAsia" w:ascii="宋体" w:hAnsi="宋体" w:eastAsia="宋体" w:cs="宋体"/>
          <w:color w:val="000000" w:themeColor="text1"/>
          <w:highlight w:val="none"/>
          <w14:textFill>
            <w14:solidFill>
              <w14:schemeClr w14:val="tx1"/>
            </w14:solidFill>
          </w14:textFill>
        </w:rPr>
        <w:t>.10.1 出入现场的权利</w:t>
      </w:r>
    </w:p>
    <w:p w14:paraId="590865A5">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关于出入现场的权利的约定：</w:t>
      </w:r>
      <w:r>
        <w:rPr>
          <w:rFonts w:hint="eastAsia" w:ascii="宋体" w:hAnsi="宋体" w:eastAsia="宋体" w:cs="宋体"/>
          <w:color w:val="000000" w:themeColor="text1"/>
          <w:highlight w:val="none"/>
          <w:u w:val="single"/>
          <w14:textFill>
            <w14:solidFill>
              <w14:schemeClr w14:val="tx1"/>
            </w14:solidFill>
          </w14:textFill>
        </w:rPr>
        <w:t>双方协商</w:t>
      </w:r>
      <w:r>
        <w:rPr>
          <w:rFonts w:hint="eastAsia" w:ascii="宋体" w:hAnsi="宋体" w:eastAsia="宋体" w:cs="宋体"/>
          <w:color w:val="000000" w:themeColor="text1"/>
          <w:highlight w:val="none"/>
          <w14:textFill>
            <w14:solidFill>
              <w14:schemeClr w14:val="tx1"/>
            </w14:solidFill>
          </w14:textFill>
        </w:rPr>
        <w:t>。</w:t>
      </w:r>
    </w:p>
    <w:bookmarkEnd w:id="642"/>
    <w:bookmarkEnd w:id="643"/>
    <w:bookmarkEnd w:id="644"/>
    <w:bookmarkEnd w:id="645"/>
    <w:bookmarkEnd w:id="646"/>
    <w:p w14:paraId="07819EE2">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bookmarkStart w:id="647" w:name="_Toc318581156"/>
      <w:bookmarkStart w:id="648" w:name="_Toc312677987"/>
      <w:bookmarkStart w:id="649" w:name="_Toc303539101"/>
      <w:bookmarkStart w:id="650" w:name="_Toc300934944"/>
      <w:bookmarkStart w:id="651" w:name="_Toc304295522"/>
      <w:r>
        <w:rPr>
          <w:rFonts w:hint="eastAsia" w:ascii="宋体" w:hAnsi="宋体" w:eastAsia="宋体" w:cs="宋体"/>
          <w:color w:val="000000" w:themeColor="text1"/>
          <w:highlight w:val="none"/>
          <w14:textFill>
            <w14:solidFill>
              <w14:schemeClr w14:val="tx1"/>
            </w14:solidFill>
          </w14:textFill>
        </w:rPr>
        <w:t>.10.3 场内交通</w:t>
      </w:r>
    </w:p>
    <w:p w14:paraId="591645E8">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关于场外交通和场内交通的边界的约定：</w:t>
      </w:r>
      <w:r>
        <w:rPr>
          <w:rFonts w:hint="eastAsia" w:ascii="宋体" w:hAnsi="宋体" w:eastAsia="宋体" w:cs="宋体"/>
          <w:color w:val="000000" w:themeColor="text1"/>
          <w:highlight w:val="none"/>
          <w:u w:val="single"/>
          <w14:textFill>
            <w14:solidFill>
              <w14:schemeClr w14:val="tx1"/>
            </w14:solidFill>
          </w14:textFill>
        </w:rPr>
        <w:t>承包人负责修建、维修、养护和管理其他场内临时道路及其他设施。建设单位和监理人可以为实现合同目的使用承包人修建的场内临时道路及其他设施</w:t>
      </w:r>
      <w:r>
        <w:rPr>
          <w:rFonts w:hint="eastAsia" w:ascii="宋体" w:hAnsi="宋体" w:eastAsia="宋体" w:cs="宋体"/>
          <w:color w:val="000000" w:themeColor="text1"/>
          <w:highlight w:val="none"/>
          <w14:textFill>
            <w14:solidFill>
              <w14:schemeClr w14:val="tx1"/>
            </w14:solidFill>
          </w14:textFill>
        </w:rPr>
        <w:t>。</w:t>
      </w:r>
    </w:p>
    <w:p w14:paraId="74725DD6">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关于发包人向承包人免费提供满足工程施工需要的场内道路和交通设施的约定：</w:t>
      </w:r>
      <w:r>
        <w:rPr>
          <w:rFonts w:hint="eastAsia" w:ascii="宋体" w:hAnsi="宋体" w:eastAsia="宋体" w:cs="宋体"/>
          <w:color w:val="000000" w:themeColor="text1"/>
          <w:highlight w:val="none"/>
          <w:u w:val="single"/>
          <w14:textFill>
            <w14:solidFill>
              <w14:schemeClr w14:val="tx1"/>
            </w14:solidFill>
          </w14:textFill>
        </w:rPr>
        <w:t>红线范围 内施工道路均由承包人负责修建，若损坏应负责及时修复。 承包人负责修建、维修、养护和管理施工现场所需的其他场内临时道路交通及其他设施</w:t>
      </w:r>
      <w:r>
        <w:rPr>
          <w:rFonts w:hint="eastAsia" w:ascii="宋体" w:hAnsi="宋体" w:eastAsia="宋体" w:cs="宋体"/>
          <w:color w:val="000000" w:themeColor="text1"/>
          <w:highlight w:val="none"/>
          <w14:textFill>
            <w14:solidFill>
              <w14:schemeClr w14:val="tx1"/>
            </w14:solidFill>
          </w14:textFill>
        </w:rPr>
        <w:t>。</w:t>
      </w:r>
      <w:bookmarkEnd w:id="647"/>
      <w:bookmarkEnd w:id="648"/>
      <w:bookmarkEnd w:id="649"/>
      <w:bookmarkEnd w:id="650"/>
      <w:bookmarkEnd w:id="651"/>
      <w:bookmarkStart w:id="652" w:name="_Toc318581157"/>
    </w:p>
    <w:p w14:paraId="455667F9">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1.10.4 超大件和超重件的运输</w:t>
      </w:r>
    </w:p>
    <w:p w14:paraId="6E258342">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运输超大件或超重件所需的道路和桥梁临时加固改造费用和其他有关费用由</w:t>
      </w:r>
      <w:r>
        <w:rPr>
          <w:rFonts w:hint="eastAsia" w:ascii="宋体" w:hAnsi="宋体" w:eastAsia="宋体" w:cs="宋体"/>
          <w:color w:val="000000" w:themeColor="text1"/>
          <w:highlight w:val="none"/>
          <w:u w:val="single"/>
          <w:lang w:eastAsia="zh-CN"/>
          <w14:textFill>
            <w14:solidFill>
              <w14:schemeClr w14:val="tx1"/>
            </w14:solidFill>
          </w14:textFill>
        </w:rPr>
        <w:t>承包人</w:t>
      </w:r>
      <w:r>
        <w:rPr>
          <w:rFonts w:hint="eastAsia" w:ascii="宋体" w:hAnsi="宋体" w:eastAsia="宋体" w:cs="宋体"/>
          <w:color w:val="000000" w:themeColor="text1"/>
          <w:highlight w:val="none"/>
          <w14:textFill>
            <w14:solidFill>
              <w14:schemeClr w14:val="tx1"/>
            </w14:solidFill>
          </w14:textFill>
        </w:rPr>
        <w:t>承担。</w:t>
      </w:r>
    </w:p>
    <w:bookmarkEnd w:id="652"/>
    <w:p w14:paraId="0AA67227">
      <w:pPr>
        <w:pStyle w:val="6"/>
        <w:rPr>
          <w:rFonts w:hint="eastAsia" w:ascii="宋体" w:hAnsi="宋体" w:eastAsia="宋体" w:cs="宋体"/>
          <w:color w:val="000000" w:themeColor="text1"/>
          <w:highlight w:val="none"/>
          <w14:textFill>
            <w14:solidFill>
              <w14:schemeClr w14:val="tx1"/>
            </w14:solidFill>
          </w14:textFill>
        </w:rPr>
      </w:pPr>
      <w:bookmarkStart w:id="653" w:name="_Toc78449788"/>
      <w:bookmarkStart w:id="654" w:name="_Toc407135202"/>
      <w:bookmarkStart w:id="655" w:name="_Toc373227700"/>
      <w:bookmarkStart w:id="656" w:name="_Toc373478347"/>
      <w:bookmarkStart w:id="657" w:name="_Toc389065266"/>
      <w:bookmarkStart w:id="658" w:name="_Toc512841653"/>
      <w:bookmarkStart w:id="659" w:name="_Toc1495098807"/>
      <w:r>
        <w:rPr>
          <w:rFonts w:hint="eastAsia" w:ascii="宋体" w:hAnsi="宋体" w:eastAsia="宋体" w:cs="宋体"/>
          <w:color w:val="000000" w:themeColor="text1"/>
          <w:highlight w:val="none"/>
          <w14:textFill>
            <w14:solidFill>
              <w14:schemeClr w14:val="tx1"/>
            </w14:solidFill>
          </w14:textFill>
        </w:rPr>
        <w:t>1.11 知识产权</w:t>
      </w:r>
      <w:bookmarkEnd w:id="653"/>
      <w:bookmarkEnd w:id="654"/>
      <w:bookmarkEnd w:id="655"/>
      <w:bookmarkEnd w:id="656"/>
      <w:bookmarkEnd w:id="657"/>
      <w:bookmarkEnd w:id="658"/>
      <w:bookmarkEnd w:id="659"/>
    </w:p>
    <w:p w14:paraId="6D9359F6">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1.11.1 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000000" w:themeColor="text1"/>
          <w:highlight w:val="none"/>
          <w:u w:val="single"/>
          <w:lang w:eastAsia="zh-CN"/>
          <w14:textFill>
            <w14:solidFill>
              <w14:schemeClr w14:val="tx1"/>
            </w14:solidFill>
          </w14:textFill>
        </w:rPr>
        <w:t>发包人</w:t>
      </w:r>
      <w:r>
        <w:rPr>
          <w:rFonts w:hint="eastAsia" w:ascii="宋体" w:hAnsi="宋体" w:eastAsia="宋体" w:cs="宋体"/>
          <w:color w:val="000000" w:themeColor="text1"/>
          <w:highlight w:val="none"/>
          <w14:textFill>
            <w14:solidFill>
              <w14:schemeClr w14:val="tx1"/>
            </w14:solidFill>
          </w14:textFill>
        </w:rPr>
        <w:t>。</w:t>
      </w:r>
    </w:p>
    <w:p w14:paraId="0165DFEB">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关于发包人提供的上述文件的使用限制的要求：</w:t>
      </w:r>
      <w:r>
        <w:rPr>
          <w:rFonts w:hint="eastAsia" w:ascii="宋体" w:hAnsi="宋体" w:eastAsia="宋体" w:cs="宋体"/>
          <w:color w:val="000000" w:themeColor="text1"/>
          <w:sz w:val="21"/>
          <w:szCs w:val="21"/>
          <w:highlight w:val="none"/>
          <w:u w:val="single" w:color="auto"/>
          <w14:textFill>
            <w14:solidFill>
              <w14:schemeClr w14:val="tx1"/>
            </w14:solidFill>
          </w14:textFill>
        </w:rPr>
        <w:t>仅限于工程施工</w:t>
      </w:r>
      <w:r>
        <w:rPr>
          <w:rFonts w:hint="eastAsia" w:ascii="宋体" w:hAnsi="宋体" w:eastAsia="宋体" w:cs="宋体"/>
          <w:color w:val="000000" w:themeColor="text1"/>
          <w:spacing w:val="-1"/>
          <w:sz w:val="21"/>
          <w:szCs w:val="21"/>
          <w:highlight w:val="none"/>
          <w:u w:val="single" w:color="auto"/>
          <w14:textFill>
            <w14:solidFill>
              <w14:schemeClr w14:val="tx1"/>
            </w14:solidFill>
          </w14:textFill>
        </w:rPr>
        <w:t>和竣工验收使用</w:t>
      </w:r>
      <w:r>
        <w:rPr>
          <w:rFonts w:hint="eastAsia" w:ascii="宋体" w:hAnsi="宋体" w:eastAsia="宋体" w:cs="宋体"/>
          <w:color w:val="000000" w:themeColor="text1"/>
          <w:highlight w:val="none"/>
          <w14:textFill>
            <w14:solidFill>
              <w14:schemeClr w14:val="tx1"/>
            </w14:solidFill>
          </w14:textFill>
        </w:rPr>
        <w:t>。</w:t>
      </w:r>
    </w:p>
    <w:p w14:paraId="7964DC62">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1.11.2 关于承包人为实施工程所编制文件的著作权的归属：</w:t>
      </w:r>
      <w:r>
        <w:rPr>
          <w:rFonts w:hint="eastAsia" w:ascii="宋体" w:hAnsi="宋体" w:eastAsia="宋体" w:cs="宋体"/>
          <w:color w:val="000000" w:themeColor="text1"/>
          <w:highlight w:val="none"/>
          <w:u w:val="single"/>
          <w:lang w:eastAsia="zh-CN"/>
          <w14:textFill>
            <w14:solidFill>
              <w14:schemeClr w14:val="tx1"/>
            </w14:solidFill>
          </w14:textFill>
        </w:rPr>
        <w:t>承包人</w:t>
      </w:r>
      <w:r>
        <w:rPr>
          <w:rFonts w:hint="eastAsia" w:ascii="宋体" w:hAnsi="宋体" w:eastAsia="宋体" w:cs="宋体"/>
          <w:color w:val="000000" w:themeColor="text1"/>
          <w:highlight w:val="none"/>
          <w14:textFill>
            <w14:solidFill>
              <w14:schemeClr w14:val="tx1"/>
            </w14:solidFill>
          </w14:textFill>
        </w:rPr>
        <w:t>。</w:t>
      </w:r>
    </w:p>
    <w:p w14:paraId="64B95822">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关于承包人提供的上述文件的使用限制的要求：</w:t>
      </w:r>
      <w:r>
        <w:rPr>
          <w:rFonts w:hint="eastAsia" w:ascii="宋体" w:hAnsi="宋体" w:eastAsia="宋体" w:cs="宋体"/>
          <w:color w:val="000000" w:themeColor="text1"/>
          <w:sz w:val="21"/>
          <w:szCs w:val="21"/>
          <w:highlight w:val="none"/>
          <w:u w:val="single" w:color="auto"/>
          <w14:textFill>
            <w14:solidFill>
              <w14:schemeClr w14:val="tx1"/>
            </w14:solidFill>
          </w14:textFill>
        </w:rPr>
        <w:t>在施工期间对发</w:t>
      </w:r>
      <w:r>
        <w:rPr>
          <w:rFonts w:hint="eastAsia" w:ascii="宋体" w:hAnsi="宋体" w:eastAsia="宋体" w:cs="宋体"/>
          <w:color w:val="000000" w:themeColor="text1"/>
          <w:spacing w:val="-1"/>
          <w:sz w:val="21"/>
          <w:szCs w:val="21"/>
          <w:highlight w:val="none"/>
          <w:u w:val="single" w:color="auto"/>
          <w14:textFill>
            <w14:solidFill>
              <w14:schemeClr w14:val="tx1"/>
            </w14:solidFill>
          </w14:textFill>
        </w:rPr>
        <w:t>包人免费使用</w:t>
      </w:r>
      <w:r>
        <w:rPr>
          <w:rFonts w:hint="eastAsia" w:ascii="宋体" w:hAnsi="宋体" w:eastAsia="宋体" w:cs="宋体"/>
          <w:color w:val="000000" w:themeColor="text1"/>
          <w:highlight w:val="none"/>
          <w14:textFill>
            <w14:solidFill>
              <w14:schemeClr w14:val="tx1"/>
            </w14:solidFill>
          </w14:textFill>
        </w:rPr>
        <w:t>。</w:t>
      </w:r>
    </w:p>
    <w:p w14:paraId="5E49669A">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1.11.4 承包人在施工过程中所采用的专利、专有技术、技术秘密的使用费的承担方式：</w:t>
      </w:r>
    </w:p>
    <w:p w14:paraId="1A3770C8">
      <w:pPr>
        <w:spacing w:line="360" w:lineRule="auto"/>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u w:val="single"/>
          <w:lang w:eastAsia="zh-CN"/>
          <w14:textFill>
            <w14:solidFill>
              <w14:schemeClr w14:val="tx1"/>
            </w14:solidFill>
          </w14:textFill>
        </w:rPr>
        <w:t>承包人自行承担</w:t>
      </w:r>
      <w:r>
        <w:rPr>
          <w:rFonts w:hint="eastAsia" w:ascii="宋体" w:hAnsi="宋体" w:eastAsia="宋体" w:cs="宋体"/>
          <w:color w:val="000000" w:themeColor="text1"/>
          <w:kern w:val="0"/>
          <w:highlight w:val="none"/>
          <w14:textFill>
            <w14:solidFill>
              <w14:schemeClr w14:val="tx1"/>
            </w14:solidFill>
          </w14:textFill>
        </w:rPr>
        <w:t>。</w:t>
      </w:r>
    </w:p>
    <w:p w14:paraId="7349CD5C">
      <w:pPr>
        <w:pStyle w:val="6"/>
        <w:rPr>
          <w:rFonts w:hint="eastAsia" w:ascii="宋体" w:hAnsi="宋体" w:eastAsia="宋体" w:cs="宋体"/>
          <w:color w:val="000000" w:themeColor="text1"/>
          <w:highlight w:val="none"/>
          <w14:textFill>
            <w14:solidFill>
              <w14:schemeClr w14:val="tx1"/>
            </w14:solidFill>
          </w14:textFill>
        </w:rPr>
      </w:pPr>
      <w:bookmarkStart w:id="660" w:name="_Toc1194977599"/>
      <w:bookmarkStart w:id="661" w:name="_Toc267680563"/>
      <w:bookmarkStart w:id="662" w:name="_Toc373227701"/>
      <w:bookmarkStart w:id="663" w:name="_Toc389065267"/>
      <w:bookmarkStart w:id="664" w:name="_Toc407135203"/>
      <w:bookmarkStart w:id="665" w:name="_Toc78449789"/>
      <w:bookmarkStart w:id="666" w:name="_Toc373478348"/>
      <w:r>
        <w:rPr>
          <w:rFonts w:hint="eastAsia" w:ascii="宋体" w:hAnsi="宋体" w:eastAsia="宋体" w:cs="宋体"/>
          <w:color w:val="000000" w:themeColor="text1"/>
          <w:highlight w:val="none"/>
          <w14:textFill>
            <w14:solidFill>
              <w14:schemeClr w14:val="tx1"/>
            </w14:solidFill>
          </w14:textFill>
        </w:rPr>
        <w:t>1.13工程量清单错误的修正</w:t>
      </w:r>
      <w:bookmarkEnd w:id="660"/>
      <w:bookmarkEnd w:id="661"/>
      <w:bookmarkEnd w:id="662"/>
      <w:bookmarkEnd w:id="663"/>
      <w:bookmarkEnd w:id="664"/>
      <w:bookmarkEnd w:id="665"/>
      <w:bookmarkEnd w:id="666"/>
    </w:p>
    <w:p w14:paraId="4676B501">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667" w:name="_Toc1415467590"/>
      <w:bookmarkStart w:id="668" w:name="_Toc407135204"/>
      <w:bookmarkStart w:id="669" w:name="_Toc373478349"/>
      <w:bookmarkStart w:id="670" w:name="_Toc78449790"/>
      <w:bookmarkStart w:id="671" w:name="_Toc373227702"/>
      <w:bookmarkStart w:id="672" w:name="_Toc143780453"/>
      <w:bookmarkStart w:id="673" w:name="_Toc389065268"/>
      <w:bookmarkStart w:id="674" w:name="_Toc351203634"/>
      <w:r>
        <w:rPr>
          <w:rFonts w:hint="eastAsia" w:ascii="宋体" w:hAnsi="宋体" w:eastAsia="宋体" w:cs="宋体"/>
          <w:color w:val="000000" w:themeColor="text1"/>
          <w:highlight w:val="none"/>
          <w14:textFill>
            <w14:solidFill>
              <w14:schemeClr w14:val="tx1"/>
            </w14:solidFill>
          </w14:textFill>
        </w:rPr>
        <w:t>出现工程量清单工程量偏差时，是否调整</w:t>
      </w:r>
      <w:r>
        <w:rPr>
          <w:rFonts w:hint="eastAsia" w:ascii="宋体" w:hAnsi="宋体" w:cs="宋体"/>
          <w:color w:val="000000" w:themeColor="text1"/>
          <w:highlight w:val="none"/>
          <w:lang w:val="en-US" w:eastAsia="zh-CN"/>
          <w14:textFill>
            <w14:solidFill>
              <w14:schemeClr w14:val="tx1"/>
            </w14:solidFill>
          </w14:textFill>
        </w:rPr>
        <w:t>对应清单单价</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u w:val="single"/>
          <w:lang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是  </w:t>
      </w:r>
      <w:r>
        <w:rPr>
          <w:rFonts w:hint="eastAsia" w:ascii="宋体" w:hAnsi="宋体" w:cs="宋体"/>
          <w:color w:val="000000" w:themeColor="text1"/>
          <w:highlight w:val="none"/>
          <w:u w:val="single"/>
          <w:lang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否</w:t>
      </w:r>
      <w:r>
        <w:rPr>
          <w:rFonts w:hint="eastAsia" w:ascii="宋体" w:hAnsi="宋体" w:eastAsia="宋体" w:cs="宋体"/>
          <w:color w:val="000000" w:themeColor="text1"/>
          <w:kern w:val="0"/>
          <w:highlight w:val="none"/>
          <w14:textFill>
            <w14:solidFill>
              <w14:schemeClr w14:val="tx1"/>
            </w14:solidFill>
          </w14:textFill>
        </w:rPr>
        <w:t>。</w:t>
      </w:r>
    </w:p>
    <w:p w14:paraId="053FEBE2">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允许调整</w:t>
      </w:r>
      <w:r>
        <w:rPr>
          <w:rFonts w:hint="eastAsia" w:ascii="宋体" w:hAnsi="宋体" w:cs="宋体"/>
          <w:color w:val="000000" w:themeColor="text1"/>
          <w:highlight w:val="none"/>
          <w:lang w:val="en-US" w:eastAsia="zh-CN"/>
          <w14:textFill>
            <w14:solidFill>
              <w14:schemeClr w14:val="tx1"/>
            </w14:solidFill>
          </w14:textFill>
        </w:rPr>
        <w:t>清单单价</w:t>
      </w:r>
      <w:r>
        <w:rPr>
          <w:rFonts w:hint="eastAsia" w:ascii="宋体" w:hAnsi="宋体" w:eastAsia="宋体" w:cs="宋体"/>
          <w:color w:val="000000" w:themeColor="text1"/>
          <w:highlight w:val="none"/>
          <w14:textFill>
            <w14:solidFill>
              <w14:schemeClr w14:val="tx1"/>
            </w14:solidFill>
          </w14:textFill>
        </w:rPr>
        <w:t>的工程量偏差范围及其调整办法</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本项目不适用）</w:t>
      </w:r>
      <w:r>
        <w:rPr>
          <w:rFonts w:hint="eastAsia" w:ascii="宋体" w:hAnsi="宋体" w:eastAsia="宋体" w:cs="宋体"/>
          <w:color w:val="000000" w:themeColor="text1"/>
          <w:highlight w:val="none"/>
          <w14:textFill>
            <w14:solidFill>
              <w14:schemeClr w14:val="tx1"/>
            </w14:solidFill>
          </w14:textFill>
        </w:rPr>
        <w:t>：</w:t>
      </w:r>
    </w:p>
    <w:p w14:paraId="4562D068">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除严重不平衡报价外，无论分部分项工程量清单项目中的工程量变化多少均不调整    </w:t>
      </w:r>
      <w:r>
        <w:rPr>
          <w:rFonts w:hint="eastAsia" w:ascii="宋体" w:hAnsi="宋体" w:eastAsia="宋体" w:cs="宋体"/>
          <w:color w:val="000000" w:themeColor="text1"/>
          <w:kern w:val="0"/>
          <w:highlight w:val="none"/>
          <w14:textFill>
            <w14:solidFill>
              <w14:schemeClr w14:val="tx1"/>
            </w14:solidFill>
          </w14:textFill>
        </w:rPr>
        <w:t>。</w:t>
      </w:r>
    </w:p>
    <w:p w14:paraId="46C8BBBA">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承包人实际完成的某单项清单项目工程量与招标工程量清单工程量偏差超过</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%且该单项清单造价超过合同总价</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%以上的，超过后增加部分工程量或减少后剩余部分工程量的综合单价按以下方法调整：     </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p>
    <w:p w14:paraId="6AC7FED1">
      <w:pPr>
        <w:pStyle w:val="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bookmarkStart w:id="675" w:name="_Toc296944496"/>
      <w:bookmarkStart w:id="676" w:name="_Toc292559362"/>
      <w:bookmarkStart w:id="677" w:name="_Toc296891197"/>
      <w:bookmarkStart w:id="678" w:name="_Toc297120457"/>
      <w:bookmarkStart w:id="679" w:name="_Toc297048343"/>
      <w:bookmarkStart w:id="680" w:name="_Toc296503157"/>
      <w:bookmarkStart w:id="681" w:name="_Toc296890985"/>
      <w:bookmarkStart w:id="682" w:name="_Toc296346658"/>
      <w:bookmarkStart w:id="683" w:name="_Toc296347156"/>
      <w:bookmarkStart w:id="684" w:name="_Toc292559867"/>
      <w:r>
        <w:rPr>
          <w:rFonts w:hint="eastAsia" w:ascii="宋体" w:hAnsi="宋体" w:eastAsia="宋体" w:cs="宋体"/>
          <w:color w:val="000000" w:themeColor="text1"/>
          <w:highlight w:val="none"/>
          <w14:textFill>
            <w14:solidFill>
              <w14:schemeClr w14:val="tx1"/>
            </w14:solidFill>
          </w14:textFill>
        </w:rPr>
        <w:t>. 发包人</w:t>
      </w:r>
      <w:bookmarkEnd w:id="667"/>
      <w:bookmarkEnd w:id="668"/>
      <w:bookmarkEnd w:id="669"/>
      <w:bookmarkEnd w:id="670"/>
      <w:bookmarkEnd w:id="671"/>
      <w:bookmarkEnd w:id="672"/>
      <w:bookmarkEnd w:id="673"/>
      <w:bookmarkEnd w:id="674"/>
    </w:p>
    <w:bookmarkEnd w:id="675"/>
    <w:bookmarkEnd w:id="676"/>
    <w:bookmarkEnd w:id="677"/>
    <w:bookmarkEnd w:id="678"/>
    <w:bookmarkEnd w:id="679"/>
    <w:bookmarkEnd w:id="680"/>
    <w:bookmarkEnd w:id="681"/>
    <w:bookmarkEnd w:id="682"/>
    <w:bookmarkEnd w:id="683"/>
    <w:bookmarkEnd w:id="684"/>
    <w:p w14:paraId="25787B16">
      <w:pPr>
        <w:pStyle w:val="6"/>
        <w:rPr>
          <w:rFonts w:hint="eastAsia" w:ascii="宋体" w:hAnsi="宋体" w:eastAsia="宋体" w:cs="宋体"/>
          <w:color w:val="000000" w:themeColor="text1"/>
          <w:highlight w:val="none"/>
          <w:lang w:eastAsia="zh-CN"/>
          <w14:textFill>
            <w14:solidFill>
              <w14:schemeClr w14:val="tx1"/>
            </w14:solidFill>
          </w14:textFill>
        </w:rPr>
      </w:pPr>
      <w:bookmarkStart w:id="685" w:name="_Toc971240048"/>
      <w:bookmarkStart w:id="686" w:name="_Toc373227703"/>
      <w:bookmarkStart w:id="687" w:name="_Toc373478350"/>
      <w:bookmarkStart w:id="688" w:name="_Toc547644210"/>
      <w:bookmarkStart w:id="689" w:name="_Toc78449791"/>
      <w:bookmarkStart w:id="690" w:name="_Toc389065269"/>
      <w:bookmarkStart w:id="691" w:name="_Toc407135205"/>
      <w:r>
        <w:rPr>
          <w:rFonts w:hint="eastAsia" w:ascii="宋体" w:hAnsi="宋体" w:eastAsia="宋体" w:cs="宋体"/>
          <w:color w:val="000000" w:themeColor="text1"/>
          <w:highlight w:val="none"/>
          <w14:textFill>
            <w14:solidFill>
              <w14:schemeClr w14:val="tx1"/>
            </w14:solidFill>
          </w14:textFill>
        </w:rPr>
        <w:t>2.2 发包人代表</w:t>
      </w:r>
      <w:bookmarkEnd w:id="685"/>
      <w:bookmarkEnd w:id="686"/>
      <w:bookmarkEnd w:id="687"/>
      <w:bookmarkEnd w:id="688"/>
      <w:bookmarkEnd w:id="689"/>
      <w:bookmarkEnd w:id="690"/>
      <w:bookmarkEnd w:id="691"/>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发包人通知到位</w:t>
      </w:r>
      <w:r>
        <w:rPr>
          <w:rFonts w:hint="eastAsia" w:ascii="宋体" w:hAnsi="宋体" w:eastAsia="宋体" w:cs="宋体"/>
          <w:color w:val="000000" w:themeColor="text1"/>
          <w:highlight w:val="none"/>
          <w:lang w:eastAsia="zh-CN"/>
          <w14:textFill>
            <w14:solidFill>
              <w14:schemeClr w14:val="tx1"/>
            </w14:solidFill>
          </w14:textFill>
        </w:rPr>
        <w:t>）</w:t>
      </w:r>
    </w:p>
    <w:p w14:paraId="2E7A0275">
      <w:pPr>
        <w:spacing w:line="360" w:lineRule="auto"/>
        <w:ind w:firstLine="420" w:firstLineChars="200"/>
        <w:rPr>
          <w:rFonts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发包人代表：</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ascii="宋体" w:hAnsi="宋体" w:eastAsia="宋体" w:cs="宋体"/>
          <w:color w:val="000000" w:themeColor="text1"/>
          <w:highlight w:val="none"/>
          <w14:textFill>
            <w14:solidFill>
              <w14:schemeClr w14:val="tx1"/>
            </w14:solidFill>
          </w14:textFill>
        </w:rPr>
        <w:t>(由发包人补充填写)</w:t>
      </w:r>
    </w:p>
    <w:p w14:paraId="645A3EA7">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r>
        <w:rPr>
          <w:rFonts w:ascii="宋体" w:hAnsi="宋体" w:eastAsia="宋体" w:cs="宋体"/>
          <w:color w:val="000000" w:themeColor="text1"/>
          <w:highlight w:val="none"/>
          <w14:textFill>
            <w14:solidFill>
              <w14:schemeClr w14:val="tx1"/>
            </w14:solidFill>
          </w14:textFill>
        </w:rPr>
        <w:t>(由发包人补充填写)</w:t>
      </w:r>
    </w:p>
    <w:p w14:paraId="6F0CAA8E">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电子信箱：</w:t>
      </w:r>
      <w:r>
        <w:rPr>
          <w:rFonts w:hint="eastAsia" w:ascii="宋体" w:hAnsi="宋体" w:eastAsia="宋体" w:cs="宋体"/>
          <w:color w:val="000000" w:themeColor="text1"/>
          <w:highlight w:val="none"/>
          <w:u w:val="single"/>
          <w14:textFill>
            <w14:solidFill>
              <w14:schemeClr w14:val="tx1"/>
            </w14:solidFill>
          </w14:textFill>
        </w:rPr>
        <w:t></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r>
        <w:rPr>
          <w:rFonts w:ascii="宋体" w:hAnsi="宋体" w:eastAsia="宋体" w:cs="宋体"/>
          <w:color w:val="000000" w:themeColor="text1"/>
          <w:highlight w:val="none"/>
          <w14:textFill>
            <w14:solidFill>
              <w14:schemeClr w14:val="tx1"/>
            </w14:solidFill>
          </w14:textFill>
        </w:rPr>
        <w:t>(由发包人补充填写)</w:t>
      </w:r>
    </w:p>
    <w:p w14:paraId="08B6D3BE">
      <w:pPr>
        <w:spacing w:line="360" w:lineRule="auto"/>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通信地址：</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ascii="宋体" w:hAnsi="宋体" w:eastAsia="宋体" w:cs="宋体"/>
          <w:color w:val="000000" w:themeColor="text1"/>
          <w:highlight w:val="none"/>
          <w14:textFill>
            <w14:solidFill>
              <w14:schemeClr w14:val="tx1"/>
            </w14:solidFill>
          </w14:textFill>
        </w:rPr>
        <w:t>(由发包人补充填写)</w:t>
      </w:r>
      <w:r>
        <w:rPr>
          <w:rFonts w:hint="eastAsia" w:ascii="宋体" w:hAnsi="宋体" w:eastAsia="宋体" w:cs="宋体"/>
          <w:color w:val="000000" w:themeColor="text1"/>
          <w:highlight w:val="none"/>
          <w:lang w:val="en-US" w:eastAsia="zh-CN"/>
          <w14:textFill>
            <w14:solidFill>
              <w14:schemeClr w14:val="tx1"/>
            </w14:solidFill>
          </w14:textFill>
        </w:rPr>
        <w:t xml:space="preserve"> </w:t>
      </w:r>
    </w:p>
    <w:p w14:paraId="10BCC46F">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发包人对发包人代表的授权范围如下：</w:t>
      </w:r>
      <w:r>
        <w:rPr>
          <w:rFonts w:hint="eastAsia" w:ascii="宋体" w:hAnsi="宋体" w:eastAsia="宋体" w:cs="宋体"/>
          <w:color w:val="000000" w:themeColor="text1"/>
          <w:sz w:val="21"/>
          <w:szCs w:val="21"/>
          <w:highlight w:val="none"/>
          <w:u w:val="single"/>
          <w14:textFill>
            <w14:solidFill>
              <w14:schemeClr w14:val="tx1"/>
            </w14:solidFill>
          </w14:textFill>
        </w:rPr>
        <w:t>督促指导监理单位管理人员</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履行</w:t>
      </w:r>
      <w:r>
        <w:rPr>
          <w:rFonts w:hint="eastAsia" w:ascii="宋体" w:hAnsi="宋体" w:eastAsia="宋体" w:cs="宋体"/>
          <w:color w:val="000000" w:themeColor="text1"/>
          <w:sz w:val="21"/>
          <w:szCs w:val="21"/>
          <w:highlight w:val="none"/>
          <w:u w:val="single"/>
          <w14:textFill>
            <w14:solidFill>
              <w14:schemeClr w14:val="tx1"/>
            </w14:solidFill>
          </w14:textFill>
        </w:rPr>
        <w:t>监理职责，协调解决有关设计变更、工程进度和安全文明施工等工程施工过程遇到的问题，办理、签认现场合理的经济技术签证，审核工程进度报表等。</w:t>
      </w:r>
    </w:p>
    <w:p w14:paraId="413069A7">
      <w:pPr>
        <w:pStyle w:val="6"/>
        <w:rPr>
          <w:rFonts w:hint="eastAsia" w:ascii="宋体" w:hAnsi="宋体" w:eastAsia="宋体" w:cs="宋体"/>
          <w:color w:val="000000" w:themeColor="text1"/>
          <w:highlight w:val="none"/>
          <w14:textFill>
            <w14:solidFill>
              <w14:schemeClr w14:val="tx1"/>
            </w14:solidFill>
          </w14:textFill>
        </w:rPr>
      </w:pPr>
      <w:bookmarkStart w:id="692" w:name="_Toc373227704"/>
      <w:bookmarkStart w:id="693" w:name="_Toc2077499244"/>
      <w:bookmarkStart w:id="694" w:name="_Toc389065270"/>
      <w:bookmarkStart w:id="695" w:name="_Toc2066513957"/>
      <w:bookmarkStart w:id="696" w:name="_Toc407135206"/>
      <w:bookmarkStart w:id="697" w:name="_Toc78449792"/>
      <w:bookmarkStart w:id="698" w:name="_Toc373478351"/>
      <w:r>
        <w:rPr>
          <w:rFonts w:hint="eastAsia" w:ascii="宋体" w:hAnsi="宋体" w:eastAsia="宋体" w:cs="宋体"/>
          <w:color w:val="000000" w:themeColor="text1"/>
          <w:highlight w:val="none"/>
          <w14:textFill>
            <w14:solidFill>
              <w14:schemeClr w14:val="tx1"/>
            </w14:solidFill>
          </w14:textFill>
        </w:rPr>
        <w:t>2.4 施工现场、施工条件和基础资料的提供</w:t>
      </w:r>
      <w:bookmarkEnd w:id="692"/>
      <w:bookmarkEnd w:id="693"/>
      <w:bookmarkEnd w:id="694"/>
      <w:bookmarkEnd w:id="695"/>
      <w:bookmarkEnd w:id="696"/>
      <w:bookmarkEnd w:id="697"/>
      <w:bookmarkEnd w:id="698"/>
    </w:p>
    <w:p w14:paraId="46885627">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2.4.1 提供施工现场</w:t>
      </w:r>
    </w:p>
    <w:p w14:paraId="3BA567F8">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关于发包人移交施工现场的期限要求：</w:t>
      </w:r>
      <w:r>
        <w:rPr>
          <w:rFonts w:hint="eastAsia" w:ascii="宋体" w:hAnsi="宋体" w:eastAsia="宋体" w:cs="宋体"/>
          <w:color w:val="000000" w:themeColor="text1"/>
          <w:highlight w:val="none"/>
          <w:u w:val="single"/>
          <w14:textFill>
            <w14:solidFill>
              <w14:schemeClr w14:val="tx1"/>
            </w14:solidFill>
          </w14:textFill>
        </w:rPr>
        <w:t>施工场地应当在监理人发出的开工通知中载明的开工日期前 7 天具备施工条件并移交给承包人，具体施工条件在以下条款中约定。发包人最迟应当在移交施工场地的同时向承包人提供施工场地内地下管线和地下设施等有关资料，并保证资料的真实、准确和完整</w:t>
      </w:r>
      <w:r>
        <w:rPr>
          <w:rFonts w:hint="eastAsia" w:ascii="宋体" w:hAnsi="宋体" w:eastAsia="宋体" w:cs="宋体"/>
          <w:color w:val="000000" w:themeColor="text1"/>
          <w:highlight w:val="none"/>
          <w14:textFill>
            <w14:solidFill>
              <w14:schemeClr w14:val="tx1"/>
            </w14:solidFill>
          </w14:textFill>
        </w:rPr>
        <w:t>。</w:t>
      </w:r>
    </w:p>
    <w:p w14:paraId="488B3361">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2.4.2 提供施工条件</w:t>
      </w:r>
    </w:p>
    <w:p w14:paraId="59556294">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关于发包人应负责提供施工所需要的条件，包括：</w:t>
      </w:r>
      <w:r>
        <w:rPr>
          <w:rFonts w:hint="eastAsia" w:ascii="宋体" w:hAnsi="宋体" w:eastAsia="宋体" w:cs="宋体"/>
          <w:color w:val="000000" w:themeColor="text1"/>
          <w:highlight w:val="none"/>
          <w:u w:val="single"/>
          <w:lang w:val="en-US" w:eastAsia="zh-CN"/>
          <w14:textFill>
            <w14:solidFill>
              <w14:schemeClr w14:val="tx1"/>
            </w14:solidFill>
          </w14:textFill>
        </w:rPr>
        <w:t>将项目施工所需</w:t>
      </w:r>
      <w:r>
        <w:rPr>
          <w:rFonts w:hint="eastAsia" w:ascii="宋体" w:hAnsi="宋体" w:eastAsia="宋体" w:cs="宋体"/>
          <w:color w:val="000000" w:themeColor="text1"/>
          <w:highlight w:val="none"/>
          <w:u w:val="single"/>
          <w14:textFill>
            <w14:solidFill>
              <w14:schemeClr w14:val="tx1"/>
            </w14:solidFill>
          </w14:textFill>
        </w:rPr>
        <w:t>水、电、电讯线路</w:t>
      </w:r>
      <w:r>
        <w:rPr>
          <w:rFonts w:hint="eastAsia" w:ascii="宋体" w:hAnsi="宋体" w:eastAsia="宋体" w:cs="宋体"/>
          <w:color w:val="000000" w:themeColor="text1"/>
          <w:highlight w:val="none"/>
          <w:u w:val="single"/>
          <w:lang w:val="en-US" w:eastAsia="zh-CN"/>
          <w14:textFill>
            <w14:solidFill>
              <w14:schemeClr w14:val="tx1"/>
            </w14:solidFill>
          </w14:textFill>
        </w:rPr>
        <w:t>接至项目所在学校内，但具体从校内</w:t>
      </w:r>
      <w:r>
        <w:rPr>
          <w:rFonts w:hint="eastAsia" w:ascii="宋体" w:hAnsi="宋体" w:eastAsia="宋体" w:cs="宋体"/>
          <w:color w:val="000000" w:themeColor="text1"/>
          <w:highlight w:val="none"/>
          <w:u w:val="single"/>
          <w14:textFill>
            <w14:solidFill>
              <w14:schemeClr w14:val="tx1"/>
            </w14:solidFill>
          </w14:textFill>
        </w:rPr>
        <w:t>接至施工</w:t>
      </w:r>
      <w:r>
        <w:rPr>
          <w:rFonts w:hint="eastAsia" w:ascii="宋体" w:hAnsi="宋体" w:eastAsia="宋体" w:cs="宋体"/>
          <w:color w:val="000000" w:themeColor="text1"/>
          <w:highlight w:val="none"/>
          <w:u w:val="single"/>
          <w:lang w:val="en-US" w:eastAsia="zh-CN"/>
          <w14:textFill>
            <w14:solidFill>
              <w14:schemeClr w14:val="tx1"/>
            </w14:solidFill>
          </w14:textFill>
        </w:rPr>
        <w:t>指定</w:t>
      </w:r>
      <w:r>
        <w:rPr>
          <w:rFonts w:hint="eastAsia" w:ascii="宋体" w:hAnsi="宋体" w:eastAsia="宋体" w:cs="宋体"/>
          <w:color w:val="000000" w:themeColor="text1"/>
          <w:highlight w:val="none"/>
          <w:u w:val="single"/>
          <w14:textFill>
            <w14:solidFill>
              <w14:schemeClr w14:val="tx1"/>
            </w14:solidFill>
          </w14:textFill>
        </w:rPr>
        <w:t>场地</w:t>
      </w:r>
      <w:r>
        <w:rPr>
          <w:rFonts w:hint="eastAsia" w:ascii="宋体" w:hAnsi="宋体" w:eastAsia="宋体" w:cs="宋体"/>
          <w:color w:val="000000" w:themeColor="text1"/>
          <w:highlight w:val="none"/>
          <w:u w:val="single"/>
          <w:lang w:val="en-US" w:eastAsia="zh-CN"/>
          <w14:textFill>
            <w14:solidFill>
              <w14:schemeClr w14:val="tx1"/>
            </w14:solidFill>
          </w14:textFill>
        </w:rPr>
        <w:t>发生的费用</w:t>
      </w:r>
      <w:r>
        <w:rPr>
          <w:rFonts w:hint="eastAsia" w:ascii="宋体" w:hAnsi="宋体" w:eastAsia="宋体" w:cs="宋体"/>
          <w:color w:val="000000" w:themeColor="text1"/>
          <w:highlight w:val="none"/>
          <w:u w:val="single"/>
          <w14:textFill>
            <w14:solidFill>
              <w14:schemeClr w14:val="tx1"/>
            </w14:solidFill>
          </w14:textFill>
        </w:rPr>
        <w:t>由承包人</w:t>
      </w:r>
      <w:r>
        <w:rPr>
          <w:rFonts w:hint="eastAsia" w:ascii="宋体" w:hAnsi="宋体" w:eastAsia="宋体" w:cs="宋体"/>
          <w:color w:val="000000" w:themeColor="text1"/>
          <w:highlight w:val="none"/>
          <w:u w:val="single"/>
          <w:lang w:val="en-US" w:eastAsia="zh-CN"/>
          <w14:textFill>
            <w14:solidFill>
              <w14:schemeClr w14:val="tx1"/>
            </w14:solidFill>
          </w14:textFill>
        </w:rPr>
        <w:t>承担</w:t>
      </w:r>
      <w:r>
        <w:rPr>
          <w:rFonts w:hint="eastAsia" w:ascii="宋体" w:hAnsi="宋体" w:eastAsia="宋体" w:cs="宋体"/>
          <w:color w:val="000000" w:themeColor="text1"/>
          <w:highlight w:val="none"/>
          <w:u w:val="single"/>
          <w14:textFill>
            <w14:solidFill>
              <w14:schemeClr w14:val="tx1"/>
            </w14:solidFill>
          </w14:textFill>
        </w:rPr>
        <w:t>。若供电部门的原因造成停电，承包人必须自行解决施工用电，费用自理</w:t>
      </w:r>
      <w:r>
        <w:rPr>
          <w:rFonts w:hint="eastAsia" w:ascii="宋体" w:hAnsi="宋体" w:eastAsia="宋体" w:cs="宋体"/>
          <w:color w:val="000000" w:themeColor="text1"/>
          <w:highlight w:val="none"/>
          <w14:textFill>
            <w14:solidFill>
              <w14:schemeClr w14:val="tx1"/>
            </w14:solidFill>
          </w14:textFill>
        </w:rPr>
        <w:t>。</w:t>
      </w:r>
    </w:p>
    <w:p w14:paraId="5AB3BBDA">
      <w:pPr>
        <w:pStyle w:val="6"/>
        <w:rPr>
          <w:rFonts w:hint="eastAsia" w:ascii="宋体" w:hAnsi="宋体" w:eastAsia="宋体" w:cs="宋体"/>
          <w:color w:val="000000" w:themeColor="text1"/>
          <w:highlight w:val="none"/>
          <w14:textFill>
            <w14:solidFill>
              <w14:schemeClr w14:val="tx1"/>
            </w14:solidFill>
          </w14:textFill>
        </w:rPr>
      </w:pPr>
      <w:bookmarkStart w:id="699" w:name="_Toc373478352"/>
      <w:bookmarkStart w:id="700" w:name="_Toc1238195908"/>
      <w:bookmarkStart w:id="701" w:name="_Toc672429943"/>
      <w:bookmarkStart w:id="702" w:name="_Toc389065271"/>
      <w:bookmarkStart w:id="703" w:name="_Toc78449793"/>
      <w:bookmarkStart w:id="704" w:name="_Toc407135207"/>
      <w:bookmarkStart w:id="705" w:name="_Toc373227705"/>
      <w:r>
        <w:rPr>
          <w:rFonts w:hint="eastAsia" w:ascii="宋体" w:hAnsi="宋体" w:eastAsia="宋体" w:cs="宋体"/>
          <w:color w:val="000000" w:themeColor="text1"/>
          <w:highlight w:val="none"/>
          <w14:textFill>
            <w14:solidFill>
              <w14:schemeClr w14:val="tx1"/>
            </w14:solidFill>
          </w14:textFill>
        </w:rPr>
        <w:t>2.5 资金来源证明及支付担保</w:t>
      </w:r>
      <w:bookmarkEnd w:id="699"/>
      <w:bookmarkEnd w:id="700"/>
      <w:bookmarkEnd w:id="701"/>
      <w:bookmarkEnd w:id="702"/>
      <w:bookmarkEnd w:id="703"/>
      <w:bookmarkEnd w:id="704"/>
      <w:bookmarkEnd w:id="705"/>
    </w:p>
    <w:p w14:paraId="4C816C5E">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发包人提供资金来源证明的期限要求：</w:t>
      </w:r>
      <w:r>
        <w:rPr>
          <w:rFonts w:hint="eastAsia" w:ascii="宋体" w:hAnsi="宋体" w:eastAsia="宋体" w:cs="宋体"/>
          <w:color w:val="000000" w:themeColor="text1"/>
          <w:sz w:val="21"/>
          <w:szCs w:val="21"/>
          <w:highlight w:val="none"/>
          <w:u w:val="single" w:color="auto"/>
          <w14:textFill>
            <w14:solidFill>
              <w14:schemeClr w14:val="tx1"/>
            </w14:solidFill>
          </w14:textFill>
        </w:rPr>
        <w:t>见第一</w:t>
      </w:r>
      <w:r>
        <w:rPr>
          <w:rFonts w:hint="eastAsia" w:ascii="宋体" w:hAnsi="宋体" w:eastAsia="宋体" w:cs="宋体"/>
          <w:color w:val="000000" w:themeColor="text1"/>
          <w:spacing w:val="-1"/>
          <w:sz w:val="21"/>
          <w:szCs w:val="21"/>
          <w:highlight w:val="none"/>
          <w:u w:val="single" w:color="auto"/>
          <w14:textFill>
            <w14:solidFill>
              <w14:schemeClr w14:val="tx1"/>
            </w14:solidFill>
          </w14:textFill>
        </w:rPr>
        <w:t>部分合同协议书</w:t>
      </w:r>
      <w:r>
        <w:rPr>
          <w:rFonts w:hint="eastAsia" w:ascii="宋体" w:hAnsi="宋体" w:eastAsia="宋体" w:cs="宋体"/>
          <w:color w:val="000000" w:themeColor="text1"/>
          <w:highlight w:val="none"/>
          <w14:textFill>
            <w14:solidFill>
              <w14:schemeClr w14:val="tx1"/>
            </w14:solidFill>
          </w14:textFill>
        </w:rPr>
        <w:t>。</w:t>
      </w:r>
    </w:p>
    <w:p w14:paraId="108E34B1">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发包人是否提供支付担保：</w:t>
      </w:r>
      <w:r>
        <w:rPr>
          <w:rFonts w:hint="eastAsia" w:ascii="宋体" w:hAnsi="宋体" w:eastAsia="宋体" w:cs="宋体"/>
          <w:color w:val="000000" w:themeColor="text1"/>
          <w:highlight w:val="none"/>
          <w:u w:val="single"/>
          <w:lang w:eastAsia="zh-CN"/>
          <w14:textFill>
            <w14:solidFill>
              <w14:schemeClr w14:val="tx1"/>
            </w14:solidFill>
          </w14:textFill>
        </w:rPr>
        <w:t>不提供</w:t>
      </w:r>
      <w:r>
        <w:rPr>
          <w:rFonts w:hint="eastAsia" w:ascii="宋体" w:hAnsi="宋体" w:eastAsia="宋体" w:cs="宋体"/>
          <w:color w:val="000000" w:themeColor="text1"/>
          <w:highlight w:val="none"/>
          <w:u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564677E0">
      <w:pPr>
        <w:spacing w:line="360" w:lineRule="auto"/>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发包人提供支付担保的形式：</w:t>
      </w:r>
      <w:r>
        <w:rPr>
          <w:rFonts w:hint="eastAsia" w:ascii="宋体" w:hAnsi="宋体" w:eastAsia="宋体" w:cs="宋体"/>
          <w:color w:val="000000" w:themeColor="text1"/>
          <w:highlight w:val="none"/>
          <w:u w:val="single"/>
          <w:lang w:eastAsia="zh-CN"/>
          <w14:textFill>
            <w14:solidFill>
              <w14:schemeClr w14:val="tx1"/>
            </w14:solidFill>
          </w14:textFill>
        </w:rPr>
        <w:t>无</w:t>
      </w:r>
      <w:r>
        <w:rPr>
          <w:rFonts w:hint="eastAsia" w:ascii="宋体" w:hAnsi="宋体" w:eastAsia="宋体" w:cs="宋体"/>
          <w:color w:val="000000" w:themeColor="text1"/>
          <w:highlight w:val="none"/>
          <w:lang w:val="en-US" w:eastAsia="zh-CN"/>
          <w14:textFill>
            <w14:solidFill>
              <w14:schemeClr w14:val="tx1"/>
            </w14:solidFill>
          </w14:textFill>
        </w:rPr>
        <w:t>。</w:t>
      </w:r>
    </w:p>
    <w:p w14:paraId="7D9D4FFF">
      <w:pPr>
        <w:pStyle w:val="5"/>
        <w:rPr>
          <w:rFonts w:hint="eastAsia" w:ascii="宋体" w:hAnsi="宋体" w:eastAsia="宋体" w:cs="宋体"/>
          <w:color w:val="000000" w:themeColor="text1"/>
          <w:highlight w:val="none"/>
          <w14:textFill>
            <w14:solidFill>
              <w14:schemeClr w14:val="tx1"/>
            </w14:solidFill>
          </w14:textFill>
        </w:rPr>
      </w:pPr>
      <w:bookmarkStart w:id="706" w:name="_Toc373478353"/>
      <w:bookmarkStart w:id="707" w:name="_Toc407135208"/>
      <w:bookmarkStart w:id="708" w:name="_Toc389065272"/>
      <w:bookmarkStart w:id="709" w:name="_Toc351203635"/>
      <w:bookmarkStart w:id="710" w:name="_Toc1181400362"/>
      <w:bookmarkStart w:id="711" w:name="_Toc78449794"/>
      <w:bookmarkStart w:id="712" w:name="_Toc729657770"/>
      <w:bookmarkStart w:id="713" w:name="_Toc373227706"/>
      <w:r>
        <w:rPr>
          <w:rFonts w:hint="eastAsia" w:ascii="宋体" w:hAnsi="宋体" w:eastAsia="宋体" w:cs="宋体"/>
          <w:color w:val="000000" w:themeColor="text1"/>
          <w:highlight w:val="none"/>
          <w14:textFill>
            <w14:solidFill>
              <w14:schemeClr w14:val="tx1"/>
            </w14:solidFill>
          </w14:textFill>
        </w:rPr>
        <w:t>3</w:t>
      </w:r>
      <w:bookmarkStart w:id="714" w:name="_Toc296347157"/>
      <w:bookmarkStart w:id="715" w:name="_Toc297120458"/>
      <w:bookmarkStart w:id="716" w:name="_Toc296503158"/>
      <w:bookmarkStart w:id="717" w:name="_Toc296346659"/>
      <w:bookmarkStart w:id="718" w:name="_Toc296890986"/>
      <w:bookmarkStart w:id="719" w:name="_Toc292559363"/>
      <w:bookmarkStart w:id="720" w:name="_Toc292559868"/>
      <w:bookmarkStart w:id="721" w:name="_Toc296891198"/>
      <w:bookmarkStart w:id="722" w:name="_Toc296944497"/>
      <w:bookmarkStart w:id="723" w:name="_Toc297048344"/>
      <w:r>
        <w:rPr>
          <w:rFonts w:hint="eastAsia" w:ascii="宋体" w:hAnsi="宋体" w:eastAsia="宋体" w:cs="宋体"/>
          <w:color w:val="000000" w:themeColor="text1"/>
          <w:highlight w:val="none"/>
          <w14:textFill>
            <w14:solidFill>
              <w14:schemeClr w14:val="tx1"/>
            </w14:solidFill>
          </w14:textFill>
        </w:rPr>
        <w:t>. 承包人</w:t>
      </w:r>
      <w:bookmarkEnd w:id="706"/>
      <w:bookmarkEnd w:id="707"/>
      <w:bookmarkEnd w:id="708"/>
      <w:bookmarkEnd w:id="709"/>
      <w:bookmarkEnd w:id="710"/>
      <w:bookmarkEnd w:id="711"/>
      <w:bookmarkEnd w:id="712"/>
      <w:bookmarkEnd w:id="713"/>
    </w:p>
    <w:bookmarkEnd w:id="714"/>
    <w:bookmarkEnd w:id="715"/>
    <w:bookmarkEnd w:id="716"/>
    <w:bookmarkEnd w:id="717"/>
    <w:bookmarkEnd w:id="718"/>
    <w:bookmarkEnd w:id="719"/>
    <w:bookmarkEnd w:id="720"/>
    <w:bookmarkEnd w:id="721"/>
    <w:bookmarkEnd w:id="722"/>
    <w:bookmarkEnd w:id="723"/>
    <w:p w14:paraId="693A3818">
      <w:pPr>
        <w:pStyle w:val="6"/>
        <w:rPr>
          <w:rFonts w:hint="eastAsia" w:ascii="宋体" w:hAnsi="宋体" w:eastAsia="宋体" w:cs="宋体"/>
          <w:color w:val="000000" w:themeColor="text1"/>
          <w:highlight w:val="none"/>
          <w14:textFill>
            <w14:solidFill>
              <w14:schemeClr w14:val="tx1"/>
            </w14:solidFill>
          </w14:textFill>
        </w:rPr>
      </w:pPr>
      <w:bookmarkStart w:id="724" w:name="_Toc373478354"/>
      <w:bookmarkStart w:id="725" w:name="_Toc407135209"/>
      <w:bookmarkStart w:id="726" w:name="_Toc373227707"/>
      <w:bookmarkStart w:id="727" w:name="_Toc1642190822"/>
      <w:bookmarkStart w:id="728" w:name="_Toc962678435"/>
      <w:bookmarkStart w:id="729" w:name="_Toc389065273"/>
      <w:bookmarkStart w:id="730" w:name="_Toc78449795"/>
      <w:r>
        <w:rPr>
          <w:rFonts w:hint="eastAsia" w:ascii="宋体" w:hAnsi="宋体" w:eastAsia="宋体" w:cs="宋体"/>
          <w:color w:val="000000" w:themeColor="text1"/>
          <w:highlight w:val="none"/>
          <w14:textFill>
            <w14:solidFill>
              <w14:schemeClr w14:val="tx1"/>
            </w14:solidFill>
          </w14:textFill>
        </w:rPr>
        <w:t>3.1 承包人的一般义务</w:t>
      </w:r>
      <w:bookmarkEnd w:id="724"/>
      <w:bookmarkEnd w:id="725"/>
      <w:bookmarkEnd w:id="726"/>
      <w:bookmarkEnd w:id="727"/>
      <w:bookmarkEnd w:id="728"/>
      <w:bookmarkEnd w:id="729"/>
      <w:bookmarkEnd w:id="730"/>
    </w:p>
    <w:p w14:paraId="4AEE5675">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（9）</w:t>
      </w:r>
      <w:r>
        <w:rPr>
          <w:rFonts w:hint="eastAsia" w:ascii="宋体" w:hAnsi="宋体" w:eastAsia="宋体" w:cs="宋体"/>
          <w:color w:val="000000" w:themeColor="text1"/>
          <w:highlight w:val="none"/>
          <w14:textFill>
            <w14:solidFill>
              <w14:schemeClr w14:val="tx1"/>
            </w14:solidFill>
          </w14:textFill>
        </w:rPr>
        <w:t>承包人提交的竣工资料的内容：</w:t>
      </w:r>
      <w:r>
        <w:rPr>
          <w:rFonts w:hint="eastAsia" w:ascii="宋体" w:hAnsi="宋体" w:eastAsia="宋体" w:cs="宋体"/>
          <w:color w:val="000000" w:themeColor="text1"/>
          <w:highlight w:val="none"/>
          <w:u w:val="single"/>
          <w14:textFill>
            <w14:solidFill>
              <w14:schemeClr w14:val="tx1"/>
            </w14:solidFill>
          </w14:textFill>
        </w:rPr>
        <w:t>除专用合同条款约定的由承包人提供的设计文件外，本项约定的其他应由承包人提供的文件，包括必要的加工图和大样图，均不是合同计量与支付的依据文件。由承包人提供的文件范围：工程建设项目竣工验收前，承包人应根据合同工作内容要求，分别整理竣工验收资料（含竣工图），汇总为完整的建设项目竣工资料报发包人</w:t>
      </w:r>
      <w:r>
        <w:rPr>
          <w:rFonts w:hint="eastAsia" w:ascii="宋体" w:hAnsi="宋体" w:eastAsia="宋体" w:cs="宋体"/>
          <w:color w:val="000000" w:themeColor="text1"/>
          <w:highlight w:val="none"/>
          <w14:textFill>
            <w14:solidFill>
              <w14:schemeClr w14:val="tx1"/>
            </w14:solidFill>
          </w14:textFill>
        </w:rPr>
        <w:t>。</w:t>
      </w:r>
    </w:p>
    <w:p w14:paraId="4A0216C4">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承包人需要提交的竣工资料套数：</w:t>
      </w:r>
      <w:r>
        <w:rPr>
          <w:rFonts w:hint="eastAsia" w:ascii="宋体" w:hAnsi="宋体" w:eastAsia="宋体" w:cs="宋体"/>
          <w:color w:val="000000" w:themeColor="text1"/>
          <w:highlight w:val="none"/>
          <w:u w:val="single"/>
          <w14:textFill>
            <w14:solidFill>
              <w14:schemeClr w14:val="tx1"/>
            </w14:solidFill>
          </w14:textFill>
        </w:rPr>
        <w:t>提供竣工验收资料的数量为2 套，竣工图的数量为贰套</w:t>
      </w:r>
      <w:r>
        <w:rPr>
          <w:rFonts w:hint="eastAsia" w:ascii="宋体" w:hAnsi="宋体" w:eastAsia="宋体" w:cs="宋体"/>
          <w:color w:val="000000" w:themeColor="text1"/>
          <w:highlight w:val="none"/>
          <w14:textFill>
            <w14:solidFill>
              <w14:schemeClr w14:val="tx1"/>
            </w14:solidFill>
          </w14:textFill>
        </w:rPr>
        <w:t>。</w:t>
      </w:r>
    </w:p>
    <w:p w14:paraId="63B4E154">
      <w:pPr>
        <w:spacing w:line="360" w:lineRule="auto"/>
        <w:ind w:left="424" w:leftChars="202"/>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承包人提交的竣工资料的费用承担：</w:t>
      </w:r>
      <w:r>
        <w:rPr>
          <w:rFonts w:hint="eastAsia" w:ascii="宋体" w:hAnsi="宋体" w:eastAsia="宋体" w:cs="宋体"/>
          <w:color w:val="000000" w:themeColor="text1"/>
          <w:highlight w:val="none"/>
          <w:u w:val="single"/>
          <w:lang w:eastAsia="zh-CN"/>
          <w14:textFill>
            <w14:solidFill>
              <w14:schemeClr w14:val="tx1"/>
            </w14:solidFill>
          </w14:textFill>
        </w:rPr>
        <w:t>由承包人承担</w:t>
      </w:r>
      <w:r>
        <w:rPr>
          <w:rFonts w:hint="eastAsia" w:ascii="宋体" w:hAnsi="宋体" w:eastAsia="宋体" w:cs="宋体"/>
          <w:color w:val="000000" w:themeColor="text1"/>
          <w:highlight w:val="none"/>
          <w14:textFill>
            <w14:solidFill>
              <w14:schemeClr w14:val="tx1"/>
            </w14:solidFill>
          </w14:textFill>
        </w:rPr>
        <w:t>。</w:t>
      </w:r>
    </w:p>
    <w:p w14:paraId="79F550FA">
      <w:pPr>
        <w:spacing w:line="360" w:lineRule="auto"/>
        <w:ind w:left="424" w:leftChars="202"/>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承包人提交的竣工资料移交时间：</w:t>
      </w:r>
      <w:r>
        <w:rPr>
          <w:rFonts w:hint="eastAsia" w:ascii="宋体" w:hAnsi="宋体" w:eastAsia="宋体" w:cs="宋体"/>
          <w:color w:val="000000" w:themeColor="text1"/>
          <w:szCs w:val="21"/>
          <w:highlight w:val="none"/>
          <w:u w:val="single"/>
          <w14:textFill>
            <w14:solidFill>
              <w14:schemeClr w14:val="tx1"/>
            </w14:solidFill>
          </w14:textFill>
        </w:rPr>
        <w:t>竣工验收</w:t>
      </w:r>
      <w:r>
        <w:rPr>
          <w:rFonts w:hint="eastAsia" w:ascii="宋体" w:hAnsi="宋体" w:eastAsia="宋体" w:cs="宋体"/>
          <w:color w:val="000000" w:themeColor="text1"/>
          <w:szCs w:val="21"/>
          <w:highlight w:val="none"/>
          <w:u w:val="single"/>
          <w:lang w:eastAsia="zh-CN"/>
          <w14:textFill>
            <w14:solidFill>
              <w14:schemeClr w14:val="tx1"/>
            </w14:solidFill>
          </w14:textFill>
        </w:rPr>
        <w:t>后</w:t>
      </w:r>
      <w:r>
        <w:rPr>
          <w:rFonts w:hint="eastAsia" w:ascii="宋体" w:hAnsi="宋体" w:eastAsia="宋体" w:cs="宋体"/>
          <w:color w:val="000000" w:themeColor="text1"/>
          <w:szCs w:val="21"/>
          <w:highlight w:val="none"/>
          <w:u w:val="single"/>
          <w14:textFill>
            <w14:solidFill>
              <w14:schemeClr w14:val="tx1"/>
            </w14:solidFill>
          </w14:textFill>
        </w:rPr>
        <w:t>30天内</w:t>
      </w:r>
      <w:r>
        <w:rPr>
          <w:rFonts w:hint="eastAsia" w:ascii="宋体" w:hAnsi="宋体" w:eastAsia="宋体" w:cs="宋体"/>
          <w:color w:val="000000" w:themeColor="text1"/>
          <w:highlight w:val="none"/>
          <w14:textFill>
            <w14:solidFill>
              <w14:schemeClr w14:val="tx1"/>
            </w14:solidFill>
          </w14:textFill>
        </w:rPr>
        <w:t>。</w:t>
      </w:r>
    </w:p>
    <w:p w14:paraId="2FD11F0F">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承包人提交的竣工资料形式要求：</w:t>
      </w:r>
      <w:r>
        <w:rPr>
          <w:rFonts w:hint="eastAsia" w:ascii="宋体" w:hAnsi="宋体" w:eastAsia="宋体" w:cs="宋体"/>
          <w:color w:val="000000" w:themeColor="text1"/>
          <w:highlight w:val="none"/>
          <w:u w:val="single"/>
          <w14:textFill>
            <w14:solidFill>
              <w14:schemeClr w14:val="tx1"/>
            </w14:solidFill>
          </w14:textFill>
        </w:rPr>
        <w:t>承包人按国家、地方的工程竣工验收有关规定，向发包  人提交完整的竣工资料、竣工图及竣工验收报告； 由监理工程师负责审核并组织竣工验收。承  包人提交的工程文件（档案）、竣工资料、竣工图必须满足国家、地方（含城建档案管理部门等）相关规范、规定，否则， 监理单位及发包人均有权拒绝竣工验收及结算，承包人因此逾期交付的，发包人有权按本合同的相关条款追究其违约责任</w:t>
      </w:r>
      <w:r>
        <w:rPr>
          <w:rFonts w:hint="eastAsia" w:ascii="宋体" w:hAnsi="宋体" w:eastAsia="宋体" w:cs="宋体"/>
          <w:color w:val="000000" w:themeColor="text1"/>
          <w:highlight w:val="none"/>
          <w14:textFill>
            <w14:solidFill>
              <w14:schemeClr w14:val="tx1"/>
            </w14:solidFill>
          </w14:textFill>
        </w:rPr>
        <w:t>。</w:t>
      </w:r>
    </w:p>
    <w:p w14:paraId="2E353E26">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（10）承包人应履行的其他义务：</w:t>
      </w:r>
      <w:r>
        <w:rPr>
          <w:rFonts w:hint="eastAsia" w:ascii="宋体" w:hAnsi="宋体" w:eastAsia="宋体" w:cs="宋体"/>
          <w:color w:val="000000" w:themeColor="text1"/>
          <w:kern w:val="0"/>
          <w:highlight w:val="none"/>
          <w:u w:val="single"/>
          <w14:textFill>
            <w14:solidFill>
              <w14:schemeClr w14:val="tx1"/>
            </w14:solidFill>
          </w14:textFill>
        </w:rPr>
        <w:t>对开工的项目，须组建项目工会。 ①施工场地周围地下 管线和邻近建筑物、构筑物（含文物保护建筑）、古树名木的保护要求及费用承担：承包人施 工时应探明并负责保护且承包费用，施工时如损坏地下管线、邻近建筑物、构筑物，所发生费用由承包人承担</w:t>
      </w:r>
      <w:r>
        <w:rPr>
          <w:rFonts w:hint="eastAsia" w:ascii="宋体" w:hAnsi="宋体" w:eastAsia="宋体" w:cs="宋体"/>
          <w:color w:val="000000" w:themeColor="text1"/>
          <w:kern w:val="0"/>
          <w:highlight w:val="none"/>
          <w:u w:val="single"/>
          <w:lang w:eastAsia="zh-CN"/>
          <w14:textFill>
            <w14:solidFill>
              <w14:schemeClr w14:val="tx1"/>
            </w14:solidFill>
          </w14:textFill>
        </w:rPr>
        <w:t>。②取土场及弃土场由承包人自行解决，但不得违反相关管理规定， 并承担相关费用</w:t>
      </w:r>
      <w:r>
        <w:rPr>
          <w:rFonts w:hint="eastAsia" w:ascii="宋体" w:hAnsi="宋体" w:eastAsia="宋体" w:cs="宋体"/>
          <w:color w:val="000000" w:themeColor="text1"/>
          <w:kern w:val="0"/>
          <w:highlight w:val="none"/>
          <w:lang w:eastAsia="zh-CN"/>
          <w14:textFill>
            <w14:solidFill>
              <w14:schemeClr w14:val="tx1"/>
            </w14:solidFill>
          </w14:textFill>
        </w:rPr>
        <w:t>。</w:t>
      </w:r>
    </w:p>
    <w:p w14:paraId="20A03578">
      <w:pPr>
        <w:pStyle w:val="6"/>
        <w:rPr>
          <w:rFonts w:hint="eastAsia" w:ascii="宋体" w:hAnsi="宋体" w:eastAsia="宋体" w:cs="宋体"/>
          <w:color w:val="000000" w:themeColor="text1"/>
          <w:highlight w:val="none"/>
          <w14:textFill>
            <w14:solidFill>
              <w14:schemeClr w14:val="tx1"/>
            </w14:solidFill>
          </w14:textFill>
        </w:rPr>
      </w:pPr>
      <w:bookmarkStart w:id="731" w:name="_Toc78449796"/>
      <w:bookmarkStart w:id="732" w:name="_Toc389065274"/>
      <w:bookmarkStart w:id="733" w:name="_Toc501741485"/>
      <w:bookmarkStart w:id="734" w:name="_Toc373478355"/>
      <w:bookmarkStart w:id="735" w:name="_Toc373227708"/>
      <w:bookmarkStart w:id="736" w:name="_Toc407135210"/>
      <w:bookmarkStart w:id="737" w:name="_Toc1659520837"/>
      <w:r>
        <w:rPr>
          <w:rFonts w:hint="eastAsia" w:ascii="宋体" w:hAnsi="宋体" w:eastAsia="宋体" w:cs="宋体"/>
          <w:color w:val="000000" w:themeColor="text1"/>
          <w:highlight w:val="none"/>
          <w14:textFill>
            <w14:solidFill>
              <w14:schemeClr w14:val="tx1"/>
            </w14:solidFill>
          </w14:textFill>
        </w:rPr>
        <w:t>3.2 项目经理</w:t>
      </w:r>
      <w:bookmarkEnd w:id="731"/>
      <w:bookmarkEnd w:id="732"/>
      <w:bookmarkEnd w:id="733"/>
      <w:bookmarkEnd w:id="734"/>
      <w:bookmarkEnd w:id="735"/>
      <w:bookmarkEnd w:id="736"/>
      <w:bookmarkEnd w:id="737"/>
    </w:p>
    <w:p w14:paraId="29D5662A">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 xml:space="preserve">3.2.1 </w:t>
      </w:r>
      <w:r>
        <w:rPr>
          <w:rFonts w:hint="eastAsia" w:ascii="宋体" w:hAnsi="宋体" w:eastAsia="宋体" w:cs="宋体"/>
          <w:color w:val="000000" w:themeColor="text1"/>
          <w:highlight w:val="none"/>
          <w14:textFill>
            <w14:solidFill>
              <w14:schemeClr w14:val="tx1"/>
            </w14:solidFill>
          </w14:textFill>
        </w:rPr>
        <w:t>项目经理：</w:t>
      </w:r>
    </w:p>
    <w:p w14:paraId="1C283AA8">
      <w:pPr>
        <w:spacing w:line="360" w:lineRule="auto"/>
        <w:ind w:firstLine="42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姓    名：</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u w:val="none"/>
          <w:lang w:val="en-US" w:eastAsia="zh-CN"/>
          <w14:textFill>
            <w14:solidFill>
              <w14:schemeClr w14:val="tx1"/>
            </w14:solidFill>
          </w14:textFill>
        </w:rPr>
        <w:t>；</w:t>
      </w:r>
    </w:p>
    <w:p w14:paraId="5456D3F0">
      <w:pPr>
        <w:spacing w:line="360" w:lineRule="auto"/>
        <w:ind w:firstLine="42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身份证号：</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u w:val="none"/>
          <w:lang w:val="en-US" w:eastAsia="zh-CN"/>
          <w14:textFill>
            <w14:solidFill>
              <w14:schemeClr w14:val="tx1"/>
            </w14:solidFill>
          </w14:textFill>
        </w:rPr>
        <w:t>；</w:t>
      </w:r>
    </w:p>
    <w:p w14:paraId="50E8A284">
      <w:pPr>
        <w:spacing w:line="360" w:lineRule="auto"/>
        <w:ind w:firstLine="420" w:firstLineChars="200"/>
        <w:rPr>
          <w:rFonts w:hint="eastAsia" w:ascii="宋体" w:hAnsi="宋体" w:eastAsia="宋体" w:cs="宋体"/>
          <w:color w:val="000000" w:themeColor="text1"/>
          <w:highlight w:val="none"/>
          <w:u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建造师执业资格等级：</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u w:val="none"/>
          <w:lang w:val="en-US" w:eastAsia="zh-CN"/>
          <w14:textFill>
            <w14:solidFill>
              <w14:schemeClr w14:val="tx1"/>
            </w14:solidFill>
          </w14:textFill>
        </w:rPr>
        <w:t>；</w:t>
      </w:r>
    </w:p>
    <w:p w14:paraId="4FDD13EF">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建造师注册证书号：</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u w:val="none"/>
          <w:lang w:val="en-US" w:eastAsia="zh-CN"/>
          <w14:textFill>
            <w14:solidFill>
              <w14:schemeClr w14:val="tx1"/>
            </w14:solidFill>
          </w14:textFill>
        </w:rPr>
        <w:t>；</w:t>
      </w:r>
    </w:p>
    <w:p w14:paraId="55104FFE">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安全生产考核合格证书号：</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u w:val="none"/>
          <w:lang w:val="en-US" w:eastAsia="zh-CN"/>
          <w14:textFill>
            <w14:solidFill>
              <w14:schemeClr w14:val="tx1"/>
            </w14:solidFill>
          </w14:textFill>
        </w:rPr>
        <w:t>；</w:t>
      </w:r>
    </w:p>
    <w:p w14:paraId="30FA4B8E">
      <w:pPr>
        <w:spacing w:line="360" w:lineRule="auto"/>
        <w:ind w:firstLine="420" w:firstLineChars="200"/>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u w:val="none"/>
          <w:lang w:val="en-US" w:eastAsia="zh-CN"/>
          <w14:textFill>
            <w14:solidFill>
              <w14:schemeClr w14:val="tx1"/>
            </w14:solidFill>
          </w14:textFill>
        </w:rPr>
        <w:t>；</w:t>
      </w:r>
    </w:p>
    <w:p w14:paraId="32DAC551">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电子信箱：</w:t>
      </w:r>
      <w:r>
        <w:rPr>
          <w:rFonts w:hint="eastAsia" w:ascii="宋体" w:hAnsi="宋体" w:eastAsia="宋体" w:cs="宋体"/>
          <w:color w:val="000000" w:themeColor="text1"/>
          <w:highlight w:val="none"/>
          <w:u w:val="single"/>
          <w14:textFill>
            <w14:solidFill>
              <w14:schemeClr w14:val="tx1"/>
            </w14:solidFill>
          </w14:textFill>
        </w:rPr>
        <w:t></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u w:val="none"/>
          <w:lang w:val="en-US" w:eastAsia="zh-CN"/>
          <w14:textFill>
            <w14:solidFill>
              <w14:schemeClr w14:val="tx1"/>
            </w14:solidFill>
          </w14:textFill>
        </w:rPr>
        <w:t>；</w:t>
      </w:r>
    </w:p>
    <w:p w14:paraId="11CFA2CC">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通信地址：</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u w:val="none"/>
          <w:lang w:val="en-US" w:eastAsia="zh-CN"/>
          <w14:textFill>
            <w14:solidFill>
              <w14:schemeClr w14:val="tx1"/>
            </w14:solidFill>
          </w14:textFill>
        </w:rPr>
        <w:t>；</w:t>
      </w:r>
    </w:p>
    <w:p w14:paraId="2ACC3754">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承包人对项目经理的授权范围如下：</w:t>
      </w:r>
      <w:r>
        <w:rPr>
          <w:rFonts w:hint="eastAsia" w:ascii="宋体" w:hAnsi="宋体" w:eastAsia="宋体" w:cs="宋体"/>
          <w:color w:val="000000" w:themeColor="text1"/>
          <w:highlight w:val="none"/>
          <w:u w:val="single"/>
          <w14:textFill>
            <w14:solidFill>
              <w14:schemeClr w14:val="tx1"/>
            </w14:solidFill>
          </w14:textFill>
        </w:rPr>
        <w:t>项目经理仅限于对本工程的施工现场全面管理，包括质量、技术、安全、进度管理，</w:t>
      </w:r>
      <w:r>
        <w:rPr>
          <w:rFonts w:hint="eastAsia" w:ascii="宋体" w:hAnsi="宋体" w:eastAsia="宋体" w:cs="宋体"/>
          <w:color w:val="000000" w:themeColor="text1"/>
          <w:highlight w:val="none"/>
          <w:u w:val="single"/>
          <w:lang w:eastAsia="zh-CN"/>
          <w14:textFill>
            <w14:solidFill>
              <w14:schemeClr w14:val="tx1"/>
            </w14:solidFill>
          </w14:textFill>
        </w:rPr>
        <w:t>及</w:t>
      </w:r>
      <w:r>
        <w:rPr>
          <w:rFonts w:hint="eastAsia" w:ascii="宋体" w:hAnsi="宋体" w:eastAsia="宋体" w:cs="宋体"/>
          <w:color w:val="000000" w:themeColor="text1"/>
          <w:highlight w:val="none"/>
          <w:u w:val="single"/>
          <w14:textFill>
            <w14:solidFill>
              <w14:schemeClr w14:val="tx1"/>
            </w14:solidFill>
          </w14:textFill>
        </w:rPr>
        <w:t>与发包人、监理工程师有关工程联系单、</w:t>
      </w:r>
      <w:r>
        <w:rPr>
          <w:rFonts w:hint="eastAsia" w:ascii="宋体" w:hAnsi="宋体" w:eastAsia="宋体" w:cs="宋体"/>
          <w:color w:val="000000" w:themeColor="text1"/>
          <w:highlight w:val="none"/>
          <w:u w:val="single"/>
          <w:lang w:eastAsia="zh-CN"/>
          <w14:textFill>
            <w14:solidFill>
              <w14:schemeClr w14:val="tx1"/>
            </w14:solidFill>
          </w14:textFill>
        </w:rPr>
        <w:t>工程管理的</w:t>
      </w:r>
      <w:r>
        <w:rPr>
          <w:rFonts w:hint="eastAsia" w:ascii="宋体" w:hAnsi="宋体" w:eastAsia="宋体" w:cs="宋体"/>
          <w:color w:val="000000" w:themeColor="text1"/>
          <w:highlight w:val="none"/>
          <w:u w:val="single"/>
          <w14:textFill>
            <w14:solidFill>
              <w14:schemeClr w14:val="tx1"/>
            </w14:solidFill>
          </w14:textFill>
        </w:rPr>
        <w:t>函件往来的签收，但未经承包人盖章同意授权下不得以承包人名义向外采购材料设备、租用建筑周转材料、雇佣劳动力、签订分包合同等从事一切为承包人设立义务或责任</w:t>
      </w:r>
      <w:r>
        <w:rPr>
          <w:rFonts w:hint="eastAsia" w:ascii="宋体" w:hAnsi="宋体" w:eastAsia="宋体" w:cs="宋体"/>
          <w:color w:val="000000" w:themeColor="text1"/>
          <w:highlight w:val="none"/>
          <w14:textFill>
            <w14:solidFill>
              <w14:schemeClr w14:val="tx1"/>
            </w14:solidFill>
          </w14:textFill>
        </w:rPr>
        <w:t>。</w:t>
      </w:r>
    </w:p>
    <w:p w14:paraId="7108B655">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关于项目经理每月在施工现场的时间要求：</w:t>
      </w:r>
      <w:r>
        <w:rPr>
          <w:rFonts w:hint="eastAsia" w:ascii="宋体" w:hAnsi="宋体" w:eastAsia="宋体" w:cs="宋体"/>
          <w:color w:val="000000" w:themeColor="text1"/>
          <w:sz w:val="21"/>
          <w:szCs w:val="21"/>
          <w:highlight w:val="none"/>
          <w:u w:val="single" w:color="auto"/>
          <w14:textFill>
            <w14:solidFill>
              <w14:schemeClr w14:val="tx1"/>
            </w14:solidFill>
          </w14:textFill>
        </w:rPr>
        <w:t>按相关工程质量管理规</w:t>
      </w:r>
      <w:r>
        <w:rPr>
          <w:rFonts w:hint="eastAsia" w:ascii="宋体" w:hAnsi="宋体" w:eastAsia="宋体" w:cs="宋体"/>
          <w:color w:val="000000" w:themeColor="text1"/>
          <w:spacing w:val="-1"/>
          <w:sz w:val="21"/>
          <w:szCs w:val="21"/>
          <w:highlight w:val="none"/>
          <w:u w:val="single" w:color="auto"/>
          <w14:textFill>
            <w14:solidFill>
              <w14:schemeClr w14:val="tx1"/>
            </w14:solidFill>
          </w14:textFill>
        </w:rPr>
        <w:t>范或条例要求</w:t>
      </w:r>
      <w:r>
        <w:rPr>
          <w:rFonts w:hint="eastAsia" w:ascii="宋体" w:hAnsi="宋体" w:eastAsia="宋体" w:cs="宋体"/>
          <w:color w:val="000000" w:themeColor="text1"/>
          <w:highlight w:val="none"/>
          <w14:textFill>
            <w14:solidFill>
              <w14:schemeClr w14:val="tx1"/>
            </w14:solidFill>
          </w14:textFill>
        </w:rPr>
        <w:t>。</w:t>
      </w:r>
    </w:p>
    <w:p w14:paraId="57435448">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承包人未提交劳动合同，以及没有为项目经理缴纳社会保险证明的违约责任：</w:t>
      </w:r>
      <w:r>
        <w:rPr>
          <w:rFonts w:hint="eastAsia" w:ascii="宋体" w:hAnsi="宋体" w:eastAsia="宋体" w:cs="宋体"/>
          <w:color w:val="000000" w:themeColor="text1"/>
          <w:kern w:val="0"/>
          <w:highlight w:val="none"/>
          <w:u w:val="single"/>
          <w:lang w:val="en-US" w:eastAsia="zh-CN"/>
          <w14:textFill>
            <w14:solidFill>
              <w14:schemeClr w14:val="tx1"/>
            </w14:solidFill>
          </w14:textFill>
        </w:rPr>
        <w:t xml:space="preserve"> / </w:t>
      </w:r>
      <w:r>
        <w:rPr>
          <w:rFonts w:hint="eastAsia" w:ascii="宋体" w:hAnsi="宋体" w:eastAsia="宋体" w:cs="宋体"/>
          <w:color w:val="000000" w:themeColor="text1"/>
          <w:highlight w:val="none"/>
          <w14:textFill>
            <w14:solidFill>
              <w14:schemeClr w14:val="tx1"/>
            </w14:solidFill>
          </w14:textFill>
        </w:rPr>
        <w:t>。</w:t>
      </w:r>
    </w:p>
    <w:p w14:paraId="4FD13B6E">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项目经理未经批准，擅自离开施工现场的违约责任：</w:t>
      </w:r>
      <w:r>
        <w:rPr>
          <w:rFonts w:hint="eastAsia" w:ascii="宋体" w:hAnsi="宋体" w:eastAsia="宋体" w:cs="宋体"/>
          <w:color w:val="000000" w:themeColor="text1"/>
          <w:kern w:val="0"/>
          <w:highlight w:val="none"/>
          <w:u w:val="single"/>
          <w14:textFill>
            <w14:solidFill>
              <w14:schemeClr w14:val="tx1"/>
            </w14:solidFill>
          </w14:textFill>
        </w:rPr>
        <w:t>项目经理每月在岗带班时间不得少于 当月施工时间的 80%。未经发包人同意或正当理由，项目经理每月在岗带班时间少于当月施工时间 80%的，少在岗带班一天， 发包人有权处违约金 1000 元/日（人民币）</w:t>
      </w:r>
      <w:r>
        <w:rPr>
          <w:rFonts w:hint="eastAsia" w:ascii="宋体" w:hAnsi="宋体" w:eastAsia="宋体" w:cs="宋体"/>
          <w:color w:val="000000" w:themeColor="text1"/>
          <w:highlight w:val="none"/>
          <w14:textFill>
            <w14:solidFill>
              <w14:schemeClr w14:val="tx1"/>
            </w14:solidFill>
          </w14:textFill>
        </w:rPr>
        <w:t>。</w:t>
      </w:r>
    </w:p>
    <w:p w14:paraId="1C4E6A1B">
      <w:pPr>
        <w:adjustRightInd w:val="0"/>
        <w:snapToGrid w:val="0"/>
        <w:spacing w:line="460" w:lineRule="exact"/>
        <w:ind w:firstLine="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3.2.3 承包人擅自更换项目经理的违约责任：</w:t>
      </w:r>
      <w:r>
        <w:rPr>
          <w:rFonts w:hint="eastAsia" w:ascii="宋体" w:hAnsi="宋体" w:eastAsia="宋体" w:cs="宋体"/>
          <w:color w:val="000000" w:themeColor="text1"/>
          <w:highlight w:val="none"/>
          <w:u w:val="single"/>
          <w14:textFill>
            <w14:solidFill>
              <w14:schemeClr w14:val="tx1"/>
            </w14:solidFill>
          </w14:textFill>
        </w:rPr>
        <w:t>承包人项目经理必须与承包人所承诺的人员一致，并在  （开工日期）  前到</w:t>
      </w:r>
      <w:r>
        <w:rPr>
          <w:rFonts w:hint="eastAsia" w:ascii="宋体" w:hAnsi="宋体" w:eastAsia="宋体" w:cs="宋体"/>
          <w:color w:val="000000" w:themeColor="text1"/>
          <w:highlight w:val="none"/>
          <w:u w:val="none"/>
          <w14:textFill>
            <w14:solidFill>
              <w14:schemeClr w14:val="tx1"/>
            </w14:solidFill>
          </w14:textFill>
        </w:rPr>
        <w:t xml:space="preserve">任。在监理人向承包人颁发 </w:t>
      </w:r>
      <w:r>
        <w:rPr>
          <w:rFonts w:hint="eastAsia" w:ascii="宋体" w:hAnsi="宋体" w:eastAsia="宋体" w:cs="宋体"/>
          <w:color w:val="000000" w:themeColor="text1"/>
          <w:highlight w:val="none"/>
          <w:u w:val="single"/>
          <w14:textFill>
            <w14:solidFill>
              <w14:schemeClr w14:val="tx1"/>
            </w14:solidFill>
          </w14:textFill>
        </w:rPr>
        <w:t xml:space="preserve"> （竣工证明材料名称）   </w:t>
      </w:r>
      <w:r>
        <w:rPr>
          <w:rFonts w:hint="eastAsia" w:ascii="宋体" w:hAnsi="宋体" w:eastAsia="宋体" w:cs="宋体"/>
          <w:color w:val="000000" w:themeColor="text1"/>
          <w:highlight w:val="none"/>
          <w:u w:val="none"/>
          <w14:textFill>
            <w14:solidFill>
              <w14:schemeClr w14:val="tx1"/>
            </w14:solidFill>
          </w14:textFill>
        </w:rPr>
        <w:t xml:space="preserve"> 前，项目经理不得同时兼任其他任何项目的项目经理</w:t>
      </w:r>
      <w:r>
        <w:rPr>
          <w:rFonts w:hint="eastAsia" w:ascii="宋体" w:hAnsi="宋体" w:eastAsia="宋体" w:cs="宋体"/>
          <w:color w:val="000000" w:themeColor="text1"/>
          <w:kern w:val="2"/>
          <w:highlight w:val="none"/>
          <w:u w:val="none"/>
          <w14:textFill>
            <w14:solidFill>
              <w14:schemeClr w14:val="tx1"/>
            </w14:solidFill>
          </w14:textFill>
        </w:rPr>
        <w:t>（</w:t>
      </w:r>
      <w:r>
        <w:rPr>
          <w:rFonts w:hint="eastAsia" w:ascii="宋体" w:hAnsi="宋体" w:eastAsia="宋体" w:cs="宋体"/>
          <w:color w:val="000000" w:themeColor="text1"/>
          <w:kern w:val="2"/>
          <w:highlight w:val="none"/>
          <w:u w:val="none"/>
          <w:lang w:eastAsia="zh-CN"/>
          <w14:textFill>
            <w14:solidFill>
              <w14:schemeClr w14:val="tx1"/>
            </w14:solidFill>
          </w14:textFill>
        </w:rPr>
        <w:t>符合</w:t>
      </w:r>
      <w:r>
        <w:rPr>
          <w:rFonts w:hint="eastAsia" w:ascii="宋体" w:hAnsi="宋体" w:eastAsia="宋体" w:cs="宋体"/>
          <w:color w:val="000000" w:themeColor="text1"/>
          <w:highlight w:val="none"/>
          <w14:textFill>
            <w14:solidFill>
              <w14:schemeClr w14:val="tx1"/>
            </w14:solidFill>
          </w14:textFill>
        </w:rPr>
        <w:t>《广西壮族自治区建筑市场诚信卡管理暂行办法》第十六条第一款及桂建管﹝</w:t>
      </w:r>
      <w:r>
        <w:rPr>
          <w:rFonts w:hint="eastAsia" w:ascii="宋体" w:hAnsi="宋体" w:eastAsia="宋体" w:cs="宋体"/>
          <w:color w:val="000000" w:themeColor="text1"/>
          <w:kern w:val="2"/>
          <w:highlight w:val="none"/>
          <w14:textFill>
            <w14:solidFill>
              <w14:schemeClr w14:val="tx1"/>
            </w14:solidFill>
          </w14:textFill>
        </w:rPr>
        <w:t>2016</w:t>
      </w:r>
      <w:r>
        <w:rPr>
          <w:rFonts w:hint="eastAsia" w:ascii="宋体" w:hAnsi="宋体" w:eastAsia="宋体" w:cs="宋体"/>
          <w:color w:val="000000" w:themeColor="text1"/>
          <w:highlight w:val="none"/>
          <w14:textFill>
            <w14:solidFill>
              <w14:schemeClr w14:val="tx1"/>
            </w14:solidFill>
          </w14:textFill>
        </w:rPr>
        <w:t>﹞70号</w:t>
      </w:r>
      <w:r>
        <w:rPr>
          <w:rFonts w:hint="eastAsia" w:ascii="宋体" w:hAnsi="宋体" w:eastAsia="宋体" w:cs="宋体"/>
          <w:color w:val="000000" w:themeColor="text1"/>
          <w:highlight w:val="none"/>
          <w:u w:val="none"/>
          <w:lang w:eastAsia="zh-CN"/>
          <w14:textFill>
            <w14:solidFill>
              <w14:schemeClr w14:val="tx1"/>
            </w14:solidFill>
          </w14:textFill>
        </w:rPr>
        <w:t>、</w:t>
      </w:r>
      <w:r>
        <w:rPr>
          <w:rFonts w:hint="eastAsia" w:ascii="宋体" w:hAnsi="宋体" w:eastAsia="宋体" w:cs="宋体"/>
          <w:color w:val="000000" w:themeColor="text1"/>
          <w:sz w:val="21"/>
          <w:szCs w:val="21"/>
          <w:highlight w:val="none"/>
          <w:u w:val="none"/>
          <w14:textFill>
            <w14:solidFill>
              <w14:schemeClr w14:val="tx1"/>
            </w14:solidFill>
          </w14:textFill>
        </w:rPr>
        <w:t>桂建管〔2020〕11号</w:t>
      </w:r>
      <w:r>
        <w:rPr>
          <w:rFonts w:hint="eastAsia" w:ascii="宋体" w:hAnsi="宋体" w:eastAsia="宋体" w:cs="宋体"/>
          <w:color w:val="000000" w:themeColor="text1"/>
          <w:kern w:val="2"/>
          <w:highlight w:val="none"/>
          <w:u w:val="none"/>
          <w14:textFill>
            <w14:solidFill>
              <w14:schemeClr w14:val="tx1"/>
            </w14:solidFill>
          </w14:textFill>
        </w:rPr>
        <w:t>文除外）</w:t>
      </w:r>
      <w:r>
        <w:rPr>
          <w:rFonts w:hint="eastAsia" w:ascii="宋体" w:hAnsi="宋体" w:eastAsia="宋体" w:cs="宋体"/>
          <w:color w:val="000000" w:themeColor="text1"/>
          <w:highlight w:val="none"/>
          <w:u w:val="none"/>
          <w14:textFill>
            <w14:solidFill>
              <w14:schemeClr w14:val="tx1"/>
            </w14:solidFill>
          </w14:textFill>
        </w:rPr>
        <w:t>。未经发包人书面同意，承包人擅自更换项目经理的视为违约，违约金处</w:t>
      </w:r>
      <w:r>
        <w:rPr>
          <w:rFonts w:hint="eastAsia" w:ascii="宋体" w:hAnsi="宋体" w:eastAsia="宋体" w:cs="宋体"/>
          <w:color w:val="000000" w:themeColor="text1"/>
          <w:highlight w:val="none"/>
          <w:u w:val="single"/>
          <w:lang w:val="en-US" w:eastAsia="zh-CN"/>
          <w14:textFill>
            <w14:solidFill>
              <w14:schemeClr w14:val="tx1"/>
            </w14:solidFill>
          </w14:textFill>
        </w:rPr>
        <w:t>1000</w:t>
      </w:r>
      <w:r>
        <w:rPr>
          <w:rFonts w:hint="eastAsia" w:ascii="宋体" w:hAnsi="宋体" w:eastAsia="宋体" w:cs="宋体"/>
          <w:color w:val="000000" w:themeColor="text1"/>
          <w:highlight w:val="none"/>
          <w:u w:val="none"/>
          <w14:textFill>
            <w14:solidFill>
              <w14:schemeClr w14:val="tx1"/>
            </w14:solidFill>
          </w14:textFill>
        </w:rPr>
        <w:t>元/人•次（人民币）</w:t>
      </w:r>
      <w:r>
        <w:rPr>
          <w:rFonts w:hint="eastAsia" w:ascii="宋体" w:hAnsi="宋体" w:eastAsia="宋体" w:cs="宋体"/>
          <w:color w:val="000000" w:themeColor="text1"/>
          <w:highlight w:val="none"/>
          <w14:textFill>
            <w14:solidFill>
              <w14:schemeClr w14:val="tx1"/>
            </w14:solidFill>
          </w14:textFill>
        </w:rPr>
        <w:t>。</w:t>
      </w:r>
    </w:p>
    <w:p w14:paraId="523E30A9">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3.2.4 承包人无正当理由拒绝更换项目经理的违约责任：</w:t>
      </w:r>
      <w:r>
        <w:rPr>
          <w:rFonts w:hint="eastAsia" w:ascii="宋体" w:hAnsi="宋体" w:eastAsia="宋体" w:cs="宋体"/>
          <w:color w:val="000000" w:themeColor="text1"/>
          <w:highlight w:val="none"/>
          <w:u w:val="single"/>
          <w14:textFill>
            <w14:solidFill>
              <w14:schemeClr w14:val="tx1"/>
            </w14:solidFill>
          </w14:textFill>
        </w:rPr>
        <w:t>因承包人项目经理不称职，发包人要求调换而未及时调换的，视为承包人违约，必须向发包人交纳处罚金</w:t>
      </w:r>
      <w:r>
        <w:rPr>
          <w:rFonts w:hint="eastAsia" w:ascii="宋体" w:hAnsi="宋体" w:eastAsia="宋体" w:cs="宋体"/>
          <w:color w:val="000000" w:themeColor="text1"/>
          <w:highlight w:val="none"/>
          <w:u w:val="single"/>
          <w:lang w:val="en-US" w:eastAsia="zh-CN"/>
          <w14:textFill>
            <w14:solidFill>
              <w14:schemeClr w14:val="tx1"/>
            </w14:solidFill>
          </w14:textFill>
        </w:rPr>
        <w:t>1000</w:t>
      </w:r>
      <w:r>
        <w:rPr>
          <w:rFonts w:hint="eastAsia" w:ascii="宋体" w:hAnsi="宋体" w:eastAsia="宋体" w:cs="宋体"/>
          <w:color w:val="000000" w:themeColor="text1"/>
          <w:highlight w:val="none"/>
          <w:u w:val="single"/>
          <w14:textFill>
            <w14:solidFill>
              <w14:schemeClr w14:val="tx1"/>
            </w14:solidFill>
          </w14:textFill>
        </w:rPr>
        <w:t>元/人•次（人民币）</w:t>
      </w:r>
      <w:r>
        <w:rPr>
          <w:rFonts w:hint="eastAsia" w:ascii="宋体" w:hAnsi="宋体" w:eastAsia="宋体" w:cs="宋体"/>
          <w:color w:val="000000" w:themeColor="text1"/>
          <w:highlight w:val="none"/>
          <w14:textFill>
            <w14:solidFill>
              <w14:schemeClr w14:val="tx1"/>
            </w14:solidFill>
          </w14:textFill>
        </w:rPr>
        <w:t>。</w:t>
      </w:r>
    </w:p>
    <w:p w14:paraId="5CDA0B1B">
      <w:pPr>
        <w:pStyle w:val="6"/>
        <w:rPr>
          <w:rFonts w:hint="eastAsia" w:ascii="宋体" w:hAnsi="宋体" w:eastAsia="宋体" w:cs="宋体"/>
          <w:color w:val="000000" w:themeColor="text1"/>
          <w:highlight w:val="none"/>
          <w14:textFill>
            <w14:solidFill>
              <w14:schemeClr w14:val="tx1"/>
            </w14:solidFill>
          </w14:textFill>
        </w:rPr>
      </w:pPr>
      <w:bookmarkStart w:id="738" w:name="_Toc407135211"/>
      <w:bookmarkStart w:id="739" w:name="_Toc747710271"/>
      <w:bookmarkStart w:id="740" w:name="_Toc389065275"/>
      <w:bookmarkStart w:id="741" w:name="_Toc373478356"/>
      <w:bookmarkStart w:id="742" w:name="_Toc1443830486"/>
      <w:bookmarkStart w:id="743" w:name="_Toc373227709"/>
      <w:bookmarkStart w:id="744" w:name="_Toc78449797"/>
      <w:r>
        <w:rPr>
          <w:rFonts w:hint="eastAsia" w:ascii="宋体" w:hAnsi="宋体" w:eastAsia="宋体" w:cs="宋体"/>
          <w:color w:val="000000" w:themeColor="text1"/>
          <w:highlight w:val="none"/>
          <w14:textFill>
            <w14:solidFill>
              <w14:schemeClr w14:val="tx1"/>
            </w14:solidFill>
          </w14:textFill>
        </w:rPr>
        <w:t>3.3 承包人人员</w:t>
      </w:r>
      <w:bookmarkEnd w:id="738"/>
      <w:bookmarkEnd w:id="739"/>
      <w:bookmarkEnd w:id="740"/>
      <w:bookmarkEnd w:id="741"/>
      <w:bookmarkEnd w:id="742"/>
      <w:bookmarkEnd w:id="743"/>
      <w:bookmarkEnd w:id="744"/>
    </w:p>
    <w:p w14:paraId="6897DAE8">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3.3.1 承包人提交项目管理机构及施工现场管理人员安排报告的期限：</w:t>
      </w:r>
      <w:r>
        <w:rPr>
          <w:rFonts w:hint="eastAsia" w:ascii="宋体" w:hAnsi="宋体" w:eastAsia="宋体" w:cs="宋体"/>
          <w:color w:val="000000" w:themeColor="text1"/>
          <w:highlight w:val="none"/>
          <w:u w:val="single"/>
          <w:lang w:eastAsia="zh-CN"/>
          <w14:textFill>
            <w14:solidFill>
              <w14:schemeClr w14:val="tx1"/>
            </w14:solidFill>
          </w14:textFill>
        </w:rPr>
        <w:t>开工前</w:t>
      </w:r>
      <w:r>
        <w:rPr>
          <w:rFonts w:hint="eastAsia" w:ascii="宋体" w:hAnsi="宋体" w:eastAsia="宋体" w:cs="宋体"/>
          <w:color w:val="000000" w:themeColor="text1"/>
          <w:highlight w:val="none"/>
          <w:u w:val="single"/>
          <w:lang w:val="en-US" w:eastAsia="zh-CN"/>
          <w14:textFill>
            <w14:solidFill>
              <w14:schemeClr w14:val="tx1"/>
            </w14:solidFill>
          </w14:textFill>
        </w:rPr>
        <w:t>七</w:t>
      </w:r>
      <w:r>
        <w:rPr>
          <w:rFonts w:hint="eastAsia" w:ascii="宋体" w:hAnsi="宋体" w:eastAsia="宋体" w:cs="宋体"/>
          <w:color w:val="000000" w:themeColor="text1"/>
          <w:highlight w:val="none"/>
          <w:u w:val="single"/>
          <w:lang w:eastAsia="zh-CN"/>
          <w14:textFill>
            <w14:solidFill>
              <w14:schemeClr w14:val="tx1"/>
            </w14:solidFill>
          </w14:textFill>
        </w:rPr>
        <w:t>天</w:t>
      </w:r>
      <w:r>
        <w:rPr>
          <w:rFonts w:hint="eastAsia" w:ascii="宋体" w:hAnsi="宋体" w:eastAsia="宋体" w:cs="宋体"/>
          <w:color w:val="000000" w:themeColor="text1"/>
          <w:highlight w:val="none"/>
          <w14:textFill>
            <w14:solidFill>
              <w14:schemeClr w14:val="tx1"/>
            </w14:solidFill>
          </w14:textFill>
        </w:rPr>
        <w:t>。</w:t>
      </w:r>
    </w:p>
    <w:p w14:paraId="1C2D46FD">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3.3.3 承包人无正当理由拒绝撤换主要施工管理人员的违约责任：</w:t>
      </w:r>
      <w:r>
        <w:rPr>
          <w:rFonts w:hint="eastAsia" w:ascii="宋体" w:hAnsi="宋体" w:eastAsia="宋体" w:cs="宋体"/>
          <w:color w:val="000000" w:themeColor="text1"/>
          <w:highlight w:val="none"/>
          <w:u w:val="single"/>
          <w14:textFill>
            <w14:solidFill>
              <w14:schemeClr w14:val="tx1"/>
            </w14:solidFill>
          </w14:textFill>
        </w:rPr>
        <w:t>因承包人主要施工管理人员不称职，发包人要求调换而无正当理由拒绝撤换或未及时调换的，视为承包人违约，必须向发包人交纳处罚金，处罚标准：技术负责人</w:t>
      </w:r>
      <w:r>
        <w:rPr>
          <w:rFonts w:hint="eastAsia" w:ascii="宋体" w:hAnsi="宋体" w:eastAsia="宋体" w:cs="宋体"/>
          <w:color w:val="000000" w:themeColor="text1"/>
          <w:highlight w:val="none"/>
          <w:u w:val="single"/>
          <w:lang w:val="en-US" w:eastAsia="zh-CN"/>
          <w14:textFill>
            <w14:solidFill>
              <w14:schemeClr w14:val="tx1"/>
            </w14:solidFill>
          </w14:textFill>
        </w:rPr>
        <w:t>2000</w:t>
      </w:r>
      <w:r>
        <w:rPr>
          <w:rFonts w:hint="eastAsia" w:ascii="宋体" w:hAnsi="宋体" w:eastAsia="宋体" w:cs="宋体"/>
          <w:color w:val="000000" w:themeColor="text1"/>
          <w:highlight w:val="none"/>
          <w:u w:val="single"/>
          <w14:textFill>
            <w14:solidFill>
              <w14:schemeClr w14:val="tx1"/>
            </w14:solidFill>
          </w14:textFill>
        </w:rPr>
        <w:t>元/人•次（人民币）；专业工程师</w:t>
      </w:r>
      <w:r>
        <w:rPr>
          <w:rFonts w:hint="eastAsia" w:ascii="宋体" w:hAnsi="宋体" w:eastAsia="宋体" w:cs="宋体"/>
          <w:color w:val="000000" w:themeColor="text1"/>
          <w:highlight w:val="none"/>
          <w:u w:val="single"/>
          <w:lang w:val="en-US" w:eastAsia="zh-CN"/>
          <w14:textFill>
            <w14:solidFill>
              <w14:schemeClr w14:val="tx1"/>
            </w14:solidFill>
          </w14:textFill>
        </w:rPr>
        <w:t>1000</w:t>
      </w:r>
      <w:r>
        <w:rPr>
          <w:rFonts w:hint="eastAsia" w:ascii="宋体" w:hAnsi="宋体" w:eastAsia="宋体" w:cs="宋体"/>
          <w:color w:val="000000" w:themeColor="text1"/>
          <w:highlight w:val="none"/>
          <w:u w:val="single"/>
          <w14:textFill>
            <w14:solidFill>
              <w14:schemeClr w14:val="tx1"/>
            </w14:solidFill>
          </w14:textFill>
        </w:rPr>
        <w:t>元/人•次（人民币）</w:t>
      </w:r>
      <w:r>
        <w:rPr>
          <w:rFonts w:hint="eastAsia" w:ascii="宋体" w:hAnsi="宋体" w:eastAsia="宋体" w:cs="宋体"/>
          <w:color w:val="000000" w:themeColor="text1"/>
          <w:highlight w:val="none"/>
          <w14:textFill>
            <w14:solidFill>
              <w14:schemeClr w14:val="tx1"/>
            </w14:solidFill>
          </w14:textFill>
        </w:rPr>
        <w:t>。</w:t>
      </w:r>
    </w:p>
    <w:p w14:paraId="09A1DC36">
      <w:pPr>
        <w:pStyle w:val="3"/>
        <w:spacing w:before="134" w:line="360" w:lineRule="auto"/>
        <w:ind w:left="442"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3.3.4 承包人主要施工管理人员离开施工现场的批准要求：</w:t>
      </w:r>
      <w:r>
        <w:rPr>
          <w:rFonts w:hint="eastAsia" w:ascii="宋体" w:hAnsi="宋体" w:eastAsia="宋体" w:cs="宋体"/>
          <w:color w:val="000000" w:themeColor="text1"/>
          <w:spacing w:val="-3"/>
          <w:sz w:val="21"/>
          <w:szCs w:val="21"/>
          <w:highlight w:val="none"/>
          <w:u w:val="single" w:color="auto"/>
          <w14:textFill>
            <w14:solidFill>
              <w14:schemeClr w14:val="tx1"/>
            </w14:solidFill>
          </w14:textFill>
        </w:rPr>
        <w:t>按相关工程质量管理规范或</w:t>
      </w:r>
      <w:r>
        <w:rPr>
          <w:rFonts w:hint="eastAsia" w:ascii="宋体" w:hAnsi="宋体" w:eastAsia="宋体" w:cs="宋体"/>
          <w:color w:val="000000" w:themeColor="text1"/>
          <w:spacing w:val="-2"/>
          <w:sz w:val="21"/>
          <w:szCs w:val="21"/>
          <w:highlight w:val="none"/>
          <w:u w:val="single" w:color="auto"/>
          <w14:textFill>
            <w14:solidFill>
              <w14:schemeClr w14:val="tx1"/>
            </w14:solidFill>
          </w14:textFill>
        </w:rPr>
        <w:t>条例要求</w:t>
      </w:r>
      <w:r>
        <w:rPr>
          <w:rFonts w:hint="eastAsia" w:ascii="宋体" w:hAnsi="宋体" w:eastAsia="宋体" w:cs="宋体"/>
          <w:color w:val="000000" w:themeColor="text1"/>
          <w:highlight w:val="none"/>
          <w14:textFill>
            <w14:solidFill>
              <w14:schemeClr w14:val="tx1"/>
            </w14:solidFill>
          </w14:textFill>
        </w:rPr>
        <w:t>。</w:t>
      </w:r>
    </w:p>
    <w:p w14:paraId="2A87C4D6">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3.3.5 承包人擅自更换主要施工管理人员的违约责任：</w:t>
      </w:r>
      <w:r>
        <w:rPr>
          <w:rFonts w:hint="eastAsia" w:ascii="宋体" w:hAnsi="宋体" w:eastAsia="宋体" w:cs="宋体"/>
          <w:color w:val="000000" w:themeColor="text1"/>
          <w:highlight w:val="none"/>
          <w:u w:val="single"/>
          <w14:textFill>
            <w14:solidFill>
              <w14:schemeClr w14:val="tx1"/>
            </w14:solidFill>
          </w14:textFill>
        </w:rPr>
        <w:t>项目技术负责人、专职安全生产管理人员及其承诺的其它在场管理人员未经发包人书面同意不准擅自更换，擅自更换项目技术负责人处</w:t>
      </w:r>
      <w:r>
        <w:rPr>
          <w:rFonts w:hint="eastAsia" w:ascii="宋体" w:hAnsi="宋体" w:eastAsia="宋体" w:cs="宋体"/>
          <w:color w:val="000000" w:themeColor="text1"/>
          <w:highlight w:val="none"/>
          <w:u w:val="single"/>
          <w:lang w:val="en-US" w:eastAsia="zh-CN"/>
          <w14:textFill>
            <w14:solidFill>
              <w14:schemeClr w14:val="tx1"/>
            </w14:solidFill>
          </w14:textFill>
        </w:rPr>
        <w:t>2000</w:t>
      </w:r>
      <w:r>
        <w:rPr>
          <w:rFonts w:hint="eastAsia" w:ascii="宋体" w:hAnsi="宋体" w:eastAsia="宋体" w:cs="宋体"/>
          <w:color w:val="000000" w:themeColor="text1"/>
          <w:highlight w:val="none"/>
          <w:u w:val="single"/>
          <w14:textFill>
            <w14:solidFill>
              <w14:schemeClr w14:val="tx1"/>
            </w14:solidFill>
          </w14:textFill>
        </w:rPr>
        <w:t>元/人•次（人民币）违约金；擅自更换专职安全生产管理人员处</w:t>
      </w:r>
      <w:r>
        <w:rPr>
          <w:rFonts w:hint="eastAsia" w:ascii="宋体" w:hAnsi="宋体" w:eastAsia="宋体" w:cs="宋体"/>
          <w:color w:val="000000" w:themeColor="text1"/>
          <w:highlight w:val="none"/>
          <w:u w:val="single"/>
          <w:lang w:val="en-US" w:eastAsia="zh-CN"/>
          <w14:textFill>
            <w14:solidFill>
              <w14:schemeClr w14:val="tx1"/>
            </w14:solidFill>
          </w14:textFill>
        </w:rPr>
        <w:t>500</w:t>
      </w:r>
      <w:r>
        <w:rPr>
          <w:rFonts w:hint="eastAsia" w:ascii="宋体" w:hAnsi="宋体" w:eastAsia="宋体" w:cs="宋体"/>
          <w:color w:val="000000" w:themeColor="text1"/>
          <w:highlight w:val="none"/>
          <w:u w:val="single"/>
          <w14:textFill>
            <w14:solidFill>
              <w14:schemeClr w14:val="tx1"/>
            </w14:solidFill>
          </w14:textFill>
        </w:rPr>
        <w:t>元/人•次（人民币）违约金；擅自更换其它在场管理人员处</w:t>
      </w:r>
      <w:r>
        <w:rPr>
          <w:rFonts w:hint="eastAsia" w:ascii="宋体" w:hAnsi="宋体" w:eastAsia="宋体" w:cs="宋体"/>
          <w:color w:val="000000" w:themeColor="text1"/>
          <w:highlight w:val="none"/>
          <w:u w:val="single"/>
          <w:lang w:val="en-US" w:eastAsia="zh-CN"/>
          <w14:textFill>
            <w14:solidFill>
              <w14:schemeClr w14:val="tx1"/>
            </w14:solidFill>
          </w14:textFill>
        </w:rPr>
        <w:t>200</w:t>
      </w:r>
      <w:r>
        <w:rPr>
          <w:rFonts w:hint="eastAsia" w:ascii="宋体" w:hAnsi="宋体" w:eastAsia="宋体" w:cs="宋体"/>
          <w:color w:val="000000" w:themeColor="text1"/>
          <w:highlight w:val="none"/>
          <w:u w:val="single"/>
          <w14:textFill>
            <w14:solidFill>
              <w14:schemeClr w14:val="tx1"/>
            </w14:solidFill>
          </w14:textFill>
        </w:rPr>
        <w:t>元/人•次（人民币）违约金</w:t>
      </w:r>
      <w:r>
        <w:rPr>
          <w:rFonts w:hint="eastAsia" w:ascii="宋体" w:hAnsi="宋体" w:eastAsia="宋体" w:cs="宋体"/>
          <w:color w:val="000000" w:themeColor="text1"/>
          <w:highlight w:val="none"/>
          <w14:textFill>
            <w14:solidFill>
              <w14:schemeClr w14:val="tx1"/>
            </w14:solidFill>
          </w14:textFill>
        </w:rPr>
        <w:t>。</w:t>
      </w:r>
    </w:p>
    <w:p w14:paraId="12186C68">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承包人主要施工管理人员擅自离开施工现场的违约责任：</w:t>
      </w:r>
      <w:r>
        <w:rPr>
          <w:rFonts w:hint="eastAsia" w:ascii="宋体" w:hAnsi="宋体" w:eastAsia="宋体" w:cs="宋体"/>
          <w:color w:val="000000" w:themeColor="text1"/>
          <w:highlight w:val="none"/>
          <w:u w:val="single"/>
          <w14:textFill>
            <w14:solidFill>
              <w14:schemeClr w14:val="tx1"/>
            </w14:solidFill>
          </w14:textFill>
        </w:rPr>
        <w:t>未经发包人同意，项目技术负责人擅自离岗的，视为承包人违约，发包人有权处违约金</w:t>
      </w:r>
      <w:r>
        <w:rPr>
          <w:rFonts w:hint="eastAsia" w:ascii="宋体" w:hAnsi="宋体" w:eastAsia="宋体" w:cs="宋体"/>
          <w:color w:val="000000" w:themeColor="text1"/>
          <w:highlight w:val="none"/>
          <w:u w:val="single"/>
          <w:lang w:val="en-US" w:eastAsia="zh-CN"/>
          <w14:textFill>
            <w14:solidFill>
              <w14:schemeClr w14:val="tx1"/>
            </w14:solidFill>
          </w14:textFill>
        </w:rPr>
        <w:t>1000</w:t>
      </w:r>
      <w:r>
        <w:rPr>
          <w:rFonts w:hint="eastAsia" w:ascii="宋体" w:hAnsi="宋体" w:eastAsia="宋体" w:cs="宋体"/>
          <w:color w:val="000000" w:themeColor="text1"/>
          <w:highlight w:val="none"/>
          <w:u w:val="single"/>
          <w14:textFill>
            <w14:solidFill>
              <w14:schemeClr w14:val="tx1"/>
            </w14:solidFill>
          </w14:textFill>
        </w:rPr>
        <w:t>元/人•次（人民币）；未经发包人同意，专职安全生产管理人员擅自离岗的，视为承包人违约，发包人有权处违约金</w:t>
      </w:r>
      <w:r>
        <w:rPr>
          <w:rFonts w:hint="eastAsia" w:ascii="宋体" w:hAnsi="宋体" w:eastAsia="宋体" w:cs="宋体"/>
          <w:color w:val="000000" w:themeColor="text1"/>
          <w:highlight w:val="none"/>
          <w:u w:val="single"/>
          <w:lang w:val="en-US" w:eastAsia="zh-CN"/>
          <w14:textFill>
            <w14:solidFill>
              <w14:schemeClr w14:val="tx1"/>
            </w14:solidFill>
          </w14:textFill>
        </w:rPr>
        <w:t>300</w:t>
      </w:r>
      <w:r>
        <w:rPr>
          <w:rFonts w:hint="eastAsia" w:ascii="宋体" w:hAnsi="宋体" w:eastAsia="宋体" w:cs="宋体"/>
          <w:color w:val="000000" w:themeColor="text1"/>
          <w:highlight w:val="none"/>
          <w:u w:val="single"/>
          <w14:textFill>
            <w14:solidFill>
              <w14:schemeClr w14:val="tx1"/>
            </w14:solidFill>
          </w14:textFill>
        </w:rPr>
        <w:t>元/人•次（人民币）；其它在场管理人员擅自离岗的，视为承包人违约，发包人有权处违约金</w:t>
      </w:r>
      <w:r>
        <w:rPr>
          <w:rFonts w:hint="eastAsia" w:ascii="宋体" w:hAnsi="宋体" w:eastAsia="宋体" w:cs="宋体"/>
          <w:color w:val="000000" w:themeColor="text1"/>
          <w:highlight w:val="none"/>
          <w:u w:val="single"/>
          <w:lang w:val="en-US" w:eastAsia="zh-CN"/>
          <w14:textFill>
            <w14:solidFill>
              <w14:schemeClr w14:val="tx1"/>
            </w14:solidFill>
          </w14:textFill>
        </w:rPr>
        <w:t>100</w:t>
      </w:r>
      <w:r>
        <w:rPr>
          <w:rFonts w:hint="eastAsia" w:ascii="宋体" w:hAnsi="宋体" w:eastAsia="宋体" w:cs="宋体"/>
          <w:color w:val="000000" w:themeColor="text1"/>
          <w:highlight w:val="none"/>
          <w:u w:val="single"/>
          <w14:textFill>
            <w14:solidFill>
              <w14:schemeClr w14:val="tx1"/>
            </w14:solidFill>
          </w14:textFill>
        </w:rPr>
        <w:t>元/人•次（人民币）</w:t>
      </w:r>
      <w:r>
        <w:rPr>
          <w:rFonts w:hint="eastAsia" w:ascii="宋体" w:hAnsi="宋体" w:eastAsia="宋体" w:cs="宋体"/>
          <w:color w:val="000000" w:themeColor="text1"/>
          <w:highlight w:val="none"/>
          <w14:textFill>
            <w14:solidFill>
              <w14:schemeClr w14:val="tx1"/>
            </w14:solidFill>
          </w14:textFill>
        </w:rPr>
        <w:t>。</w:t>
      </w:r>
    </w:p>
    <w:p w14:paraId="3757F366">
      <w:pPr>
        <w:pStyle w:val="6"/>
        <w:rPr>
          <w:rFonts w:hint="eastAsia" w:ascii="宋体" w:hAnsi="宋体" w:eastAsia="宋体" w:cs="宋体"/>
          <w:color w:val="000000" w:themeColor="text1"/>
          <w:highlight w:val="none"/>
          <w14:textFill>
            <w14:solidFill>
              <w14:schemeClr w14:val="tx1"/>
            </w14:solidFill>
          </w14:textFill>
        </w:rPr>
      </w:pPr>
      <w:bookmarkStart w:id="745" w:name="_Toc2025600126"/>
      <w:bookmarkStart w:id="746" w:name="_Toc373227710"/>
      <w:bookmarkStart w:id="747" w:name="_Toc407135212"/>
      <w:bookmarkStart w:id="748" w:name="_Toc389065276"/>
      <w:bookmarkStart w:id="749" w:name="_Toc373478357"/>
      <w:bookmarkStart w:id="750" w:name="_Toc2066279184"/>
      <w:bookmarkStart w:id="751" w:name="_Toc78449798"/>
      <w:r>
        <w:rPr>
          <w:rFonts w:hint="eastAsia" w:ascii="宋体" w:hAnsi="宋体" w:eastAsia="宋体" w:cs="宋体"/>
          <w:color w:val="000000" w:themeColor="text1"/>
          <w:highlight w:val="none"/>
          <w14:textFill>
            <w14:solidFill>
              <w14:schemeClr w14:val="tx1"/>
            </w14:solidFill>
          </w14:textFill>
        </w:rPr>
        <w:t>3</w:t>
      </w:r>
      <w:bookmarkStart w:id="752" w:name="_Toc303539102"/>
      <w:bookmarkStart w:id="753" w:name="_Toc292559364"/>
      <w:bookmarkStart w:id="754" w:name="_Toc297120459"/>
      <w:bookmarkStart w:id="755" w:name="_Toc296503159"/>
      <w:bookmarkStart w:id="756" w:name="_Toc296890987"/>
      <w:bookmarkStart w:id="757" w:name="_Toc312677988"/>
      <w:bookmarkStart w:id="758" w:name="_Toc296944498"/>
      <w:bookmarkStart w:id="759" w:name="_Toc300934945"/>
      <w:bookmarkStart w:id="760" w:name="_Toc297216151"/>
      <w:bookmarkStart w:id="761" w:name="_Toc304295523"/>
      <w:bookmarkStart w:id="762" w:name="_Toc292559869"/>
      <w:bookmarkStart w:id="763" w:name="_Toc297048345"/>
      <w:bookmarkStart w:id="764" w:name="_Toc296347158"/>
      <w:bookmarkStart w:id="765" w:name="_Toc297123492"/>
      <w:bookmarkStart w:id="766" w:name="_Toc296891199"/>
      <w:bookmarkStart w:id="767" w:name="_Toc296346660"/>
      <w:r>
        <w:rPr>
          <w:rFonts w:hint="eastAsia" w:ascii="宋体" w:hAnsi="宋体" w:eastAsia="宋体" w:cs="宋体"/>
          <w:color w:val="000000" w:themeColor="text1"/>
          <w:highlight w:val="none"/>
          <w14:textFill>
            <w14:solidFill>
              <w14:schemeClr w14:val="tx1"/>
            </w14:solidFill>
          </w14:textFill>
        </w:rPr>
        <w:t>.5 分包</w:t>
      </w:r>
      <w:bookmarkEnd w:id="745"/>
      <w:bookmarkEnd w:id="746"/>
      <w:bookmarkEnd w:id="747"/>
      <w:bookmarkEnd w:id="748"/>
      <w:bookmarkEnd w:id="749"/>
      <w:bookmarkEnd w:id="750"/>
      <w:bookmarkEnd w:id="751"/>
    </w:p>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14:paraId="257D8BE7">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bookmarkStart w:id="768" w:name="_Toc296944499"/>
      <w:bookmarkStart w:id="769" w:name="_Toc292559870"/>
      <w:bookmarkStart w:id="770" w:name="_Toc297048346"/>
      <w:bookmarkStart w:id="771" w:name="_Toc292559365"/>
      <w:bookmarkStart w:id="772" w:name="_Toc296890988"/>
      <w:bookmarkStart w:id="773" w:name="_Toc303539103"/>
      <w:bookmarkStart w:id="774" w:name="_Toc304295524"/>
      <w:bookmarkStart w:id="775" w:name="_Toc296346661"/>
      <w:bookmarkStart w:id="776" w:name="_Toc296503160"/>
      <w:bookmarkStart w:id="777" w:name="_Toc296347159"/>
      <w:bookmarkStart w:id="778" w:name="_Toc296891200"/>
      <w:bookmarkStart w:id="779" w:name="_Toc297120460"/>
      <w:bookmarkStart w:id="780" w:name="_Toc297123493"/>
      <w:bookmarkStart w:id="781" w:name="_Toc312677989"/>
      <w:bookmarkStart w:id="782" w:name="_Toc318581158"/>
      <w:bookmarkStart w:id="783" w:name="_Toc300934946"/>
      <w:bookmarkStart w:id="784" w:name="_Toc297216152"/>
      <w:r>
        <w:rPr>
          <w:rFonts w:hint="eastAsia" w:ascii="宋体" w:hAnsi="宋体" w:eastAsia="宋体" w:cs="宋体"/>
          <w:color w:val="000000" w:themeColor="text1"/>
          <w:highlight w:val="none"/>
          <w14:textFill>
            <w14:solidFill>
              <w14:schemeClr w14:val="tx1"/>
            </w14:solidFill>
          </w14:textFill>
        </w:rPr>
        <w:t>.5.1 分包的一般约定</w:t>
      </w:r>
    </w:p>
    <w:p w14:paraId="2A8914E3">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禁止分包的工程包括：</w:t>
      </w:r>
      <w:r>
        <w:rPr>
          <w:rFonts w:hint="eastAsia" w:ascii="宋体" w:hAnsi="宋体" w:eastAsia="宋体" w:cs="宋体"/>
          <w:color w:val="000000" w:themeColor="text1"/>
          <w:spacing w:val="-1"/>
          <w:sz w:val="21"/>
          <w:szCs w:val="21"/>
          <w:highlight w:val="none"/>
          <w:u w:val="single" w:color="auto"/>
          <w14:textFill>
            <w14:solidFill>
              <w14:schemeClr w14:val="tx1"/>
            </w14:solidFill>
          </w14:textFill>
        </w:rPr>
        <w:t>主体结构、关键性工作等</w:t>
      </w:r>
      <w:r>
        <w:rPr>
          <w:rFonts w:hint="eastAsia" w:ascii="宋体" w:hAnsi="宋体" w:eastAsia="宋体" w:cs="宋体"/>
          <w:color w:val="000000" w:themeColor="text1"/>
          <w:highlight w:val="none"/>
          <w14:textFill>
            <w14:solidFill>
              <w14:schemeClr w14:val="tx1"/>
            </w14:solidFill>
          </w14:textFill>
        </w:rPr>
        <w:t>。</w:t>
      </w:r>
    </w:p>
    <w:p w14:paraId="5D076CA2">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主体结构、关键性工作的范围：</w:t>
      </w:r>
      <w:r>
        <w:rPr>
          <w:rFonts w:hint="eastAsia" w:ascii="宋体" w:hAnsi="宋体" w:eastAsia="宋体" w:cs="宋体"/>
          <w:color w:val="000000" w:themeColor="text1"/>
          <w:spacing w:val="-4"/>
          <w:sz w:val="21"/>
          <w:szCs w:val="21"/>
          <w:highlight w:val="none"/>
          <w:u w:val="single" w:color="auto"/>
          <w14:textFill>
            <w14:solidFill>
              <w14:schemeClr w14:val="tx1"/>
            </w14:solidFill>
          </w14:textFill>
        </w:rPr>
        <w:t>基础工程、主体工程</w:t>
      </w:r>
      <w:r>
        <w:rPr>
          <w:rFonts w:hint="eastAsia" w:ascii="宋体" w:hAnsi="宋体" w:eastAsia="宋体" w:cs="宋体"/>
          <w:color w:val="000000" w:themeColor="text1"/>
          <w:highlight w:val="none"/>
          <w14:textFill>
            <w14:solidFill>
              <w14:schemeClr w14:val="tx1"/>
            </w14:solidFill>
          </w14:textFill>
        </w:rPr>
        <w:t>。</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0D49E925">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bookmarkStart w:id="785" w:name="_Toc312677990"/>
      <w:bookmarkStart w:id="786" w:name="_Toc318581159"/>
      <w:r>
        <w:rPr>
          <w:rFonts w:hint="eastAsia" w:ascii="宋体" w:hAnsi="宋体" w:eastAsia="宋体" w:cs="宋体"/>
          <w:color w:val="000000" w:themeColor="text1"/>
          <w:highlight w:val="none"/>
          <w14:textFill>
            <w14:solidFill>
              <w14:schemeClr w14:val="tx1"/>
            </w14:solidFill>
          </w14:textFill>
        </w:rPr>
        <w:t>.5.2 分包的确定</w:t>
      </w:r>
    </w:p>
    <w:p w14:paraId="58346929">
      <w:pPr>
        <w:spacing w:line="360" w:lineRule="auto"/>
        <w:ind w:firstLine="420" w:firstLineChars="20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允许分包的专业工程包括：</w:t>
      </w:r>
      <w:r>
        <w:rPr>
          <w:rFonts w:ascii="宋体" w:hAnsi="宋体" w:eastAsia="宋体" w:cs="宋体"/>
          <w:color w:val="000000" w:themeColor="text1"/>
          <w:highlight w:val="none"/>
          <w:u w:val="single"/>
          <w:lang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p w14:paraId="5003561A">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其他关于分包的约定：</w:t>
      </w:r>
    </w:p>
    <w:p w14:paraId="3CCA6F6F">
      <w:pPr>
        <w:numPr>
          <w:ilvl w:val="0"/>
          <w:numId w:val="4"/>
        </w:numPr>
        <w:spacing w:line="360" w:lineRule="auto"/>
        <w:ind w:left="0"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14A92EFB">
      <w:pPr>
        <w:numPr>
          <w:ilvl w:val="0"/>
          <w:numId w:val="4"/>
        </w:numPr>
        <w:spacing w:line="360" w:lineRule="auto"/>
        <w:ind w:left="0"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在相关分包合同签订并报送有关建设行政主管部门备案后7天内，承包人应当将一份副本提交给监理人，承包人应保障分包工作不得再次分包。</w:t>
      </w:r>
    </w:p>
    <w:p w14:paraId="5D5840A2">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（3）未经承包人和监理人审批同意的分包工程和分包人，承包人有权拒绝验收分包工程和支付相应款项，由此引起的发包人费用增加和(或)延误的工期由发包人承担。</w:t>
      </w:r>
    </w:p>
    <w:p w14:paraId="2E49F77F">
      <w:pPr>
        <w:pStyle w:val="28"/>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（4）承包人有以下情况之一者，发包人有权解除合同，并视情况扣除其履约保证金：</w:t>
      </w:r>
    </w:p>
    <w:p w14:paraId="6CB466A4">
      <w:pPr>
        <w:pStyle w:val="28"/>
        <w:spacing w:line="360" w:lineRule="auto"/>
        <w:ind w:firstLine="438" w:firstLineChars="20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①个人承包工程，包括本人单位及外单位人员承包，发包人不承认其个人拥有任何资质等级及营业许可资格。没收全部履约保证金。</w:t>
      </w:r>
    </w:p>
    <w:p w14:paraId="7F222E7D">
      <w:pPr>
        <w:pStyle w:val="28"/>
        <w:spacing w:line="360" w:lineRule="auto"/>
        <w:ind w:firstLine="438" w:firstLineChars="20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②几个人联合承包工程，就地组织暗分包队伍，不具备完成本工程的技术、机械能力，被发包人判定为没有能力履行的承包人。没收全部履约保证金。</w:t>
      </w:r>
    </w:p>
    <w:p w14:paraId="72CA36E4">
      <w:pPr>
        <w:pStyle w:val="28"/>
        <w:spacing w:line="360" w:lineRule="auto"/>
        <w:ind w:firstLine="438" w:firstLineChars="20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③就地转包全部的工程，以谋取高额转让费、管理费的承包人。没收全部履约保证金。</w:t>
      </w:r>
    </w:p>
    <w:p w14:paraId="57ECB721">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④承包人有部分分包现象（其中包括冒充承包人下属单位的挂勾单位，凭口头协议参与施工的分包人及其他暗分包个体户），一经发现核实，发包人将采取驱逐该暗分包人措施。没收全部履约保证金。</w:t>
      </w:r>
    </w:p>
    <w:p w14:paraId="1E8545B0">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3.5.4 分包合同价款</w:t>
      </w:r>
    </w:p>
    <w:bookmarkEnd w:id="785"/>
    <w:bookmarkEnd w:id="786"/>
    <w:p w14:paraId="015B0349">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787" w:name="_Toc373227711"/>
      <w:bookmarkStart w:id="788" w:name="_Toc373478358"/>
      <w:bookmarkStart w:id="789" w:name="_Toc389065277"/>
      <w:r>
        <w:rPr>
          <w:rFonts w:hint="eastAsia" w:ascii="宋体" w:hAnsi="宋体" w:eastAsia="宋体" w:cs="宋体"/>
          <w:color w:val="000000" w:themeColor="text1"/>
          <w:highlight w:val="none"/>
          <w14:textFill>
            <w14:solidFill>
              <w14:schemeClr w14:val="tx1"/>
            </w14:solidFill>
          </w14:textFill>
        </w:rPr>
        <w:t>关于分包合同价款支付的约定：</w:t>
      </w:r>
      <w:r>
        <w:rPr>
          <w:rFonts w:hint="eastAsia" w:ascii="宋体" w:hAnsi="宋体" w:eastAsia="宋体" w:cs="宋体"/>
          <w:color w:val="000000" w:themeColor="text1"/>
          <w:highlight w:val="none"/>
          <w:u w:val="single"/>
          <w14:textFill>
            <w14:solidFill>
              <w14:schemeClr w14:val="tx1"/>
            </w14:solidFill>
          </w14:textFill>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25FBB192">
      <w:pPr>
        <w:pStyle w:val="6"/>
        <w:rPr>
          <w:rFonts w:hint="eastAsia" w:ascii="宋体" w:hAnsi="宋体" w:eastAsia="宋体" w:cs="宋体"/>
          <w:color w:val="000000" w:themeColor="text1"/>
          <w:highlight w:val="none"/>
          <w14:textFill>
            <w14:solidFill>
              <w14:schemeClr w14:val="tx1"/>
            </w14:solidFill>
          </w14:textFill>
        </w:rPr>
      </w:pPr>
      <w:bookmarkStart w:id="790" w:name="_Toc407135213"/>
      <w:bookmarkStart w:id="791" w:name="_Toc101808609"/>
      <w:bookmarkStart w:id="792" w:name="_Toc57329529"/>
      <w:bookmarkStart w:id="793" w:name="_Toc78449799"/>
      <w:r>
        <w:rPr>
          <w:rFonts w:hint="eastAsia" w:ascii="宋体" w:hAnsi="宋体" w:eastAsia="宋体" w:cs="宋体"/>
          <w:color w:val="000000" w:themeColor="text1"/>
          <w:highlight w:val="none"/>
          <w14:textFill>
            <w14:solidFill>
              <w14:schemeClr w14:val="tx1"/>
            </w14:solidFill>
          </w14:textFill>
        </w:rPr>
        <w:t>3.6 工程照管与成品、半成品保护</w:t>
      </w:r>
      <w:bookmarkEnd w:id="787"/>
      <w:bookmarkEnd w:id="788"/>
      <w:bookmarkEnd w:id="789"/>
      <w:bookmarkEnd w:id="790"/>
      <w:bookmarkEnd w:id="791"/>
      <w:bookmarkEnd w:id="792"/>
      <w:bookmarkEnd w:id="793"/>
    </w:p>
    <w:p w14:paraId="1512560E">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承包人负责照管工程及工程相关的材料、工程设备的起始时间：</w:t>
      </w:r>
    </w:p>
    <w:p w14:paraId="58AC183A">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 承包人负责照管工程及工程相关的材料、工程设备的起始时间： 施工现场移交时 。</w:t>
      </w:r>
    </w:p>
    <w:p w14:paraId="32476206">
      <w:pPr>
        <w:spacing w:line="360" w:lineRule="auto"/>
        <w:ind w:firstLine="420" w:firstLineChars="200"/>
        <w:rPr>
          <w:rFonts w:hint="eastAsia" w:ascii="宋体" w:hAnsi="宋体" w:eastAsia="宋体" w:cs="宋体"/>
          <w:color w:val="000000" w:themeColor="text1"/>
          <w:kern w:val="0"/>
          <w:highlight w:val="none"/>
          <w:lang w:eastAsia="zh-CN"/>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2 承包人负责对未验收工程和双方已到货材料、设备的现场保管，包括因</w:t>
      </w:r>
      <w:r>
        <w:rPr>
          <w:rFonts w:hint="eastAsia" w:ascii="宋体" w:hAnsi="宋体" w:eastAsia="宋体" w:cs="宋体"/>
          <w:color w:val="000000" w:themeColor="text1"/>
          <w:kern w:val="0"/>
          <w:highlight w:val="none"/>
          <w:lang w:eastAsia="zh-CN"/>
          <w14:textFill>
            <w14:solidFill>
              <w14:schemeClr w14:val="tx1"/>
            </w14:solidFill>
          </w14:textFill>
        </w:rPr>
        <w:t>发包人</w:t>
      </w:r>
      <w:r>
        <w:rPr>
          <w:rFonts w:hint="eastAsia" w:ascii="宋体" w:hAnsi="宋体" w:eastAsia="宋体" w:cs="宋体"/>
          <w:color w:val="000000" w:themeColor="text1"/>
          <w:kern w:val="0"/>
          <w:highlight w:val="none"/>
          <w14:textFill>
            <w14:solidFill>
              <w14:schemeClr w14:val="tx1"/>
            </w14:solidFill>
          </w14:textFill>
        </w:rPr>
        <w:t>原因暂时无法安装的材料和设备</w:t>
      </w:r>
      <w:r>
        <w:rPr>
          <w:rFonts w:hint="eastAsia" w:ascii="宋体" w:hAnsi="宋体" w:eastAsia="宋体" w:cs="宋体"/>
          <w:color w:val="000000" w:themeColor="text1"/>
          <w:kern w:val="0"/>
          <w:highlight w:val="none"/>
          <w:lang w:eastAsia="zh-CN"/>
          <w14:textFill>
            <w14:solidFill>
              <w14:schemeClr w14:val="tx1"/>
            </w14:solidFill>
          </w14:textFill>
        </w:rPr>
        <w:t>。</w:t>
      </w:r>
    </w:p>
    <w:p w14:paraId="7EAA2915">
      <w:pPr>
        <w:pStyle w:val="6"/>
        <w:rPr>
          <w:rFonts w:hint="default" w:ascii="宋体" w:hAnsi="宋体" w:eastAsia="宋体" w:cs="宋体"/>
          <w:color w:val="000000" w:themeColor="text1"/>
          <w:highlight w:val="none"/>
          <w:lang w:val="en-US" w:eastAsia="zh-CN"/>
          <w14:textFill>
            <w14:solidFill>
              <w14:schemeClr w14:val="tx1"/>
            </w14:solidFill>
          </w14:textFill>
        </w:rPr>
      </w:pPr>
      <w:bookmarkStart w:id="794" w:name="_Toc373478359"/>
      <w:bookmarkStart w:id="795" w:name="_Toc373227712"/>
      <w:bookmarkStart w:id="796" w:name="_Toc389065278"/>
      <w:bookmarkStart w:id="797" w:name="_Toc407135214"/>
      <w:bookmarkStart w:id="798" w:name="_Toc1042049436"/>
      <w:bookmarkStart w:id="799" w:name="_Toc78449800"/>
      <w:bookmarkStart w:id="800" w:name="_Toc1649716734"/>
      <w:r>
        <w:rPr>
          <w:rFonts w:hint="eastAsia" w:ascii="宋体" w:hAnsi="宋体" w:eastAsia="宋体" w:cs="宋体"/>
          <w:color w:val="000000" w:themeColor="text1"/>
          <w:highlight w:val="none"/>
          <w14:textFill>
            <w14:solidFill>
              <w14:schemeClr w14:val="tx1"/>
            </w14:solidFill>
          </w14:textFill>
        </w:rPr>
        <w:t>3.7 履约</w:t>
      </w:r>
      <w:bookmarkEnd w:id="794"/>
      <w:bookmarkEnd w:id="795"/>
      <w:bookmarkEnd w:id="796"/>
      <w:r>
        <w:rPr>
          <w:rFonts w:hint="eastAsia" w:ascii="宋体" w:hAnsi="宋体" w:eastAsia="宋体" w:cs="宋体"/>
          <w:color w:val="000000" w:themeColor="text1"/>
          <w:highlight w:val="none"/>
          <w14:textFill>
            <w14:solidFill>
              <w14:schemeClr w14:val="tx1"/>
            </w14:solidFill>
          </w14:textFill>
        </w:rPr>
        <w:t>保证金</w:t>
      </w:r>
      <w:bookmarkEnd w:id="797"/>
      <w:bookmarkEnd w:id="798"/>
      <w:bookmarkEnd w:id="799"/>
      <w:bookmarkEnd w:id="800"/>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本项目不适用）</w:t>
      </w:r>
    </w:p>
    <w:p w14:paraId="1BE97908">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bookmarkStart w:id="801" w:name="_Toc389065279"/>
      <w:bookmarkStart w:id="802" w:name="_Toc373227713"/>
      <w:bookmarkStart w:id="803" w:name="_Toc373478360"/>
      <w:bookmarkStart w:id="804" w:name="_Toc351203636"/>
      <w:r>
        <w:rPr>
          <w:rFonts w:hint="eastAsia" w:ascii="宋体" w:hAnsi="宋体" w:eastAsia="宋体" w:cs="宋体"/>
          <w:color w:val="000000" w:themeColor="text1"/>
          <w:highlight w:val="none"/>
          <w14:textFill>
            <w14:solidFill>
              <w14:schemeClr w14:val="tx1"/>
            </w14:solidFill>
          </w14:textFill>
        </w:rPr>
        <w:t>承包人提供履约担保的形式、金额及期限的：</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   </w:t>
      </w:r>
      <w:r>
        <w:rPr>
          <w:rFonts w:hint="eastAsia" w:ascii="宋体" w:hAnsi="宋体" w:eastAsia="宋体" w:cs="宋体"/>
          <w:color w:val="000000" w:themeColor="text1"/>
          <w:highlight w:val="none"/>
          <w:u w:val="single"/>
          <w14:textFill>
            <w14:solidFill>
              <w14:schemeClr w14:val="tx1"/>
            </w14:solidFill>
          </w14:textFill>
        </w:rPr>
        <w:t>。</w:t>
      </w:r>
    </w:p>
    <w:p w14:paraId="6B3730D2">
      <w:pPr>
        <w:spacing w:line="360" w:lineRule="auto"/>
        <w:ind w:firstLine="420" w:firstLineChars="200"/>
        <w:rPr>
          <w:rFonts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承包人</w:t>
      </w:r>
      <w:r>
        <w:rPr>
          <w:rFonts w:hint="eastAsia" w:ascii="宋体" w:hAnsi="宋体" w:eastAsia="宋体" w:cs="宋体"/>
          <w:color w:val="000000" w:themeColor="text1"/>
          <w:highlight w:val="none"/>
          <w14:textFill>
            <w14:solidFill>
              <w14:schemeClr w14:val="tx1"/>
            </w14:solidFill>
          </w14:textFill>
        </w:rPr>
        <w:t>提供</w:t>
      </w:r>
      <w:r>
        <w:rPr>
          <w:rFonts w:hint="eastAsia" w:ascii="宋体" w:hAnsi="宋体" w:eastAsia="宋体" w:cs="宋体"/>
          <w:color w:val="000000" w:themeColor="text1"/>
          <w:highlight w:val="none"/>
          <w:lang w:eastAsia="zh-CN"/>
          <w14:textFill>
            <w14:solidFill>
              <w14:schemeClr w14:val="tx1"/>
            </w14:solidFill>
          </w14:textFill>
        </w:rPr>
        <w:t>履约</w:t>
      </w:r>
      <w:r>
        <w:rPr>
          <w:rFonts w:hint="eastAsia" w:ascii="宋体" w:hAnsi="宋体" w:eastAsia="宋体" w:cs="宋体"/>
          <w:color w:val="000000" w:themeColor="text1"/>
          <w:highlight w:val="none"/>
          <w14:textFill>
            <w14:solidFill>
              <w14:schemeClr w14:val="tx1"/>
            </w14:solidFill>
          </w14:textFill>
        </w:rPr>
        <w:t>担保的形式：</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cs="宋体"/>
          <w:color w:val="000000" w:themeColor="text1"/>
          <w:highlight w:val="none"/>
          <w:u w:val="single"/>
          <w:lang w:val="en-US" w:eastAsia="zh-CN"/>
          <w14:textFill>
            <w14:solidFill>
              <w14:schemeClr w14:val="tx1"/>
            </w14:solidFill>
          </w14:textFill>
        </w:rPr>
        <w:t xml:space="preserve">   。</w:t>
      </w:r>
    </w:p>
    <w:p w14:paraId="6E82D08C">
      <w:pPr>
        <w:pStyle w:val="5"/>
        <w:rPr>
          <w:rFonts w:hint="eastAsia" w:ascii="宋体" w:hAnsi="宋体" w:eastAsia="宋体" w:cs="宋体"/>
          <w:color w:val="000000" w:themeColor="text1"/>
          <w:highlight w:val="none"/>
          <w14:textFill>
            <w14:solidFill>
              <w14:schemeClr w14:val="tx1"/>
            </w14:solidFill>
          </w14:textFill>
        </w:rPr>
      </w:pPr>
      <w:bookmarkStart w:id="805" w:name="_Toc931514330"/>
      <w:bookmarkStart w:id="806" w:name="_Toc407135215"/>
      <w:bookmarkStart w:id="807" w:name="_Toc78449801"/>
      <w:bookmarkStart w:id="808" w:name="_Toc907912356"/>
      <w:r>
        <w:rPr>
          <w:rFonts w:hint="eastAsia" w:ascii="宋体" w:hAnsi="宋体" w:eastAsia="宋体" w:cs="宋体"/>
          <w:color w:val="000000" w:themeColor="text1"/>
          <w:highlight w:val="none"/>
          <w14:textFill>
            <w14:solidFill>
              <w14:schemeClr w14:val="tx1"/>
            </w14:solidFill>
          </w14:textFill>
        </w:rPr>
        <w:t>4</w:t>
      </w:r>
      <w:bookmarkStart w:id="809" w:name="_Toc296891202"/>
      <w:bookmarkStart w:id="810" w:name="_Toc296944501"/>
      <w:bookmarkStart w:id="811" w:name="_Toc292559871"/>
      <w:bookmarkStart w:id="812" w:name="_Toc297048348"/>
      <w:bookmarkStart w:id="813" w:name="_Toc297120462"/>
      <w:bookmarkStart w:id="814" w:name="_Toc296503162"/>
      <w:bookmarkStart w:id="815" w:name="_Toc296347161"/>
      <w:bookmarkStart w:id="816" w:name="_Toc296890990"/>
      <w:bookmarkStart w:id="817" w:name="_Toc267251413"/>
      <w:bookmarkStart w:id="818" w:name="_Toc292559366"/>
      <w:bookmarkStart w:id="819" w:name="_Toc296346663"/>
      <w:r>
        <w:rPr>
          <w:rFonts w:hint="eastAsia" w:ascii="宋体" w:hAnsi="宋体" w:eastAsia="宋体" w:cs="宋体"/>
          <w:color w:val="000000" w:themeColor="text1"/>
          <w:highlight w:val="none"/>
          <w14:textFill>
            <w14:solidFill>
              <w14:schemeClr w14:val="tx1"/>
            </w14:solidFill>
          </w14:textFill>
        </w:rPr>
        <w:t>. 监</w:t>
      </w:r>
      <w:bookmarkEnd w:id="809"/>
      <w:bookmarkEnd w:id="810"/>
      <w:bookmarkEnd w:id="811"/>
      <w:bookmarkEnd w:id="812"/>
      <w:bookmarkEnd w:id="813"/>
      <w:bookmarkEnd w:id="814"/>
      <w:bookmarkEnd w:id="815"/>
      <w:bookmarkEnd w:id="816"/>
      <w:bookmarkEnd w:id="817"/>
      <w:bookmarkEnd w:id="818"/>
      <w:bookmarkEnd w:id="819"/>
      <w:r>
        <w:rPr>
          <w:rFonts w:hint="eastAsia" w:ascii="宋体" w:hAnsi="宋体" w:eastAsia="宋体" w:cs="宋体"/>
          <w:color w:val="000000" w:themeColor="text1"/>
          <w:highlight w:val="none"/>
          <w14:textFill>
            <w14:solidFill>
              <w14:schemeClr w14:val="tx1"/>
            </w14:solidFill>
          </w14:textFill>
        </w:rPr>
        <w:t>理人</w:t>
      </w:r>
      <w:bookmarkEnd w:id="801"/>
      <w:bookmarkEnd w:id="802"/>
      <w:bookmarkEnd w:id="803"/>
      <w:bookmarkEnd w:id="804"/>
      <w:bookmarkEnd w:id="805"/>
      <w:bookmarkEnd w:id="806"/>
      <w:bookmarkEnd w:id="807"/>
      <w:bookmarkEnd w:id="808"/>
    </w:p>
    <w:p w14:paraId="6CD46069">
      <w:pPr>
        <w:pStyle w:val="6"/>
        <w:rPr>
          <w:rFonts w:hint="eastAsia" w:ascii="宋体" w:hAnsi="宋体" w:eastAsia="宋体" w:cs="宋体"/>
          <w:color w:val="000000" w:themeColor="text1"/>
          <w:highlight w:val="none"/>
          <w14:textFill>
            <w14:solidFill>
              <w14:schemeClr w14:val="tx1"/>
            </w14:solidFill>
          </w14:textFill>
        </w:rPr>
      </w:pPr>
      <w:bookmarkStart w:id="820" w:name="_Toc78449802"/>
      <w:bookmarkStart w:id="821" w:name="_Toc389065280"/>
      <w:bookmarkStart w:id="822" w:name="_Toc373227714"/>
      <w:bookmarkStart w:id="823" w:name="_Toc373478361"/>
      <w:bookmarkStart w:id="824" w:name="_Toc407135216"/>
      <w:bookmarkStart w:id="825" w:name="_Toc1008304989"/>
      <w:bookmarkStart w:id="826" w:name="_Toc1595043148"/>
      <w:r>
        <w:rPr>
          <w:rFonts w:hint="eastAsia" w:ascii="宋体" w:hAnsi="宋体" w:eastAsia="宋体" w:cs="宋体"/>
          <w:color w:val="000000" w:themeColor="text1"/>
          <w:highlight w:val="none"/>
          <w14:textFill>
            <w14:solidFill>
              <w14:schemeClr w14:val="tx1"/>
            </w14:solidFill>
          </w14:textFill>
        </w:rPr>
        <w:t>4.1 监理人的一般规定</w:t>
      </w:r>
      <w:bookmarkEnd w:id="820"/>
      <w:bookmarkEnd w:id="821"/>
      <w:bookmarkEnd w:id="822"/>
      <w:bookmarkEnd w:id="823"/>
      <w:bookmarkEnd w:id="824"/>
      <w:bookmarkEnd w:id="825"/>
      <w:bookmarkEnd w:id="826"/>
    </w:p>
    <w:p w14:paraId="06E8A635">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关于监理人的监理内容：</w:t>
      </w:r>
      <w:r>
        <w:rPr>
          <w:rFonts w:hint="eastAsia" w:ascii="宋体" w:hAnsi="宋体" w:eastAsia="宋体" w:cs="宋体"/>
          <w:color w:val="000000" w:themeColor="text1"/>
          <w:szCs w:val="21"/>
          <w:highlight w:val="none"/>
          <w:u w:val="single"/>
          <w14:textFill>
            <w14:solidFill>
              <w14:schemeClr w14:val="tx1"/>
            </w14:solidFill>
          </w14:textFill>
        </w:rPr>
        <w:t>按本工程的监理合同中的有关条款</w:t>
      </w:r>
      <w:r>
        <w:rPr>
          <w:rFonts w:hint="eastAsia" w:ascii="宋体" w:hAnsi="宋体" w:eastAsia="宋体" w:cs="宋体"/>
          <w:color w:val="000000" w:themeColor="text1"/>
          <w:highlight w:val="none"/>
          <w14:textFill>
            <w14:solidFill>
              <w14:schemeClr w14:val="tx1"/>
            </w14:solidFill>
          </w14:textFill>
        </w:rPr>
        <w:t>。</w:t>
      </w:r>
    </w:p>
    <w:p w14:paraId="77059F80">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关于监理人的监理权限：</w:t>
      </w:r>
      <w:r>
        <w:rPr>
          <w:rFonts w:hint="eastAsia" w:ascii="宋体" w:hAnsi="宋体" w:eastAsia="宋体" w:cs="宋体"/>
          <w:color w:val="000000" w:themeColor="text1"/>
          <w:szCs w:val="21"/>
          <w:highlight w:val="none"/>
          <w:u w:val="single"/>
          <w14:textFill>
            <w14:solidFill>
              <w14:schemeClr w14:val="tx1"/>
            </w14:solidFill>
          </w14:textFill>
        </w:rPr>
        <w:t>按本工程的监理合同中的有关条款</w:t>
      </w:r>
      <w:r>
        <w:rPr>
          <w:rFonts w:hint="eastAsia" w:ascii="宋体" w:hAnsi="宋体" w:eastAsia="宋体" w:cs="宋体"/>
          <w:color w:val="000000" w:themeColor="text1"/>
          <w:highlight w:val="none"/>
          <w14:textFill>
            <w14:solidFill>
              <w14:schemeClr w14:val="tx1"/>
            </w14:solidFill>
          </w14:textFill>
        </w:rPr>
        <w:t xml:space="preserve">。 </w:t>
      </w:r>
    </w:p>
    <w:p w14:paraId="133DF68C">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关于监理人在施工现场的办公场所、生活场所的提供和费用承担的约定：</w:t>
      </w:r>
      <w:r>
        <w:rPr>
          <w:rFonts w:hint="eastAsia" w:ascii="宋体" w:hAnsi="宋体" w:eastAsia="宋体" w:cs="宋体"/>
          <w:color w:val="000000" w:themeColor="text1"/>
          <w:szCs w:val="21"/>
          <w:highlight w:val="none"/>
          <w:u w:val="single"/>
          <w14:textFill>
            <w14:solidFill>
              <w14:schemeClr w14:val="tx1"/>
            </w14:solidFill>
          </w14:textFill>
        </w:rPr>
        <w:t>按本工程的监理合同中的有关条款</w:t>
      </w:r>
      <w:r>
        <w:rPr>
          <w:rFonts w:hint="eastAsia" w:ascii="宋体" w:hAnsi="宋体" w:eastAsia="宋体" w:cs="宋体"/>
          <w:color w:val="000000" w:themeColor="text1"/>
          <w:highlight w:val="none"/>
          <w14:textFill>
            <w14:solidFill>
              <w14:schemeClr w14:val="tx1"/>
            </w14:solidFill>
          </w14:textFill>
        </w:rPr>
        <w:t>。</w:t>
      </w:r>
    </w:p>
    <w:p w14:paraId="4608D6FE">
      <w:pPr>
        <w:pStyle w:val="6"/>
        <w:rPr>
          <w:rFonts w:hint="eastAsia" w:ascii="宋体" w:hAnsi="宋体" w:eastAsia="宋体" w:cs="宋体"/>
          <w:color w:val="000000" w:themeColor="text1"/>
          <w:highlight w:val="none"/>
          <w:lang w:val="en-US" w:eastAsia="zh-CN"/>
          <w14:textFill>
            <w14:solidFill>
              <w14:schemeClr w14:val="tx1"/>
            </w14:solidFill>
          </w14:textFill>
        </w:rPr>
      </w:pPr>
      <w:bookmarkStart w:id="827" w:name="_Toc389065281"/>
      <w:bookmarkStart w:id="828" w:name="_Toc78449803"/>
      <w:bookmarkStart w:id="829" w:name="_Toc373227715"/>
      <w:bookmarkStart w:id="830" w:name="_Toc1350458461"/>
      <w:bookmarkStart w:id="831" w:name="_Toc373478362"/>
      <w:bookmarkStart w:id="832" w:name="_Toc407135217"/>
      <w:bookmarkStart w:id="833" w:name="_Toc386397261"/>
      <w:r>
        <w:rPr>
          <w:rFonts w:hint="eastAsia" w:ascii="宋体" w:hAnsi="宋体" w:eastAsia="宋体" w:cs="宋体"/>
          <w:color w:val="000000" w:themeColor="text1"/>
          <w:highlight w:val="none"/>
          <w14:textFill>
            <w14:solidFill>
              <w14:schemeClr w14:val="tx1"/>
            </w14:solidFill>
          </w14:textFill>
        </w:rPr>
        <w:t>4.2 监理人员</w:t>
      </w:r>
      <w:bookmarkEnd w:id="827"/>
      <w:bookmarkEnd w:id="828"/>
      <w:bookmarkEnd w:id="829"/>
      <w:bookmarkEnd w:id="830"/>
      <w:bookmarkEnd w:id="831"/>
      <w:bookmarkEnd w:id="832"/>
      <w:bookmarkEnd w:id="833"/>
      <w:r>
        <w:rPr>
          <w:rFonts w:hint="eastAsia" w:ascii="宋体" w:hAnsi="宋体" w:eastAsia="宋体" w:cs="宋体"/>
          <w:color w:val="000000" w:themeColor="text1"/>
          <w:highlight w:val="none"/>
          <w:lang w:val="en-US" w:eastAsia="zh-CN"/>
          <w14:textFill>
            <w14:solidFill>
              <w14:schemeClr w14:val="tx1"/>
            </w14:solidFill>
          </w14:textFill>
        </w:rPr>
        <w:t>(发包人通知到位)</w:t>
      </w:r>
    </w:p>
    <w:p w14:paraId="0A8E6F91">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总监理工程师：</w:t>
      </w:r>
      <w:r>
        <w:rPr>
          <w:rFonts w:ascii="宋体" w:hAnsi="宋体" w:eastAsia="宋体" w:cs="宋体"/>
          <w:color w:val="000000" w:themeColor="text1"/>
          <w:highlight w:val="none"/>
          <w14:textFill>
            <w14:solidFill>
              <w14:schemeClr w14:val="tx1"/>
            </w14:solidFill>
          </w14:textFill>
        </w:rPr>
        <w:t>(由发包人补充填写)</w:t>
      </w:r>
    </w:p>
    <w:p w14:paraId="1B048A0D">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姓    名：</w:t>
      </w:r>
      <w:r>
        <w:rPr>
          <w:rFonts w:hint="eastAsia" w:ascii="宋体" w:hAnsi="宋体" w:eastAsia="宋体" w:cs="宋体"/>
          <w:color w:val="000000" w:themeColor="text1"/>
          <w:spacing w:val="-1"/>
          <w:highlight w:val="none"/>
          <w:u w:val="single"/>
          <w14:textFill>
            <w14:solidFill>
              <w14:schemeClr w14:val="tx1"/>
            </w14:solidFill>
          </w14:textFill>
        </w:rPr>
        <w:t>详见监理合同</w:t>
      </w:r>
      <w:r>
        <w:rPr>
          <w:rFonts w:hint="eastAsia" w:ascii="宋体" w:hAnsi="宋体" w:eastAsia="宋体" w:cs="宋体"/>
          <w:color w:val="000000" w:themeColor="text1"/>
          <w:highlight w:val="none"/>
          <w14:textFill>
            <w14:solidFill>
              <w14:schemeClr w14:val="tx1"/>
            </w14:solidFill>
          </w14:textFill>
        </w:rPr>
        <w:t>；</w:t>
      </w:r>
      <w:r>
        <w:rPr>
          <w:rFonts w:ascii="宋体" w:hAnsi="宋体" w:eastAsia="宋体" w:cs="宋体"/>
          <w:color w:val="000000" w:themeColor="text1"/>
          <w:highlight w:val="none"/>
          <w14:textFill>
            <w14:solidFill>
              <w14:schemeClr w14:val="tx1"/>
            </w14:solidFill>
          </w14:textFill>
        </w:rPr>
        <w:t>(由发包人补充填写)</w:t>
      </w:r>
    </w:p>
    <w:p w14:paraId="70FE05B9">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职    务：</w:t>
      </w:r>
      <w:r>
        <w:rPr>
          <w:rFonts w:hint="eastAsia" w:ascii="宋体" w:hAnsi="宋体" w:eastAsia="宋体" w:cs="宋体"/>
          <w:color w:val="000000" w:themeColor="text1"/>
          <w:spacing w:val="-1"/>
          <w:highlight w:val="none"/>
          <w:u w:val="single"/>
          <w14:textFill>
            <w14:solidFill>
              <w14:schemeClr w14:val="tx1"/>
            </w14:solidFill>
          </w14:textFill>
        </w:rPr>
        <w:t>详见监理合同</w:t>
      </w:r>
      <w:r>
        <w:rPr>
          <w:rFonts w:hint="eastAsia" w:ascii="宋体" w:hAnsi="宋体" w:eastAsia="宋体" w:cs="宋体"/>
          <w:color w:val="000000" w:themeColor="text1"/>
          <w:highlight w:val="none"/>
          <w14:textFill>
            <w14:solidFill>
              <w14:schemeClr w14:val="tx1"/>
            </w14:solidFill>
          </w14:textFill>
        </w:rPr>
        <w:t>；</w:t>
      </w:r>
      <w:r>
        <w:rPr>
          <w:rFonts w:ascii="宋体" w:hAnsi="宋体" w:eastAsia="宋体" w:cs="宋体"/>
          <w:color w:val="000000" w:themeColor="text1"/>
          <w:highlight w:val="none"/>
          <w14:textFill>
            <w14:solidFill>
              <w14:schemeClr w14:val="tx1"/>
            </w14:solidFill>
          </w14:textFill>
        </w:rPr>
        <w:t>(由发包人补充填写)</w:t>
      </w:r>
    </w:p>
    <w:p w14:paraId="3DE39720">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监理工程师注册证书号：</w:t>
      </w:r>
      <w:r>
        <w:rPr>
          <w:rFonts w:hint="eastAsia" w:ascii="宋体" w:hAnsi="宋体" w:eastAsia="宋体" w:cs="宋体"/>
          <w:color w:val="000000" w:themeColor="text1"/>
          <w:spacing w:val="-1"/>
          <w:highlight w:val="none"/>
          <w:u w:val="single"/>
          <w14:textFill>
            <w14:solidFill>
              <w14:schemeClr w14:val="tx1"/>
            </w14:solidFill>
          </w14:textFill>
        </w:rPr>
        <w:t>详见监理合同</w:t>
      </w:r>
      <w:r>
        <w:rPr>
          <w:rFonts w:hint="eastAsia" w:ascii="宋体" w:hAnsi="宋体" w:eastAsia="宋体" w:cs="宋体"/>
          <w:color w:val="000000" w:themeColor="text1"/>
          <w:highlight w:val="none"/>
          <w14:textFill>
            <w14:solidFill>
              <w14:schemeClr w14:val="tx1"/>
            </w14:solidFill>
          </w14:textFill>
        </w:rPr>
        <w:t>；</w:t>
      </w:r>
      <w:r>
        <w:rPr>
          <w:rFonts w:ascii="宋体" w:hAnsi="宋体" w:eastAsia="宋体" w:cs="宋体"/>
          <w:color w:val="000000" w:themeColor="text1"/>
          <w:highlight w:val="none"/>
          <w14:textFill>
            <w14:solidFill>
              <w14:schemeClr w14:val="tx1"/>
            </w14:solidFill>
          </w14:textFill>
        </w:rPr>
        <w:t>(由发包人补充填写)</w:t>
      </w:r>
    </w:p>
    <w:p w14:paraId="0D4A30F2">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spacing w:val="-1"/>
          <w:highlight w:val="none"/>
          <w:u w:val="single"/>
          <w14:textFill>
            <w14:solidFill>
              <w14:schemeClr w14:val="tx1"/>
            </w14:solidFill>
          </w14:textFill>
        </w:rPr>
        <w:t>详见监理合同</w:t>
      </w:r>
      <w:r>
        <w:rPr>
          <w:rFonts w:hint="eastAsia" w:ascii="宋体" w:hAnsi="宋体" w:eastAsia="宋体" w:cs="宋体"/>
          <w:color w:val="000000" w:themeColor="text1"/>
          <w:highlight w:val="none"/>
          <w14:textFill>
            <w14:solidFill>
              <w14:schemeClr w14:val="tx1"/>
            </w14:solidFill>
          </w14:textFill>
        </w:rPr>
        <w:t>；</w:t>
      </w:r>
      <w:r>
        <w:rPr>
          <w:rFonts w:ascii="宋体" w:hAnsi="宋体" w:eastAsia="宋体" w:cs="宋体"/>
          <w:color w:val="000000" w:themeColor="text1"/>
          <w:highlight w:val="none"/>
          <w14:textFill>
            <w14:solidFill>
              <w14:schemeClr w14:val="tx1"/>
            </w14:solidFill>
          </w14:textFill>
        </w:rPr>
        <w:t>(由发包人补充填写)</w:t>
      </w:r>
    </w:p>
    <w:p w14:paraId="2CA22493">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电子信箱：</w:t>
      </w:r>
      <w:r>
        <w:rPr>
          <w:rFonts w:hint="eastAsia" w:ascii="宋体" w:hAnsi="宋体" w:eastAsia="宋体" w:cs="宋体"/>
          <w:color w:val="000000" w:themeColor="text1"/>
          <w:spacing w:val="-1"/>
          <w:highlight w:val="none"/>
          <w:u w:val="single"/>
          <w14:textFill>
            <w14:solidFill>
              <w14:schemeClr w14:val="tx1"/>
            </w14:solidFill>
          </w14:textFill>
        </w:rPr>
        <w:t>详见监理合同</w:t>
      </w:r>
      <w:r>
        <w:rPr>
          <w:rFonts w:hint="eastAsia" w:ascii="宋体" w:hAnsi="宋体" w:eastAsia="宋体" w:cs="宋体"/>
          <w:color w:val="000000" w:themeColor="text1"/>
          <w:highlight w:val="none"/>
          <w14:textFill>
            <w14:solidFill>
              <w14:schemeClr w14:val="tx1"/>
            </w14:solidFill>
          </w14:textFill>
        </w:rPr>
        <w:t>；</w:t>
      </w:r>
      <w:r>
        <w:rPr>
          <w:rFonts w:ascii="宋体" w:hAnsi="宋体" w:eastAsia="宋体" w:cs="宋体"/>
          <w:color w:val="000000" w:themeColor="text1"/>
          <w:highlight w:val="none"/>
          <w14:textFill>
            <w14:solidFill>
              <w14:schemeClr w14:val="tx1"/>
            </w14:solidFill>
          </w14:textFill>
        </w:rPr>
        <w:t>(由发包人补充填写)</w:t>
      </w:r>
    </w:p>
    <w:p w14:paraId="5BC5D66D">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通信地址：</w:t>
      </w:r>
      <w:r>
        <w:rPr>
          <w:rFonts w:hint="eastAsia" w:ascii="宋体" w:hAnsi="宋体" w:eastAsia="宋体" w:cs="宋体"/>
          <w:color w:val="000000" w:themeColor="text1"/>
          <w:spacing w:val="-1"/>
          <w:highlight w:val="none"/>
          <w:u w:val="single"/>
          <w14:textFill>
            <w14:solidFill>
              <w14:schemeClr w14:val="tx1"/>
            </w14:solidFill>
          </w14:textFill>
        </w:rPr>
        <w:t>详见监理合同</w:t>
      </w:r>
      <w:r>
        <w:rPr>
          <w:rFonts w:hint="eastAsia" w:ascii="宋体" w:hAnsi="宋体" w:eastAsia="宋体" w:cs="宋体"/>
          <w:color w:val="000000" w:themeColor="text1"/>
          <w:highlight w:val="none"/>
          <w14:textFill>
            <w14:solidFill>
              <w14:schemeClr w14:val="tx1"/>
            </w14:solidFill>
          </w14:textFill>
        </w:rPr>
        <w:t>；</w:t>
      </w:r>
      <w:r>
        <w:rPr>
          <w:rFonts w:ascii="宋体" w:hAnsi="宋体" w:eastAsia="宋体" w:cs="宋体"/>
          <w:color w:val="000000" w:themeColor="text1"/>
          <w:highlight w:val="none"/>
          <w14:textFill>
            <w14:solidFill>
              <w14:schemeClr w14:val="tx1"/>
            </w14:solidFill>
          </w14:textFill>
        </w:rPr>
        <w:t>(由发包人补充填写)</w:t>
      </w:r>
    </w:p>
    <w:p w14:paraId="0FEC669D">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关于监理人的其他约定：</w:t>
      </w:r>
      <w:r>
        <w:rPr>
          <w:rFonts w:hint="eastAsia" w:ascii="宋体" w:hAnsi="宋体" w:eastAsia="宋体" w:cs="宋体"/>
          <w:color w:val="000000" w:themeColor="text1"/>
          <w:spacing w:val="-1"/>
          <w:highlight w:val="none"/>
          <w:u w:val="single"/>
          <w14:textFill>
            <w14:solidFill>
              <w14:schemeClr w14:val="tx1"/>
            </w14:solidFill>
          </w14:textFill>
        </w:rPr>
        <w:t>详见监理合同</w:t>
      </w:r>
      <w:r>
        <w:rPr>
          <w:rFonts w:hint="eastAsia" w:ascii="宋体" w:hAnsi="宋体" w:eastAsia="宋体" w:cs="宋体"/>
          <w:color w:val="000000" w:themeColor="text1"/>
          <w:highlight w:val="none"/>
          <w14:textFill>
            <w14:solidFill>
              <w14:schemeClr w14:val="tx1"/>
            </w14:solidFill>
          </w14:textFill>
        </w:rPr>
        <w:t>。</w:t>
      </w:r>
      <w:r>
        <w:rPr>
          <w:rFonts w:ascii="宋体" w:hAnsi="宋体" w:eastAsia="宋体" w:cs="宋体"/>
          <w:color w:val="000000" w:themeColor="text1"/>
          <w:highlight w:val="none"/>
          <w14:textFill>
            <w14:solidFill>
              <w14:schemeClr w14:val="tx1"/>
            </w14:solidFill>
          </w14:textFill>
        </w:rPr>
        <w:t>(由发包人补充填写)</w:t>
      </w:r>
    </w:p>
    <w:p w14:paraId="690E2796">
      <w:pPr>
        <w:pStyle w:val="6"/>
        <w:rPr>
          <w:rFonts w:hint="eastAsia" w:ascii="宋体" w:hAnsi="宋体" w:eastAsia="宋体" w:cs="宋体"/>
          <w:color w:val="000000" w:themeColor="text1"/>
          <w:highlight w:val="none"/>
          <w14:textFill>
            <w14:solidFill>
              <w14:schemeClr w14:val="tx1"/>
            </w14:solidFill>
          </w14:textFill>
        </w:rPr>
      </w:pPr>
      <w:bookmarkStart w:id="834" w:name="_Toc539923186"/>
      <w:bookmarkStart w:id="835" w:name="_Toc373227716"/>
      <w:bookmarkStart w:id="836" w:name="_Toc407135218"/>
      <w:bookmarkStart w:id="837" w:name="_Toc373478363"/>
      <w:bookmarkStart w:id="838" w:name="_Toc389065282"/>
      <w:bookmarkStart w:id="839" w:name="_Toc941562442"/>
      <w:bookmarkStart w:id="840" w:name="_Toc78449804"/>
      <w:r>
        <w:rPr>
          <w:rFonts w:hint="eastAsia" w:ascii="宋体" w:hAnsi="宋体" w:eastAsia="宋体" w:cs="宋体"/>
          <w:color w:val="000000" w:themeColor="text1"/>
          <w:highlight w:val="none"/>
          <w14:textFill>
            <w14:solidFill>
              <w14:schemeClr w14:val="tx1"/>
            </w14:solidFill>
          </w14:textFill>
        </w:rPr>
        <w:t>4.4 商定或确定</w:t>
      </w:r>
      <w:bookmarkEnd w:id="834"/>
      <w:bookmarkEnd w:id="835"/>
      <w:bookmarkEnd w:id="836"/>
      <w:bookmarkEnd w:id="837"/>
      <w:bookmarkEnd w:id="838"/>
      <w:bookmarkEnd w:id="839"/>
      <w:bookmarkEnd w:id="840"/>
    </w:p>
    <w:p w14:paraId="55436984">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841" w:name="_Toc267251418"/>
      <w:r>
        <w:rPr>
          <w:rFonts w:hint="eastAsia" w:ascii="宋体" w:hAnsi="宋体" w:eastAsia="宋体" w:cs="宋体"/>
          <w:color w:val="000000" w:themeColor="text1"/>
          <w:highlight w:val="none"/>
          <w14:textFill>
            <w14:solidFill>
              <w14:schemeClr w14:val="tx1"/>
            </w14:solidFill>
          </w14:textFill>
        </w:rPr>
        <w:t>在发包人和承包人不能通过协商达成一致意见时，发包人授权监理人对以下事项进行确定：</w:t>
      </w:r>
    </w:p>
    <w:p w14:paraId="5D813215">
      <w:pPr>
        <w:autoSpaceDE w:val="0"/>
        <w:autoSpaceDN w:val="0"/>
        <w:adjustRightInd w:val="0"/>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w:t>
      </w:r>
      <w:r>
        <w:rPr>
          <w:rFonts w:hint="eastAsia" w:ascii="宋体" w:hAnsi="宋体" w:eastAsia="宋体" w:cs="宋体"/>
          <w:color w:val="000000" w:themeColor="text1"/>
          <w:highlight w:val="none"/>
          <w:u w:val="single"/>
          <w:lang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p w14:paraId="63850D5A">
      <w:pPr>
        <w:autoSpaceDE w:val="0"/>
        <w:autoSpaceDN w:val="0"/>
        <w:adjustRightInd w:val="0"/>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（2）</w:t>
      </w:r>
      <w:r>
        <w:rPr>
          <w:rFonts w:hint="eastAsia" w:ascii="宋体" w:hAnsi="宋体" w:eastAsia="宋体" w:cs="宋体"/>
          <w:color w:val="000000" w:themeColor="text1"/>
          <w:highlight w:val="none"/>
          <w:u w:val="single"/>
          <w:lang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p w14:paraId="16B1305D">
      <w:pPr>
        <w:autoSpaceDE w:val="0"/>
        <w:autoSpaceDN w:val="0"/>
        <w:adjustRightInd w:val="0"/>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（3）</w:t>
      </w:r>
      <w:r>
        <w:rPr>
          <w:rFonts w:hint="eastAsia" w:ascii="宋体" w:hAnsi="宋体" w:eastAsia="宋体" w:cs="宋体"/>
          <w:color w:val="000000" w:themeColor="text1"/>
          <w:highlight w:val="none"/>
          <w:u w:val="single"/>
          <w:lang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p w14:paraId="3B861B72">
      <w:pPr>
        <w:pStyle w:val="5"/>
        <w:rPr>
          <w:rFonts w:hint="eastAsia" w:ascii="宋体" w:hAnsi="宋体" w:eastAsia="宋体" w:cs="宋体"/>
          <w:color w:val="000000" w:themeColor="text1"/>
          <w:highlight w:val="none"/>
          <w14:textFill>
            <w14:solidFill>
              <w14:schemeClr w14:val="tx1"/>
            </w14:solidFill>
          </w14:textFill>
        </w:rPr>
      </w:pPr>
      <w:bookmarkStart w:id="842" w:name="_Toc351203637"/>
      <w:bookmarkStart w:id="843" w:name="_Toc1603077308"/>
      <w:bookmarkStart w:id="844" w:name="_Toc389065283"/>
      <w:bookmarkStart w:id="845" w:name="_Toc78449805"/>
      <w:bookmarkStart w:id="846" w:name="_Toc407135219"/>
      <w:bookmarkStart w:id="847" w:name="_Toc373227717"/>
      <w:bookmarkStart w:id="848" w:name="_Toc373478364"/>
      <w:bookmarkStart w:id="849" w:name="_Toc1687297496"/>
      <w:r>
        <w:rPr>
          <w:rFonts w:hint="eastAsia" w:ascii="宋体" w:hAnsi="宋体" w:eastAsia="宋体" w:cs="宋体"/>
          <w:color w:val="000000" w:themeColor="text1"/>
          <w:highlight w:val="none"/>
          <w14:textFill>
            <w14:solidFill>
              <w14:schemeClr w14:val="tx1"/>
            </w14:solidFill>
          </w14:textFill>
        </w:rPr>
        <w:t>5</w:t>
      </w:r>
      <w:bookmarkEnd w:id="841"/>
      <w:bookmarkStart w:id="850" w:name="_Toc292559367"/>
      <w:bookmarkStart w:id="851" w:name="_Toc296503163"/>
      <w:bookmarkStart w:id="852" w:name="_Toc296890991"/>
      <w:bookmarkStart w:id="853" w:name="_Toc296944502"/>
      <w:bookmarkStart w:id="854" w:name="_Toc292559872"/>
      <w:bookmarkStart w:id="855" w:name="_Toc296346664"/>
      <w:bookmarkStart w:id="856" w:name="_Toc297048349"/>
      <w:bookmarkStart w:id="857" w:name="_Toc296347162"/>
      <w:bookmarkStart w:id="858" w:name="_Toc296891203"/>
      <w:bookmarkStart w:id="859" w:name="_Toc297120463"/>
      <w:r>
        <w:rPr>
          <w:rFonts w:hint="eastAsia" w:ascii="宋体" w:hAnsi="宋体" w:eastAsia="宋体" w:cs="宋体"/>
          <w:color w:val="000000" w:themeColor="text1"/>
          <w:highlight w:val="none"/>
          <w14:textFill>
            <w14:solidFill>
              <w14:schemeClr w14:val="tx1"/>
            </w14:solidFill>
          </w14:textFill>
        </w:rPr>
        <w:t>. 工程质量</w:t>
      </w:r>
      <w:bookmarkEnd w:id="842"/>
      <w:bookmarkEnd w:id="843"/>
      <w:bookmarkEnd w:id="844"/>
      <w:bookmarkEnd w:id="845"/>
      <w:bookmarkEnd w:id="846"/>
      <w:bookmarkEnd w:id="847"/>
      <w:bookmarkEnd w:id="848"/>
      <w:bookmarkEnd w:id="849"/>
    </w:p>
    <w:p w14:paraId="15EF35F0">
      <w:pPr>
        <w:pStyle w:val="6"/>
        <w:rPr>
          <w:rFonts w:hint="eastAsia" w:ascii="宋体" w:hAnsi="宋体" w:eastAsia="宋体" w:cs="宋体"/>
          <w:color w:val="000000" w:themeColor="text1"/>
          <w:highlight w:val="none"/>
          <w14:textFill>
            <w14:solidFill>
              <w14:schemeClr w14:val="tx1"/>
            </w14:solidFill>
          </w14:textFill>
        </w:rPr>
      </w:pPr>
      <w:bookmarkStart w:id="860" w:name="_Toc1952042622"/>
      <w:bookmarkStart w:id="861" w:name="_Toc1835421345"/>
      <w:bookmarkStart w:id="862" w:name="_Toc373227718"/>
      <w:bookmarkStart w:id="863" w:name="_Toc78449806"/>
      <w:bookmarkStart w:id="864" w:name="_Toc389065284"/>
      <w:bookmarkStart w:id="865" w:name="_Toc407135220"/>
      <w:bookmarkStart w:id="866" w:name="_Toc373478365"/>
      <w:r>
        <w:rPr>
          <w:rFonts w:hint="eastAsia" w:ascii="宋体" w:hAnsi="宋体" w:eastAsia="宋体" w:cs="宋体"/>
          <w:color w:val="000000" w:themeColor="text1"/>
          <w:highlight w:val="none"/>
          <w14:textFill>
            <w14:solidFill>
              <w14:schemeClr w14:val="tx1"/>
            </w14:solidFill>
          </w14:textFill>
        </w:rPr>
        <w:t>5.1 质量要求</w:t>
      </w:r>
      <w:bookmarkEnd w:id="860"/>
      <w:bookmarkEnd w:id="861"/>
      <w:bookmarkEnd w:id="862"/>
      <w:bookmarkEnd w:id="863"/>
      <w:bookmarkEnd w:id="864"/>
      <w:bookmarkEnd w:id="865"/>
      <w:bookmarkEnd w:id="866"/>
    </w:p>
    <w:p w14:paraId="78CFB492">
      <w:pPr>
        <w:spacing w:line="360" w:lineRule="auto"/>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bookmarkStart w:id="867" w:name="_Toc318581164"/>
      <w:bookmarkStart w:id="868" w:name="_Toc303539106"/>
      <w:bookmarkStart w:id="869" w:name="_Toc312677997"/>
      <w:bookmarkStart w:id="870" w:name="_Toc304295527"/>
      <w:bookmarkStart w:id="871" w:name="_Toc297216155"/>
      <w:bookmarkStart w:id="872" w:name="_Toc300934949"/>
      <w:bookmarkStart w:id="873" w:name="_Toc297123496"/>
      <w:r>
        <w:rPr>
          <w:rFonts w:hint="eastAsia" w:ascii="宋体" w:hAnsi="宋体" w:eastAsia="宋体" w:cs="宋体"/>
          <w:color w:val="000000" w:themeColor="text1"/>
          <w:highlight w:val="none"/>
          <w14:textFill>
            <w14:solidFill>
              <w14:schemeClr w14:val="tx1"/>
            </w14:solidFill>
          </w14:textFill>
        </w:rPr>
        <w:t>.1.1 特殊质量标准和要求：</w:t>
      </w:r>
      <w:r>
        <w:rPr>
          <w:rFonts w:hint="eastAsia" w:ascii="宋体" w:hAnsi="宋体" w:eastAsia="宋体" w:cs="宋体"/>
          <w:color w:val="000000" w:themeColor="text1"/>
          <w:sz w:val="21"/>
          <w:szCs w:val="21"/>
          <w:highlight w:val="none"/>
          <w:u w:val="single" w:color="auto"/>
          <w14:textFill>
            <w14:solidFill>
              <w14:schemeClr w14:val="tx1"/>
            </w14:solidFill>
          </w14:textFill>
        </w:rPr>
        <w:t>达到国家施工验收规范合格工程标准</w:t>
      </w:r>
      <w:r>
        <w:rPr>
          <w:rFonts w:hint="eastAsia" w:ascii="宋体" w:hAnsi="宋体" w:eastAsia="宋体" w:cs="宋体"/>
          <w:color w:val="000000" w:themeColor="text1"/>
          <w:highlight w:val="none"/>
          <w14:textFill>
            <w14:solidFill>
              <w14:schemeClr w14:val="tx1"/>
            </w14:solidFill>
          </w14:textFill>
        </w:rPr>
        <w:t>。</w:t>
      </w:r>
    </w:p>
    <w:p w14:paraId="5F9FDE4D">
      <w:pPr>
        <w:spacing w:line="360" w:lineRule="auto"/>
        <w:ind w:firstLine="420" w:firstLineChars="200"/>
        <w:jc w:val="lef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关于工程奖项的约定： </w:t>
      </w:r>
      <w:r>
        <w:rPr>
          <w:rFonts w:hint="eastAsia" w:ascii="宋体" w:hAnsi="宋体" w:eastAsia="宋体" w:cs="宋体"/>
          <w:color w:val="000000" w:themeColor="text1"/>
          <w:highlight w:val="none"/>
          <w:lang w:eastAsia="zh-CN"/>
          <w14:textFill>
            <w14:solidFill>
              <w14:schemeClr w14:val="tx1"/>
            </w14:solidFill>
          </w14:textFill>
        </w:rPr>
        <w:t>无</w:t>
      </w:r>
    </w:p>
    <w:p w14:paraId="36D9BB3A">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5.3 隐蔽工程检查</w:t>
      </w:r>
    </w:p>
    <w:p w14:paraId="626D3EC8">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5.3.2承包人提前通知监理人隐蔽工程检查的期限的约定：工程隐蔽或中间验收前12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1AD21263">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监理人不能按时进行检查时，应提前</w:t>
      </w:r>
      <w:r>
        <w:rPr>
          <w:rFonts w:hint="eastAsia" w:ascii="宋体" w:hAnsi="宋体" w:eastAsia="宋体" w:cs="宋体"/>
          <w:color w:val="000000" w:themeColor="text1"/>
          <w:highlight w:val="none"/>
          <w:u w:val="single"/>
          <w:lang w:val="en-US" w:eastAsia="zh-CN"/>
          <w14:textFill>
            <w14:solidFill>
              <w14:schemeClr w14:val="tx1"/>
            </w14:solidFill>
          </w14:textFill>
        </w:rPr>
        <w:t>24</w:t>
      </w:r>
      <w:r>
        <w:rPr>
          <w:rFonts w:hint="eastAsia" w:ascii="宋体" w:hAnsi="宋体" w:eastAsia="宋体" w:cs="宋体"/>
          <w:color w:val="000000" w:themeColor="text1"/>
          <w:highlight w:val="none"/>
          <w14:textFill>
            <w14:solidFill>
              <w14:schemeClr w14:val="tx1"/>
            </w14:solidFill>
          </w14:textFill>
        </w:rPr>
        <w:t>小时提交书面延期要求。</w:t>
      </w:r>
    </w:p>
    <w:p w14:paraId="1D219BBE">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关于延期最长不得超过：</w:t>
      </w:r>
      <w:r>
        <w:rPr>
          <w:rFonts w:hint="eastAsia" w:ascii="宋体" w:hAnsi="宋体" w:eastAsia="宋体" w:cs="宋体"/>
          <w:color w:val="000000" w:themeColor="text1"/>
          <w:highlight w:val="none"/>
          <w:u w:val="single"/>
          <w:lang w:val="en-US" w:eastAsia="zh-CN"/>
          <w14:textFill>
            <w14:solidFill>
              <w14:schemeClr w14:val="tx1"/>
            </w14:solidFill>
          </w14:textFill>
        </w:rPr>
        <w:t>48</w:t>
      </w:r>
      <w:r>
        <w:rPr>
          <w:rFonts w:hint="eastAsia" w:ascii="宋体" w:hAnsi="宋体" w:eastAsia="宋体" w:cs="宋体"/>
          <w:color w:val="000000" w:themeColor="text1"/>
          <w:highlight w:val="none"/>
          <w14:textFill>
            <w14:solidFill>
              <w14:schemeClr w14:val="tx1"/>
            </w14:solidFill>
          </w14:textFill>
        </w:rPr>
        <w:t>小时。</w:t>
      </w:r>
    </w:p>
    <w:p w14:paraId="76C6575E">
      <w:pPr>
        <w:pStyle w:val="5"/>
        <w:rPr>
          <w:rFonts w:hint="eastAsia" w:ascii="宋体" w:hAnsi="宋体" w:eastAsia="宋体" w:cs="宋体"/>
          <w:color w:val="000000" w:themeColor="text1"/>
          <w:highlight w:val="none"/>
          <w14:textFill>
            <w14:solidFill>
              <w14:schemeClr w14:val="tx1"/>
            </w14:solidFill>
          </w14:textFill>
        </w:rPr>
      </w:pPr>
      <w:bookmarkStart w:id="874" w:name="_Toc373478366"/>
      <w:bookmarkStart w:id="875" w:name="_Toc703841976"/>
      <w:bookmarkStart w:id="876" w:name="_Toc1259019817"/>
      <w:bookmarkStart w:id="877" w:name="_Toc373227719"/>
      <w:bookmarkStart w:id="878" w:name="_Toc78449807"/>
      <w:bookmarkStart w:id="879" w:name="_Toc389065285"/>
      <w:bookmarkStart w:id="880" w:name="_Toc351203638"/>
      <w:bookmarkStart w:id="881" w:name="_Toc407135221"/>
      <w:r>
        <w:rPr>
          <w:rFonts w:hint="eastAsia" w:ascii="宋体" w:hAnsi="宋体" w:eastAsia="宋体" w:cs="宋体"/>
          <w:color w:val="000000" w:themeColor="text1"/>
          <w:highlight w:val="none"/>
          <w14:textFill>
            <w14:solidFill>
              <w14:schemeClr w14:val="tx1"/>
            </w14:solidFill>
          </w14:textFill>
        </w:rPr>
        <w:t>6. 安全文明施工与环境保护</w:t>
      </w:r>
      <w:bookmarkEnd w:id="874"/>
      <w:bookmarkEnd w:id="875"/>
      <w:bookmarkEnd w:id="876"/>
      <w:bookmarkEnd w:id="877"/>
      <w:bookmarkEnd w:id="878"/>
      <w:bookmarkEnd w:id="879"/>
      <w:bookmarkEnd w:id="880"/>
      <w:bookmarkEnd w:id="881"/>
    </w:p>
    <w:p w14:paraId="3F9057E0">
      <w:pPr>
        <w:pStyle w:val="6"/>
        <w:rPr>
          <w:rFonts w:hint="eastAsia" w:ascii="宋体" w:hAnsi="宋体" w:eastAsia="宋体" w:cs="宋体"/>
          <w:color w:val="000000" w:themeColor="text1"/>
          <w:highlight w:val="none"/>
          <w14:textFill>
            <w14:solidFill>
              <w14:schemeClr w14:val="tx1"/>
            </w14:solidFill>
          </w14:textFill>
        </w:rPr>
      </w:pPr>
      <w:bookmarkStart w:id="882" w:name="_Toc373478367"/>
      <w:bookmarkStart w:id="883" w:name="_Toc407135222"/>
      <w:bookmarkStart w:id="884" w:name="_Toc78449808"/>
      <w:bookmarkStart w:id="885" w:name="_Toc373227720"/>
      <w:bookmarkStart w:id="886" w:name="_Toc180514231"/>
      <w:bookmarkStart w:id="887" w:name="_Toc1296292062"/>
      <w:bookmarkStart w:id="888" w:name="_Toc389065286"/>
      <w:r>
        <w:rPr>
          <w:rFonts w:hint="eastAsia" w:ascii="宋体" w:hAnsi="宋体" w:eastAsia="宋体" w:cs="宋体"/>
          <w:color w:val="000000" w:themeColor="text1"/>
          <w:highlight w:val="none"/>
          <w14:textFill>
            <w14:solidFill>
              <w14:schemeClr w14:val="tx1"/>
            </w14:solidFill>
          </w14:textFill>
        </w:rPr>
        <w:t>6.1 安全文明施工</w:t>
      </w:r>
      <w:bookmarkEnd w:id="882"/>
      <w:bookmarkEnd w:id="883"/>
      <w:bookmarkEnd w:id="884"/>
      <w:bookmarkEnd w:id="885"/>
      <w:bookmarkEnd w:id="886"/>
      <w:bookmarkEnd w:id="887"/>
      <w:bookmarkEnd w:id="888"/>
    </w:p>
    <w:p w14:paraId="24EAA22E">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6.1.1 项目安全生产的达标目标及相应事项的约定：</w:t>
      </w:r>
      <w:r>
        <w:rPr>
          <w:rFonts w:hint="eastAsia" w:ascii="宋体" w:hAnsi="宋体" w:eastAsia="宋体" w:cs="宋体"/>
          <w:color w:val="000000" w:themeColor="text1"/>
          <w:highlight w:val="none"/>
          <w:u w:val="single"/>
          <w14:textFill>
            <w14:solidFill>
              <w14:schemeClr w14:val="tx1"/>
            </w14:solidFill>
          </w14:textFill>
        </w:rPr>
        <w:t>承包人应严格按桂建质 [2015]16号文《广西壮族自治区建筑工程安全防护、文明施工措施费及管理细则》和南建质安 [2013]22号文《关于印发南宁市建设工程安全防护、文明施工措施费用管理规定的通知》等法律、法规采取安全措施、组织施工，如发生事故、发生的一切责任与后果均由承包人承担</w:t>
      </w:r>
      <w:r>
        <w:rPr>
          <w:rFonts w:hint="eastAsia" w:ascii="宋体" w:hAnsi="宋体" w:eastAsia="宋体" w:cs="宋体"/>
          <w:color w:val="000000" w:themeColor="text1"/>
          <w:highlight w:val="none"/>
          <w14:textFill>
            <w14:solidFill>
              <w14:schemeClr w14:val="tx1"/>
            </w14:solidFill>
          </w14:textFill>
        </w:rPr>
        <w:t>。</w:t>
      </w:r>
    </w:p>
    <w:p w14:paraId="3F63C53B">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关于安全文明施工奖项的约定：</w:t>
      </w:r>
      <w:r>
        <w:rPr>
          <w:rFonts w:hint="eastAsia" w:ascii="宋体" w:hAnsi="宋体" w:eastAsia="宋体" w:cs="宋体"/>
          <w:color w:val="000000" w:themeColor="text1"/>
          <w:highlight w:val="none"/>
          <w:u w:val="single"/>
          <w:lang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p w14:paraId="5170EEE6">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6.1.4 关于治安保卫的特别约定：</w:t>
      </w:r>
      <w:r>
        <w:rPr>
          <w:rFonts w:hint="eastAsia" w:ascii="宋体" w:hAnsi="宋体" w:eastAsia="宋体" w:cs="宋体"/>
          <w:color w:val="000000" w:themeColor="text1"/>
          <w:highlight w:val="none"/>
          <w:u w:val="single"/>
          <w14:textFill>
            <w14:solidFill>
              <w14:schemeClr w14:val="tx1"/>
            </w14:solidFill>
          </w14:textFill>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5808686A">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关于编制施工场地治安管理计划的约定：</w:t>
      </w:r>
      <w:r>
        <w:rPr>
          <w:rFonts w:hint="eastAsia" w:ascii="宋体" w:hAnsi="宋体" w:eastAsia="宋体" w:cs="宋体"/>
          <w:color w:val="000000" w:themeColor="text1"/>
          <w:highlight w:val="none"/>
          <w:u w:val="single"/>
          <w14:textFill>
            <w14:solidFill>
              <w14:schemeClr w14:val="tx1"/>
            </w14:solidFill>
          </w14:textFill>
        </w:rPr>
        <w:t>承包人应在开工前编制施工场地治安管理计划，并制定应对突发治安的紧急预案上报发包人</w:t>
      </w:r>
      <w:r>
        <w:rPr>
          <w:rFonts w:hint="eastAsia" w:ascii="宋体" w:hAnsi="宋体" w:eastAsia="宋体" w:cs="宋体"/>
          <w:color w:val="000000" w:themeColor="text1"/>
          <w:highlight w:val="none"/>
          <w14:textFill>
            <w14:solidFill>
              <w14:schemeClr w14:val="tx1"/>
            </w14:solidFill>
          </w14:textFill>
        </w:rPr>
        <w:t>。</w:t>
      </w:r>
    </w:p>
    <w:p w14:paraId="306E3182">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6.1.5 文明施工</w:t>
      </w:r>
    </w:p>
    <w:p w14:paraId="082E2D00">
      <w:pPr>
        <w:keepNext w:val="0"/>
        <w:keepLines w:val="0"/>
        <w:pageBreakBefore w:val="0"/>
        <w:widowControl/>
        <w:suppressLineNumbers w:val="0"/>
        <w:kinsoku/>
        <w:wordWrap/>
        <w:overflowPunct/>
        <w:topLinePunct w:val="0"/>
        <w:autoSpaceDE/>
        <w:autoSpaceDN/>
        <w:adjustRightInd/>
        <w:snapToGrid/>
        <w:spacing w:line="360" w:lineRule="auto"/>
        <w:ind w:firstLine="420" w:firstLineChars="200"/>
        <w:rPr>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合同当事人对文明施工的要求：</w:t>
      </w:r>
      <w:r>
        <w:rPr>
          <w:rFonts w:hint="eastAsia" w:hAnsi="宋体" w:cs="宋体"/>
          <w:color w:val="000000" w:themeColor="text1"/>
          <w:highlight w:val="none"/>
          <w:u w:val="single"/>
          <w14:textFill>
            <w14:solidFill>
              <w14:schemeClr w14:val="tx1"/>
            </w14:solidFill>
          </w14:textFill>
        </w:rPr>
        <w:t>安全防护、文明施工设施须按南宁市城乡建委《南宁市建设工程质量安全管理标准化图集》（强制性行业标准，2013 年4月版）要求及《南宁市城乡建设委员会关于印发“美丽南宁·整洁畅通有序大行动”活动工地乱象整治工作方案的通知》（南建质安〔20</w:t>
      </w:r>
      <w:r>
        <w:rPr>
          <w:rFonts w:hint="eastAsia" w:hAnsi="宋体" w:cs="宋体"/>
          <w:color w:val="000000" w:themeColor="text1"/>
          <w:highlight w:val="none"/>
          <w:u w:val="single"/>
          <w:lang w:val="en-US" w:eastAsia="zh-CN"/>
          <w14:textFill>
            <w14:solidFill>
              <w14:schemeClr w14:val="tx1"/>
            </w14:solidFill>
          </w14:textFill>
        </w:rPr>
        <w:t>13</w:t>
      </w:r>
      <w:r>
        <w:rPr>
          <w:rFonts w:hint="eastAsia" w:hAnsi="宋体" w:cs="宋体"/>
          <w:color w:val="000000" w:themeColor="text1"/>
          <w:highlight w:val="none"/>
          <w:u w:val="single"/>
          <w14:textFill>
            <w14:solidFill>
              <w14:schemeClr w14:val="tx1"/>
            </w14:solidFill>
          </w14:textFill>
        </w:rPr>
        <w:t>〕28号）有关标准及制度执行</w:t>
      </w:r>
      <w:r>
        <w:rPr>
          <w:rFonts w:hint="eastAsia" w:cs="宋体"/>
          <w:color w:val="000000" w:themeColor="text1"/>
          <w:highlight w:val="none"/>
          <w14:textFill>
            <w14:solidFill>
              <w14:schemeClr w14:val="tx1"/>
            </w14:solidFill>
          </w14:textFill>
        </w:rPr>
        <w:t>。</w:t>
      </w:r>
    </w:p>
    <w:p w14:paraId="027F24E2">
      <w:pPr>
        <w:pageBreakBefore w:val="0"/>
        <w:widowControl w:val="0"/>
        <w:kinsoku/>
        <w:overflowPunct/>
        <w:topLinePunct w:val="0"/>
        <w:spacing w:line="360" w:lineRule="auto"/>
        <w:ind w:firstLine="420" w:firstLineChars="200"/>
        <w:rPr>
          <w:rFonts w:hint="eastAsia" w:hAnsi="宋体"/>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6.1.6</w:t>
      </w:r>
      <w:r>
        <w:rPr>
          <w:rFonts w:hAnsi="宋体" w:cs="宋体"/>
          <w:color w:val="000000" w:themeColor="text1"/>
          <w:kern w:val="0"/>
          <w:highlight w:val="none"/>
          <w14:textFill>
            <w14:solidFill>
              <w14:schemeClr w14:val="tx1"/>
            </w14:solidFill>
          </w14:textFill>
        </w:rPr>
        <w:t>关于安全</w:t>
      </w:r>
      <w:r>
        <w:rPr>
          <w:rFonts w:hint="eastAsia" w:hAnsi="宋体" w:cs="宋体"/>
          <w:color w:val="000000" w:themeColor="text1"/>
          <w:kern w:val="0"/>
          <w:highlight w:val="none"/>
          <w14:textFill>
            <w14:solidFill>
              <w14:schemeClr w14:val="tx1"/>
            </w14:solidFill>
          </w14:textFill>
        </w:rPr>
        <w:t>生产</w:t>
      </w:r>
      <w:r>
        <w:rPr>
          <w:rFonts w:hAnsi="宋体" w:cs="宋体"/>
          <w:color w:val="000000" w:themeColor="text1"/>
          <w:kern w:val="0"/>
          <w:highlight w:val="none"/>
          <w14:textFill>
            <w14:solidFill>
              <w14:schemeClr w14:val="tx1"/>
            </w14:solidFill>
          </w14:textFill>
        </w:rPr>
        <w:t>费</w:t>
      </w:r>
      <w:r>
        <w:rPr>
          <w:rFonts w:hint="eastAsia" w:hAnsi="宋体" w:cs="宋体"/>
          <w:color w:val="000000" w:themeColor="text1"/>
          <w:kern w:val="0"/>
          <w:highlight w:val="none"/>
          <w14:textFill>
            <w14:solidFill>
              <w14:schemeClr w14:val="tx1"/>
            </w14:solidFill>
          </w14:textFill>
        </w:rPr>
        <w:t>总额、</w:t>
      </w:r>
      <w:r>
        <w:rPr>
          <w:rFonts w:hAnsi="宋体" w:cs="宋体"/>
          <w:color w:val="000000" w:themeColor="text1"/>
          <w:kern w:val="0"/>
          <w:highlight w:val="none"/>
          <w14:textFill>
            <w14:solidFill>
              <w14:schemeClr w14:val="tx1"/>
            </w14:solidFill>
          </w14:textFill>
        </w:rPr>
        <w:t>支付比例</w:t>
      </w:r>
      <w:r>
        <w:rPr>
          <w:rFonts w:hint="eastAsia" w:hAnsi="宋体" w:cs="宋体"/>
          <w:color w:val="000000" w:themeColor="text1"/>
          <w:kern w:val="0"/>
          <w:highlight w:val="none"/>
          <w14:textFill>
            <w14:solidFill>
              <w14:schemeClr w14:val="tx1"/>
            </w14:solidFill>
          </w14:textFill>
        </w:rPr>
        <w:t>、</w:t>
      </w:r>
      <w:r>
        <w:rPr>
          <w:rFonts w:hAnsi="宋体" w:cs="宋体"/>
          <w:color w:val="000000" w:themeColor="text1"/>
          <w:kern w:val="0"/>
          <w:highlight w:val="none"/>
          <w14:textFill>
            <w14:solidFill>
              <w14:schemeClr w14:val="tx1"/>
            </w14:solidFill>
          </w14:textFill>
        </w:rPr>
        <w:t>支付期限</w:t>
      </w:r>
      <w:r>
        <w:rPr>
          <w:rFonts w:hint="eastAsia" w:hAnsi="宋体" w:cs="宋体"/>
          <w:color w:val="000000" w:themeColor="text1"/>
          <w:kern w:val="0"/>
          <w:highlight w:val="none"/>
          <w14:textFill>
            <w14:solidFill>
              <w14:schemeClr w14:val="tx1"/>
            </w14:solidFill>
          </w14:textFill>
        </w:rPr>
        <w:t>、转入和结余收回</w:t>
      </w:r>
      <w:r>
        <w:rPr>
          <w:rFonts w:hAnsi="宋体" w:cs="宋体"/>
          <w:color w:val="000000" w:themeColor="text1"/>
          <w:kern w:val="0"/>
          <w:highlight w:val="none"/>
          <w14:textFill>
            <w14:solidFill>
              <w14:schemeClr w14:val="tx1"/>
            </w14:solidFill>
          </w14:textFill>
        </w:rPr>
        <w:t>的约定：</w:t>
      </w:r>
      <w:r>
        <w:rPr>
          <w:rFonts w:hint="eastAsia" w:hAnsi="宋体" w:cs="宋体"/>
          <w:color w:val="000000" w:themeColor="text1"/>
          <w:kern w:val="0"/>
          <w:highlight w:val="none"/>
          <w:u w:val="single"/>
          <w14:textFill>
            <w14:solidFill>
              <w14:schemeClr w14:val="tx1"/>
            </w14:solidFill>
          </w14:textFill>
        </w:rPr>
        <w:t>文明施工措施费</w:t>
      </w:r>
      <w:r>
        <w:rPr>
          <w:rFonts w:hAnsi="宋体" w:cs="宋体"/>
          <w:color w:val="000000" w:themeColor="text1"/>
          <w:kern w:val="0"/>
          <w:highlight w:val="none"/>
          <w:u w:val="single"/>
          <w14:textFill>
            <w14:solidFill>
              <w14:schemeClr w14:val="tx1"/>
            </w14:solidFill>
          </w14:textFill>
        </w:rPr>
        <w:t>XXX元</w:t>
      </w:r>
      <w:r>
        <w:rPr>
          <w:rFonts w:hint="eastAsia" w:ascii="宋体" w:hAnsi="宋体" w:eastAsia="宋体" w:cs="宋体"/>
          <w:color w:val="000000" w:themeColor="text1"/>
          <w:sz w:val="21"/>
          <w:highlight w:val="none"/>
          <w:u w:val="single"/>
          <w:lang w:val="en-US" w:eastAsia="zh-CN"/>
          <w14:textFill>
            <w14:solidFill>
              <w14:schemeClr w14:val="tx1"/>
            </w14:solidFill>
          </w14:textFill>
        </w:rPr>
        <w:t xml:space="preserve"> </w:t>
      </w:r>
      <w:r>
        <w:rPr>
          <w:rFonts w:hint="eastAsia" w:ascii="宋体" w:hAnsi="宋体" w:cs="宋体"/>
          <w:color w:val="000000" w:themeColor="text1"/>
          <w:sz w:val="21"/>
          <w:highlight w:val="none"/>
          <w:u w:val="single"/>
          <w:lang w:val="en-US" w:eastAsia="zh-CN"/>
          <w14:textFill>
            <w14:solidFill>
              <w14:schemeClr w14:val="tx1"/>
            </w14:solidFill>
          </w14:textFill>
        </w:rPr>
        <w:t xml:space="preserve">             </w:t>
      </w:r>
      <w:r>
        <w:rPr>
          <w:rFonts w:hint="eastAsia" w:hAnsi="宋体" w:cs="宋体"/>
          <w:color w:val="000000" w:themeColor="text1"/>
          <w:kern w:val="0"/>
          <w:highlight w:val="none"/>
          <w:u w:val="single"/>
          <w14:textFill>
            <w14:solidFill>
              <w14:schemeClr w14:val="tx1"/>
            </w14:solidFill>
          </w14:textFill>
        </w:rPr>
        <w:t>元</w:t>
      </w:r>
      <w:r>
        <w:rPr>
          <w:rFonts w:hint="eastAsia" w:hAnsi="宋体" w:cs="宋体"/>
          <w:color w:val="000000" w:themeColor="text1"/>
          <w:kern w:val="0"/>
          <w:highlight w:val="none"/>
          <w:u w:val="single"/>
          <w:lang w:eastAsia="zh-CN"/>
          <w14:textFill>
            <w14:solidFill>
              <w14:schemeClr w14:val="tx1"/>
            </w14:solidFill>
          </w14:textFill>
        </w:rPr>
        <w:t>（</w:t>
      </w:r>
      <w:r>
        <w:rPr>
          <w:rFonts w:hint="eastAsia" w:hAnsi="宋体" w:cs="宋体"/>
          <w:color w:val="000000" w:themeColor="text1"/>
          <w:kern w:val="0"/>
          <w:highlight w:val="none"/>
          <w:u w:val="single"/>
          <w:lang w:val="en-US" w:eastAsia="zh-CN"/>
          <w14:textFill>
            <w14:solidFill>
              <w14:schemeClr w14:val="tx1"/>
            </w14:solidFill>
          </w14:textFill>
        </w:rPr>
        <w:t>投标工程量清单总价措施费提到有关安全文明施工费之和</w:t>
      </w:r>
      <w:r>
        <w:rPr>
          <w:rFonts w:hint="eastAsia" w:hAnsi="宋体" w:cs="宋体"/>
          <w:color w:val="000000" w:themeColor="text1"/>
          <w:kern w:val="0"/>
          <w:highlight w:val="none"/>
          <w:u w:val="single"/>
          <w:lang w:eastAsia="zh-CN"/>
          <w14:textFill>
            <w14:solidFill>
              <w14:schemeClr w14:val="tx1"/>
            </w14:solidFill>
          </w14:textFill>
        </w:rPr>
        <w:t>）</w:t>
      </w:r>
      <w:r>
        <w:rPr>
          <w:rFonts w:hint="eastAsia" w:hAnsi="宋体" w:cs="宋体"/>
          <w:color w:val="000000" w:themeColor="text1"/>
          <w:kern w:val="0"/>
          <w:highlight w:val="none"/>
          <w:u w:val="single"/>
          <w14:textFill>
            <w14:solidFill>
              <w14:schemeClr w14:val="tx1"/>
            </w14:solidFill>
          </w14:textFill>
        </w:rPr>
        <w:t>，使用要求：专款专用。具体按桂建质</w:t>
      </w:r>
      <w:r>
        <w:rPr>
          <w:rFonts w:hint="eastAsia" w:hAnsi="宋体" w:cs="宋体"/>
          <w:color w:val="000000" w:themeColor="text1"/>
          <w:highlight w:val="none"/>
          <w:u w:val="single"/>
          <w14:textFill>
            <w14:solidFill>
              <w14:schemeClr w14:val="tx1"/>
            </w14:solidFill>
          </w14:textFill>
        </w:rPr>
        <w:t>〔20</w:t>
      </w:r>
      <w:r>
        <w:rPr>
          <w:rFonts w:hint="eastAsia" w:hAnsi="宋体" w:cs="宋体"/>
          <w:color w:val="000000" w:themeColor="text1"/>
          <w:highlight w:val="none"/>
          <w:u w:val="single"/>
          <w:lang w:val="en-US" w:eastAsia="zh-CN"/>
          <w14:textFill>
            <w14:solidFill>
              <w14:schemeClr w14:val="tx1"/>
            </w14:solidFill>
          </w14:textFill>
        </w:rPr>
        <w:t>15</w:t>
      </w:r>
      <w:r>
        <w:rPr>
          <w:rFonts w:hint="eastAsia" w:hAnsi="宋体" w:cs="宋体"/>
          <w:color w:val="000000" w:themeColor="text1"/>
          <w:highlight w:val="none"/>
          <w:u w:val="single"/>
          <w14:textFill>
            <w14:solidFill>
              <w14:schemeClr w14:val="tx1"/>
            </w14:solidFill>
          </w14:textFill>
        </w:rPr>
        <w:t>〕</w:t>
      </w:r>
      <w:r>
        <w:rPr>
          <w:rFonts w:hint="eastAsia" w:hAnsi="宋体" w:cs="宋体"/>
          <w:color w:val="000000" w:themeColor="text1"/>
          <w:kern w:val="0"/>
          <w:highlight w:val="none"/>
          <w:u w:val="single"/>
          <w14:textFill>
            <w14:solidFill>
              <w14:schemeClr w14:val="tx1"/>
            </w14:solidFill>
          </w14:textFill>
        </w:rPr>
        <w:t>16号文《广西壮族自治区建筑工程安全防护、文明施工措施费及管理细则》和南建质安</w:t>
      </w:r>
      <w:r>
        <w:rPr>
          <w:rFonts w:hint="eastAsia" w:hAnsi="宋体" w:cs="宋体"/>
          <w:color w:val="000000" w:themeColor="text1"/>
          <w:highlight w:val="none"/>
          <w:u w:val="single"/>
          <w14:textFill>
            <w14:solidFill>
              <w14:schemeClr w14:val="tx1"/>
            </w14:solidFill>
          </w14:textFill>
        </w:rPr>
        <w:t>〔20</w:t>
      </w:r>
      <w:r>
        <w:rPr>
          <w:rFonts w:hint="eastAsia" w:hAnsi="宋体" w:cs="宋体"/>
          <w:color w:val="000000" w:themeColor="text1"/>
          <w:highlight w:val="none"/>
          <w:u w:val="single"/>
          <w:lang w:val="en-US" w:eastAsia="zh-CN"/>
          <w14:textFill>
            <w14:solidFill>
              <w14:schemeClr w14:val="tx1"/>
            </w14:solidFill>
          </w14:textFill>
        </w:rPr>
        <w:t>13</w:t>
      </w:r>
      <w:r>
        <w:rPr>
          <w:rFonts w:hint="eastAsia" w:hAnsi="宋体" w:cs="宋体"/>
          <w:color w:val="000000" w:themeColor="text1"/>
          <w:highlight w:val="none"/>
          <w:u w:val="single"/>
          <w14:textFill>
            <w14:solidFill>
              <w14:schemeClr w14:val="tx1"/>
            </w14:solidFill>
          </w14:textFill>
        </w:rPr>
        <w:t>〕</w:t>
      </w:r>
      <w:r>
        <w:rPr>
          <w:rFonts w:hint="eastAsia" w:hAnsi="宋体" w:cs="宋体"/>
          <w:color w:val="000000" w:themeColor="text1"/>
          <w:kern w:val="0"/>
          <w:highlight w:val="none"/>
          <w:u w:val="single"/>
          <w14:textFill>
            <w14:solidFill>
              <w14:schemeClr w14:val="tx1"/>
            </w14:solidFill>
          </w14:textFill>
        </w:rPr>
        <w:t>22号文《关于印发南宁市建设工程安全防护、文明施工措施费用管理规定的通知》要求执行。发包人应在开工后28天内预付安全文明施工费总额的50%元以上，其余部分与进度款同期支付</w:t>
      </w:r>
      <w:r>
        <w:rPr>
          <w:rFonts w:hint="eastAsia" w:hAnsi="宋体" w:cs="宋体"/>
          <w:color w:val="000000" w:themeColor="text1"/>
          <w:kern w:val="0"/>
          <w:highlight w:val="none"/>
          <w14:textFill>
            <w14:solidFill>
              <w14:schemeClr w14:val="tx1"/>
            </w14:solidFill>
          </w14:textFill>
        </w:rPr>
        <w:t>。</w:t>
      </w:r>
      <w:r>
        <w:rPr>
          <w:rFonts w:hint="eastAsia" w:hAnsi="宋体" w:cs="宋体"/>
          <w:color w:val="000000" w:themeColor="text1"/>
          <w:kern w:val="0"/>
          <w:highlight w:val="none"/>
          <w:u w:val="single"/>
          <w:lang w:val="en-US" w:eastAsia="zh-CN"/>
          <w14:textFill>
            <w14:solidFill>
              <w14:schemeClr w14:val="tx1"/>
            </w14:solidFill>
          </w14:textFill>
        </w:rPr>
        <w:t>费用由承包人提出申请，发包人再根据横州市政府投资项目请款流程及时办理请款。</w:t>
      </w:r>
    </w:p>
    <w:p w14:paraId="3B9624B4">
      <w:pPr>
        <w:spacing w:line="360" w:lineRule="auto"/>
        <w:ind w:firstLine="420" w:firstLineChars="200"/>
        <w:rPr>
          <w:rFonts w:hint="eastAsia" w:ascii="宋体" w:hAnsi="宋体" w:eastAsia="宋体" w:cs="宋体"/>
          <w:color w:val="000000" w:themeColor="text1"/>
          <w:highlight w:val="none"/>
          <w:u w:val="none"/>
          <w:lang w:val="en-US" w:eastAsia="zh-CN"/>
          <w14:textFill>
            <w14:solidFill>
              <w14:schemeClr w14:val="tx1"/>
            </w14:solidFill>
          </w14:textFill>
        </w:rPr>
      </w:pPr>
      <w:r>
        <w:rPr>
          <w:rFonts w:hint="eastAsia" w:ascii="宋体" w:hAnsi="宋体" w:eastAsia="宋体" w:cs="宋体"/>
          <w:color w:val="000000" w:themeColor="text1"/>
          <w:highlight w:val="none"/>
          <w:u w:val="none"/>
          <w:lang w:val="en-US" w:eastAsia="zh-CN"/>
          <w14:textFill>
            <w14:solidFill>
              <w14:schemeClr w14:val="tx1"/>
            </w14:solidFill>
          </w14:textFill>
        </w:rPr>
        <w:t>6.1.</w:t>
      </w:r>
      <w:r>
        <w:rPr>
          <w:rFonts w:hint="eastAsia" w:ascii="宋体" w:hAnsi="宋体" w:cs="宋体"/>
          <w:color w:val="000000" w:themeColor="text1"/>
          <w:highlight w:val="none"/>
          <w:u w:val="none"/>
          <w:lang w:val="en-US" w:eastAsia="zh-CN"/>
          <w14:textFill>
            <w14:solidFill>
              <w14:schemeClr w14:val="tx1"/>
            </w14:solidFill>
          </w14:textFill>
        </w:rPr>
        <w:t>9.2</w:t>
      </w:r>
      <w:r>
        <w:rPr>
          <w:rFonts w:hint="eastAsia" w:ascii="宋体" w:hAnsi="宋体" w:eastAsia="宋体" w:cs="宋体"/>
          <w:color w:val="000000" w:themeColor="text1"/>
          <w:highlight w:val="none"/>
          <w:u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kern w:val="0"/>
          <w:highlight w:val="none"/>
          <w14:textFill>
            <w14:solidFill>
              <w14:schemeClr w14:val="tx1"/>
            </w14:solidFill>
          </w14:textFill>
        </w:rPr>
        <w:t>承包人的安全责任</w:t>
      </w:r>
    </w:p>
    <w:p w14:paraId="1698433A">
      <w:pPr>
        <w:spacing w:line="360" w:lineRule="auto"/>
        <w:ind w:firstLine="420" w:firstLineChars="200"/>
        <w:jc w:val="left"/>
        <w:rPr>
          <w:rFonts w:hint="eastAsia" w:ascii="宋体" w:hAnsi="宋体" w:eastAsia="宋体" w:cs="宋体"/>
          <w:color w:val="000000" w:themeColor="text1"/>
          <w:highlight w:val="none"/>
          <w:u w:val="none"/>
          <w:lang w:val="en-US" w:eastAsia="zh-CN"/>
          <w14:textFill>
            <w14:solidFill>
              <w14:schemeClr w14:val="tx1"/>
            </w14:solidFill>
          </w14:textFill>
        </w:rPr>
      </w:pPr>
      <w:r>
        <w:rPr>
          <w:rFonts w:hint="eastAsia" w:ascii="宋体" w:hAnsi="宋体" w:eastAsia="宋体" w:cs="宋体"/>
          <w:color w:val="000000" w:themeColor="text1"/>
          <w:highlight w:val="none"/>
          <w:u w:val="single"/>
          <w:lang w:val="en-US" w:eastAsia="zh-CN"/>
          <w14:textFill>
            <w14:solidFill>
              <w14:schemeClr w14:val="tx1"/>
            </w14:solidFill>
          </w14:textFill>
        </w:rPr>
        <w:t>承包人必须文明、安全施工，在施工期间内由于承包人原因造成的一切人员伤亡和财产损失等责任事故和所发生的一切费用一概由承包人承担</w:t>
      </w:r>
      <w:r>
        <w:rPr>
          <w:rFonts w:hint="eastAsia" w:ascii="宋体" w:hAnsi="宋体" w:eastAsia="宋体" w:cs="宋体"/>
          <w:color w:val="000000" w:themeColor="text1"/>
          <w:highlight w:val="none"/>
          <w:u w:val="none"/>
          <w:lang w:val="en-US" w:eastAsia="zh-CN"/>
          <w14:textFill>
            <w14:solidFill>
              <w14:schemeClr w14:val="tx1"/>
            </w14:solidFill>
          </w14:textFill>
        </w:rPr>
        <w:t>。</w:t>
      </w:r>
    </w:p>
    <w:p w14:paraId="7AD5ACB8">
      <w:pPr>
        <w:pStyle w:val="6"/>
        <w:ind w:firstLine="420" w:firstLineChars="200"/>
        <w:rPr>
          <w:rFonts w:hint="eastAsia" w:ascii="宋体" w:hAnsi="宋体" w:eastAsia="宋体" w:cs="宋体"/>
          <w:b w:val="0"/>
          <w:bCs w:val="0"/>
          <w:color w:val="000000" w:themeColor="text1"/>
          <w:sz w:val="21"/>
          <w:szCs w:val="21"/>
          <w:highlight w:val="none"/>
          <w14:textFill>
            <w14:solidFill>
              <w14:schemeClr w14:val="tx1"/>
            </w14:solidFill>
          </w14:textFill>
        </w:rPr>
      </w:pPr>
      <w:bookmarkStart w:id="889" w:name="_Toc373227721"/>
      <w:bookmarkStart w:id="890" w:name="_Toc78449809"/>
      <w:bookmarkStart w:id="891" w:name="_Toc1519050792"/>
      <w:bookmarkStart w:id="892" w:name="_Toc1922268668"/>
      <w:bookmarkStart w:id="893" w:name="_Toc373478368"/>
      <w:bookmarkStart w:id="894" w:name="_Toc407135223"/>
      <w:bookmarkStart w:id="895" w:name="_Toc389065287"/>
      <w:r>
        <w:rPr>
          <w:rFonts w:hint="eastAsia" w:ascii="宋体" w:hAnsi="宋体" w:eastAsia="宋体" w:cs="宋体"/>
          <w:b w:val="0"/>
          <w:bCs w:val="0"/>
          <w:color w:val="000000" w:themeColor="text1"/>
          <w:sz w:val="21"/>
          <w:szCs w:val="21"/>
          <w:highlight w:val="none"/>
          <w14:textFill>
            <w14:solidFill>
              <w14:schemeClr w14:val="tx1"/>
            </w14:solidFill>
          </w14:textFill>
        </w:rPr>
        <w:t>6.</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 w:val="0"/>
          <w:bCs w:val="0"/>
          <w:color w:val="000000" w:themeColor="text1"/>
          <w:sz w:val="21"/>
          <w:szCs w:val="21"/>
          <w:highlight w:val="none"/>
          <w14:textFill>
            <w14:solidFill>
              <w14:schemeClr w14:val="tx1"/>
            </w14:solidFill>
          </w14:textFill>
        </w:rPr>
        <w:t xml:space="preserve"> 环境保护</w:t>
      </w:r>
      <w:bookmarkEnd w:id="889"/>
      <w:bookmarkEnd w:id="890"/>
      <w:bookmarkEnd w:id="891"/>
      <w:bookmarkEnd w:id="892"/>
      <w:bookmarkEnd w:id="893"/>
      <w:bookmarkEnd w:id="894"/>
      <w:bookmarkEnd w:id="895"/>
    </w:p>
    <w:p w14:paraId="4404E1E6">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因施工需要，经发包人批准，由承包人办理有关施工场地交通、环卫和施工噪音管理等手续，费用由承包人负责。</w:t>
      </w:r>
    </w:p>
    <w:p w14:paraId="50FF6C95">
      <w:pPr>
        <w:spacing w:line="360" w:lineRule="auto"/>
        <w:ind w:firstLine="420" w:firstLineChars="200"/>
        <w:jc w:val="left"/>
        <w:rPr>
          <w:rFonts w:hint="eastAsia" w:ascii="宋体" w:hAnsi="宋体" w:eastAsia="宋体" w:cs="宋体"/>
          <w:color w:val="000000" w:themeColor="text1"/>
          <w:highlight w:val="none"/>
          <w:u w:val="none"/>
          <w:lang w:val="en-US" w:eastAsia="zh-CN"/>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经过城市道路的施工车辆，必须按交警、城管、运输等部门相关规定执行。由于施工车辆造成的道路、环境等污染，其责任和费用均由承包人承担。</w:t>
      </w:r>
    </w:p>
    <w:bookmarkEnd w:id="867"/>
    <w:bookmarkEnd w:id="868"/>
    <w:bookmarkEnd w:id="869"/>
    <w:bookmarkEnd w:id="870"/>
    <w:bookmarkEnd w:id="871"/>
    <w:bookmarkEnd w:id="872"/>
    <w:bookmarkEnd w:id="873"/>
    <w:p w14:paraId="3E7C93B1">
      <w:pPr>
        <w:pStyle w:val="5"/>
        <w:rPr>
          <w:rFonts w:hint="eastAsia" w:ascii="宋体" w:hAnsi="宋体" w:eastAsia="宋体" w:cs="宋体"/>
          <w:color w:val="000000" w:themeColor="text1"/>
          <w:highlight w:val="none"/>
          <w14:textFill>
            <w14:solidFill>
              <w14:schemeClr w14:val="tx1"/>
            </w14:solidFill>
          </w14:textFill>
        </w:rPr>
      </w:pPr>
      <w:bookmarkStart w:id="896" w:name="_Toc315674767"/>
      <w:bookmarkStart w:id="897" w:name="_Toc1408286886"/>
      <w:bookmarkStart w:id="898" w:name="_Toc389065288"/>
      <w:bookmarkStart w:id="899" w:name="_Toc351203639"/>
      <w:bookmarkStart w:id="900" w:name="_Toc373478369"/>
      <w:bookmarkStart w:id="901" w:name="_Toc373227722"/>
      <w:bookmarkStart w:id="902" w:name="_Toc78449810"/>
      <w:bookmarkStart w:id="903" w:name="_Toc407135224"/>
      <w:r>
        <w:rPr>
          <w:rFonts w:hint="eastAsia" w:ascii="宋体" w:hAnsi="宋体" w:eastAsia="宋体" w:cs="宋体"/>
          <w:color w:val="000000" w:themeColor="text1"/>
          <w:highlight w:val="none"/>
          <w14:textFill>
            <w14:solidFill>
              <w14:schemeClr w14:val="tx1"/>
            </w14:solidFill>
          </w14:textFill>
        </w:rPr>
        <w:t>7. 工期和进度</w:t>
      </w:r>
      <w:bookmarkEnd w:id="896"/>
      <w:bookmarkEnd w:id="897"/>
      <w:bookmarkEnd w:id="898"/>
      <w:bookmarkEnd w:id="899"/>
      <w:bookmarkEnd w:id="900"/>
      <w:bookmarkEnd w:id="901"/>
      <w:bookmarkEnd w:id="902"/>
      <w:bookmarkEnd w:id="903"/>
    </w:p>
    <w:p w14:paraId="24F08117">
      <w:pPr>
        <w:pStyle w:val="6"/>
        <w:rPr>
          <w:rFonts w:hint="eastAsia" w:ascii="宋体" w:hAnsi="宋体" w:eastAsia="宋体" w:cs="宋体"/>
          <w:color w:val="000000" w:themeColor="text1"/>
          <w:highlight w:val="none"/>
          <w14:textFill>
            <w14:solidFill>
              <w14:schemeClr w14:val="tx1"/>
            </w14:solidFill>
          </w14:textFill>
        </w:rPr>
      </w:pPr>
      <w:bookmarkStart w:id="904" w:name="_Toc664905709"/>
      <w:bookmarkStart w:id="905" w:name="_Toc389065289"/>
      <w:bookmarkStart w:id="906" w:name="_Toc407135225"/>
      <w:bookmarkStart w:id="907" w:name="_Toc78449811"/>
      <w:bookmarkStart w:id="908" w:name="_Toc1194482517"/>
      <w:bookmarkStart w:id="909" w:name="_Toc373227723"/>
      <w:bookmarkStart w:id="910" w:name="_Toc373478370"/>
      <w:r>
        <w:rPr>
          <w:rFonts w:hint="eastAsia" w:ascii="宋体" w:hAnsi="宋体" w:eastAsia="宋体" w:cs="宋体"/>
          <w:color w:val="000000" w:themeColor="text1"/>
          <w:highlight w:val="none"/>
          <w14:textFill>
            <w14:solidFill>
              <w14:schemeClr w14:val="tx1"/>
            </w14:solidFill>
          </w14:textFill>
        </w:rPr>
        <w:t>7.1 施工组织设计</w:t>
      </w:r>
      <w:bookmarkEnd w:id="904"/>
      <w:bookmarkEnd w:id="905"/>
      <w:bookmarkEnd w:id="906"/>
      <w:bookmarkEnd w:id="907"/>
      <w:bookmarkEnd w:id="908"/>
      <w:bookmarkEnd w:id="909"/>
      <w:bookmarkEnd w:id="910"/>
    </w:p>
    <w:p w14:paraId="7C1797C0">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7.1.1 合</w:t>
      </w:r>
      <w:r>
        <w:rPr>
          <w:rFonts w:hint="eastAsia" w:ascii="宋体" w:hAnsi="宋体" w:eastAsia="宋体" w:cs="宋体"/>
          <w:color w:val="000000" w:themeColor="text1"/>
          <w:kern w:val="0"/>
          <w:highlight w:val="none"/>
          <w14:textFill>
            <w14:solidFill>
              <w14:schemeClr w14:val="tx1"/>
            </w14:solidFill>
          </w14:textFill>
        </w:rPr>
        <w:t>同当事人约定的施工组织设计应包括的其他内容：</w:t>
      </w:r>
      <w:r>
        <w:rPr>
          <w:rFonts w:hint="eastAsia" w:ascii="宋体" w:hAnsi="宋体" w:eastAsia="宋体" w:cs="宋体"/>
          <w:color w:val="000000" w:themeColor="text1"/>
          <w:kern w:val="0"/>
          <w:highlight w:val="none"/>
          <w:u w:val="single"/>
          <w14:textFill>
            <w14:solidFill>
              <w14:schemeClr w14:val="tx1"/>
            </w14:solidFill>
          </w14:textFill>
        </w:rPr>
        <w:t>按</w:t>
      </w:r>
      <w:r>
        <w:rPr>
          <w:rFonts w:hint="eastAsia" w:ascii="宋体" w:hAnsi="宋体" w:eastAsia="宋体" w:cs="宋体"/>
          <w:color w:val="000000" w:themeColor="text1"/>
          <w:kern w:val="0"/>
          <w:highlight w:val="none"/>
          <w:u w:val="single"/>
          <w:lang w:eastAsia="zh-CN"/>
          <w14:textFill>
            <w14:solidFill>
              <w14:schemeClr w14:val="tx1"/>
            </w14:solidFill>
          </w14:textFill>
        </w:rPr>
        <w:t>采购文件</w:t>
      </w:r>
      <w:r>
        <w:rPr>
          <w:rFonts w:hint="eastAsia" w:ascii="宋体" w:hAnsi="宋体" w:eastAsia="宋体" w:cs="宋体"/>
          <w:color w:val="000000" w:themeColor="text1"/>
          <w:kern w:val="0"/>
          <w:highlight w:val="none"/>
          <w:u w:val="single"/>
          <w14:textFill>
            <w14:solidFill>
              <w14:schemeClr w14:val="tx1"/>
            </w14:solidFill>
          </w14:textFill>
        </w:rPr>
        <w:t>约定，</w:t>
      </w:r>
      <w:r>
        <w:rPr>
          <w:rFonts w:hint="eastAsia" w:ascii="宋体" w:hAnsi="宋体" w:eastAsia="宋体" w:cs="宋体"/>
          <w:color w:val="000000" w:themeColor="text1"/>
          <w:kern w:val="0"/>
          <w:highlight w:val="none"/>
          <w:u w:val="single"/>
          <w:lang w:eastAsia="zh-CN"/>
          <w14:textFill>
            <w14:solidFill>
              <w14:schemeClr w14:val="tx1"/>
            </w14:solidFill>
          </w14:textFill>
        </w:rPr>
        <w:t>采购文件</w:t>
      </w:r>
      <w:r>
        <w:rPr>
          <w:rFonts w:hint="eastAsia" w:ascii="宋体" w:hAnsi="宋体" w:eastAsia="宋体" w:cs="宋体"/>
          <w:color w:val="000000" w:themeColor="text1"/>
          <w:kern w:val="0"/>
          <w:highlight w:val="none"/>
          <w:u w:val="single"/>
          <w14:textFill>
            <w14:solidFill>
              <w14:schemeClr w14:val="tx1"/>
            </w14:solidFill>
          </w14:textFill>
        </w:rPr>
        <w:t>无约定的按通用条款或双方另行约定</w:t>
      </w:r>
      <w:r>
        <w:rPr>
          <w:rFonts w:hint="eastAsia" w:ascii="宋体" w:hAnsi="宋体" w:eastAsia="宋体" w:cs="宋体"/>
          <w:color w:val="000000" w:themeColor="text1"/>
          <w:highlight w:val="none"/>
          <w14:textFill>
            <w14:solidFill>
              <w14:schemeClr w14:val="tx1"/>
            </w14:solidFill>
          </w14:textFill>
        </w:rPr>
        <w:t>。</w:t>
      </w:r>
    </w:p>
    <w:p w14:paraId="2A3C85B5">
      <w:pPr>
        <w:autoSpaceDE w:val="0"/>
        <w:autoSpaceDN w:val="0"/>
        <w:adjustRightInd w:val="0"/>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7.1.2 </w:t>
      </w:r>
      <w:r>
        <w:rPr>
          <w:rFonts w:hint="eastAsia" w:ascii="宋体" w:hAnsi="宋体" w:eastAsia="宋体" w:cs="宋体"/>
          <w:color w:val="000000" w:themeColor="text1"/>
          <w:kern w:val="0"/>
          <w:highlight w:val="none"/>
          <w14:textFill>
            <w14:solidFill>
              <w14:schemeClr w14:val="tx1"/>
            </w14:solidFill>
          </w14:textFill>
        </w:rPr>
        <w:t>施工组织设计的提交和修改</w:t>
      </w:r>
    </w:p>
    <w:p w14:paraId="187E004A">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承包人提交详细施工组织设计的期限的约定：</w:t>
      </w:r>
      <w:r>
        <w:rPr>
          <w:rFonts w:hint="eastAsia" w:ascii="宋体" w:hAnsi="宋体" w:eastAsia="宋体" w:cs="宋体"/>
          <w:color w:val="000000" w:themeColor="text1"/>
          <w:highlight w:val="none"/>
          <w:u w:val="single"/>
          <w:lang w:eastAsia="zh-CN"/>
          <w14:textFill>
            <w14:solidFill>
              <w14:schemeClr w14:val="tx1"/>
            </w14:solidFill>
          </w14:textFill>
        </w:rPr>
        <w:t>开工前</w:t>
      </w:r>
      <w:r>
        <w:rPr>
          <w:rFonts w:hint="eastAsia" w:ascii="宋体" w:hAnsi="宋体" w:eastAsia="宋体" w:cs="宋体"/>
          <w:color w:val="000000" w:themeColor="text1"/>
          <w:spacing w:val="16"/>
          <w:highlight w:val="none"/>
          <w:u w:val="single"/>
          <w:lang w:val="en-US" w:eastAsia="zh-CN"/>
          <w14:textFill>
            <w14:solidFill>
              <w14:schemeClr w14:val="tx1"/>
            </w14:solidFill>
          </w14:textFill>
        </w:rPr>
        <w:t>7</w:t>
      </w:r>
      <w:r>
        <w:rPr>
          <w:rFonts w:hint="eastAsia" w:ascii="宋体" w:hAnsi="宋体" w:eastAsia="宋体" w:cs="宋体"/>
          <w:color w:val="000000" w:themeColor="text1"/>
          <w:highlight w:val="none"/>
          <w:u w:val="single"/>
          <w:lang w:val="en-US" w:eastAsia="zh-CN"/>
          <w14:textFill>
            <w14:solidFill>
              <w14:schemeClr w14:val="tx1"/>
            </w14:solidFill>
          </w14:textFill>
        </w:rPr>
        <w:t>天内</w:t>
      </w:r>
      <w:r>
        <w:rPr>
          <w:rFonts w:hint="eastAsia" w:ascii="宋体" w:hAnsi="宋体" w:eastAsia="宋体" w:cs="宋体"/>
          <w:color w:val="000000" w:themeColor="text1"/>
          <w:highlight w:val="none"/>
          <w14:textFill>
            <w14:solidFill>
              <w14:schemeClr w14:val="tx1"/>
            </w14:solidFill>
          </w14:textFill>
        </w:rPr>
        <w:t>。</w:t>
      </w:r>
    </w:p>
    <w:p w14:paraId="58A9B464">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发包人和监理人在收到详细的施工组织设计后确认或提出修改意见的期限：</w:t>
      </w:r>
      <w:r>
        <w:rPr>
          <w:rFonts w:hint="eastAsia" w:ascii="宋体" w:hAnsi="宋体" w:eastAsia="宋体" w:cs="宋体"/>
          <w:color w:val="000000" w:themeColor="text1"/>
          <w:highlight w:val="none"/>
          <w:u w:val="single"/>
          <w14:textFill>
            <w14:solidFill>
              <w14:schemeClr w14:val="tx1"/>
            </w14:solidFill>
          </w14:textFill>
        </w:rPr>
        <w:t>自</w:t>
      </w:r>
      <w:r>
        <w:rPr>
          <w:rFonts w:hint="eastAsia" w:ascii="宋体" w:hAnsi="宋体" w:eastAsia="宋体" w:cs="宋体"/>
          <w:color w:val="000000" w:themeColor="text1"/>
          <w:spacing w:val="-1"/>
          <w:sz w:val="21"/>
          <w:szCs w:val="22"/>
          <w:highlight w:val="none"/>
          <w:u w:val="single"/>
          <w:lang w:val="en-US" w:eastAsia="zh-CN" w:bidi="ar-SA"/>
          <w14:textFill>
            <w14:solidFill>
              <w14:schemeClr w14:val="tx1"/>
            </w14:solidFill>
          </w14:textFill>
        </w:rPr>
        <w:t>收到承包</w:t>
      </w:r>
      <w:r>
        <w:rPr>
          <w:rFonts w:hint="eastAsia" w:ascii="宋体" w:hAnsi="宋体" w:eastAsia="宋体" w:cs="宋体"/>
          <w:color w:val="000000" w:themeColor="text1"/>
          <w:spacing w:val="-5"/>
          <w:highlight w:val="none"/>
          <w:u w:val="single"/>
          <w14:textFill>
            <w14:solidFill>
              <w14:schemeClr w14:val="tx1"/>
            </w14:solidFill>
          </w14:textFill>
        </w:rPr>
        <w:t xml:space="preserve">人报送的施工组织设计后 </w:t>
      </w:r>
      <w:r>
        <w:rPr>
          <w:rFonts w:hint="eastAsia" w:ascii="宋体" w:hAnsi="宋体" w:eastAsia="宋体" w:cs="宋体"/>
          <w:color w:val="000000" w:themeColor="text1"/>
          <w:highlight w:val="none"/>
          <w:u w:val="single"/>
          <w14:textFill>
            <w14:solidFill>
              <w14:schemeClr w14:val="tx1"/>
            </w14:solidFill>
          </w14:textFill>
        </w:rPr>
        <w:t>7</w:t>
      </w:r>
      <w:r>
        <w:rPr>
          <w:rFonts w:hint="eastAsia" w:ascii="宋体" w:hAnsi="宋体" w:eastAsia="宋体" w:cs="宋体"/>
          <w:color w:val="000000" w:themeColor="text1"/>
          <w:spacing w:val="6"/>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天内</w:t>
      </w:r>
      <w:r>
        <w:rPr>
          <w:rFonts w:hint="eastAsia" w:ascii="宋体" w:hAnsi="宋体" w:eastAsia="宋体" w:cs="宋体"/>
          <w:color w:val="000000" w:themeColor="text1"/>
          <w:highlight w:val="none"/>
          <w14:textFill>
            <w14:solidFill>
              <w14:schemeClr w14:val="tx1"/>
            </w14:solidFill>
          </w14:textFill>
        </w:rPr>
        <w:t>。</w:t>
      </w:r>
    </w:p>
    <w:p w14:paraId="6454F1B4">
      <w:pPr>
        <w:pStyle w:val="6"/>
        <w:rPr>
          <w:rFonts w:hint="eastAsia" w:ascii="宋体" w:hAnsi="宋体" w:eastAsia="宋体" w:cs="宋体"/>
          <w:color w:val="000000" w:themeColor="text1"/>
          <w:highlight w:val="none"/>
          <w14:textFill>
            <w14:solidFill>
              <w14:schemeClr w14:val="tx1"/>
            </w14:solidFill>
          </w14:textFill>
        </w:rPr>
      </w:pPr>
      <w:bookmarkStart w:id="911" w:name="_Toc373478371"/>
      <w:bookmarkStart w:id="912" w:name="_Toc1674747833"/>
      <w:bookmarkStart w:id="913" w:name="_Toc78449812"/>
      <w:bookmarkStart w:id="914" w:name="_Toc407135226"/>
      <w:bookmarkStart w:id="915" w:name="_Toc389065290"/>
      <w:bookmarkStart w:id="916" w:name="_Toc373227724"/>
      <w:bookmarkStart w:id="917" w:name="_Toc1393005721"/>
      <w:r>
        <w:rPr>
          <w:rFonts w:hint="eastAsia" w:ascii="宋体" w:hAnsi="宋体" w:eastAsia="宋体" w:cs="宋体"/>
          <w:color w:val="000000" w:themeColor="text1"/>
          <w:highlight w:val="none"/>
          <w14:textFill>
            <w14:solidFill>
              <w14:schemeClr w14:val="tx1"/>
            </w14:solidFill>
          </w14:textFill>
        </w:rPr>
        <w:t>7</w:t>
      </w:r>
      <w:bookmarkStart w:id="918" w:name="_Toc297123514"/>
      <w:bookmarkStart w:id="919" w:name="_Toc303539123"/>
      <w:bookmarkStart w:id="920" w:name="_Toc297216173"/>
      <w:bookmarkStart w:id="921" w:name="_Toc312677479"/>
      <w:bookmarkStart w:id="922" w:name="_Toc300934966"/>
      <w:bookmarkStart w:id="923" w:name="_Toc312678005"/>
      <w:bookmarkStart w:id="924" w:name="_Toc304295541"/>
      <w:r>
        <w:rPr>
          <w:rFonts w:hint="eastAsia" w:ascii="宋体" w:hAnsi="宋体" w:eastAsia="宋体" w:cs="宋体"/>
          <w:color w:val="000000" w:themeColor="text1"/>
          <w:highlight w:val="none"/>
          <w14:textFill>
            <w14:solidFill>
              <w14:schemeClr w14:val="tx1"/>
            </w14:solidFill>
          </w14:textFill>
        </w:rPr>
        <w:t>.2 施工进度计划</w:t>
      </w:r>
      <w:bookmarkEnd w:id="911"/>
      <w:bookmarkEnd w:id="912"/>
      <w:bookmarkEnd w:id="913"/>
      <w:bookmarkEnd w:id="914"/>
      <w:bookmarkEnd w:id="915"/>
      <w:bookmarkEnd w:id="916"/>
      <w:bookmarkEnd w:id="917"/>
    </w:p>
    <w:p w14:paraId="600482A7">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7.2.2 施工进度计划的修订</w:t>
      </w:r>
    </w:p>
    <w:p w14:paraId="7E31A31A">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发包人和监理人在收到修订的施工进度计划后确认或提出修改意见的期限：</w:t>
      </w:r>
      <w:r>
        <w:rPr>
          <w:rFonts w:hint="eastAsia" w:ascii="宋体" w:hAnsi="宋体" w:eastAsia="宋体" w:cs="宋体"/>
          <w:b w:val="0"/>
          <w:bCs w:val="0"/>
          <w:color w:val="000000" w:themeColor="text1"/>
          <w:szCs w:val="21"/>
          <w:highlight w:val="none"/>
          <w:u w:val="single"/>
          <w:lang w:eastAsia="zh-CN"/>
          <w14:textFill>
            <w14:solidFill>
              <w14:schemeClr w14:val="tx1"/>
            </w14:solidFill>
          </w14:textFill>
        </w:rPr>
        <w:t>双方协商</w:t>
      </w:r>
      <w:r>
        <w:rPr>
          <w:rFonts w:hint="eastAsia" w:ascii="宋体" w:hAnsi="宋体" w:eastAsia="宋体" w:cs="宋体"/>
          <w:color w:val="000000" w:themeColor="text1"/>
          <w:highlight w:val="none"/>
          <w14:textFill>
            <w14:solidFill>
              <w14:schemeClr w14:val="tx1"/>
            </w14:solidFill>
          </w14:textFill>
        </w:rPr>
        <w:t>。</w:t>
      </w:r>
    </w:p>
    <w:p w14:paraId="0E00C154">
      <w:pPr>
        <w:pStyle w:val="6"/>
        <w:rPr>
          <w:rFonts w:hint="eastAsia" w:ascii="宋体" w:hAnsi="宋体" w:eastAsia="宋体" w:cs="宋体"/>
          <w:color w:val="000000" w:themeColor="text1"/>
          <w:highlight w:val="none"/>
          <w14:textFill>
            <w14:solidFill>
              <w14:schemeClr w14:val="tx1"/>
            </w14:solidFill>
          </w14:textFill>
        </w:rPr>
      </w:pPr>
      <w:bookmarkStart w:id="925" w:name="_Toc389065291"/>
      <w:bookmarkStart w:id="926" w:name="_Toc78449813"/>
      <w:bookmarkStart w:id="927" w:name="_Toc373478372"/>
      <w:bookmarkStart w:id="928" w:name="_Toc423062567"/>
      <w:bookmarkStart w:id="929" w:name="_Toc407135227"/>
      <w:bookmarkStart w:id="930" w:name="_Toc373227725"/>
      <w:bookmarkStart w:id="931" w:name="_Toc1498273563"/>
      <w:r>
        <w:rPr>
          <w:rFonts w:hint="eastAsia" w:ascii="宋体" w:hAnsi="宋体" w:eastAsia="宋体" w:cs="宋体"/>
          <w:color w:val="000000" w:themeColor="text1"/>
          <w:highlight w:val="none"/>
          <w14:textFill>
            <w14:solidFill>
              <w14:schemeClr w14:val="tx1"/>
            </w14:solidFill>
          </w14:textFill>
        </w:rPr>
        <w:t>7.3 开工</w:t>
      </w:r>
      <w:bookmarkEnd w:id="925"/>
      <w:bookmarkEnd w:id="926"/>
      <w:bookmarkEnd w:id="927"/>
      <w:bookmarkEnd w:id="928"/>
      <w:bookmarkEnd w:id="929"/>
      <w:bookmarkEnd w:id="930"/>
      <w:bookmarkEnd w:id="931"/>
    </w:p>
    <w:p w14:paraId="7ADCB054">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7.3.1 开工准备</w:t>
      </w:r>
    </w:p>
    <w:p w14:paraId="279793C7">
      <w:pPr>
        <w:spacing w:line="360" w:lineRule="auto"/>
        <w:ind w:firstLine="426"/>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关于承包人提交</w:t>
      </w:r>
      <w:r>
        <w:rPr>
          <w:rFonts w:hint="eastAsia" w:ascii="宋体" w:hAnsi="宋体" w:eastAsia="宋体" w:cs="宋体"/>
          <w:color w:val="000000" w:themeColor="text1"/>
          <w:kern w:val="0"/>
          <w:highlight w:val="none"/>
          <w14:textFill>
            <w14:solidFill>
              <w14:schemeClr w14:val="tx1"/>
            </w14:solidFill>
          </w14:textFill>
        </w:rPr>
        <w:t>工程开工报审表的期限：</w:t>
      </w:r>
      <w:r>
        <w:rPr>
          <w:rFonts w:hint="eastAsia" w:ascii="宋体" w:hAnsi="宋体" w:eastAsia="宋体" w:cs="宋体"/>
          <w:color w:val="000000" w:themeColor="text1"/>
          <w:kern w:val="0"/>
          <w:highlight w:val="none"/>
          <w:u w:val="single"/>
          <w:lang w:eastAsia="zh-CN"/>
          <w14:textFill>
            <w14:solidFill>
              <w14:schemeClr w14:val="tx1"/>
            </w14:solidFill>
          </w14:textFill>
        </w:rPr>
        <w:t>合同签订后，</w:t>
      </w:r>
      <w:r>
        <w:rPr>
          <w:rFonts w:hint="eastAsia" w:ascii="宋体" w:hAnsi="宋体" w:eastAsia="宋体" w:cs="宋体"/>
          <w:color w:val="000000" w:themeColor="text1"/>
          <w:highlight w:val="none"/>
          <w:u w:val="single"/>
          <w:lang w:eastAsia="zh-CN"/>
          <w14:textFill>
            <w14:solidFill>
              <w14:schemeClr w14:val="tx1"/>
            </w14:solidFill>
          </w14:textFill>
        </w:rPr>
        <w:t>开工前</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7 天</w:t>
      </w:r>
      <w:r>
        <w:rPr>
          <w:rFonts w:hint="eastAsia" w:ascii="宋体" w:hAnsi="宋体" w:eastAsia="宋体" w:cs="宋体"/>
          <w:color w:val="000000" w:themeColor="text1"/>
          <w:highlight w:val="none"/>
          <w14:textFill>
            <w14:solidFill>
              <w14:schemeClr w14:val="tx1"/>
            </w14:solidFill>
          </w14:textFill>
        </w:rPr>
        <w:t>。</w:t>
      </w:r>
    </w:p>
    <w:p w14:paraId="15B3316C">
      <w:pPr>
        <w:spacing w:line="360" w:lineRule="auto"/>
        <w:ind w:firstLine="426"/>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关于发包人应完成的其他开工准备工作及期限：</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w:t>
      </w:r>
    </w:p>
    <w:p w14:paraId="737FE572">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关于承包人应完成的其他开工准备工作及期限：</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w:t>
      </w:r>
    </w:p>
    <w:p w14:paraId="7CFB160A">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7.3.2 开工通知</w:t>
      </w:r>
    </w:p>
    <w:p w14:paraId="3A48D0CA">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因发包人原因造成监理人未能在计划开工日期之日起</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  </w:t>
      </w:r>
      <w:r>
        <w:rPr>
          <w:rFonts w:hint="eastAsia" w:ascii="宋体" w:hAnsi="宋体" w:eastAsia="宋体" w:cs="宋体"/>
          <w:color w:val="000000" w:themeColor="text1"/>
          <w:highlight w:val="none"/>
          <w14:textFill>
            <w14:solidFill>
              <w14:schemeClr w14:val="tx1"/>
            </w14:solidFill>
          </w14:textFill>
        </w:rPr>
        <w:t>天内发出开工通知的，承包人有权提出价格调整要求，或者解除合同。</w:t>
      </w:r>
    </w:p>
    <w:bookmarkEnd w:id="918"/>
    <w:bookmarkEnd w:id="919"/>
    <w:bookmarkEnd w:id="920"/>
    <w:bookmarkEnd w:id="921"/>
    <w:bookmarkEnd w:id="922"/>
    <w:bookmarkEnd w:id="923"/>
    <w:bookmarkEnd w:id="924"/>
    <w:p w14:paraId="7D55F75A">
      <w:pPr>
        <w:pStyle w:val="6"/>
        <w:rPr>
          <w:rFonts w:hint="eastAsia" w:ascii="宋体" w:hAnsi="宋体" w:eastAsia="宋体" w:cs="宋体"/>
          <w:color w:val="000000" w:themeColor="text1"/>
          <w:highlight w:val="none"/>
          <w14:textFill>
            <w14:solidFill>
              <w14:schemeClr w14:val="tx1"/>
            </w14:solidFill>
          </w14:textFill>
        </w:rPr>
      </w:pPr>
      <w:bookmarkStart w:id="932" w:name="_Toc78449814"/>
      <w:bookmarkStart w:id="933" w:name="_Toc407135228"/>
      <w:bookmarkStart w:id="934" w:name="_Toc373478373"/>
      <w:bookmarkStart w:id="935" w:name="_Toc389065292"/>
      <w:bookmarkStart w:id="936" w:name="_Toc373227726"/>
      <w:bookmarkStart w:id="937" w:name="_Toc86855608"/>
      <w:bookmarkStart w:id="938" w:name="_Toc741356765"/>
      <w:r>
        <w:rPr>
          <w:rFonts w:hint="eastAsia" w:ascii="宋体" w:hAnsi="宋体" w:eastAsia="宋体" w:cs="宋体"/>
          <w:color w:val="000000" w:themeColor="text1"/>
          <w:highlight w:val="none"/>
          <w14:textFill>
            <w14:solidFill>
              <w14:schemeClr w14:val="tx1"/>
            </w14:solidFill>
          </w14:textFill>
        </w:rPr>
        <w:t>7.4 测量放线</w:t>
      </w:r>
      <w:bookmarkEnd w:id="932"/>
      <w:bookmarkEnd w:id="933"/>
      <w:bookmarkEnd w:id="934"/>
      <w:bookmarkEnd w:id="935"/>
      <w:bookmarkEnd w:id="936"/>
      <w:bookmarkEnd w:id="937"/>
      <w:bookmarkEnd w:id="938"/>
    </w:p>
    <w:p w14:paraId="6520F6C7">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7.4.1发包人通过监理人向承包人提供测量基准点、基准线和水准点及其书面资料的期限：</w:t>
      </w:r>
      <w:r>
        <w:rPr>
          <w:rFonts w:hint="eastAsia" w:ascii="宋体" w:hAnsi="宋体" w:eastAsia="宋体" w:cs="宋体"/>
          <w:color w:val="000000" w:themeColor="text1"/>
          <w:kern w:val="0"/>
          <w:highlight w:val="none"/>
          <w:u w:val="single"/>
          <w:lang w:eastAsia="zh-CN"/>
          <w14:textFill>
            <w14:solidFill>
              <w14:schemeClr w14:val="tx1"/>
            </w14:solidFill>
          </w14:textFill>
        </w:rPr>
        <w:t>合同签订后，</w:t>
      </w:r>
      <w:r>
        <w:rPr>
          <w:rFonts w:hint="eastAsia" w:ascii="宋体" w:hAnsi="宋体" w:eastAsia="宋体" w:cs="宋体"/>
          <w:color w:val="000000" w:themeColor="text1"/>
          <w:highlight w:val="none"/>
          <w:u w:val="single"/>
          <w:lang w:eastAsia="zh-CN"/>
          <w14:textFill>
            <w14:solidFill>
              <w14:schemeClr w14:val="tx1"/>
            </w14:solidFill>
          </w14:textFill>
        </w:rPr>
        <w:t>开工前</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7 天</w:t>
      </w:r>
      <w:r>
        <w:rPr>
          <w:rFonts w:hint="eastAsia" w:ascii="宋体" w:hAnsi="宋体" w:eastAsia="宋体" w:cs="宋体"/>
          <w:color w:val="000000" w:themeColor="text1"/>
          <w:highlight w:val="none"/>
          <w14:textFill>
            <w14:solidFill>
              <w14:schemeClr w14:val="tx1"/>
            </w14:solidFill>
          </w14:textFill>
        </w:rPr>
        <w:t>。</w:t>
      </w:r>
    </w:p>
    <w:p w14:paraId="1CD4C446">
      <w:pPr>
        <w:pStyle w:val="6"/>
        <w:rPr>
          <w:rFonts w:hint="eastAsia" w:ascii="宋体" w:hAnsi="宋体" w:eastAsia="宋体" w:cs="宋体"/>
          <w:color w:val="000000" w:themeColor="text1"/>
          <w:highlight w:val="none"/>
          <w14:textFill>
            <w14:solidFill>
              <w14:schemeClr w14:val="tx1"/>
            </w14:solidFill>
          </w14:textFill>
        </w:rPr>
      </w:pPr>
      <w:bookmarkStart w:id="939" w:name="_Toc373478374"/>
      <w:bookmarkStart w:id="940" w:name="_Toc1863025072"/>
      <w:bookmarkStart w:id="941" w:name="_Toc389065293"/>
      <w:bookmarkStart w:id="942" w:name="_Toc407135229"/>
      <w:bookmarkStart w:id="943" w:name="_Toc373227727"/>
      <w:bookmarkStart w:id="944" w:name="_Toc1417437583"/>
      <w:bookmarkStart w:id="945" w:name="_Toc78449815"/>
      <w:r>
        <w:rPr>
          <w:rFonts w:hint="eastAsia" w:ascii="宋体" w:hAnsi="宋体" w:eastAsia="宋体" w:cs="宋体"/>
          <w:color w:val="000000" w:themeColor="text1"/>
          <w:highlight w:val="none"/>
          <w14:textFill>
            <w14:solidFill>
              <w14:schemeClr w14:val="tx1"/>
            </w14:solidFill>
          </w14:textFill>
        </w:rPr>
        <w:t>7</w:t>
      </w:r>
      <w:bookmarkStart w:id="946" w:name="_Toc312678010"/>
      <w:bookmarkStart w:id="947" w:name="_Toc304295546"/>
      <w:bookmarkStart w:id="948" w:name="_Toc303539125"/>
      <w:bookmarkStart w:id="949" w:name="_Toc297123516"/>
      <w:bookmarkStart w:id="950" w:name="_Toc297216175"/>
      <w:bookmarkStart w:id="951" w:name="_Toc300934968"/>
      <w:bookmarkStart w:id="952" w:name="_Toc312677484"/>
      <w:r>
        <w:rPr>
          <w:rFonts w:hint="eastAsia" w:ascii="宋体" w:hAnsi="宋体" w:eastAsia="宋体" w:cs="宋体"/>
          <w:color w:val="000000" w:themeColor="text1"/>
          <w:highlight w:val="none"/>
          <w14:textFill>
            <w14:solidFill>
              <w14:schemeClr w14:val="tx1"/>
            </w14:solidFill>
          </w14:textFill>
        </w:rPr>
        <w:t>.5 工期延误</w:t>
      </w:r>
      <w:bookmarkEnd w:id="939"/>
      <w:bookmarkEnd w:id="940"/>
      <w:bookmarkEnd w:id="941"/>
      <w:bookmarkEnd w:id="942"/>
      <w:bookmarkEnd w:id="943"/>
      <w:bookmarkEnd w:id="944"/>
      <w:bookmarkEnd w:id="945"/>
    </w:p>
    <w:bookmarkEnd w:id="946"/>
    <w:bookmarkEnd w:id="947"/>
    <w:bookmarkEnd w:id="948"/>
    <w:bookmarkEnd w:id="949"/>
    <w:bookmarkEnd w:id="950"/>
    <w:bookmarkEnd w:id="951"/>
    <w:bookmarkEnd w:id="952"/>
    <w:p w14:paraId="30D7266E">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7.5.1 因发包人原因导致工期延误</w:t>
      </w:r>
    </w:p>
    <w:p w14:paraId="51595F3C">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（7）因发包人原因导致工期延误的其他情形：</w:t>
      </w:r>
      <w:r>
        <w:rPr>
          <w:rFonts w:hint="eastAsia" w:ascii="宋体" w:hAnsi="宋体" w:eastAsia="宋体" w:cs="宋体"/>
          <w:color w:val="000000" w:themeColor="text1"/>
          <w:highlight w:val="none"/>
          <w:u w:val="single"/>
          <w14:textFill>
            <w14:solidFill>
              <w14:schemeClr w14:val="tx1"/>
            </w14:solidFill>
          </w14:textFill>
        </w:rPr>
        <w:t>①重大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eastAsia="宋体" w:cs="宋体"/>
          <w:color w:val="000000" w:themeColor="text1"/>
          <w:highlight w:val="none"/>
          <w14:textFill>
            <w14:solidFill>
              <w14:schemeClr w14:val="tx1"/>
            </w14:solidFill>
          </w14:textFill>
        </w:rPr>
        <w:t xml:space="preserve"> 。</w:t>
      </w:r>
    </w:p>
    <w:p w14:paraId="37BE0FE9">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w:t>
      </w:r>
      <w:bookmarkStart w:id="953" w:name="_Toc318581169"/>
      <w:bookmarkStart w:id="954" w:name="_Toc312678012"/>
      <w:bookmarkStart w:id="955" w:name="_Toc312677486"/>
      <w:bookmarkStart w:id="956" w:name="_Toc304295548"/>
      <w:bookmarkStart w:id="957" w:name="_Toc300934970"/>
      <w:bookmarkStart w:id="958" w:name="_Toc303539127"/>
      <w:bookmarkStart w:id="959" w:name="_Toc297123518"/>
      <w:bookmarkStart w:id="960" w:name="_Toc297216177"/>
      <w:r>
        <w:rPr>
          <w:rFonts w:hint="eastAsia" w:ascii="宋体" w:hAnsi="宋体" w:eastAsia="宋体" w:cs="宋体"/>
          <w:color w:val="000000" w:themeColor="text1"/>
          <w:highlight w:val="none"/>
          <w14:textFill>
            <w14:solidFill>
              <w14:schemeClr w14:val="tx1"/>
            </w14:solidFill>
          </w14:textFill>
        </w:rPr>
        <w:t>.5.2 因承包人原因导致工期延误</w:t>
      </w:r>
    </w:p>
    <w:bookmarkEnd w:id="953"/>
    <w:bookmarkEnd w:id="954"/>
    <w:bookmarkEnd w:id="955"/>
    <w:p w14:paraId="1CE4F73D">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双方约定经监理工程师确认，工期相应顺延的情况：</w:t>
      </w:r>
      <w:r>
        <w:rPr>
          <w:rFonts w:hint="eastAsia" w:ascii="宋体" w:hAnsi="宋体" w:eastAsia="宋体" w:cs="宋体"/>
          <w:color w:val="000000" w:themeColor="text1"/>
          <w:spacing w:val="-6"/>
          <w:sz w:val="21"/>
          <w:szCs w:val="21"/>
          <w:highlight w:val="none"/>
          <w:u w:val="single" w:color="auto"/>
          <w14:textFill>
            <w14:solidFill>
              <w14:schemeClr w14:val="tx1"/>
            </w14:solidFill>
          </w14:textFill>
        </w:rPr>
        <w:t>由于发包人延误，</w:t>
      </w:r>
      <w:r>
        <w:rPr>
          <w:rFonts w:hint="eastAsia" w:ascii="宋体" w:hAnsi="宋体" w:eastAsia="宋体" w:cs="宋体"/>
          <w:color w:val="000000" w:themeColor="text1"/>
          <w:spacing w:val="-33"/>
          <w:sz w:val="21"/>
          <w:szCs w:val="21"/>
          <w:highlight w:val="none"/>
          <w:u w:val="single" w:color="auto"/>
          <w14:textFill>
            <w14:solidFill>
              <w14:schemeClr w14:val="tx1"/>
            </w14:solidFill>
          </w14:textFill>
        </w:rPr>
        <w:t xml:space="preserve"> </w:t>
      </w:r>
      <w:r>
        <w:rPr>
          <w:rFonts w:hint="eastAsia" w:ascii="宋体" w:hAnsi="宋体" w:eastAsia="宋体" w:cs="宋体"/>
          <w:color w:val="000000" w:themeColor="text1"/>
          <w:spacing w:val="-6"/>
          <w:sz w:val="21"/>
          <w:szCs w:val="21"/>
          <w:highlight w:val="none"/>
          <w:u w:val="single" w:color="auto"/>
          <w14:textFill>
            <w14:solidFill>
              <w14:schemeClr w14:val="tx1"/>
            </w14:solidFill>
          </w14:textFill>
        </w:rPr>
        <w:t>工期顺延（须得到</w:t>
      </w:r>
      <w:r>
        <w:rPr>
          <w:rFonts w:hint="eastAsia" w:ascii="宋体" w:hAnsi="宋体" w:eastAsia="宋体" w:cs="宋体"/>
          <w:color w:val="000000" w:themeColor="text1"/>
          <w:spacing w:val="-5"/>
          <w:sz w:val="21"/>
          <w:szCs w:val="21"/>
          <w:highlight w:val="none"/>
          <w:u w:val="single" w:color="auto"/>
          <w14:textFill>
            <w14:solidFill>
              <w14:schemeClr w14:val="tx1"/>
            </w14:solidFill>
          </w14:textFill>
        </w:rPr>
        <w:t>发包人代表的书面签字认可，承包人同意发包人原因的工期顺延，承包人予索赔）</w:t>
      </w:r>
      <w:r>
        <w:rPr>
          <w:rFonts w:hint="eastAsia" w:ascii="宋体" w:hAnsi="宋体" w:eastAsia="宋体" w:cs="宋体"/>
          <w:color w:val="000000" w:themeColor="text1"/>
          <w:highlight w:val="none"/>
          <w14:textFill>
            <w14:solidFill>
              <w14:schemeClr w14:val="tx1"/>
            </w14:solidFill>
          </w14:textFill>
        </w:rPr>
        <w:t>。</w:t>
      </w:r>
    </w:p>
    <w:bookmarkEnd w:id="956"/>
    <w:bookmarkEnd w:id="957"/>
    <w:bookmarkEnd w:id="958"/>
    <w:bookmarkEnd w:id="959"/>
    <w:bookmarkEnd w:id="960"/>
    <w:p w14:paraId="04853B38">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bookmarkStart w:id="961" w:name="_Toc318581171"/>
      <w:bookmarkStart w:id="962" w:name="_Toc312678014"/>
      <w:r>
        <w:rPr>
          <w:rFonts w:hint="eastAsia" w:ascii="宋体" w:hAnsi="宋体" w:eastAsia="宋体" w:cs="宋体"/>
          <w:color w:val="000000" w:themeColor="text1"/>
          <w:highlight w:val="none"/>
          <w14:textFill>
            <w14:solidFill>
              <w14:schemeClr w14:val="tx1"/>
            </w14:solidFill>
          </w14:textFill>
        </w:rPr>
        <w:t>因</w:t>
      </w:r>
      <w:bookmarkStart w:id="963" w:name="_Toc312678013"/>
      <w:bookmarkStart w:id="964" w:name="_Toc312677487"/>
      <w:bookmarkStart w:id="965" w:name="_Toc318581170"/>
      <w:r>
        <w:rPr>
          <w:rFonts w:hint="eastAsia" w:ascii="宋体" w:hAnsi="宋体" w:eastAsia="宋体" w:cs="宋体"/>
          <w:color w:val="000000" w:themeColor="text1"/>
          <w:highlight w:val="none"/>
          <w14:textFill>
            <w14:solidFill>
              <w14:schemeClr w14:val="tx1"/>
            </w14:solidFill>
          </w14:textFill>
        </w:rPr>
        <w:t>承包人原因造成工期延误，逾期竣工违约金的计算方法为：</w:t>
      </w:r>
      <w:r>
        <w:rPr>
          <w:rFonts w:hint="eastAsia" w:ascii="宋体" w:hAnsi="宋体" w:eastAsia="宋体" w:cs="宋体"/>
          <w:color w:val="000000" w:themeColor="text1"/>
          <w:highlight w:val="none"/>
          <w:u w:val="single"/>
          <w14:textFill>
            <w14:solidFill>
              <w14:schemeClr w14:val="tx1"/>
            </w14:solidFill>
          </w14:textFill>
        </w:rPr>
        <w:t>按逾期竣工的单项工程罚款，每延误一天，按结算价的万分之四处罚，罚款直接从结算款中扣除”。误期时间从规定竣工日期起直到实际竣工日期的天数（扣除发包人批准顺延的工期）</w:t>
      </w:r>
      <w:r>
        <w:rPr>
          <w:rFonts w:hint="eastAsia" w:ascii="宋体" w:hAnsi="宋体" w:eastAsia="宋体" w:cs="宋体"/>
          <w:color w:val="000000" w:themeColor="text1"/>
          <w:highlight w:val="none"/>
          <w14:textFill>
            <w14:solidFill>
              <w14:schemeClr w14:val="tx1"/>
            </w14:solidFill>
          </w14:textFill>
        </w:rPr>
        <w:t>。</w:t>
      </w:r>
      <w:bookmarkEnd w:id="963"/>
      <w:bookmarkEnd w:id="964"/>
      <w:bookmarkEnd w:id="965"/>
      <w:r>
        <w:rPr>
          <w:rFonts w:hint="eastAsia" w:ascii="宋体" w:hAnsi="宋体" w:eastAsia="宋体" w:cs="宋体"/>
          <w:color w:val="000000" w:themeColor="text1"/>
          <w:highlight w:val="none"/>
          <w14:textFill>
            <w14:solidFill>
              <w14:schemeClr w14:val="tx1"/>
            </w14:solidFill>
          </w14:textFill>
        </w:rPr>
        <w:t>因承包人原因造成工期延误，逾期竣工违约金的上限：</w:t>
      </w:r>
      <w:r>
        <w:rPr>
          <w:rFonts w:hint="eastAsia" w:ascii="宋体" w:hAnsi="宋体" w:eastAsia="宋体" w:cs="宋体"/>
          <w:color w:val="000000" w:themeColor="text1"/>
          <w:highlight w:val="none"/>
          <w:u w:val="single"/>
          <w14:textFill>
            <w14:solidFill>
              <w14:schemeClr w14:val="tx1"/>
            </w14:solidFill>
          </w14:textFill>
        </w:rPr>
        <w:t>结算价的5%</w:t>
      </w:r>
      <w:r>
        <w:rPr>
          <w:rFonts w:hint="eastAsia" w:ascii="宋体" w:hAnsi="宋体" w:eastAsia="宋体" w:cs="宋体"/>
          <w:color w:val="000000" w:themeColor="text1"/>
          <w:highlight w:val="none"/>
          <w14:textFill>
            <w14:solidFill>
              <w14:schemeClr w14:val="tx1"/>
            </w14:solidFill>
          </w14:textFill>
        </w:rPr>
        <w:t>。</w:t>
      </w:r>
    </w:p>
    <w:bookmarkEnd w:id="961"/>
    <w:bookmarkEnd w:id="962"/>
    <w:p w14:paraId="384325C6">
      <w:pPr>
        <w:pStyle w:val="6"/>
        <w:rPr>
          <w:rFonts w:hint="eastAsia" w:ascii="宋体" w:hAnsi="宋体" w:eastAsia="宋体" w:cs="宋体"/>
          <w:color w:val="000000" w:themeColor="text1"/>
          <w:highlight w:val="none"/>
          <w14:textFill>
            <w14:solidFill>
              <w14:schemeClr w14:val="tx1"/>
            </w14:solidFill>
          </w14:textFill>
        </w:rPr>
      </w:pPr>
      <w:bookmarkStart w:id="966" w:name="_Toc373478375"/>
      <w:bookmarkStart w:id="967" w:name="_Toc888037017"/>
      <w:bookmarkStart w:id="968" w:name="_Toc78449816"/>
      <w:bookmarkStart w:id="969" w:name="_Toc407135230"/>
      <w:bookmarkStart w:id="970" w:name="_Toc1954543271"/>
      <w:bookmarkStart w:id="971" w:name="_Toc373227728"/>
      <w:bookmarkStart w:id="972" w:name="_Toc389065294"/>
      <w:r>
        <w:rPr>
          <w:rFonts w:hint="eastAsia" w:ascii="宋体" w:hAnsi="宋体" w:eastAsia="宋体" w:cs="宋体"/>
          <w:color w:val="000000" w:themeColor="text1"/>
          <w:highlight w:val="none"/>
          <w14:textFill>
            <w14:solidFill>
              <w14:schemeClr w14:val="tx1"/>
            </w14:solidFill>
          </w14:textFill>
        </w:rPr>
        <w:t>7</w:t>
      </w:r>
      <w:bookmarkStart w:id="973" w:name="_Toc303539128"/>
      <w:bookmarkStart w:id="974" w:name="_Toc300934971"/>
      <w:bookmarkStart w:id="975" w:name="_Toc304295549"/>
      <w:bookmarkStart w:id="976" w:name="_Toc297216178"/>
      <w:bookmarkStart w:id="977" w:name="_Toc297123519"/>
      <w:bookmarkStart w:id="978" w:name="_Toc312678015"/>
      <w:r>
        <w:rPr>
          <w:rFonts w:hint="eastAsia" w:ascii="宋体" w:hAnsi="宋体" w:eastAsia="宋体" w:cs="宋体"/>
          <w:color w:val="000000" w:themeColor="text1"/>
          <w:highlight w:val="none"/>
          <w14:textFill>
            <w14:solidFill>
              <w14:schemeClr w14:val="tx1"/>
            </w14:solidFill>
          </w14:textFill>
        </w:rPr>
        <w:t>.6 不</w:t>
      </w:r>
      <w:bookmarkEnd w:id="973"/>
      <w:bookmarkEnd w:id="974"/>
      <w:bookmarkEnd w:id="975"/>
      <w:bookmarkEnd w:id="976"/>
      <w:bookmarkEnd w:id="977"/>
      <w:bookmarkEnd w:id="978"/>
      <w:r>
        <w:rPr>
          <w:rFonts w:hint="eastAsia" w:ascii="宋体" w:hAnsi="宋体" w:eastAsia="宋体" w:cs="宋体"/>
          <w:color w:val="000000" w:themeColor="text1"/>
          <w:highlight w:val="none"/>
          <w14:textFill>
            <w14:solidFill>
              <w14:schemeClr w14:val="tx1"/>
            </w14:solidFill>
          </w14:textFill>
        </w:rPr>
        <w:t>利物质条件</w:t>
      </w:r>
      <w:bookmarkEnd w:id="966"/>
      <w:bookmarkEnd w:id="967"/>
      <w:bookmarkEnd w:id="968"/>
      <w:bookmarkEnd w:id="969"/>
      <w:bookmarkEnd w:id="970"/>
      <w:bookmarkEnd w:id="971"/>
      <w:bookmarkEnd w:id="972"/>
    </w:p>
    <w:p w14:paraId="6661FB41">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bookmarkStart w:id="979" w:name="_Toc297216179"/>
      <w:bookmarkStart w:id="980" w:name="_Toc318581172"/>
      <w:bookmarkStart w:id="981" w:name="_Toc303539129"/>
      <w:bookmarkStart w:id="982" w:name="_Toc297123520"/>
      <w:bookmarkStart w:id="983" w:name="_Toc300934972"/>
      <w:bookmarkStart w:id="984" w:name="_Toc304295550"/>
      <w:bookmarkStart w:id="985" w:name="_Toc312678016"/>
      <w:r>
        <w:rPr>
          <w:rFonts w:hint="eastAsia" w:ascii="宋体" w:hAnsi="宋体" w:eastAsia="宋体" w:cs="宋体"/>
          <w:color w:val="000000" w:themeColor="text1"/>
          <w:highlight w:val="none"/>
          <w14:textFill>
            <w14:solidFill>
              <w14:schemeClr w14:val="tx1"/>
            </w14:solidFill>
          </w14:textFill>
        </w:rPr>
        <w:t>不利物质条件的其他情形和有关约定：</w:t>
      </w:r>
      <w:r>
        <w:rPr>
          <w:rFonts w:hint="eastAsia" w:ascii="宋体" w:hAnsi="宋体" w:eastAsia="宋体" w:cs="宋体"/>
          <w:color w:val="000000" w:themeColor="text1"/>
          <w:highlight w:val="none"/>
          <w:u w:val="single"/>
          <w14:textFill>
            <w14:solidFill>
              <w14:schemeClr w14:val="tx1"/>
            </w14:solidFill>
          </w14:textFill>
        </w:rPr>
        <w:t>雨雪、冰雹、台风、高温天气、低温天气、停水、 停电、节假日、扰民和民扰、市政影响等不利因素等在总工期内，不另外考虑。如遇国家和政府要求短期（临时）停工的，双方协商处理</w:t>
      </w:r>
      <w:r>
        <w:rPr>
          <w:rFonts w:hint="eastAsia" w:ascii="宋体" w:hAnsi="宋体" w:eastAsia="宋体" w:cs="宋体"/>
          <w:color w:val="000000" w:themeColor="text1"/>
          <w:highlight w:val="none"/>
          <w14:textFill>
            <w14:solidFill>
              <w14:schemeClr w14:val="tx1"/>
            </w14:solidFill>
          </w14:textFill>
        </w:rPr>
        <w:t>。</w:t>
      </w:r>
    </w:p>
    <w:bookmarkEnd w:id="979"/>
    <w:bookmarkEnd w:id="980"/>
    <w:bookmarkEnd w:id="981"/>
    <w:bookmarkEnd w:id="982"/>
    <w:bookmarkEnd w:id="983"/>
    <w:bookmarkEnd w:id="984"/>
    <w:bookmarkEnd w:id="985"/>
    <w:p w14:paraId="6CEDE214">
      <w:pPr>
        <w:pStyle w:val="6"/>
        <w:rPr>
          <w:rFonts w:hint="eastAsia" w:ascii="宋体" w:hAnsi="宋体" w:eastAsia="宋体" w:cs="宋体"/>
          <w:color w:val="000000" w:themeColor="text1"/>
          <w:highlight w:val="none"/>
          <w14:textFill>
            <w14:solidFill>
              <w14:schemeClr w14:val="tx1"/>
            </w14:solidFill>
          </w14:textFill>
        </w:rPr>
      </w:pPr>
      <w:bookmarkStart w:id="986" w:name="_Toc407135231"/>
      <w:bookmarkStart w:id="987" w:name="_Toc78449817"/>
      <w:bookmarkStart w:id="988" w:name="_Toc851880484"/>
      <w:bookmarkStart w:id="989" w:name="_Toc2031116443"/>
      <w:bookmarkStart w:id="990" w:name="_Toc373478376"/>
      <w:bookmarkStart w:id="991" w:name="_Toc389065295"/>
      <w:bookmarkStart w:id="992" w:name="_Toc373227729"/>
      <w:r>
        <w:rPr>
          <w:rFonts w:hint="eastAsia" w:ascii="宋体" w:hAnsi="宋体" w:eastAsia="宋体" w:cs="宋体"/>
          <w:color w:val="000000" w:themeColor="text1"/>
          <w:highlight w:val="none"/>
          <w14:textFill>
            <w14:solidFill>
              <w14:schemeClr w14:val="tx1"/>
            </w14:solidFill>
          </w14:textFill>
        </w:rPr>
        <w:t>7</w:t>
      </w:r>
      <w:bookmarkStart w:id="993" w:name="_Toc312678017"/>
      <w:bookmarkStart w:id="994" w:name="_Toc300934973"/>
      <w:bookmarkStart w:id="995" w:name="_Toc303539130"/>
      <w:bookmarkStart w:id="996" w:name="_Toc297123521"/>
      <w:bookmarkStart w:id="997" w:name="_Toc297216180"/>
      <w:bookmarkStart w:id="998" w:name="_Toc304295551"/>
      <w:r>
        <w:rPr>
          <w:rFonts w:hint="eastAsia" w:ascii="宋体" w:hAnsi="宋体" w:eastAsia="宋体" w:cs="宋体"/>
          <w:color w:val="000000" w:themeColor="text1"/>
          <w:highlight w:val="none"/>
          <w14:textFill>
            <w14:solidFill>
              <w14:schemeClr w14:val="tx1"/>
            </w14:solidFill>
          </w14:textFill>
        </w:rPr>
        <w:t>.7 异常恶劣的气候条件</w:t>
      </w:r>
      <w:bookmarkEnd w:id="986"/>
      <w:bookmarkEnd w:id="987"/>
      <w:bookmarkEnd w:id="988"/>
      <w:bookmarkEnd w:id="989"/>
      <w:bookmarkEnd w:id="990"/>
      <w:bookmarkEnd w:id="991"/>
      <w:bookmarkEnd w:id="992"/>
    </w:p>
    <w:bookmarkEnd w:id="993"/>
    <w:bookmarkEnd w:id="994"/>
    <w:bookmarkEnd w:id="995"/>
    <w:bookmarkEnd w:id="996"/>
    <w:bookmarkEnd w:id="997"/>
    <w:bookmarkEnd w:id="998"/>
    <w:p w14:paraId="7E6A412C">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发包人和承包人同意以下情形视为异常恶劣的气候条件：</w:t>
      </w:r>
    </w:p>
    <w:p w14:paraId="685B72AA">
      <w:pPr>
        <w:spacing w:line="360"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bookmarkStart w:id="999" w:name="_Toc373478377"/>
      <w:bookmarkStart w:id="1000" w:name="_Toc373227730"/>
      <w:bookmarkStart w:id="1001" w:name="_Toc2087373611"/>
      <w:bookmarkStart w:id="1002" w:name="_Toc407135232"/>
      <w:bookmarkStart w:id="1003" w:name="_Toc657185480"/>
      <w:bookmarkStart w:id="1004" w:name="_Toc78449818"/>
      <w:bookmarkStart w:id="1005" w:name="_Toc389065296"/>
      <w:r>
        <w:rPr>
          <w:rFonts w:hint="eastAsia" w:ascii="宋体" w:hAnsi="宋体" w:eastAsia="宋体" w:cs="宋体"/>
          <w:color w:val="000000" w:themeColor="text1"/>
          <w:szCs w:val="21"/>
          <w:highlight w:val="none"/>
          <w14:textFill>
            <w14:solidFill>
              <w14:schemeClr w14:val="tx1"/>
            </w14:solidFill>
          </w14:textFill>
        </w:rPr>
        <w:t>(1)持续高温: 连续三日最高温气温38度以上；</w:t>
      </w:r>
    </w:p>
    <w:p w14:paraId="6278DB3A">
      <w:pPr>
        <w:spacing w:line="360"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(2)连续低温:连续三日最低气温-20度以上；</w:t>
      </w:r>
    </w:p>
    <w:p w14:paraId="77EEBF43">
      <w:pPr>
        <w:spacing w:line="360"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(3)大风天气：施工水域日风力在6级以上且持续时间不少于4小时，或阵风大于8级；</w:t>
      </w:r>
    </w:p>
    <w:p w14:paraId="2F56E4AF">
      <w:pPr>
        <w:spacing w:line="360"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(4)暴雨天气：日降雨量 50mm 以上,或将与强度大于 20mm∕h；</w:t>
      </w:r>
    </w:p>
    <w:p w14:paraId="51B40246">
      <w:pPr>
        <w:spacing w:line="360"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(5)暴雪天气日降雪量 10mm 以上；</w:t>
      </w:r>
    </w:p>
    <w:p w14:paraId="7DD1016C">
      <w:pPr>
        <w:spacing w:line="360"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(6)流速或波浪：内河3.5米∕秒以上的流速，海上2米及以上的大浪和强浪；</w:t>
      </w:r>
    </w:p>
    <w:p w14:paraId="14AEE53E">
      <w:pPr>
        <w:spacing w:line="360"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(7)水淹：施工场地大部分或全部被潮水、洪水或雨水淹没超过一天；</w:t>
      </w:r>
    </w:p>
    <w:p w14:paraId="79F0F8D5">
      <w:pPr>
        <w:spacing w:line="360" w:lineRule="auto"/>
        <w:ind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(8)大雾：能见度小于50米的雾天超过1天。</w:t>
      </w:r>
    </w:p>
    <w:p w14:paraId="66A1487D">
      <w:pPr>
        <w:pStyle w:val="6"/>
        <w:rPr>
          <w:rFonts w:hint="eastAsia"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14:textFill>
            <w14:solidFill>
              <w14:schemeClr w14:val="tx1"/>
            </w14:solidFill>
          </w14:textFill>
        </w:rPr>
        <w:t xml:space="preserve">7.9 </w:t>
      </w:r>
      <w:r>
        <w:rPr>
          <w:rFonts w:hint="eastAsia" w:ascii="宋体" w:hAnsi="宋体" w:eastAsia="宋体" w:cs="宋体"/>
          <w:color w:val="000000" w:themeColor="text1"/>
          <w:highlight w:val="none"/>
          <w14:textFill>
            <w14:solidFill>
              <w14:schemeClr w14:val="tx1"/>
            </w14:solidFill>
          </w14:textFill>
        </w:rPr>
        <w:t>提前竣工</w:t>
      </w:r>
      <w:bookmarkEnd w:id="999"/>
      <w:bookmarkEnd w:id="1000"/>
      <w:bookmarkEnd w:id="1001"/>
      <w:bookmarkEnd w:id="1002"/>
      <w:bookmarkEnd w:id="1003"/>
      <w:bookmarkEnd w:id="1004"/>
      <w:bookmarkEnd w:id="1005"/>
    </w:p>
    <w:p w14:paraId="7EC17350">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7.9.2提前竣工（赶工）增加费的计算方法：</w:t>
      </w:r>
      <w:r>
        <w:rPr>
          <w:rFonts w:hint="eastAsia" w:ascii="宋体" w:hAnsi="宋体" w:eastAsia="宋体" w:cs="宋体"/>
          <w:color w:val="000000" w:themeColor="text1"/>
          <w:highlight w:val="none"/>
          <w:u w:val="single"/>
          <w:lang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p w14:paraId="1BE5C115">
      <w:pPr>
        <w:pStyle w:val="5"/>
        <w:rPr>
          <w:rFonts w:hint="eastAsia" w:ascii="宋体" w:hAnsi="宋体" w:eastAsia="宋体" w:cs="宋体"/>
          <w:color w:val="000000" w:themeColor="text1"/>
          <w:highlight w:val="none"/>
          <w14:textFill>
            <w14:solidFill>
              <w14:schemeClr w14:val="tx1"/>
            </w14:solidFill>
          </w14:textFill>
        </w:rPr>
      </w:pPr>
      <w:bookmarkStart w:id="1006" w:name="_Toc373478378"/>
      <w:bookmarkStart w:id="1007" w:name="_Toc1302158431"/>
      <w:bookmarkStart w:id="1008" w:name="_Toc389065297"/>
      <w:bookmarkStart w:id="1009" w:name="_Toc351203640"/>
      <w:bookmarkStart w:id="1010" w:name="_Toc407135233"/>
      <w:bookmarkStart w:id="1011" w:name="_Toc1400878670"/>
      <w:bookmarkStart w:id="1012" w:name="_Toc373227731"/>
      <w:bookmarkStart w:id="1013" w:name="_Toc78449819"/>
      <w:r>
        <w:rPr>
          <w:rFonts w:hint="eastAsia" w:ascii="宋体" w:hAnsi="宋体" w:eastAsia="宋体" w:cs="宋体"/>
          <w:color w:val="000000" w:themeColor="text1"/>
          <w:highlight w:val="none"/>
          <w14:textFill>
            <w14:solidFill>
              <w14:schemeClr w14:val="tx1"/>
            </w14:solidFill>
          </w14:textFill>
        </w:rPr>
        <w:t>8. 材料与设备</w:t>
      </w:r>
      <w:bookmarkEnd w:id="1006"/>
      <w:bookmarkEnd w:id="1007"/>
      <w:bookmarkEnd w:id="1008"/>
      <w:bookmarkEnd w:id="1009"/>
      <w:bookmarkEnd w:id="1010"/>
      <w:bookmarkEnd w:id="1011"/>
      <w:bookmarkEnd w:id="1012"/>
      <w:bookmarkEnd w:id="1013"/>
    </w:p>
    <w:bookmarkEnd w:id="850"/>
    <w:bookmarkEnd w:id="851"/>
    <w:bookmarkEnd w:id="852"/>
    <w:bookmarkEnd w:id="853"/>
    <w:bookmarkEnd w:id="854"/>
    <w:bookmarkEnd w:id="855"/>
    <w:bookmarkEnd w:id="856"/>
    <w:bookmarkEnd w:id="857"/>
    <w:bookmarkEnd w:id="858"/>
    <w:bookmarkEnd w:id="859"/>
    <w:p w14:paraId="356FC82C">
      <w:pPr>
        <w:pStyle w:val="6"/>
        <w:rPr>
          <w:rFonts w:hint="eastAsia" w:ascii="宋体" w:hAnsi="宋体" w:eastAsia="宋体" w:cs="宋体"/>
          <w:color w:val="000000" w:themeColor="text1"/>
          <w:highlight w:val="none"/>
          <w14:textFill>
            <w14:solidFill>
              <w14:schemeClr w14:val="tx1"/>
            </w14:solidFill>
          </w14:textFill>
        </w:rPr>
      </w:pPr>
      <w:bookmarkStart w:id="1014" w:name="_Toc78449820"/>
      <w:bookmarkStart w:id="1015" w:name="_Toc1078610395"/>
      <w:bookmarkStart w:id="1016" w:name="_Toc389065298"/>
      <w:bookmarkStart w:id="1017" w:name="_Toc373478379"/>
      <w:bookmarkStart w:id="1018" w:name="_Toc1119561048"/>
      <w:bookmarkStart w:id="1019" w:name="_Toc407135234"/>
      <w:bookmarkStart w:id="1020" w:name="_Toc373227732"/>
      <w:r>
        <w:rPr>
          <w:rFonts w:hint="eastAsia" w:ascii="宋体" w:hAnsi="宋体" w:eastAsia="宋体" w:cs="宋体"/>
          <w:color w:val="000000" w:themeColor="text1"/>
          <w:highlight w:val="none"/>
          <w14:textFill>
            <w14:solidFill>
              <w14:schemeClr w14:val="tx1"/>
            </w14:solidFill>
          </w14:textFill>
        </w:rPr>
        <w:t>8.2 承包人采购材料与工程设备</w:t>
      </w:r>
      <w:bookmarkEnd w:id="1014"/>
      <w:bookmarkEnd w:id="1015"/>
      <w:bookmarkEnd w:id="1016"/>
      <w:bookmarkEnd w:id="1017"/>
      <w:bookmarkEnd w:id="1018"/>
      <w:bookmarkEnd w:id="1019"/>
      <w:bookmarkEnd w:id="1020"/>
    </w:p>
    <w:p w14:paraId="6A40B30B">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除已标价工程量清单《发包人提供主要材料和工程设备一览表》（表-21）中明确的材料、工程设备外，由承包人负责材料和工程设备的采购、运输和保管。</w:t>
      </w:r>
      <w:bookmarkStart w:id="1021" w:name="_Toc373478380"/>
      <w:bookmarkStart w:id="1022" w:name="_Toc389065299"/>
      <w:bookmarkStart w:id="1023" w:name="_Toc373227733"/>
    </w:p>
    <w:p w14:paraId="1C84B1EB">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对发包人在</w:t>
      </w:r>
      <w:r>
        <w:rPr>
          <w:rFonts w:hint="eastAsia" w:ascii="宋体" w:hAnsi="宋体" w:eastAsia="宋体" w:cs="宋体"/>
          <w:color w:val="000000" w:themeColor="text1"/>
          <w:highlight w:val="none"/>
          <w:lang w:val="en-US" w:eastAsia="zh-CN"/>
          <w14:textFill>
            <w14:solidFill>
              <w14:schemeClr w14:val="tx1"/>
            </w14:solidFill>
          </w14:textFill>
        </w:rPr>
        <w:t>提供的</w:t>
      </w:r>
      <w:r>
        <w:rPr>
          <w:rFonts w:hint="eastAsia" w:ascii="宋体" w:hAnsi="宋体" w:eastAsia="宋体" w:cs="宋体"/>
          <w:color w:val="000000" w:themeColor="text1"/>
          <w:highlight w:val="none"/>
          <w14:textFill>
            <w14:solidFill>
              <w14:schemeClr w14:val="tx1"/>
            </w14:solidFill>
          </w14:textFill>
        </w:rPr>
        <w:t>招标</w:t>
      </w:r>
      <w:r>
        <w:rPr>
          <w:rFonts w:hint="eastAsia" w:ascii="宋体" w:hAnsi="宋体" w:eastAsia="宋体" w:cs="宋体"/>
          <w:color w:val="000000" w:themeColor="text1"/>
          <w:highlight w:val="none"/>
          <w:lang w:val="en-US" w:eastAsia="zh-CN"/>
          <w14:textFill>
            <w14:solidFill>
              <w14:schemeClr w14:val="tx1"/>
            </w14:solidFill>
          </w14:textFill>
        </w:rPr>
        <w:t>控制价</w:t>
      </w:r>
      <w:r>
        <w:rPr>
          <w:rFonts w:hint="eastAsia" w:ascii="宋体" w:hAnsi="宋体" w:eastAsia="宋体" w:cs="宋体"/>
          <w:color w:val="000000" w:themeColor="text1"/>
          <w:highlight w:val="none"/>
          <w14:textFill>
            <w14:solidFill>
              <w14:schemeClr w14:val="tx1"/>
            </w14:solidFill>
          </w14:textFill>
        </w:rPr>
        <w:t>时有“参照或相当于**品牌、级别”约定的材料或设备，承包人采购时必须按类似于或优于所约定品牌、等级进行采购，施工期间该部分材料或设备如未超过招标约定的风险幅度的，结算时按</w:t>
      </w:r>
      <w:r>
        <w:rPr>
          <w:rFonts w:hint="eastAsia" w:ascii="宋体" w:hAnsi="宋体" w:eastAsia="宋体" w:cs="宋体"/>
          <w:color w:val="000000" w:themeColor="text1"/>
          <w:highlight w:val="none"/>
          <w:lang w:val="en-US" w:eastAsia="zh-CN"/>
          <w14:textFill>
            <w14:solidFill>
              <w14:schemeClr w14:val="tx1"/>
            </w14:solidFill>
          </w14:textFill>
        </w:rPr>
        <w:t>招标控制价</w:t>
      </w:r>
      <w:r>
        <w:rPr>
          <w:rFonts w:hint="eastAsia" w:ascii="宋体" w:hAnsi="宋体" w:eastAsia="宋体" w:cs="宋体"/>
          <w:color w:val="000000" w:themeColor="text1"/>
          <w:highlight w:val="none"/>
          <w14:textFill>
            <w14:solidFill>
              <w14:schemeClr w14:val="tx1"/>
            </w14:solidFill>
          </w14:textFill>
        </w:rPr>
        <w:t>单价支付，不得调整。</w:t>
      </w:r>
    </w:p>
    <w:p w14:paraId="4535066A">
      <w:pPr>
        <w:pStyle w:val="356"/>
        <w:autoSpaceDE w:val="0"/>
        <w:autoSpaceDN w:val="0"/>
        <w:adjustRightInd w:val="0"/>
        <w:spacing w:line="360" w:lineRule="auto"/>
        <w:ind w:firstLine="420" w:firstLineChars="200"/>
        <w:jc w:val="left"/>
        <w:rPr>
          <w:rStyle w:val="560"/>
          <w:rFonts w:hint="eastAsia" w:ascii="宋体" w:hAnsi="宋体" w:eastAsia="宋体" w:cs="宋体"/>
          <w:color w:val="000000" w:themeColor="text1"/>
          <w:highlight w:val="none"/>
          <w14:textFill>
            <w14:solidFill>
              <w14:schemeClr w14:val="tx1"/>
            </w14:solidFill>
          </w14:textFill>
        </w:rPr>
      </w:pPr>
      <w:r>
        <w:rPr>
          <w:rStyle w:val="560"/>
          <w:rFonts w:hint="eastAsia" w:ascii="宋体" w:hAnsi="宋体" w:eastAsia="宋体" w:cs="宋体"/>
          <w:color w:val="000000" w:themeColor="text1"/>
          <w:highlight w:val="none"/>
          <w14:textFill>
            <w14:solidFill>
              <w14:schemeClr w14:val="tx1"/>
            </w14:solidFill>
          </w14:textFill>
        </w:rPr>
        <w:t>满足南宁市城乡建设委员会南宁市工业和信息化委员会关于重新印发《南宁市城乡建设委员会和南宁市工业和信息化委员会关于推广应用高性能混凝土的通知》的通知（南建规【2016】1号）要求的，本工程</w:t>
      </w:r>
      <w:r>
        <w:rPr>
          <w:rStyle w:val="560"/>
          <w:rFonts w:hint="eastAsia" w:ascii="宋体" w:hAnsi="宋体" w:eastAsia="宋体" w:cs="宋体"/>
          <w:color w:val="000000" w:themeColor="text1"/>
          <w:highlight w:val="none"/>
          <w:lang w:val="en-US" w:eastAsia="zh-CN"/>
          <w14:textFill>
            <w14:solidFill>
              <w14:schemeClr w14:val="tx1"/>
            </w14:solidFill>
          </w14:textFill>
        </w:rPr>
        <w:t>如需使用，</w:t>
      </w:r>
      <w:r>
        <w:rPr>
          <w:rStyle w:val="560"/>
          <w:rFonts w:hint="eastAsia" w:ascii="宋体" w:hAnsi="宋体" w:eastAsia="宋体" w:cs="宋体"/>
          <w:color w:val="000000" w:themeColor="text1"/>
          <w:highlight w:val="none"/>
          <w14:textFill>
            <w14:solidFill>
              <w14:schemeClr w14:val="tx1"/>
            </w14:solidFill>
          </w14:textFill>
        </w:rPr>
        <w:t xml:space="preserve">必须使用高性能混凝土。 </w:t>
      </w:r>
    </w:p>
    <w:p w14:paraId="00246943">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Style w:val="560"/>
          <w:rFonts w:hint="eastAsia" w:ascii="宋体" w:hAnsi="宋体" w:eastAsia="宋体" w:cs="宋体"/>
          <w:color w:val="000000" w:themeColor="text1"/>
          <w:highlight w:val="none"/>
          <w14:textFill>
            <w14:solidFill>
              <w14:schemeClr w14:val="tx1"/>
            </w14:solidFill>
          </w14:textFill>
        </w:rPr>
        <w:t>满足南宁市人民政府印发的《南宁市人民政府关于推广使用预拌砂浆的实施意见》（南府规〔2016〕12 号）要求的，本工程</w:t>
      </w:r>
      <w:r>
        <w:rPr>
          <w:rStyle w:val="560"/>
          <w:rFonts w:hint="eastAsia" w:ascii="宋体" w:hAnsi="宋体" w:eastAsia="宋体" w:cs="宋体"/>
          <w:color w:val="000000" w:themeColor="text1"/>
          <w:highlight w:val="none"/>
          <w:lang w:val="en-US" w:eastAsia="zh-CN"/>
          <w14:textFill>
            <w14:solidFill>
              <w14:schemeClr w14:val="tx1"/>
            </w14:solidFill>
          </w14:textFill>
        </w:rPr>
        <w:t>如需使用，</w:t>
      </w:r>
      <w:r>
        <w:rPr>
          <w:rStyle w:val="560"/>
          <w:rFonts w:hint="eastAsia" w:ascii="宋体" w:hAnsi="宋体" w:eastAsia="宋体" w:cs="宋体"/>
          <w:color w:val="000000" w:themeColor="text1"/>
          <w:highlight w:val="none"/>
          <w14:textFill>
            <w14:solidFill>
              <w14:schemeClr w14:val="tx1"/>
            </w14:solidFill>
          </w14:textFill>
        </w:rPr>
        <w:t>必须使用预拌砂浆。</w:t>
      </w:r>
    </w:p>
    <w:p w14:paraId="7BD485FF">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禁止使用松木、松木包装材料设备、种子、苗木、花卉及繁殖材料。除已标价工程量清单《发包人提供主要材料和工程设备一览表》（表-21）中明确的材料、工程设备外，由承包人负责材料和工程设备的采购、运输和保管。</w:t>
      </w:r>
    </w:p>
    <w:p w14:paraId="3644BD6E">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8.2.1 凡属承包范围内的所有材料、设备均由承包人自行采购，承包人应按合同（图纸） 规定的品牌、规格、数量、产地、技术参数等组织采购，但采购前需要携带本材料、设备的原产地 证明、出厂检验报告及产品合格证书提前报监理工程师审核，发包人确认方可采购；承包人若未经监理工程师及发包人确认， 所采购的材料、设备，发包人有权让承包人更换， 由此产生的一切损失由承包人承担；</w:t>
      </w:r>
    </w:p>
    <w:p w14:paraId="0BF58E58">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8.2.2</w:t>
      </w:r>
      <w:r>
        <w:rPr>
          <w:rFonts w:hint="eastAsia" w:ascii="宋体" w:hAnsi="宋体" w:eastAsia="宋体" w:cs="宋体"/>
          <w:color w:val="000000" w:themeColor="text1"/>
          <w:highlight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承包人采购供应的材料、设备，在开箱验收前 24 小时内，向发包人和监理工程师提出开箱 检验请求，经发包人和监理工程师验收合格并签署意见后方可 使用， 经开箱验收的材料、设备并不等同于最终的质量合格；</w:t>
      </w:r>
    </w:p>
    <w:p w14:paraId="2B992B2B">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8.2.3</w:t>
      </w:r>
      <w:r>
        <w:rPr>
          <w:rFonts w:hint="eastAsia" w:ascii="宋体" w:hAnsi="宋体" w:eastAsia="宋体" w:cs="宋体"/>
          <w:color w:val="000000" w:themeColor="text1"/>
          <w:highlight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若发现承包人以伪劣产品充抵或与发包人确认的材料设备不符、与设计或标准的材料设备不符，发包人有权让承包人更换直到发包人和监理工程师确认验收合格，并按该批材料、设备价格总额的10% 对承包人进行罚款，由发包人从进度款中直接扣抵，经验收后及在施工过程中发生设备、材料丢失或损坏，均由承包人自负；</w:t>
      </w:r>
    </w:p>
    <w:p w14:paraId="095F5BEE">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8.2.4</w:t>
      </w:r>
      <w:r>
        <w:rPr>
          <w:rFonts w:hint="eastAsia" w:ascii="宋体" w:hAnsi="宋体" w:eastAsia="宋体" w:cs="宋体"/>
          <w:color w:val="000000" w:themeColor="text1"/>
          <w:highlight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承包人提供的材料设备产品的质量必须符合设计要求及国家建材行业和机电行业等标准要求；</w:t>
      </w:r>
    </w:p>
    <w:p w14:paraId="4D25B0A3">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8.2.5</w:t>
      </w:r>
      <w:r>
        <w:rPr>
          <w:rFonts w:hint="eastAsia" w:ascii="宋体" w:hAnsi="宋体" w:eastAsia="宋体" w:cs="宋体"/>
          <w:color w:val="000000" w:themeColor="text1"/>
          <w:highlight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因承包人资金投入不足，直接影响工程质量和工期，且无视监 理工程师的多次警告而不做改进，从而引起工程的质量、进度和材料设备准备严重滞后时，发包人有权采取相关措施进行补救，相关措施的费用由承包人承担。</w:t>
      </w:r>
    </w:p>
    <w:p w14:paraId="5C436436">
      <w:pPr>
        <w:pStyle w:val="6"/>
        <w:rPr>
          <w:rFonts w:hint="eastAsia" w:ascii="宋体" w:hAnsi="宋体" w:eastAsia="宋体" w:cs="宋体"/>
          <w:color w:val="000000" w:themeColor="text1"/>
          <w:highlight w:val="none"/>
          <w14:textFill>
            <w14:solidFill>
              <w14:schemeClr w14:val="tx1"/>
            </w14:solidFill>
          </w14:textFill>
        </w:rPr>
      </w:pPr>
      <w:bookmarkStart w:id="1024" w:name="_Toc800965933"/>
      <w:bookmarkStart w:id="1025" w:name="_Toc78449821"/>
      <w:bookmarkStart w:id="1026" w:name="_Toc1355357553"/>
      <w:bookmarkStart w:id="1027" w:name="_Toc407135235"/>
      <w:r>
        <w:rPr>
          <w:rFonts w:hint="eastAsia" w:ascii="宋体" w:hAnsi="宋体" w:eastAsia="宋体" w:cs="宋体"/>
          <w:color w:val="000000" w:themeColor="text1"/>
          <w:highlight w:val="none"/>
          <w14:textFill>
            <w14:solidFill>
              <w14:schemeClr w14:val="tx1"/>
            </w14:solidFill>
          </w14:textFill>
        </w:rPr>
        <w:t>8</w:t>
      </w:r>
      <w:bookmarkStart w:id="1028" w:name="_Toc296503167"/>
      <w:bookmarkStart w:id="1029" w:name="_Toc312678019"/>
      <w:bookmarkStart w:id="1030" w:name="_Toc297123527"/>
      <w:bookmarkStart w:id="1031" w:name="_Toc297048353"/>
      <w:bookmarkStart w:id="1032" w:name="_Toc300934979"/>
      <w:bookmarkStart w:id="1033" w:name="_Toc304295556"/>
      <w:bookmarkStart w:id="1034" w:name="_Toc280868654"/>
      <w:bookmarkStart w:id="1035" w:name="_Toc296891207"/>
      <w:bookmarkStart w:id="1036" w:name="_Toc297120467"/>
      <w:bookmarkStart w:id="1037" w:name="_Toc292559372"/>
      <w:bookmarkStart w:id="1038" w:name="_Toc312677493"/>
      <w:bookmarkStart w:id="1039" w:name="_Toc303539136"/>
      <w:bookmarkStart w:id="1040" w:name="_Toc296346668"/>
      <w:bookmarkStart w:id="1041" w:name="_Toc296890995"/>
      <w:bookmarkStart w:id="1042" w:name="_Toc297216186"/>
      <w:bookmarkStart w:id="1043" w:name="_Toc296944506"/>
      <w:bookmarkStart w:id="1044" w:name="_Toc296347166"/>
      <w:bookmarkStart w:id="1045" w:name="_Toc292559877"/>
      <w:bookmarkStart w:id="1046" w:name="_Toc280868655"/>
      <w:bookmarkStart w:id="1047" w:name="_Toc267251424"/>
      <w:bookmarkStart w:id="1048" w:name="_Toc280868656"/>
      <w:r>
        <w:rPr>
          <w:rFonts w:hint="eastAsia" w:ascii="宋体" w:hAnsi="宋体" w:eastAsia="宋体" w:cs="宋体"/>
          <w:color w:val="000000" w:themeColor="text1"/>
          <w:highlight w:val="none"/>
          <w14:textFill>
            <w14:solidFill>
              <w14:schemeClr w14:val="tx1"/>
            </w14:solidFill>
          </w14:textFill>
        </w:rPr>
        <w:t>.4 材料与工程设备的保管与使用</w:t>
      </w:r>
      <w:bookmarkEnd w:id="1021"/>
      <w:bookmarkEnd w:id="1022"/>
      <w:bookmarkEnd w:id="1023"/>
      <w:bookmarkEnd w:id="1024"/>
      <w:bookmarkEnd w:id="1025"/>
      <w:bookmarkEnd w:id="1026"/>
      <w:bookmarkEnd w:id="1027"/>
    </w:p>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14:paraId="3C844587">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w:t>
      </w:r>
      <w:bookmarkStart w:id="1049" w:name="_Toc292559878"/>
      <w:bookmarkStart w:id="1050" w:name="_Toc292559373"/>
      <w:bookmarkStart w:id="1051" w:name="_Toc297120468"/>
      <w:bookmarkStart w:id="1052" w:name="_Toc297216187"/>
      <w:bookmarkStart w:id="1053" w:name="_Toc296891208"/>
      <w:bookmarkStart w:id="1054" w:name="_Toc303539137"/>
      <w:bookmarkStart w:id="1055" w:name="_Toc297048354"/>
      <w:bookmarkStart w:id="1056" w:name="_Toc312678020"/>
      <w:bookmarkStart w:id="1057" w:name="_Toc304295557"/>
      <w:bookmarkStart w:id="1058" w:name="_Toc296347167"/>
      <w:bookmarkStart w:id="1059" w:name="_Toc297123528"/>
      <w:bookmarkStart w:id="1060" w:name="_Toc296503168"/>
      <w:bookmarkStart w:id="1061" w:name="_Toc300934980"/>
      <w:bookmarkStart w:id="1062" w:name="_Toc296890996"/>
      <w:bookmarkStart w:id="1063" w:name="_Toc318581173"/>
      <w:bookmarkStart w:id="1064" w:name="_Toc312677494"/>
      <w:bookmarkStart w:id="1065" w:name="_Toc296346669"/>
      <w:bookmarkStart w:id="1066" w:name="_Toc296944507"/>
      <w:r>
        <w:rPr>
          <w:rFonts w:hint="eastAsia" w:ascii="宋体" w:hAnsi="宋体" w:eastAsia="宋体" w:cs="宋体"/>
          <w:color w:val="000000" w:themeColor="text1"/>
          <w:highlight w:val="none"/>
          <w14:textFill>
            <w14:solidFill>
              <w14:schemeClr w14:val="tx1"/>
            </w14:solidFill>
          </w14:textFill>
        </w:rPr>
        <w:t>.4.1发包人供应的材料设备的保管费用的承担：</w:t>
      </w:r>
      <w:r>
        <w:rPr>
          <w:rFonts w:hint="eastAsia" w:ascii="宋体" w:hAnsi="宋体" w:eastAsia="宋体" w:cs="宋体"/>
          <w:color w:val="000000" w:themeColor="text1"/>
          <w:highlight w:val="none"/>
          <w:u w:val="single"/>
          <w:lang w:eastAsia="zh-CN"/>
          <w14:textFill>
            <w14:solidFill>
              <w14:schemeClr w14:val="tx1"/>
            </w14:solidFill>
          </w14:textFill>
        </w:rPr>
        <w:t>由承包人承担，含在</w:t>
      </w:r>
      <w:r>
        <w:rPr>
          <w:rFonts w:hint="eastAsia" w:ascii="宋体" w:hAnsi="宋体" w:eastAsia="宋体" w:cs="宋体"/>
          <w:color w:val="000000" w:themeColor="text1"/>
          <w:highlight w:val="none"/>
          <w:u w:val="single"/>
          <w:lang w:val="en-US" w:eastAsia="zh-CN"/>
          <w14:textFill>
            <w14:solidFill>
              <w14:schemeClr w14:val="tx1"/>
            </w14:solidFill>
          </w14:textFill>
        </w:rPr>
        <w:t>合同价</w:t>
      </w:r>
      <w:r>
        <w:rPr>
          <w:rFonts w:hint="eastAsia" w:ascii="宋体" w:hAnsi="宋体" w:eastAsia="宋体" w:cs="宋体"/>
          <w:color w:val="000000" w:themeColor="text1"/>
          <w:highlight w:val="none"/>
          <w:u w:val="single"/>
          <w:lang w:eastAsia="zh-CN"/>
          <w14:textFill>
            <w14:solidFill>
              <w14:schemeClr w14:val="tx1"/>
            </w14:solidFill>
          </w14:textFill>
        </w:rPr>
        <w:t>中</w:t>
      </w:r>
      <w:r>
        <w:rPr>
          <w:rFonts w:hint="eastAsia" w:ascii="宋体" w:hAnsi="宋体" w:eastAsia="宋体" w:cs="宋体"/>
          <w:color w:val="000000" w:themeColor="text1"/>
          <w:highlight w:val="none"/>
          <w14:textFill>
            <w14:solidFill>
              <w14:schemeClr w14:val="tx1"/>
            </w14:solidFill>
          </w14:textFill>
        </w:rPr>
        <w:t>。</w:t>
      </w:r>
    </w:p>
    <w:bookmarkEnd w:id="1049"/>
    <w:bookmarkEnd w:id="1050"/>
    <w:p w14:paraId="7E1BB613">
      <w:pPr>
        <w:pStyle w:val="6"/>
        <w:rPr>
          <w:rFonts w:hint="eastAsia" w:ascii="宋体" w:hAnsi="宋体" w:eastAsia="宋体" w:cs="宋体"/>
          <w:color w:val="000000" w:themeColor="text1"/>
          <w:highlight w:val="none"/>
          <w14:textFill>
            <w14:solidFill>
              <w14:schemeClr w14:val="tx1"/>
            </w14:solidFill>
          </w14:textFill>
        </w:rPr>
      </w:pPr>
      <w:bookmarkStart w:id="1067" w:name="_Toc1948522881"/>
      <w:bookmarkStart w:id="1068" w:name="_Toc78449822"/>
      <w:bookmarkStart w:id="1069" w:name="_Toc373478381"/>
      <w:bookmarkStart w:id="1070" w:name="_Toc125914831"/>
      <w:bookmarkStart w:id="1071" w:name="_Toc373227734"/>
      <w:bookmarkStart w:id="1072" w:name="_Toc407135236"/>
      <w:bookmarkStart w:id="1073" w:name="_Toc389065300"/>
      <w:r>
        <w:rPr>
          <w:rFonts w:hint="eastAsia" w:ascii="宋体" w:hAnsi="宋体" w:eastAsia="宋体" w:cs="宋体"/>
          <w:color w:val="000000" w:themeColor="text1"/>
          <w:highlight w:val="none"/>
          <w14:textFill>
            <w14:solidFill>
              <w14:schemeClr w14:val="tx1"/>
            </w14:solidFill>
          </w14:textFill>
        </w:rPr>
        <w:t>8.6 样品</w:t>
      </w:r>
      <w:bookmarkEnd w:id="1067"/>
      <w:bookmarkEnd w:id="1068"/>
      <w:bookmarkEnd w:id="1069"/>
      <w:bookmarkEnd w:id="1070"/>
      <w:bookmarkEnd w:id="1071"/>
      <w:bookmarkEnd w:id="1072"/>
      <w:bookmarkEnd w:id="1073"/>
    </w:p>
    <w:p w14:paraId="47E446E8">
      <w:pPr>
        <w:autoSpaceDE w:val="0"/>
        <w:autoSpaceDN w:val="0"/>
        <w:adjustRightInd w:val="0"/>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8.6.1 样品的报送与封存</w:t>
      </w:r>
    </w:p>
    <w:p w14:paraId="1981D38B">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需要承包人报送样品的材料或工程设备，样品的种类、名称、规格、数量要求：</w:t>
      </w:r>
      <w:r>
        <w:rPr>
          <w:rFonts w:hint="eastAsia" w:ascii="宋体" w:hAnsi="宋体" w:eastAsia="宋体" w:cs="宋体"/>
          <w:color w:val="000000" w:themeColor="text1"/>
          <w:highlight w:val="none"/>
          <w:u w:val="single"/>
          <w14:textFill>
            <w14:solidFill>
              <w14:schemeClr w14:val="tx1"/>
            </w14:solidFill>
          </w14:textFill>
        </w:rPr>
        <w:t>主要材料涉及品种、款式、颜色等方面内容的，承包人应提交准备合格的材料样品送发包人选定。</w:t>
      </w:r>
    </w:p>
    <w:p w14:paraId="3370D62C">
      <w:pPr>
        <w:pStyle w:val="6"/>
        <w:rPr>
          <w:rFonts w:hint="eastAsia" w:ascii="宋体" w:hAnsi="宋体" w:eastAsia="宋体" w:cs="宋体"/>
          <w:color w:val="000000" w:themeColor="text1"/>
          <w:highlight w:val="none"/>
          <w14:textFill>
            <w14:solidFill>
              <w14:schemeClr w14:val="tx1"/>
            </w14:solidFill>
          </w14:textFill>
        </w:rPr>
      </w:pPr>
      <w:bookmarkStart w:id="1074" w:name="_Toc389065301"/>
      <w:bookmarkStart w:id="1075" w:name="_Toc78449823"/>
      <w:bookmarkStart w:id="1076" w:name="_Toc997640704"/>
      <w:bookmarkStart w:id="1077" w:name="_Toc407135237"/>
      <w:bookmarkStart w:id="1078" w:name="_Toc373227735"/>
      <w:bookmarkStart w:id="1079" w:name="_Toc373478382"/>
      <w:bookmarkStart w:id="1080" w:name="_Toc1049576644"/>
      <w:r>
        <w:rPr>
          <w:rFonts w:hint="eastAsia" w:ascii="宋体" w:hAnsi="宋体" w:eastAsia="宋体" w:cs="宋体"/>
          <w:color w:val="000000" w:themeColor="text1"/>
          <w:highlight w:val="none"/>
          <w14:textFill>
            <w14:solidFill>
              <w14:schemeClr w14:val="tx1"/>
            </w14:solidFill>
          </w14:textFill>
        </w:rPr>
        <w:t>8.8 施工设备和临时设施</w:t>
      </w:r>
      <w:bookmarkEnd w:id="1074"/>
      <w:bookmarkEnd w:id="1075"/>
      <w:bookmarkEnd w:id="1076"/>
      <w:bookmarkEnd w:id="1077"/>
      <w:bookmarkEnd w:id="1078"/>
      <w:bookmarkEnd w:id="1079"/>
      <w:bookmarkEnd w:id="1080"/>
    </w:p>
    <w:p w14:paraId="1192B13F">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8.8.1 承包人提供的施工设备和临时设施</w:t>
      </w:r>
    </w:p>
    <w:p w14:paraId="1F1FE97D">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w:t>
      </w:r>
    </w:p>
    <w:p w14:paraId="6BDFD44A">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关于修建临时设施费用承担的约定：</w:t>
      </w:r>
    </w:p>
    <w:p w14:paraId="0166AF2A">
      <w:pPr>
        <w:autoSpaceDE w:val="0"/>
        <w:autoSpaceDN w:val="0"/>
        <w:adjustRightInd w:val="0"/>
        <w:spacing w:line="360" w:lineRule="auto"/>
        <w:ind w:firstLine="420" w:firstLineChars="200"/>
        <w:jc w:val="left"/>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①承包人的临时用地（含项目部驻地等）租用费（含拆迁补偿）、临时用地的环保、恢复、临时用地的青苗补偿及地面附着物拆除等费用均由承包人负责，以上费用在</w:t>
      </w:r>
      <w:r>
        <w:rPr>
          <w:rFonts w:hint="eastAsia" w:ascii="宋体" w:hAnsi="宋体" w:eastAsia="宋体" w:cs="宋体"/>
          <w:color w:val="000000" w:themeColor="text1"/>
          <w:szCs w:val="21"/>
          <w:highlight w:val="none"/>
          <w:u w:val="single"/>
          <w:lang w:val="en-US" w:eastAsia="zh-CN"/>
          <w14:textFill>
            <w14:solidFill>
              <w14:schemeClr w14:val="tx1"/>
            </w14:solidFill>
          </w14:textFill>
        </w:rPr>
        <w:t>合同价</w:t>
      </w:r>
      <w:r>
        <w:rPr>
          <w:rFonts w:hint="eastAsia" w:ascii="宋体" w:hAnsi="宋体" w:eastAsia="宋体" w:cs="宋体"/>
          <w:color w:val="000000" w:themeColor="text1"/>
          <w:szCs w:val="21"/>
          <w:highlight w:val="none"/>
          <w:u w:val="single"/>
          <w14:textFill>
            <w14:solidFill>
              <w14:schemeClr w14:val="tx1"/>
            </w14:solidFill>
          </w14:textFill>
        </w:rPr>
        <w:t>中综合考虑。</w:t>
      </w:r>
    </w:p>
    <w:p w14:paraId="11F3ECAE">
      <w:pPr>
        <w:autoSpaceDE w:val="0"/>
        <w:autoSpaceDN w:val="0"/>
        <w:adjustRightInd w:val="0"/>
        <w:spacing w:line="360" w:lineRule="auto"/>
        <w:ind w:firstLine="420" w:firstLineChars="200"/>
        <w:jc w:val="left"/>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②承包人负责合同实施期间其合同段内临时交通道路（含场内外连接公共交通道路）和交通设施的修建、维修、养护和交通管理工作，并承担一切费用。</w:t>
      </w:r>
    </w:p>
    <w:p w14:paraId="3EA39FEB">
      <w:pPr>
        <w:autoSpaceDE w:val="0"/>
        <w:autoSpaceDN w:val="0"/>
        <w:adjustRightInd w:val="0"/>
        <w:spacing w:line="360" w:lineRule="auto"/>
        <w:ind w:firstLine="420" w:firstLineChars="200"/>
        <w:jc w:val="left"/>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6C064CDE">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8.8.2 发包人提供的施工设备和临时设施</w:t>
      </w:r>
    </w:p>
    <w:p w14:paraId="1C668077">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发包人提供的施工设备和临时设施：</w:t>
      </w:r>
      <w:r>
        <w:rPr>
          <w:rFonts w:hint="eastAsia" w:ascii="宋体" w:hAnsi="宋体" w:eastAsia="宋体" w:cs="宋体"/>
          <w:color w:val="000000" w:themeColor="text1"/>
          <w:highlight w:val="none"/>
          <w:u w:val="single"/>
          <w:lang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p w14:paraId="7FFCC526">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发包人提供的施工设备和临时设施的运行、维护、拆除、清运费用的承担人：</w:t>
      </w:r>
      <w:r>
        <w:rPr>
          <w:rFonts w:hint="eastAsia" w:ascii="宋体" w:hAnsi="宋体" w:eastAsia="宋体" w:cs="宋体"/>
          <w:color w:val="000000" w:themeColor="text1"/>
          <w:highlight w:val="none"/>
          <w:u w:val="single"/>
          <w:lang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14:paraId="62FFE8F1">
      <w:pPr>
        <w:pStyle w:val="5"/>
        <w:rPr>
          <w:rFonts w:hint="eastAsia" w:ascii="宋体" w:hAnsi="宋体" w:eastAsia="宋体" w:cs="宋体"/>
          <w:color w:val="000000" w:themeColor="text1"/>
          <w:highlight w:val="none"/>
          <w14:textFill>
            <w14:solidFill>
              <w14:schemeClr w14:val="tx1"/>
            </w14:solidFill>
          </w14:textFill>
        </w:rPr>
      </w:pPr>
      <w:bookmarkStart w:id="1081" w:name="_Toc351203641"/>
      <w:bookmarkStart w:id="1082" w:name="_Toc373227736"/>
      <w:bookmarkStart w:id="1083" w:name="_Toc407135238"/>
      <w:bookmarkStart w:id="1084" w:name="_Toc373478383"/>
      <w:bookmarkStart w:id="1085" w:name="_Toc2039161841"/>
      <w:bookmarkStart w:id="1086" w:name="_Toc78449824"/>
      <w:bookmarkStart w:id="1087" w:name="_Toc389065302"/>
      <w:bookmarkStart w:id="1088" w:name="_Toc2027787496"/>
      <w:r>
        <w:rPr>
          <w:rFonts w:hint="eastAsia" w:ascii="宋体" w:hAnsi="宋体" w:eastAsia="宋体" w:cs="宋体"/>
          <w:color w:val="000000" w:themeColor="text1"/>
          <w:highlight w:val="none"/>
          <w14:textFill>
            <w14:solidFill>
              <w14:schemeClr w14:val="tx1"/>
            </w14:solidFill>
          </w14:textFill>
        </w:rPr>
        <w:t>9</w:t>
      </w:r>
      <w:bookmarkEnd w:id="1046"/>
      <w:bookmarkEnd w:id="1047"/>
      <w:bookmarkEnd w:id="1048"/>
      <w:bookmarkStart w:id="1089" w:name="_Toc303539139"/>
      <w:bookmarkStart w:id="1090" w:name="_Toc312677495"/>
      <w:bookmarkStart w:id="1091" w:name="_Toc297216192"/>
      <w:bookmarkStart w:id="1092" w:name="_Toc312678021"/>
      <w:bookmarkStart w:id="1093" w:name="_Toc304295559"/>
      <w:bookmarkStart w:id="1094" w:name="_Toc297123533"/>
      <w:bookmarkStart w:id="1095" w:name="_Toc300934982"/>
      <w:bookmarkStart w:id="1096" w:name="_Toc296346674"/>
      <w:bookmarkStart w:id="1097" w:name="_Toc267251428"/>
      <w:bookmarkStart w:id="1098" w:name="_Toc292559883"/>
      <w:bookmarkStart w:id="1099" w:name="_Toc296347172"/>
      <w:bookmarkStart w:id="1100" w:name="_Toc297120473"/>
      <w:bookmarkStart w:id="1101" w:name="_Toc297048359"/>
      <w:bookmarkStart w:id="1102" w:name="_Toc296503173"/>
      <w:bookmarkStart w:id="1103" w:name="_Toc267251427"/>
      <w:bookmarkStart w:id="1104" w:name="_Toc296891001"/>
      <w:bookmarkStart w:id="1105" w:name="_Toc292559378"/>
      <w:bookmarkStart w:id="1106" w:name="_Toc296891213"/>
      <w:bookmarkStart w:id="1107" w:name="_Toc296944512"/>
      <w:r>
        <w:rPr>
          <w:rFonts w:hint="eastAsia" w:ascii="宋体" w:hAnsi="宋体" w:eastAsia="宋体" w:cs="宋体"/>
          <w:color w:val="000000" w:themeColor="text1"/>
          <w:highlight w:val="none"/>
          <w14:textFill>
            <w14:solidFill>
              <w14:schemeClr w14:val="tx1"/>
            </w14:solidFill>
          </w14:textFill>
        </w:rPr>
        <w:t>. 试验与检验</w:t>
      </w:r>
      <w:bookmarkEnd w:id="1081"/>
      <w:bookmarkEnd w:id="1082"/>
      <w:bookmarkEnd w:id="1083"/>
      <w:bookmarkEnd w:id="1084"/>
      <w:bookmarkEnd w:id="1085"/>
      <w:bookmarkEnd w:id="1086"/>
      <w:bookmarkEnd w:id="1087"/>
      <w:bookmarkEnd w:id="1088"/>
    </w:p>
    <w:bookmarkEnd w:id="1089"/>
    <w:bookmarkEnd w:id="1090"/>
    <w:bookmarkEnd w:id="1091"/>
    <w:bookmarkEnd w:id="1092"/>
    <w:bookmarkEnd w:id="1093"/>
    <w:bookmarkEnd w:id="1094"/>
    <w:bookmarkEnd w:id="1095"/>
    <w:p w14:paraId="00290A55">
      <w:pPr>
        <w:pStyle w:val="6"/>
        <w:rPr>
          <w:rFonts w:hint="eastAsia" w:ascii="宋体" w:hAnsi="宋体" w:eastAsia="宋体" w:cs="宋体"/>
          <w:color w:val="000000" w:themeColor="text1"/>
          <w:highlight w:val="none"/>
          <w14:textFill>
            <w14:solidFill>
              <w14:schemeClr w14:val="tx1"/>
            </w14:solidFill>
          </w14:textFill>
        </w:rPr>
      </w:pPr>
      <w:bookmarkStart w:id="1108" w:name="_Toc373478384"/>
      <w:bookmarkStart w:id="1109" w:name="_Toc1307315193"/>
      <w:bookmarkStart w:id="1110" w:name="_Toc389065303"/>
      <w:bookmarkStart w:id="1111" w:name="_Toc78449825"/>
      <w:bookmarkStart w:id="1112" w:name="_Toc407135239"/>
      <w:bookmarkStart w:id="1113" w:name="_Toc530697003"/>
      <w:bookmarkStart w:id="1114" w:name="_Toc373227737"/>
      <w:r>
        <w:rPr>
          <w:rFonts w:hint="eastAsia" w:ascii="宋体" w:hAnsi="宋体" w:eastAsia="宋体" w:cs="宋体"/>
          <w:color w:val="000000" w:themeColor="text1"/>
          <w:highlight w:val="none"/>
          <w14:textFill>
            <w14:solidFill>
              <w14:schemeClr w14:val="tx1"/>
            </w14:solidFill>
          </w14:textFill>
        </w:rPr>
        <w:t>9</w:t>
      </w:r>
      <w:bookmarkStart w:id="1115" w:name="_Toc304295560"/>
      <w:bookmarkStart w:id="1116" w:name="_Toc300934983"/>
      <w:bookmarkStart w:id="1117" w:name="_Toc303539140"/>
      <w:bookmarkStart w:id="1118" w:name="_Toc312677496"/>
      <w:bookmarkStart w:id="1119" w:name="_Toc297216193"/>
      <w:bookmarkStart w:id="1120" w:name="_Toc312678022"/>
      <w:bookmarkStart w:id="1121" w:name="_Toc297123534"/>
      <w:r>
        <w:rPr>
          <w:rFonts w:hint="eastAsia" w:ascii="宋体" w:hAnsi="宋体" w:eastAsia="宋体" w:cs="宋体"/>
          <w:color w:val="000000" w:themeColor="text1"/>
          <w:highlight w:val="none"/>
          <w14:textFill>
            <w14:solidFill>
              <w14:schemeClr w14:val="tx1"/>
            </w14:solidFill>
          </w14:textFill>
        </w:rPr>
        <w:t>.1 试验设备与试验人员</w:t>
      </w:r>
      <w:bookmarkEnd w:id="1108"/>
      <w:bookmarkEnd w:id="1109"/>
      <w:bookmarkEnd w:id="1110"/>
      <w:bookmarkEnd w:id="1111"/>
      <w:bookmarkEnd w:id="1112"/>
      <w:bookmarkEnd w:id="1113"/>
      <w:bookmarkEnd w:id="1114"/>
    </w:p>
    <w:bookmarkEnd w:id="1115"/>
    <w:bookmarkEnd w:id="1116"/>
    <w:bookmarkEnd w:id="1117"/>
    <w:bookmarkEnd w:id="1118"/>
    <w:bookmarkEnd w:id="1119"/>
    <w:bookmarkEnd w:id="1120"/>
    <w:bookmarkEnd w:id="1121"/>
    <w:p w14:paraId="235A6F15">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9</w:t>
      </w:r>
      <w:bookmarkStart w:id="1122" w:name="_Toc303539141"/>
      <w:bookmarkStart w:id="1123" w:name="_Toc304295561"/>
      <w:bookmarkStart w:id="1124" w:name="_Toc300934984"/>
      <w:bookmarkStart w:id="1125" w:name="_Toc297216194"/>
      <w:bookmarkStart w:id="1126" w:name="_Toc297123535"/>
      <w:bookmarkStart w:id="1127" w:name="_Toc312678023"/>
      <w:bookmarkStart w:id="1128" w:name="_Toc312677497"/>
      <w:bookmarkStart w:id="1129" w:name="_Toc318581174"/>
      <w:r>
        <w:rPr>
          <w:rFonts w:hint="eastAsia" w:ascii="宋体" w:hAnsi="宋体" w:eastAsia="宋体" w:cs="宋体"/>
          <w:color w:val="000000" w:themeColor="text1"/>
          <w:highlight w:val="none"/>
          <w14:textFill>
            <w14:solidFill>
              <w14:schemeClr w14:val="tx1"/>
            </w14:solidFill>
          </w14:textFill>
        </w:rPr>
        <w:t>.1.2 试验设备</w:t>
      </w:r>
    </w:p>
    <w:p w14:paraId="49ABE9A9">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施工现场需要配置的试验场所：</w:t>
      </w:r>
      <w:bookmarkEnd w:id="1122"/>
      <w:bookmarkEnd w:id="1123"/>
      <w:bookmarkEnd w:id="1124"/>
      <w:bookmarkEnd w:id="1125"/>
      <w:bookmarkEnd w:id="1126"/>
      <w:bookmarkEnd w:id="1127"/>
      <w:bookmarkEnd w:id="1128"/>
      <w:bookmarkStart w:id="1130" w:name="_Toc303539142"/>
      <w:bookmarkStart w:id="1131" w:name="_Toc312677498"/>
      <w:bookmarkStart w:id="1132" w:name="_Toc312678024"/>
      <w:bookmarkStart w:id="1133" w:name="_Toc297123536"/>
      <w:bookmarkStart w:id="1134" w:name="_Toc304295562"/>
      <w:bookmarkStart w:id="1135" w:name="_Toc300934985"/>
      <w:bookmarkStart w:id="1136" w:name="_Toc297216195"/>
      <w:r>
        <w:rPr>
          <w:rFonts w:hint="eastAsia" w:ascii="宋体" w:hAnsi="宋体" w:eastAsia="宋体" w:cs="宋体"/>
          <w:color w:val="000000" w:themeColor="text1"/>
          <w:spacing w:val="-4"/>
          <w:sz w:val="21"/>
          <w:szCs w:val="21"/>
          <w:highlight w:val="none"/>
          <w:u w:val="single" w:color="auto"/>
          <w14:textFill>
            <w14:solidFill>
              <w14:schemeClr w14:val="tx1"/>
            </w14:solidFill>
          </w14:textFill>
        </w:rPr>
        <w:t>由承包人</w:t>
      </w:r>
      <w:r>
        <w:rPr>
          <w:rFonts w:hint="eastAsia" w:ascii="宋体" w:hAnsi="宋体" w:eastAsia="宋体" w:cs="宋体"/>
          <w:color w:val="000000" w:themeColor="text1"/>
          <w:spacing w:val="-5"/>
          <w:sz w:val="21"/>
          <w:szCs w:val="21"/>
          <w:highlight w:val="none"/>
          <w:u w:val="single" w:color="auto"/>
          <w14:textFill>
            <w14:solidFill>
              <w14:schemeClr w14:val="tx1"/>
            </w14:solidFill>
          </w14:textFill>
        </w:rPr>
        <w:t>根据工程情况自行设置建设</w:t>
      </w:r>
      <w:r>
        <w:rPr>
          <w:rFonts w:hint="eastAsia" w:ascii="宋体" w:hAnsi="宋体" w:eastAsia="宋体" w:cs="宋体"/>
          <w:color w:val="000000" w:themeColor="text1"/>
          <w:highlight w:val="none"/>
          <w14:textFill>
            <w14:solidFill>
              <w14:schemeClr w14:val="tx1"/>
            </w14:solidFill>
          </w14:textFill>
        </w:rPr>
        <w:t>。</w:t>
      </w:r>
    </w:p>
    <w:p w14:paraId="77B4072B">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施工现场需要配备的试验设备：</w:t>
      </w:r>
      <w:r>
        <w:rPr>
          <w:rFonts w:hint="eastAsia" w:ascii="宋体" w:hAnsi="宋体" w:eastAsia="宋体" w:cs="宋体"/>
          <w:color w:val="000000" w:themeColor="text1"/>
          <w:spacing w:val="-4"/>
          <w:sz w:val="21"/>
          <w:szCs w:val="21"/>
          <w:highlight w:val="none"/>
          <w:u w:val="single" w:color="auto"/>
          <w14:textFill>
            <w14:solidFill>
              <w14:schemeClr w14:val="tx1"/>
            </w14:solidFill>
          </w14:textFill>
        </w:rPr>
        <w:t>由承包人自行承担，并包</w:t>
      </w:r>
      <w:r>
        <w:rPr>
          <w:rFonts w:hint="eastAsia" w:ascii="宋体" w:hAnsi="宋体" w:eastAsia="宋体" w:cs="宋体"/>
          <w:color w:val="000000" w:themeColor="text1"/>
          <w:spacing w:val="-5"/>
          <w:sz w:val="21"/>
          <w:szCs w:val="21"/>
          <w:highlight w:val="none"/>
          <w:u w:val="single" w:color="auto"/>
          <w14:textFill>
            <w14:solidFill>
              <w14:schemeClr w14:val="tx1"/>
            </w14:solidFill>
          </w14:textFill>
        </w:rPr>
        <w:t>含在合同总价内</w:t>
      </w:r>
      <w:r>
        <w:rPr>
          <w:rFonts w:hint="eastAsia" w:ascii="宋体" w:hAnsi="宋体" w:eastAsia="宋体" w:cs="宋体"/>
          <w:color w:val="000000" w:themeColor="text1"/>
          <w:highlight w:val="none"/>
          <w14:textFill>
            <w14:solidFill>
              <w14:schemeClr w14:val="tx1"/>
            </w14:solidFill>
          </w14:textFill>
        </w:rPr>
        <w:t>。</w:t>
      </w:r>
    </w:p>
    <w:p w14:paraId="7280919C">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施工现场需要具备的其他试验条件：</w:t>
      </w:r>
      <w:r>
        <w:rPr>
          <w:rFonts w:hint="eastAsia" w:ascii="宋体" w:hAnsi="宋体" w:eastAsia="宋体" w:cs="宋体"/>
          <w:color w:val="000000" w:themeColor="text1"/>
          <w:spacing w:val="-4"/>
          <w:sz w:val="21"/>
          <w:szCs w:val="21"/>
          <w:highlight w:val="none"/>
          <w:u w:val="single" w:color="auto"/>
          <w14:textFill>
            <w14:solidFill>
              <w14:schemeClr w14:val="tx1"/>
            </w14:solidFill>
          </w14:textFill>
        </w:rPr>
        <w:t>由承包人自行承担，并包</w:t>
      </w:r>
      <w:r>
        <w:rPr>
          <w:rFonts w:hint="eastAsia" w:ascii="宋体" w:hAnsi="宋体" w:eastAsia="宋体" w:cs="宋体"/>
          <w:color w:val="000000" w:themeColor="text1"/>
          <w:spacing w:val="-5"/>
          <w:sz w:val="21"/>
          <w:szCs w:val="21"/>
          <w:highlight w:val="none"/>
          <w:u w:val="single" w:color="auto"/>
          <w14:textFill>
            <w14:solidFill>
              <w14:schemeClr w14:val="tx1"/>
            </w14:solidFill>
          </w14:textFill>
        </w:rPr>
        <w:t>含在合同总价内</w:t>
      </w:r>
      <w:r>
        <w:rPr>
          <w:rFonts w:hint="eastAsia" w:ascii="宋体" w:hAnsi="宋体" w:eastAsia="宋体" w:cs="宋体"/>
          <w:color w:val="000000" w:themeColor="text1"/>
          <w:highlight w:val="none"/>
          <w14:textFill>
            <w14:solidFill>
              <w14:schemeClr w14:val="tx1"/>
            </w14:solidFill>
          </w14:textFill>
        </w:rPr>
        <w:t>。</w:t>
      </w:r>
    </w:p>
    <w:p w14:paraId="41A08314">
      <w:pPr>
        <w:pStyle w:val="6"/>
        <w:rPr>
          <w:rFonts w:hint="eastAsia" w:ascii="宋体" w:hAnsi="宋体" w:eastAsia="宋体" w:cs="宋体"/>
          <w:color w:val="000000" w:themeColor="text1"/>
          <w:highlight w:val="none"/>
          <w14:textFill>
            <w14:solidFill>
              <w14:schemeClr w14:val="tx1"/>
            </w14:solidFill>
          </w14:textFill>
        </w:rPr>
      </w:pPr>
      <w:bookmarkStart w:id="1137" w:name="_Toc389065304"/>
      <w:bookmarkStart w:id="1138" w:name="_Toc78449826"/>
      <w:bookmarkStart w:id="1139" w:name="_Toc2012255079"/>
      <w:bookmarkStart w:id="1140" w:name="_Toc407135240"/>
      <w:bookmarkStart w:id="1141" w:name="_Toc373478385"/>
      <w:bookmarkStart w:id="1142" w:name="_Toc373227738"/>
      <w:bookmarkStart w:id="1143" w:name="_Toc492347879"/>
      <w:r>
        <w:rPr>
          <w:rFonts w:hint="eastAsia" w:ascii="宋体" w:hAnsi="宋体" w:eastAsia="宋体" w:cs="宋体"/>
          <w:color w:val="000000" w:themeColor="text1"/>
          <w:highlight w:val="none"/>
          <w14:textFill>
            <w14:solidFill>
              <w14:schemeClr w14:val="tx1"/>
            </w14:solidFill>
          </w14:textFill>
        </w:rPr>
        <w:t>9.4 现场工艺试验</w:t>
      </w:r>
      <w:bookmarkEnd w:id="1137"/>
      <w:bookmarkEnd w:id="1138"/>
      <w:bookmarkEnd w:id="1139"/>
      <w:bookmarkEnd w:id="1140"/>
      <w:bookmarkEnd w:id="1141"/>
      <w:bookmarkEnd w:id="1142"/>
      <w:bookmarkEnd w:id="1143"/>
      <w:r>
        <w:rPr>
          <w:rFonts w:hint="eastAsia" w:ascii="宋体" w:hAnsi="宋体" w:eastAsia="宋体" w:cs="宋体"/>
          <w:color w:val="000000" w:themeColor="text1"/>
          <w:highlight w:val="none"/>
          <w14:textFill>
            <w14:solidFill>
              <w14:schemeClr w14:val="tx1"/>
            </w14:solidFill>
          </w14:textFill>
        </w:rPr>
        <w:t xml:space="preserve"> </w:t>
      </w:r>
    </w:p>
    <w:p w14:paraId="3C45EED1">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现场工艺试验的有关约定：</w:t>
      </w:r>
      <w:r>
        <w:rPr>
          <w:rFonts w:hint="eastAsia" w:ascii="宋体" w:hAnsi="宋体" w:eastAsia="宋体" w:cs="宋体"/>
          <w:color w:val="000000" w:themeColor="text1"/>
          <w:highlight w:val="none"/>
          <w:u w:val="single"/>
          <w:lang w:eastAsia="zh-CN"/>
          <w14:textFill>
            <w14:solidFill>
              <w14:schemeClr w14:val="tx1"/>
            </w14:solidFill>
          </w14:textFill>
        </w:rPr>
        <w:t>按有关规定执行</w:t>
      </w:r>
      <w:r>
        <w:rPr>
          <w:rFonts w:hint="eastAsia" w:ascii="宋体" w:hAnsi="宋体" w:eastAsia="宋体" w:cs="宋体"/>
          <w:color w:val="000000" w:themeColor="text1"/>
          <w:highlight w:val="none"/>
          <w14:textFill>
            <w14:solidFill>
              <w14:schemeClr w14:val="tx1"/>
            </w14:solidFill>
          </w14:textFill>
        </w:rPr>
        <w:t>。</w:t>
      </w:r>
    </w:p>
    <w:p w14:paraId="7DB95CF4">
      <w:pPr>
        <w:pStyle w:val="6"/>
        <w:rPr>
          <w:rFonts w:hint="eastAsia" w:ascii="宋体" w:hAnsi="宋体" w:eastAsia="宋体" w:cs="宋体"/>
          <w:color w:val="000000" w:themeColor="text1"/>
          <w:highlight w:val="none"/>
          <w14:textFill>
            <w14:solidFill>
              <w14:schemeClr w14:val="tx1"/>
            </w14:solidFill>
          </w14:textFill>
        </w:rPr>
      </w:pPr>
      <w:bookmarkStart w:id="1144" w:name="_Toc1539824686"/>
      <w:bookmarkStart w:id="1145" w:name="_Toc407135241"/>
      <w:bookmarkStart w:id="1146" w:name="_Toc393419678"/>
      <w:bookmarkStart w:id="1147" w:name="_Toc78449827"/>
      <w:r>
        <w:rPr>
          <w:rFonts w:hint="eastAsia" w:ascii="宋体" w:hAnsi="宋体" w:eastAsia="宋体" w:cs="宋体"/>
          <w:color w:val="000000" w:themeColor="text1"/>
          <w:highlight w:val="none"/>
          <w14:textFill>
            <w14:solidFill>
              <w14:schemeClr w14:val="tx1"/>
            </w14:solidFill>
          </w14:textFill>
        </w:rPr>
        <w:t>9.5 检验费用</w:t>
      </w:r>
      <w:bookmarkEnd w:id="1144"/>
      <w:bookmarkEnd w:id="1145"/>
      <w:bookmarkEnd w:id="1146"/>
      <w:bookmarkEnd w:id="1147"/>
    </w:p>
    <w:p w14:paraId="693A4BB2">
      <w:pPr>
        <w:spacing w:line="360" w:lineRule="auto"/>
        <w:ind w:firstLine="411" w:firstLineChars="196"/>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建设工程质量检测管理办法》（建设部令第141号）以及《广西壮族自治区建设工程质量检测管理规定》（桂建管〔2013〕11号）规定，工程质量检测业务由发包人委托有相应资质的检测机构检测。费用从发包人的项目建设经费中支出并直接支付给检测机构，不计入合同价款内。</w:t>
      </w:r>
    </w:p>
    <w:bookmarkEnd w:id="1129"/>
    <w:bookmarkEnd w:id="1130"/>
    <w:bookmarkEnd w:id="1131"/>
    <w:bookmarkEnd w:id="1132"/>
    <w:bookmarkEnd w:id="1133"/>
    <w:bookmarkEnd w:id="1134"/>
    <w:bookmarkEnd w:id="1135"/>
    <w:bookmarkEnd w:id="1136"/>
    <w:p w14:paraId="33769D8E">
      <w:pPr>
        <w:pStyle w:val="5"/>
        <w:rPr>
          <w:rFonts w:hint="eastAsia" w:ascii="宋体" w:hAnsi="宋体" w:eastAsia="宋体" w:cs="宋体"/>
          <w:color w:val="000000" w:themeColor="text1"/>
          <w:highlight w:val="none"/>
          <w14:textFill>
            <w14:solidFill>
              <w14:schemeClr w14:val="tx1"/>
            </w14:solidFill>
          </w14:textFill>
        </w:rPr>
      </w:pPr>
      <w:bookmarkStart w:id="1148" w:name="_Toc373478386"/>
      <w:bookmarkStart w:id="1149" w:name="_Toc78449828"/>
      <w:bookmarkStart w:id="1150" w:name="_Toc603662032"/>
      <w:bookmarkStart w:id="1151" w:name="_Toc389065305"/>
      <w:bookmarkStart w:id="1152" w:name="_Toc351203642"/>
      <w:bookmarkStart w:id="1153" w:name="_Toc407135242"/>
      <w:bookmarkStart w:id="1154" w:name="_Toc373227739"/>
      <w:bookmarkStart w:id="1155" w:name="_Toc1278407274"/>
      <w:r>
        <w:rPr>
          <w:rFonts w:hint="eastAsia" w:ascii="宋体" w:hAnsi="宋体" w:eastAsia="宋体" w:cs="宋体"/>
          <w:color w:val="000000" w:themeColor="text1"/>
          <w:highlight w:val="none"/>
          <w14:textFill>
            <w14:solidFill>
              <w14:schemeClr w14:val="tx1"/>
            </w14:solidFill>
          </w14:textFill>
        </w:rPr>
        <w:t>1</w:t>
      </w:r>
      <w:bookmarkEnd w:id="1096"/>
      <w:bookmarkEnd w:id="1097"/>
      <w:bookmarkEnd w:id="1098"/>
      <w:bookmarkEnd w:id="1099"/>
      <w:bookmarkEnd w:id="1100"/>
      <w:bookmarkEnd w:id="1101"/>
      <w:bookmarkEnd w:id="1102"/>
      <w:bookmarkEnd w:id="1103"/>
      <w:bookmarkEnd w:id="1104"/>
      <w:bookmarkEnd w:id="1105"/>
      <w:bookmarkEnd w:id="1106"/>
      <w:bookmarkEnd w:id="1107"/>
      <w:bookmarkStart w:id="1156" w:name="_Toc297120493"/>
      <w:bookmarkStart w:id="1157" w:name="_Toc300934989"/>
      <w:bookmarkStart w:id="1158" w:name="_Toc296944532"/>
      <w:bookmarkStart w:id="1159" w:name="_Toc297216199"/>
      <w:bookmarkStart w:id="1160" w:name="_Toc296503193"/>
      <w:bookmarkStart w:id="1161" w:name="_Toc304295566"/>
      <w:bookmarkStart w:id="1162" w:name="_Toc296347192"/>
      <w:bookmarkStart w:id="1163" w:name="_Toc303539146"/>
      <w:bookmarkStart w:id="1164" w:name="_Toc296346694"/>
      <w:bookmarkStart w:id="1165" w:name="_Toc296891021"/>
      <w:bookmarkStart w:id="1166" w:name="_Toc292559903"/>
      <w:bookmarkStart w:id="1167" w:name="_Toc296891233"/>
      <w:bookmarkStart w:id="1168" w:name="_Toc292559398"/>
      <w:bookmarkStart w:id="1169" w:name="_Toc297123540"/>
      <w:bookmarkStart w:id="1170" w:name="_Toc297048379"/>
      <w:bookmarkStart w:id="1171" w:name="_Toc312677499"/>
      <w:bookmarkStart w:id="1172" w:name="_Toc312678025"/>
      <w:bookmarkStart w:id="1173" w:name="_Toc267251437"/>
      <w:bookmarkStart w:id="1174" w:name="_Toc267251435"/>
      <w:bookmarkStart w:id="1175" w:name="_Toc267251439"/>
      <w:bookmarkStart w:id="1176" w:name="_Toc267251441"/>
      <w:bookmarkStart w:id="1177" w:name="_Toc267251433"/>
      <w:bookmarkStart w:id="1178" w:name="_Toc267251440"/>
      <w:bookmarkStart w:id="1179" w:name="_Toc267251442"/>
      <w:r>
        <w:rPr>
          <w:rFonts w:hint="eastAsia" w:ascii="宋体" w:hAnsi="宋体" w:eastAsia="宋体" w:cs="宋体"/>
          <w:color w:val="000000" w:themeColor="text1"/>
          <w:highlight w:val="none"/>
          <w14:textFill>
            <w14:solidFill>
              <w14:schemeClr w14:val="tx1"/>
            </w14:solidFill>
          </w14:textFill>
        </w:rPr>
        <w:t>0. 变更</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bookmarkEnd w:id="1171"/>
    <w:bookmarkEnd w:id="1172"/>
    <w:p w14:paraId="3B1B81E0">
      <w:pPr>
        <w:pStyle w:val="6"/>
        <w:rPr>
          <w:rFonts w:hint="eastAsia" w:ascii="宋体" w:hAnsi="宋体" w:eastAsia="宋体" w:cs="宋体"/>
          <w:color w:val="000000" w:themeColor="text1"/>
          <w:highlight w:val="none"/>
          <w14:textFill>
            <w14:solidFill>
              <w14:schemeClr w14:val="tx1"/>
            </w14:solidFill>
          </w14:textFill>
        </w:rPr>
      </w:pPr>
      <w:bookmarkStart w:id="1180" w:name="_Toc78449829"/>
      <w:bookmarkStart w:id="1181" w:name="_Toc407135243"/>
      <w:bookmarkStart w:id="1182" w:name="_Toc411143415"/>
      <w:bookmarkStart w:id="1183" w:name="_Toc1890371558"/>
      <w:bookmarkStart w:id="1184" w:name="_Toc389065306"/>
      <w:bookmarkStart w:id="1185" w:name="_Toc373227740"/>
      <w:bookmarkStart w:id="1186" w:name="_Toc373478387"/>
      <w:r>
        <w:rPr>
          <w:rFonts w:hint="eastAsia" w:ascii="宋体" w:hAnsi="宋体" w:eastAsia="宋体" w:cs="宋体"/>
          <w:color w:val="000000" w:themeColor="text1"/>
          <w:highlight w:val="none"/>
          <w14:textFill>
            <w14:solidFill>
              <w14:schemeClr w14:val="tx1"/>
            </w14:solidFill>
          </w14:textFill>
        </w:rPr>
        <w:t>1</w:t>
      </w:r>
      <w:bookmarkStart w:id="1187" w:name="_Toc296346695"/>
      <w:bookmarkStart w:id="1188" w:name="_Toc296891022"/>
      <w:bookmarkStart w:id="1189" w:name="_Toc296944533"/>
      <w:bookmarkStart w:id="1190" w:name="_Toc312677500"/>
      <w:bookmarkStart w:id="1191" w:name="_Toc297123541"/>
      <w:bookmarkStart w:id="1192" w:name="_Toc292559399"/>
      <w:bookmarkStart w:id="1193" w:name="_Toc296891234"/>
      <w:bookmarkStart w:id="1194" w:name="_Toc312678026"/>
      <w:bookmarkStart w:id="1195" w:name="_Toc304295567"/>
      <w:bookmarkStart w:id="1196" w:name="_Toc292559904"/>
      <w:bookmarkStart w:id="1197" w:name="_Toc297048380"/>
      <w:bookmarkStart w:id="1198" w:name="_Toc297120494"/>
      <w:bookmarkStart w:id="1199" w:name="_Toc297216200"/>
      <w:bookmarkStart w:id="1200" w:name="_Toc303539147"/>
      <w:bookmarkStart w:id="1201" w:name="_Toc296503194"/>
      <w:bookmarkStart w:id="1202" w:name="_Toc300934990"/>
      <w:bookmarkStart w:id="1203" w:name="_Toc296347193"/>
      <w:r>
        <w:rPr>
          <w:rFonts w:hint="eastAsia" w:ascii="宋体" w:hAnsi="宋体" w:eastAsia="宋体" w:cs="宋体"/>
          <w:color w:val="000000" w:themeColor="text1"/>
          <w:highlight w:val="none"/>
          <w14:textFill>
            <w14:solidFill>
              <w14:schemeClr w14:val="tx1"/>
            </w14:solidFill>
          </w14:textFill>
        </w:rPr>
        <w:t>0.1 变更的范围</w:t>
      </w:r>
      <w:bookmarkEnd w:id="1180"/>
      <w:bookmarkEnd w:id="1181"/>
      <w:bookmarkEnd w:id="1182"/>
      <w:bookmarkEnd w:id="1183"/>
      <w:bookmarkEnd w:id="1184"/>
      <w:bookmarkEnd w:id="1185"/>
      <w:bookmarkEnd w:id="1186"/>
    </w:p>
    <w:p w14:paraId="40A19C7B">
      <w:pPr>
        <w:spacing w:line="360" w:lineRule="auto"/>
        <w:ind w:firstLine="426"/>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关于变更的范围的约定：</w:t>
      </w:r>
    </w:p>
    <w:p w14:paraId="20AA606E">
      <w:pPr>
        <w:spacing w:line="360" w:lineRule="auto"/>
        <w:ind w:firstLine="426"/>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承包人不得随意更改设计，因承包人自身原因导致的工期变更，承包人无权要求追加合同价款。设计变更、签证资料必须及时发包人确认，隐蔽工程变更签证在五日内办理完。</w:t>
      </w:r>
    </w:p>
    <w:p w14:paraId="416C2079">
      <w:pPr>
        <w:spacing w:line="360" w:lineRule="auto"/>
        <w:ind w:firstLine="426"/>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2 </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特急变更签证的实施以发包人代表签字为依据，承包人可事先就计价方式或价格与发包方协商一致</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但实施后14日内，双方必须办理相关的手续，方可作为结算的依据。</w:t>
      </w:r>
    </w:p>
    <w:p w14:paraId="3AA01F5A">
      <w:pPr>
        <w:spacing w:line="360" w:lineRule="auto"/>
        <w:ind w:firstLine="426"/>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3 </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当变更、签证的工作内容完成以后，承包人要及时督促监理和发包人代表在完工后 14 日内签字确认，否则</w:t>
      </w:r>
      <w:r>
        <w:rPr>
          <w:rFonts w:hint="eastAsia" w:ascii="宋体" w:hAnsi="宋体" w:eastAsia="宋体" w:cs="宋体"/>
          <w:color w:val="000000" w:themeColor="text1"/>
          <w:highlight w:val="none"/>
          <w:lang w:eastAsia="zh-CN"/>
          <w14:textFill>
            <w14:solidFill>
              <w14:schemeClr w14:val="tx1"/>
            </w14:solidFill>
          </w14:textFill>
        </w:rPr>
        <w:t>发包人</w:t>
      </w:r>
      <w:r>
        <w:rPr>
          <w:rFonts w:hint="eastAsia" w:ascii="宋体" w:hAnsi="宋体" w:eastAsia="宋体" w:cs="宋体"/>
          <w:color w:val="000000" w:themeColor="text1"/>
          <w:highlight w:val="none"/>
          <w14:textFill>
            <w14:solidFill>
              <w14:schemeClr w14:val="tx1"/>
            </w14:solidFill>
          </w14:textFill>
        </w:rPr>
        <w:t>可以不予支付费用。对于隐蔽工程和事后无法计算工程量的变更和签证，必须在覆盖或拆除前，会同监理、发包人代表、工程部负责人共同完成工程量的确认和费用的谈判，否则发包人可以不计价款。</w:t>
      </w:r>
    </w:p>
    <w:p w14:paraId="440E4CF2">
      <w:pPr>
        <w:spacing w:line="360" w:lineRule="auto"/>
        <w:ind w:firstLine="426"/>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合同履约中，双方填制的变更、签证通知单以及办理相关手续，都应严格按照发包人的内部工作管理制度执行，按顺序进行统一分类编号，并附有相应的真实图片及发生的费用，否则发包人可以不予审核费用。</w:t>
      </w:r>
    </w:p>
    <w:p w14:paraId="2D8BFC30">
      <w:pPr>
        <w:spacing w:line="360" w:lineRule="auto"/>
        <w:ind w:firstLine="426"/>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承包人作为有经验的承包商，对工程技术及施工图纸中的问题应提前发现，并在图纸会审时或按照技术核定单的形式及时的提出；如果承包人由于各种原因不提出或未及时提出、或提出后发包人明确否定更改方案而承包人继续施工的， 以上导致工程产生的质量、进度、安全、成本等问题及后果， 承包人承担一切的责任。</w:t>
      </w:r>
    </w:p>
    <w:p w14:paraId="3D377238">
      <w:pPr>
        <w:spacing w:line="360" w:lineRule="auto"/>
        <w:ind w:firstLine="426"/>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6．承包人作为有经验的承包商，对工程量清单与图纸不相符的问题应提前发现，并按照技术核定单的形式及时的提出；如果承包人由于各种原因不提出或未及时提出、或提出后发包人明确否定更改方案而承包人继续施工的，以上导致工程产生的成本增加等问题及后果，承包人承担一切的责任，结算时按工程量清单进行，而不是按图纸进行结算。 </w:t>
      </w:r>
    </w:p>
    <w:p w14:paraId="5F3ACD7B">
      <w:pPr>
        <w:spacing w:line="360" w:lineRule="auto"/>
        <w:ind w:firstLine="426"/>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特别说明：凡是学校擅自提出增加施工内容且不经发包人批准同意施工的，承包人承担一切的责任。</w:t>
      </w:r>
    </w:p>
    <w:p w14:paraId="5352F5F4">
      <w:pPr>
        <w:spacing w:line="360" w:lineRule="auto"/>
        <w:ind w:firstLine="426"/>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w:t>
      </w:r>
      <w:r>
        <w:rPr>
          <w:rFonts w:hint="eastAsia" w:ascii="宋体" w:hAnsi="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工程结算时，承包人需将完整的变更签证资料装订成册作为结算书一部分，变更签证资料应包括 ：</w:t>
      </w:r>
    </w:p>
    <w:p w14:paraId="72EEAAE5">
      <w:pPr>
        <w:spacing w:line="360" w:lineRule="auto"/>
        <w:ind w:firstLine="426"/>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（1）双方确认的联系单</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联系函；（2）变更签证单；（3）申报的变更签证预算书（4）变更签证单所有相关的往来函件、其他需要说明的与造价有关的问题；（5）相应的真实图片。</w:t>
      </w:r>
    </w:p>
    <w:p w14:paraId="0D539880">
      <w:pPr>
        <w:pStyle w:val="6"/>
        <w:rPr>
          <w:rFonts w:hint="eastAsia" w:ascii="宋体" w:hAnsi="宋体" w:eastAsia="宋体" w:cs="宋体"/>
          <w:color w:val="000000" w:themeColor="text1"/>
          <w:highlight w:val="none"/>
          <w14:textFill>
            <w14:solidFill>
              <w14:schemeClr w14:val="tx1"/>
            </w14:solidFill>
          </w14:textFill>
        </w:rPr>
      </w:pPr>
      <w:bookmarkStart w:id="1204" w:name="_Toc373227741"/>
      <w:bookmarkStart w:id="1205" w:name="_Toc1641633295"/>
      <w:bookmarkStart w:id="1206" w:name="_Toc450749207"/>
      <w:bookmarkStart w:id="1207" w:name="_Toc373478388"/>
      <w:bookmarkStart w:id="1208" w:name="_Toc389065307"/>
      <w:bookmarkStart w:id="1209" w:name="_Toc407135244"/>
      <w:bookmarkStart w:id="1210" w:name="_Toc78449830"/>
      <w:r>
        <w:rPr>
          <w:rFonts w:hint="eastAsia" w:ascii="宋体" w:hAnsi="宋体" w:eastAsia="宋体" w:cs="宋体"/>
          <w:color w:val="000000" w:themeColor="text1"/>
          <w:highlight w:val="none"/>
          <w14:textFill>
            <w14:solidFill>
              <w14:schemeClr w14:val="tx1"/>
            </w14:solidFill>
          </w14:textFill>
        </w:rPr>
        <w:t>10.3 变更程序</w:t>
      </w:r>
      <w:bookmarkEnd w:id="1204"/>
      <w:bookmarkEnd w:id="1205"/>
      <w:bookmarkEnd w:id="1206"/>
      <w:bookmarkEnd w:id="1207"/>
      <w:bookmarkEnd w:id="1208"/>
      <w:bookmarkEnd w:id="1209"/>
      <w:bookmarkEnd w:id="1210"/>
    </w:p>
    <w:p w14:paraId="1E3269D9">
      <w:pPr>
        <w:pStyle w:val="28"/>
        <w:spacing w:line="360" w:lineRule="auto"/>
        <w:ind w:firstLine="438" w:firstLineChars="209"/>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⑴设计变更和工程签证，按《关于加强南宁市政府投资项目初步设计、施工图设计管理的 通知》（南建项目 [2004]3 号）及《关于改进政府投资项目财政监管的通知》（南财投审 [2007]66 号）办理。属不可抗力（自然灾害、突发事件等） 造成变更的，按特事特办原则予以办理。</w:t>
      </w:r>
    </w:p>
    <w:p w14:paraId="631E1110">
      <w:pPr>
        <w:pStyle w:val="28"/>
        <w:spacing w:line="360" w:lineRule="auto"/>
        <w:ind w:firstLine="438" w:firstLineChars="209"/>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⑵工程设计变更和签证工程发生后 20 个工作日内，由承包人将有关变更文件、签证单审 批件、工程联系单、预算书等工程资料做好备案，并作为进度款支付、事后抽 查和工程结算的主要依据。</w:t>
      </w:r>
    </w:p>
    <w:p w14:paraId="475221AD">
      <w:pPr>
        <w:pStyle w:val="28"/>
        <w:spacing w:line="360" w:lineRule="auto"/>
        <w:ind w:firstLine="438" w:firstLineChars="209"/>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⑶承包人在实施项目过程中，若发生隐蔽工程或工程量发生增减变动， 必须经建设单位、 施工、监理等有关单位现场签字确认后，方可作为工程结算依据。若现场验收没有以上相关人员参加核实，过后不能以提供相片或视频形式作为签证的理由， 承包人承担一切的责任若人为挖超深，发包人不予签证，承包人将承担。</w:t>
      </w:r>
    </w:p>
    <w:p w14:paraId="4BE6D0B0">
      <w:pPr>
        <w:pStyle w:val="28"/>
        <w:spacing w:line="360" w:lineRule="auto"/>
        <w:ind w:firstLine="438" w:firstLineChars="209"/>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⑷承包人在工程设计变更和工程签证过程中必须认真负责、实事求是，不得弄虚作假，凡因上述问题所造成的损失，相应等额扣除承包人项目管理费或其他财政拨款。</w:t>
      </w:r>
    </w:p>
    <w:p w14:paraId="5B842B5F">
      <w:pPr>
        <w:pStyle w:val="28"/>
        <w:spacing w:line="360" w:lineRule="auto"/>
        <w:ind w:firstLine="438" w:firstLineChars="209"/>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⑸承包人应当在合同规定的调整情况发生后 14 天内，将调整原因，金额以书面形式通知 发包人，发包人按第⑴、⑵、⑶、⑷、⑸条款的要求初步确认调整金额后将其作为追加合同价款， 按不高于60% 的比例与工程进度款同期支付，调整金额待工程单项结算或结算时，由发包方审计部门最终审定。</w:t>
      </w:r>
    </w:p>
    <w:p w14:paraId="01285524">
      <w:pPr>
        <w:pStyle w:val="28"/>
        <w:spacing w:line="360" w:lineRule="auto"/>
        <w:ind w:firstLine="438" w:firstLineChars="209"/>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⑹当合同规定的调整合同价款的调整情况发生后，承包人未在规定时间内通知发包人，或 者未在规定时间内提出调整报告，发包人可以根据有关资料，决定是否调整和调整。</w:t>
      </w:r>
    </w:p>
    <w:p w14:paraId="0DE7FE01">
      <w:pPr>
        <w:pStyle w:val="6"/>
        <w:rPr>
          <w:rFonts w:hint="eastAsia" w:ascii="宋体" w:hAnsi="宋体" w:eastAsia="宋体" w:cs="宋体"/>
          <w:color w:val="000000" w:themeColor="text1"/>
          <w:highlight w:val="none"/>
          <w14:textFill>
            <w14:solidFill>
              <w14:schemeClr w14:val="tx1"/>
            </w14:solidFill>
          </w14:textFill>
        </w:rPr>
      </w:pPr>
      <w:bookmarkStart w:id="1211" w:name="_Toc1645711468"/>
      <w:bookmarkStart w:id="1212" w:name="_Toc373478389"/>
      <w:bookmarkStart w:id="1213" w:name="_Toc407135245"/>
      <w:bookmarkStart w:id="1214" w:name="_Toc389065308"/>
      <w:bookmarkStart w:id="1215" w:name="_Toc373227742"/>
      <w:bookmarkStart w:id="1216" w:name="_Toc78449831"/>
      <w:bookmarkStart w:id="1217" w:name="_Toc780640360"/>
      <w:r>
        <w:rPr>
          <w:rFonts w:hint="eastAsia" w:ascii="宋体" w:hAnsi="宋体" w:eastAsia="宋体" w:cs="宋体"/>
          <w:color w:val="000000" w:themeColor="text1"/>
          <w:highlight w:val="none"/>
          <w14:textFill>
            <w14:solidFill>
              <w14:schemeClr w14:val="tx1"/>
            </w14:solidFill>
          </w14:textFill>
        </w:rPr>
        <w:t>10.4 变更估价</w:t>
      </w:r>
      <w:bookmarkEnd w:id="1211"/>
      <w:bookmarkEnd w:id="1212"/>
      <w:bookmarkEnd w:id="1213"/>
      <w:bookmarkEnd w:id="1214"/>
      <w:bookmarkEnd w:id="1215"/>
      <w:bookmarkEnd w:id="1216"/>
      <w:bookmarkEnd w:id="1217"/>
    </w:p>
    <w:p w14:paraId="6F355466">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10.4.1 变更估价原则</w:t>
      </w:r>
    </w:p>
    <w:p w14:paraId="36A90876">
      <w:pPr>
        <w:spacing w:line="360" w:lineRule="auto"/>
        <w:ind w:firstLine="420" w:firstLineChars="200"/>
        <w:jc w:val="left"/>
        <w:rPr>
          <w:rFonts w:hint="eastAsia" w:ascii="宋体" w:hAnsi="宋体" w:eastAsia="宋体" w:cs="宋体"/>
          <w:color w:val="000000" w:themeColor="text1"/>
          <w:highlight w:val="none"/>
          <w:u w:val="singl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关于变更估价的约定: </w:t>
      </w:r>
      <w:r>
        <w:rPr>
          <w:rFonts w:hint="eastAsia" w:ascii="宋体" w:hAnsi="宋体" w:eastAsia="宋体" w:cs="宋体"/>
          <w:color w:val="000000" w:themeColor="text1"/>
          <w:highlight w:val="none"/>
          <w:u w:val="single"/>
          <w14:textFill>
            <w14:solidFill>
              <w14:schemeClr w14:val="tx1"/>
            </w14:solidFill>
          </w14:textFill>
        </w:rPr>
        <w:t>因设计变更、相关签证引起工程项目、工程量任何变化的，变更合同价款按下列方法进行：（1）合同中已有相同子目的，按合同该子目价格进行计算（2）合同中只有类似子目的，参照该类似子目价格进行计算</w:t>
      </w:r>
      <w:r>
        <w:rPr>
          <w:rFonts w:hint="eastAsia" w:ascii="宋体" w:hAnsi="宋体" w:eastAsia="宋体" w:cs="宋体"/>
          <w:color w:val="000000" w:themeColor="text1"/>
          <w:highlight w:val="none"/>
          <w:u w:val="single"/>
          <w:lang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3）合同中没有适用或类似子目的价格计算方法：有定额的套定额（土石方工程除外）计算，其中材料价格按施工期间的《南宁建设工程造价信息》相应价格信息进行计算；《南宁建设工程造价信息》没有相应价格信息的按市场价计算；无定额可套的，根据市场价格协商确定综合价格；新增项目的单价必须经</w:t>
      </w:r>
      <w:r>
        <w:rPr>
          <w:rFonts w:hint="eastAsia" w:ascii="宋体" w:hAnsi="宋体" w:eastAsia="宋体" w:cs="宋体"/>
          <w:color w:val="000000" w:themeColor="text1"/>
          <w:highlight w:val="none"/>
          <w:u w:val="single"/>
          <w:lang w:val="en-US" w:eastAsia="zh-CN"/>
          <w14:textFill>
            <w14:solidFill>
              <w14:schemeClr w14:val="tx1"/>
            </w14:solidFill>
          </w14:textFill>
        </w:rPr>
        <w:t>市</w:t>
      </w:r>
      <w:r>
        <w:rPr>
          <w:rFonts w:hint="eastAsia" w:ascii="宋体" w:hAnsi="宋体" w:eastAsia="宋体" w:cs="宋体"/>
          <w:color w:val="000000" w:themeColor="text1"/>
          <w:highlight w:val="none"/>
          <w:u w:val="single"/>
          <w14:textFill>
            <w14:solidFill>
              <w14:schemeClr w14:val="tx1"/>
            </w14:solidFill>
          </w14:textFill>
        </w:rPr>
        <w:t>财政</w:t>
      </w:r>
      <w:r>
        <w:rPr>
          <w:rFonts w:hint="eastAsia" w:ascii="宋体" w:hAnsi="宋体" w:eastAsia="宋体" w:cs="宋体"/>
          <w:color w:val="000000" w:themeColor="text1"/>
          <w:highlight w:val="none"/>
          <w:u w:val="single"/>
          <w:lang w:val="en-US" w:eastAsia="zh-CN"/>
          <w14:textFill>
            <w14:solidFill>
              <w14:schemeClr w14:val="tx1"/>
            </w14:solidFill>
          </w14:textFill>
        </w:rPr>
        <w:t>局</w:t>
      </w:r>
      <w:r>
        <w:rPr>
          <w:rFonts w:hint="eastAsia" w:ascii="宋体" w:hAnsi="宋体" w:eastAsia="宋体" w:cs="宋体"/>
          <w:color w:val="000000" w:themeColor="text1"/>
          <w:highlight w:val="none"/>
          <w:u w:val="single"/>
          <w14:textFill>
            <w14:solidFill>
              <w14:schemeClr w14:val="tx1"/>
            </w14:solidFill>
          </w14:textFill>
        </w:rPr>
        <w:t>投评中心或者有资质的审核单位审定</w:t>
      </w:r>
      <w:r>
        <w:rPr>
          <w:rFonts w:hint="eastAsia" w:ascii="宋体" w:hAnsi="宋体" w:eastAsia="宋体" w:cs="宋体"/>
          <w:color w:val="000000" w:themeColor="text1"/>
          <w:highlight w:val="none"/>
          <w:u w:val="single"/>
          <w:lang w:eastAsia="zh-CN"/>
          <w14:textFill>
            <w14:solidFill>
              <w14:schemeClr w14:val="tx1"/>
            </w14:solidFill>
          </w14:textFill>
        </w:rPr>
        <w:t>。</w:t>
      </w:r>
    </w:p>
    <w:p w14:paraId="134F3CAD">
      <w:pPr>
        <w:pStyle w:val="6"/>
        <w:rPr>
          <w:rFonts w:hint="eastAsia" w:ascii="宋体" w:hAnsi="宋体" w:eastAsia="宋体" w:cs="宋体"/>
          <w:color w:val="000000" w:themeColor="text1"/>
          <w:highlight w:val="none"/>
          <w14:textFill>
            <w14:solidFill>
              <w14:schemeClr w14:val="tx1"/>
            </w14:solidFill>
          </w14:textFill>
        </w:rPr>
      </w:pPr>
      <w:bookmarkStart w:id="1218" w:name="_Toc78449832"/>
      <w:bookmarkStart w:id="1219" w:name="_Toc373227743"/>
      <w:bookmarkStart w:id="1220" w:name="_Toc1342657745"/>
      <w:bookmarkStart w:id="1221" w:name="_Toc407135246"/>
      <w:bookmarkStart w:id="1222" w:name="_Toc373478390"/>
      <w:bookmarkStart w:id="1223" w:name="_Toc389065309"/>
      <w:bookmarkStart w:id="1224" w:name="_Toc650800266"/>
      <w:r>
        <w:rPr>
          <w:rFonts w:hint="eastAsia" w:ascii="宋体" w:hAnsi="宋体" w:eastAsia="宋体" w:cs="宋体"/>
          <w:color w:val="000000" w:themeColor="text1"/>
          <w:highlight w:val="none"/>
          <w14:textFill>
            <w14:solidFill>
              <w14:schemeClr w14:val="tx1"/>
            </w14:solidFill>
          </w14:textFill>
        </w:rPr>
        <w:t>1</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Start w:id="1225" w:name="_Toc292559402"/>
      <w:bookmarkStart w:id="1226" w:name="_Toc292559907"/>
      <w:bookmarkStart w:id="1227" w:name="_Toc296346698"/>
      <w:bookmarkStart w:id="1228" w:name="_Toc297120497"/>
      <w:bookmarkStart w:id="1229" w:name="_Toc296944536"/>
      <w:bookmarkStart w:id="1230" w:name="_Toc297048383"/>
      <w:bookmarkStart w:id="1231" w:name="_Toc296503197"/>
      <w:bookmarkStart w:id="1232" w:name="_Toc303539150"/>
      <w:bookmarkStart w:id="1233" w:name="_Toc296347196"/>
      <w:bookmarkStart w:id="1234" w:name="_Toc297216203"/>
      <w:bookmarkStart w:id="1235" w:name="_Toc296891025"/>
      <w:bookmarkStart w:id="1236" w:name="_Toc300934993"/>
      <w:bookmarkStart w:id="1237" w:name="_Toc297123544"/>
      <w:bookmarkStart w:id="1238" w:name="_Toc296891237"/>
      <w:bookmarkStart w:id="1239" w:name="_Toc304295570"/>
      <w:bookmarkStart w:id="1240" w:name="_Toc312678029"/>
      <w:bookmarkStart w:id="1241" w:name="_Toc312677503"/>
      <w:r>
        <w:rPr>
          <w:rFonts w:hint="eastAsia" w:ascii="宋体" w:hAnsi="宋体" w:eastAsia="宋体" w:cs="宋体"/>
          <w:color w:val="000000" w:themeColor="text1"/>
          <w:highlight w:val="none"/>
          <w14:textFill>
            <w14:solidFill>
              <w14:schemeClr w14:val="tx1"/>
            </w14:solidFill>
          </w14:textFill>
        </w:rPr>
        <w:t>0.5 承</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Start w:id="1242" w:name="_Toc296891243"/>
      <w:bookmarkStart w:id="1243" w:name="_Toc296503203"/>
      <w:bookmarkStart w:id="1244" w:name="_Toc292559408"/>
      <w:bookmarkStart w:id="1245" w:name="_Toc296346704"/>
      <w:bookmarkStart w:id="1246" w:name="_Toc292559913"/>
      <w:bookmarkStart w:id="1247" w:name="_Toc297216204"/>
      <w:bookmarkStart w:id="1248" w:name="_Toc297048389"/>
      <w:bookmarkStart w:id="1249" w:name="_Toc297120503"/>
      <w:bookmarkStart w:id="1250" w:name="_Toc296944542"/>
      <w:bookmarkStart w:id="1251" w:name="_Toc303539151"/>
      <w:bookmarkStart w:id="1252" w:name="_Toc296347202"/>
      <w:bookmarkStart w:id="1253" w:name="_Toc300934994"/>
      <w:bookmarkStart w:id="1254" w:name="_Toc296891031"/>
      <w:bookmarkStart w:id="1255" w:name="_Toc297123545"/>
      <w:r>
        <w:rPr>
          <w:rFonts w:hint="eastAsia" w:ascii="宋体" w:hAnsi="宋体" w:eastAsia="宋体" w:cs="宋体"/>
          <w:color w:val="000000" w:themeColor="text1"/>
          <w:highlight w:val="none"/>
          <w14:textFill>
            <w14:solidFill>
              <w14:schemeClr w14:val="tx1"/>
            </w14:solidFill>
          </w14:textFill>
        </w:rPr>
        <w:t>包人的合理化建议</w:t>
      </w:r>
      <w:bookmarkEnd w:id="1218"/>
      <w:bookmarkEnd w:id="1219"/>
      <w:bookmarkEnd w:id="1220"/>
      <w:bookmarkEnd w:id="1221"/>
      <w:bookmarkEnd w:id="1222"/>
      <w:bookmarkEnd w:id="1223"/>
      <w:bookmarkEnd w:id="1224"/>
    </w:p>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14:paraId="1F246274">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监理人审查承包人合理化建议的期限：</w:t>
      </w:r>
      <w:r>
        <w:rPr>
          <w:rFonts w:hint="eastAsia" w:ascii="宋体" w:hAnsi="宋体" w:eastAsia="宋体" w:cs="宋体"/>
          <w:color w:val="000000" w:themeColor="text1"/>
          <w:highlight w:val="none"/>
          <w:u w:val="single"/>
          <w:lang w:eastAsia="zh-CN"/>
          <w14:textFill>
            <w14:solidFill>
              <w14:schemeClr w14:val="tx1"/>
            </w14:solidFill>
          </w14:textFill>
        </w:rPr>
        <w:t>收到后</w:t>
      </w:r>
      <w:r>
        <w:rPr>
          <w:rFonts w:hint="eastAsia" w:ascii="宋体" w:hAnsi="宋体" w:eastAsia="宋体" w:cs="宋体"/>
          <w:color w:val="000000" w:themeColor="text1"/>
          <w:highlight w:val="none"/>
          <w:u w:val="single"/>
          <w:lang w:val="en-US" w:eastAsia="zh-CN"/>
          <w14:textFill>
            <w14:solidFill>
              <w14:schemeClr w14:val="tx1"/>
            </w14:solidFill>
          </w14:textFill>
        </w:rPr>
        <w:t>7天内</w:t>
      </w:r>
      <w:r>
        <w:rPr>
          <w:rFonts w:hint="eastAsia" w:ascii="宋体" w:hAnsi="宋体" w:eastAsia="宋体" w:cs="宋体"/>
          <w:color w:val="000000" w:themeColor="text1"/>
          <w:highlight w:val="none"/>
          <w14:textFill>
            <w14:solidFill>
              <w14:schemeClr w14:val="tx1"/>
            </w14:solidFill>
          </w14:textFill>
        </w:rPr>
        <w:t>。</w:t>
      </w:r>
    </w:p>
    <w:p w14:paraId="609A1D6B">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发包人审批承包人合理化建议的期限：</w:t>
      </w:r>
      <w:r>
        <w:rPr>
          <w:rFonts w:hint="eastAsia" w:ascii="宋体" w:hAnsi="宋体" w:eastAsia="宋体" w:cs="宋体"/>
          <w:color w:val="000000" w:themeColor="text1"/>
          <w:highlight w:val="none"/>
          <w:u w:val="single"/>
          <w:lang w:eastAsia="zh-CN"/>
          <w14:textFill>
            <w14:solidFill>
              <w14:schemeClr w14:val="tx1"/>
            </w14:solidFill>
          </w14:textFill>
        </w:rPr>
        <w:t>收到后</w:t>
      </w:r>
      <w:r>
        <w:rPr>
          <w:rFonts w:hint="eastAsia" w:ascii="宋体" w:hAnsi="宋体" w:eastAsia="宋体" w:cs="宋体"/>
          <w:color w:val="000000" w:themeColor="text1"/>
          <w:highlight w:val="none"/>
          <w:u w:val="single"/>
          <w:lang w:val="en-US" w:eastAsia="zh-CN"/>
          <w14:textFill>
            <w14:solidFill>
              <w14:schemeClr w14:val="tx1"/>
            </w14:solidFill>
          </w14:textFill>
        </w:rPr>
        <w:t>10天内</w:t>
      </w:r>
      <w:r>
        <w:rPr>
          <w:rFonts w:hint="eastAsia" w:ascii="宋体" w:hAnsi="宋体" w:eastAsia="宋体" w:cs="宋体"/>
          <w:color w:val="000000" w:themeColor="text1"/>
          <w:highlight w:val="none"/>
          <w14:textFill>
            <w14:solidFill>
              <w14:schemeClr w14:val="tx1"/>
            </w14:solidFill>
          </w14:textFill>
        </w:rPr>
        <w:t>。</w:t>
      </w:r>
    </w:p>
    <w:p w14:paraId="59005E8E">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w:t>
      </w:r>
      <w:bookmarkStart w:id="1256" w:name="_Toc297216205"/>
      <w:bookmarkStart w:id="1257" w:name="_Toc292559914"/>
      <w:bookmarkStart w:id="1258" w:name="_Toc297123546"/>
      <w:bookmarkStart w:id="1259" w:name="_Toc303539152"/>
      <w:bookmarkStart w:id="1260" w:name="_Toc300934995"/>
      <w:bookmarkStart w:id="1261" w:name="_Toc296347203"/>
      <w:bookmarkStart w:id="1262" w:name="_Toc296891032"/>
      <w:bookmarkStart w:id="1263" w:name="_Toc318581175"/>
      <w:bookmarkStart w:id="1264" w:name="_Toc304295571"/>
      <w:bookmarkStart w:id="1265" w:name="_Toc296944543"/>
      <w:bookmarkStart w:id="1266" w:name="_Toc297120504"/>
      <w:bookmarkStart w:id="1267" w:name="_Toc292559409"/>
      <w:bookmarkStart w:id="1268" w:name="_Toc312678030"/>
      <w:bookmarkStart w:id="1269" w:name="_Toc297048390"/>
      <w:bookmarkStart w:id="1270" w:name="_Toc296891244"/>
      <w:bookmarkStart w:id="1271" w:name="_Toc296346705"/>
      <w:bookmarkStart w:id="1272" w:name="_Toc296503204"/>
      <w:bookmarkStart w:id="1273" w:name="_Toc312677504"/>
      <w:r>
        <w:rPr>
          <w:rFonts w:hint="eastAsia" w:ascii="宋体" w:hAnsi="宋体" w:eastAsia="宋体" w:cs="宋体"/>
          <w:color w:val="000000" w:themeColor="text1"/>
          <w:highlight w:val="none"/>
          <w14:textFill>
            <w14:solidFill>
              <w14:schemeClr w14:val="tx1"/>
            </w14:solidFill>
          </w14:textFill>
        </w:rPr>
        <w:t>包人提出的合理化建议降低了合同价格或者提高了工程经济效益的奖励的方法和金额为：</w:t>
      </w:r>
      <w:r>
        <w:rPr>
          <w:rFonts w:hint="eastAsia" w:ascii="宋体" w:hAnsi="宋体" w:eastAsia="宋体" w:cs="宋体"/>
          <w:color w:val="000000" w:themeColor="text1"/>
          <w:highlight w:val="none"/>
          <w:u w:val="single"/>
          <w:lang w:eastAsia="zh-CN"/>
          <w14:textFill>
            <w14:solidFill>
              <w14:schemeClr w14:val="tx1"/>
            </w14:solidFill>
          </w14:textFill>
        </w:rPr>
        <w:t>另行协商</w:t>
      </w:r>
      <w:r>
        <w:rPr>
          <w:rFonts w:hint="eastAsia" w:ascii="宋体" w:hAnsi="宋体" w:eastAsia="宋体" w:cs="宋体"/>
          <w:color w:val="000000" w:themeColor="text1"/>
          <w:highlight w:val="none"/>
          <w14:textFill>
            <w14:solidFill>
              <w14:schemeClr w14:val="tx1"/>
            </w14:solidFill>
          </w14:textFill>
        </w:rPr>
        <w:t>。</w:t>
      </w:r>
    </w:p>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14:paraId="282E4FEF">
      <w:pPr>
        <w:pStyle w:val="6"/>
        <w:rPr>
          <w:rFonts w:hint="eastAsia" w:ascii="宋体" w:hAnsi="宋体" w:eastAsia="宋体" w:cs="宋体"/>
          <w:color w:val="000000" w:themeColor="text1"/>
          <w:highlight w:val="none"/>
          <w14:textFill>
            <w14:solidFill>
              <w14:schemeClr w14:val="tx1"/>
            </w14:solidFill>
          </w14:textFill>
        </w:rPr>
      </w:pPr>
      <w:bookmarkStart w:id="1274" w:name="_Toc373478391"/>
      <w:bookmarkStart w:id="1275" w:name="_Toc2045792355"/>
      <w:bookmarkStart w:id="1276" w:name="_Toc373227744"/>
      <w:bookmarkStart w:id="1277" w:name="_Toc78449833"/>
      <w:bookmarkStart w:id="1278" w:name="_Toc407135247"/>
      <w:bookmarkStart w:id="1279" w:name="_Toc502454636"/>
      <w:bookmarkStart w:id="1280" w:name="_Toc389065310"/>
      <w:r>
        <w:rPr>
          <w:rFonts w:hint="eastAsia" w:ascii="宋体" w:hAnsi="宋体" w:eastAsia="宋体" w:cs="宋体"/>
          <w:color w:val="000000" w:themeColor="text1"/>
          <w:highlight w:val="none"/>
          <w14:textFill>
            <w14:solidFill>
              <w14:schemeClr w14:val="tx1"/>
            </w14:solidFill>
          </w14:textFill>
        </w:rPr>
        <w:t>1</w:t>
      </w:r>
      <w:bookmarkStart w:id="1281" w:name="_Toc296347198"/>
      <w:bookmarkStart w:id="1282" w:name="_Toc296944538"/>
      <w:bookmarkStart w:id="1283" w:name="_Toc297123548"/>
      <w:bookmarkStart w:id="1284" w:name="_Toc296346700"/>
      <w:bookmarkStart w:id="1285" w:name="_Toc296891239"/>
      <w:bookmarkStart w:id="1286" w:name="_Toc292559909"/>
      <w:bookmarkStart w:id="1287" w:name="_Toc312677507"/>
      <w:bookmarkStart w:id="1288" w:name="_Toc292559404"/>
      <w:bookmarkStart w:id="1289" w:name="_Toc304295574"/>
      <w:bookmarkStart w:id="1290" w:name="_Toc297120499"/>
      <w:bookmarkStart w:id="1291" w:name="_Toc296891027"/>
      <w:bookmarkStart w:id="1292" w:name="_Toc300934997"/>
      <w:bookmarkStart w:id="1293" w:name="_Toc296503199"/>
      <w:bookmarkStart w:id="1294" w:name="_Toc303539154"/>
      <w:bookmarkStart w:id="1295" w:name="_Toc312678033"/>
      <w:bookmarkStart w:id="1296" w:name="_Toc297048385"/>
      <w:bookmarkStart w:id="1297" w:name="_Toc297216207"/>
      <w:r>
        <w:rPr>
          <w:rFonts w:hint="eastAsia" w:ascii="宋体" w:hAnsi="宋体" w:eastAsia="宋体" w:cs="宋体"/>
          <w:color w:val="000000" w:themeColor="text1"/>
          <w:highlight w:val="none"/>
          <w14:textFill>
            <w14:solidFill>
              <w14:schemeClr w14:val="tx1"/>
            </w14:solidFill>
          </w14:textFill>
        </w:rPr>
        <w:t>0.7 暂估价</w:t>
      </w:r>
      <w:bookmarkEnd w:id="1274"/>
      <w:bookmarkEnd w:id="1275"/>
      <w:bookmarkEnd w:id="1276"/>
      <w:bookmarkEnd w:id="1277"/>
      <w:bookmarkEnd w:id="1278"/>
      <w:bookmarkEnd w:id="1279"/>
      <w:bookmarkEnd w:id="1280"/>
    </w:p>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14:paraId="30E2245E">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暂</w:t>
      </w:r>
      <w:bookmarkStart w:id="1298" w:name="_Toc318581176"/>
      <w:bookmarkStart w:id="1299" w:name="_Toc312677508"/>
      <w:bookmarkStart w:id="1300" w:name="_Toc312678034"/>
      <w:r>
        <w:rPr>
          <w:rFonts w:hint="eastAsia" w:ascii="宋体" w:hAnsi="宋体" w:eastAsia="宋体" w:cs="宋体"/>
          <w:color w:val="000000" w:themeColor="text1"/>
          <w:kern w:val="0"/>
          <w:highlight w:val="none"/>
          <w14:textFill>
            <w14:solidFill>
              <w14:schemeClr w14:val="tx1"/>
            </w14:solidFill>
          </w14:textFill>
        </w:rPr>
        <w:t>估价材料和工程设备的明细详见已标价工程量清单《</w:t>
      </w:r>
      <w:r>
        <w:rPr>
          <w:rFonts w:hint="eastAsia" w:ascii="宋体" w:hAnsi="宋体" w:eastAsia="宋体" w:cs="宋体"/>
          <w:color w:val="000000" w:themeColor="text1"/>
          <w:highlight w:val="none"/>
          <w14:textFill>
            <w14:solidFill>
              <w14:schemeClr w14:val="tx1"/>
            </w14:solidFill>
          </w14:textFill>
        </w:rPr>
        <w:t>材料（工程设备）暂估价格及调整表》</w:t>
      </w:r>
      <w:r>
        <w:rPr>
          <w:rFonts w:hint="eastAsia" w:ascii="宋体" w:hAnsi="宋体" w:eastAsia="宋体" w:cs="宋体"/>
          <w:color w:val="000000" w:themeColor="text1"/>
          <w:kern w:val="0"/>
          <w:highlight w:val="none"/>
          <w14:textFill>
            <w14:solidFill>
              <w14:schemeClr w14:val="tx1"/>
            </w14:solidFill>
          </w14:textFill>
        </w:rPr>
        <w:t>（表12-2）和《</w:t>
      </w:r>
      <w:r>
        <w:rPr>
          <w:rFonts w:hint="eastAsia" w:ascii="宋体" w:hAnsi="宋体" w:eastAsia="宋体" w:cs="宋体"/>
          <w:color w:val="000000" w:themeColor="text1"/>
          <w:highlight w:val="none"/>
          <w14:textFill>
            <w14:solidFill>
              <w14:schemeClr w14:val="tx1"/>
            </w14:solidFill>
          </w14:textFill>
        </w:rPr>
        <w:t>专业工程暂估价表》（</w:t>
      </w:r>
      <w:r>
        <w:rPr>
          <w:rFonts w:hint="eastAsia" w:ascii="宋体" w:hAnsi="宋体" w:eastAsia="宋体" w:cs="宋体"/>
          <w:color w:val="000000" w:themeColor="text1"/>
          <w:kern w:val="0"/>
          <w:highlight w:val="none"/>
          <w14:textFill>
            <w14:solidFill>
              <w14:schemeClr w14:val="tx1"/>
            </w14:solidFill>
          </w14:textFill>
        </w:rPr>
        <w:t>表12-3）。</w:t>
      </w:r>
    </w:p>
    <w:bookmarkEnd w:id="1298"/>
    <w:bookmarkEnd w:id="1299"/>
    <w:bookmarkEnd w:id="1300"/>
    <w:p w14:paraId="6635F7C4">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bookmarkStart w:id="1301" w:name="_Toc318581177"/>
      <w:bookmarkStart w:id="1302" w:name="_Toc312677509"/>
      <w:bookmarkStart w:id="1303" w:name="_Toc312678035"/>
      <w:r>
        <w:rPr>
          <w:rFonts w:hint="eastAsia" w:ascii="宋体" w:hAnsi="宋体" w:eastAsia="宋体" w:cs="宋体"/>
          <w:color w:val="000000" w:themeColor="text1"/>
          <w:highlight w:val="none"/>
          <w14:textFill>
            <w14:solidFill>
              <w14:schemeClr w14:val="tx1"/>
            </w14:solidFill>
          </w14:textFill>
        </w:rPr>
        <w:t>0.7.1 依法必须招标的暂估价项目</w:t>
      </w:r>
    </w:p>
    <w:bookmarkEnd w:id="1301"/>
    <w:bookmarkEnd w:id="1302"/>
    <w:bookmarkEnd w:id="1303"/>
    <w:p w14:paraId="5DED471E">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对于依法必须招标的暂估价项目的确认和批准采取第</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种方式确定。</w:t>
      </w:r>
    </w:p>
    <w:p w14:paraId="75DBA590">
      <w:pPr>
        <w:spacing w:line="360" w:lineRule="auto"/>
        <w:ind w:firstLine="420" w:firstLineChars="200"/>
        <w:jc w:val="left"/>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 xml:space="preserve">第 1 种方式：对于依法必须招标的暂估价项目，由承包人招标，对该暂估价项目的确认和批准。 </w:t>
      </w:r>
    </w:p>
    <w:p w14:paraId="0DE2782B">
      <w:pPr>
        <w:spacing w:line="360" w:lineRule="auto"/>
        <w:ind w:firstLine="420" w:firstLineChars="200"/>
        <w:jc w:val="left"/>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 xml:space="preserve">按照以下约定执行： </w:t>
      </w:r>
    </w:p>
    <w:p w14:paraId="6F9E612F">
      <w:pPr>
        <w:spacing w:line="360" w:lineRule="auto"/>
        <w:ind w:firstLine="420" w:firstLineChars="200"/>
        <w:jc w:val="left"/>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 xml:space="preserve">（1）承包人应当根据施工进度计划，在招标工作启动前 14 天将招标方案通过监理人报送发包人审查，发包人应当在收到承包人报送的招标方案后 7 天内批准或提出修改意见。承包人应当按照经过发包人批准的招标方案开展招标工作； </w:t>
      </w:r>
    </w:p>
    <w:p w14:paraId="146CC891">
      <w:pPr>
        <w:spacing w:line="360" w:lineRule="auto"/>
        <w:ind w:firstLine="420" w:firstLineChars="200"/>
        <w:jc w:val="left"/>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 xml:space="preserve">（2）承包人应当根据施工进度计划，提前 14 天将采购文件通过监理人报送发包人审批，发包人应当在收到承包人报送的相关文件后 7 内完成审批或提出修改意见；发包人有权确定招标控制价并按照法律规定参加评标； </w:t>
      </w:r>
    </w:p>
    <w:p w14:paraId="30338255">
      <w:pPr>
        <w:spacing w:line="360" w:lineRule="auto"/>
        <w:ind w:firstLine="420" w:firstLineChars="200"/>
        <w:jc w:val="left"/>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（3）承包人与供应商、分包人在签订暂估价合同前，应当提前 7 天将确定的中标候选供应商或中标候选分包人的资料报送发包人，发包人应在收到资料后 3 天内与承包人共同确定</w:t>
      </w:r>
      <w:r>
        <w:rPr>
          <w:rFonts w:hint="eastAsia" w:ascii="宋体" w:hAnsi="宋体" w:cs="宋体"/>
          <w:color w:val="000000" w:themeColor="text1"/>
          <w:highlight w:val="none"/>
          <w:lang w:val="en-US" w:eastAsia="zh-CN"/>
          <w14:textFill>
            <w14:solidFill>
              <w14:schemeClr w14:val="tx1"/>
            </w14:solidFill>
          </w14:textFill>
        </w:rPr>
        <w:t>成交供应商</w:t>
      </w:r>
      <w:r>
        <w:rPr>
          <w:rFonts w:hint="eastAsia" w:ascii="宋体" w:hAnsi="宋体" w:eastAsia="宋体" w:cs="宋体"/>
          <w:color w:val="000000" w:themeColor="text1"/>
          <w:highlight w:val="none"/>
          <w:lang w:val="en-US" w:eastAsia="zh-CN"/>
          <w14:textFill>
            <w14:solidFill>
              <w14:schemeClr w14:val="tx1"/>
            </w14:solidFill>
          </w14:textFill>
        </w:rPr>
        <w:t>；承包人应当在签订合同后 7 天内，将暂估价合同副本报送发包人留存。</w:t>
      </w:r>
    </w:p>
    <w:p w14:paraId="785A499A">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10.7.2 不属于依法必须招标的暂估价项目</w:t>
      </w:r>
    </w:p>
    <w:p w14:paraId="30CBBF1A">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对于不属于依法必须招标的暂估价项目的确认和批准采取第</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3</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种方式确定。</w:t>
      </w:r>
    </w:p>
    <w:p w14:paraId="406B6048">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 xml:space="preserve">第 1 种方式：对于不属于依法必须招标的暂估价项目，按本项约定确认和批准： </w:t>
      </w:r>
    </w:p>
    <w:p w14:paraId="6E0A5843">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 xml:space="preserve">（1）承包人应根据施工进度计划，在签订暂估价项目的采购合同、分包合同前28 天向监理人提出书面申请。监理人应当在收到申请后 3 天内报送发包人，发包人应当在收到申请后 14 天内给予批准或提出修改意见，发包人逾期未予批准或提出修改意见的，视为该书面申请已获得同意； </w:t>
      </w:r>
    </w:p>
    <w:p w14:paraId="5F7888F9">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 xml:space="preserve">（2）发包人认为承包人确定的供应商、分包人无法满足工程质量或合同要求的，发包人可以要求承包人重新确定暂估价项目的供应商、分包人； </w:t>
      </w:r>
    </w:p>
    <w:p w14:paraId="71778FF1">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 xml:space="preserve">（3）承包人应当在签订暂估价合同后 7 天内，将暂估价合同副本报送发包人留存。 </w:t>
      </w:r>
    </w:p>
    <w:p w14:paraId="7E223EAA">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第 2 种方式：承包人按照第 10.7.1 项〔依法必须招标的暂估价项目〕约定的第 1 种方式确定暂估价项目。</w:t>
      </w:r>
    </w:p>
    <w:p w14:paraId="08B81725">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第3种方式：</w:t>
      </w:r>
      <w:r>
        <w:rPr>
          <w:rFonts w:hint="eastAsia" w:ascii="宋体" w:hAnsi="宋体" w:eastAsia="宋体" w:cs="宋体"/>
          <w:color w:val="000000" w:themeColor="text1"/>
          <w:kern w:val="0"/>
          <w:highlight w:val="none"/>
          <w14:textFill>
            <w14:solidFill>
              <w14:schemeClr w14:val="tx1"/>
            </w14:solidFill>
          </w14:textFill>
        </w:rPr>
        <w:t>承包人直接实施的暂估价项目</w:t>
      </w:r>
    </w:p>
    <w:p w14:paraId="20D514FD">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承包人直接实施的暂估价项目的约定：</w:t>
      </w:r>
      <w:r>
        <w:rPr>
          <w:rFonts w:hint="eastAsia" w:ascii="宋体" w:hAnsi="宋体" w:eastAsia="宋体" w:cs="宋体"/>
          <w:color w:val="000000" w:themeColor="text1"/>
          <w:highlight w:val="none"/>
          <w:u w:val="single"/>
          <w14:textFill>
            <w14:solidFill>
              <w14:schemeClr w14:val="tx1"/>
            </w14:solidFill>
          </w14:textFill>
        </w:rPr>
        <w:t>如有，则以发包人要求为准；详见工程量清单</w:t>
      </w:r>
      <w:r>
        <w:rPr>
          <w:rFonts w:hint="eastAsia" w:ascii="宋体" w:hAnsi="宋体" w:eastAsia="宋体" w:cs="宋体"/>
          <w:color w:val="000000" w:themeColor="text1"/>
          <w:highlight w:val="none"/>
          <w14:textFill>
            <w14:solidFill>
              <w14:schemeClr w14:val="tx1"/>
            </w14:solidFill>
          </w14:textFill>
        </w:rPr>
        <w:t>。</w:t>
      </w:r>
    </w:p>
    <w:p w14:paraId="7D5D1B68">
      <w:pPr>
        <w:pStyle w:val="6"/>
        <w:rPr>
          <w:rFonts w:hint="eastAsia" w:ascii="宋体" w:hAnsi="宋体" w:eastAsia="宋体" w:cs="宋体"/>
          <w:color w:val="000000" w:themeColor="text1"/>
          <w:highlight w:val="none"/>
          <w14:textFill>
            <w14:solidFill>
              <w14:schemeClr w14:val="tx1"/>
            </w14:solidFill>
          </w14:textFill>
        </w:rPr>
      </w:pPr>
      <w:bookmarkStart w:id="1304" w:name="_Toc78449834"/>
      <w:bookmarkStart w:id="1305" w:name="_Toc2131098822"/>
      <w:bookmarkStart w:id="1306" w:name="_Toc373478392"/>
      <w:bookmarkStart w:id="1307" w:name="_Toc2032108729"/>
      <w:bookmarkStart w:id="1308" w:name="_Toc407135248"/>
      <w:bookmarkStart w:id="1309" w:name="_Toc373227745"/>
      <w:bookmarkStart w:id="1310" w:name="_Toc389065311"/>
      <w:r>
        <w:rPr>
          <w:rFonts w:hint="eastAsia" w:ascii="宋体" w:hAnsi="宋体" w:eastAsia="宋体" w:cs="宋体"/>
          <w:color w:val="000000" w:themeColor="text1"/>
          <w:highlight w:val="none"/>
          <w14:textFill>
            <w14:solidFill>
              <w14:schemeClr w14:val="tx1"/>
            </w14:solidFill>
          </w14:textFill>
        </w:rPr>
        <w:t>10.8 暂列金额</w:t>
      </w:r>
      <w:bookmarkEnd w:id="1304"/>
      <w:bookmarkEnd w:id="1305"/>
      <w:bookmarkEnd w:id="1306"/>
      <w:bookmarkEnd w:id="1307"/>
      <w:bookmarkEnd w:id="1308"/>
      <w:bookmarkEnd w:id="1309"/>
      <w:bookmarkEnd w:id="1310"/>
    </w:p>
    <w:p w14:paraId="2EA1452A">
      <w:pPr>
        <w:autoSpaceDE w:val="0"/>
        <w:autoSpaceDN w:val="0"/>
        <w:adjustRightInd w:val="0"/>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合同当事人关于暂列金额使用的约定：</w:t>
      </w:r>
      <w:r>
        <w:rPr>
          <w:rFonts w:hint="eastAsia" w:ascii="宋体" w:hAnsi="宋体" w:eastAsia="宋体" w:cs="宋体"/>
          <w:color w:val="000000" w:themeColor="text1"/>
          <w:highlight w:val="none"/>
          <w:u w:val="single"/>
          <w14:textFill>
            <w14:solidFill>
              <w14:schemeClr w14:val="tx1"/>
            </w14:solidFill>
          </w14:textFill>
        </w:rPr>
        <w:t>如有，则以发包人要求为准；详见工程量清单</w:t>
      </w:r>
      <w:r>
        <w:rPr>
          <w:rFonts w:hint="eastAsia" w:ascii="宋体" w:hAnsi="宋体" w:eastAsia="宋体" w:cs="宋体"/>
          <w:color w:val="000000" w:themeColor="text1"/>
          <w:kern w:val="0"/>
          <w:highlight w:val="none"/>
          <w14:textFill>
            <w14:solidFill>
              <w14:schemeClr w14:val="tx1"/>
            </w14:solidFill>
          </w14:textFill>
        </w:rPr>
        <w:t>。</w:t>
      </w:r>
    </w:p>
    <w:p w14:paraId="570F9D78">
      <w:pPr>
        <w:pStyle w:val="5"/>
        <w:numPr>
          <w:ilvl w:val="0"/>
          <w:numId w:val="5"/>
        </w:numPr>
        <w:rPr>
          <w:rFonts w:hint="eastAsia" w:ascii="宋体" w:hAnsi="宋体" w:eastAsia="宋体" w:cs="宋体"/>
          <w:color w:val="000000" w:themeColor="text1"/>
          <w:highlight w:val="none"/>
          <w14:textFill>
            <w14:solidFill>
              <w14:schemeClr w14:val="tx1"/>
            </w14:solidFill>
          </w14:textFill>
        </w:rPr>
      </w:pPr>
      <w:bookmarkStart w:id="1311" w:name="_Toc351203643"/>
      <w:bookmarkStart w:id="1312" w:name="_Toc407135249"/>
      <w:bookmarkStart w:id="1313" w:name="_Toc373227746"/>
      <w:bookmarkStart w:id="1314" w:name="_Toc78449835"/>
      <w:bookmarkStart w:id="1315" w:name="_Toc389065312"/>
      <w:bookmarkStart w:id="1316" w:name="_Toc136736539"/>
      <w:bookmarkStart w:id="1317" w:name="_Toc1190723452"/>
      <w:bookmarkStart w:id="1318" w:name="_Toc373478393"/>
      <w:r>
        <w:rPr>
          <w:rFonts w:hint="eastAsia" w:ascii="宋体" w:hAnsi="宋体" w:eastAsia="宋体" w:cs="宋体"/>
          <w:color w:val="000000" w:themeColor="text1"/>
          <w:highlight w:val="none"/>
          <w14:textFill>
            <w14:solidFill>
              <w14:schemeClr w14:val="tx1"/>
            </w14:solidFill>
          </w14:textFill>
        </w:rPr>
        <w:t>价格调整</w:t>
      </w:r>
      <w:bookmarkEnd w:id="1311"/>
      <w:bookmarkEnd w:id="1312"/>
      <w:bookmarkEnd w:id="1313"/>
      <w:bookmarkEnd w:id="1314"/>
      <w:bookmarkEnd w:id="1315"/>
      <w:bookmarkEnd w:id="1316"/>
      <w:bookmarkEnd w:id="1317"/>
      <w:bookmarkEnd w:id="1318"/>
    </w:p>
    <w:p w14:paraId="1997429B">
      <w:pPr>
        <w:pStyle w:val="6"/>
        <w:rPr>
          <w:rFonts w:hint="eastAsia" w:ascii="宋体" w:hAnsi="宋体" w:eastAsia="宋体" w:cs="宋体"/>
          <w:color w:val="000000" w:themeColor="text1"/>
          <w:highlight w:val="none"/>
          <w14:textFill>
            <w14:solidFill>
              <w14:schemeClr w14:val="tx1"/>
            </w14:solidFill>
          </w14:textFill>
        </w:rPr>
      </w:pPr>
      <w:bookmarkStart w:id="1319" w:name="_Toc389065313"/>
      <w:bookmarkStart w:id="1320" w:name="_Toc78449836"/>
      <w:bookmarkStart w:id="1321" w:name="_Toc42268484"/>
      <w:bookmarkStart w:id="1322" w:name="_Toc373478394"/>
      <w:bookmarkStart w:id="1323" w:name="_Toc407135250"/>
      <w:bookmarkStart w:id="1324" w:name="_Toc1501386015"/>
      <w:bookmarkStart w:id="1325" w:name="_Toc373227747"/>
      <w:bookmarkStart w:id="1326" w:name="_Toc300935000"/>
      <w:bookmarkStart w:id="1327" w:name="_Toc297123550"/>
      <w:bookmarkStart w:id="1328" w:name="_Toc296944540"/>
      <w:bookmarkStart w:id="1329" w:name="_Toc297048387"/>
      <w:bookmarkStart w:id="1330" w:name="_Toc292559406"/>
      <w:bookmarkStart w:id="1331" w:name="_Toc296346702"/>
      <w:bookmarkStart w:id="1332" w:name="_Toc296503201"/>
      <w:bookmarkStart w:id="1333" w:name="_Toc297216209"/>
      <w:bookmarkStart w:id="1334" w:name="_Toc292559911"/>
      <w:bookmarkStart w:id="1335" w:name="_Toc304295577"/>
      <w:bookmarkStart w:id="1336" w:name="_Toc297120501"/>
      <w:bookmarkStart w:id="1337" w:name="_Toc312678039"/>
      <w:bookmarkStart w:id="1338" w:name="_Toc296347200"/>
      <w:bookmarkStart w:id="1339" w:name="_Toc296891029"/>
      <w:bookmarkStart w:id="1340" w:name="_Toc296891241"/>
      <w:bookmarkStart w:id="1341" w:name="_Toc303539157"/>
      <w:r>
        <w:rPr>
          <w:rFonts w:hint="eastAsia" w:ascii="宋体" w:hAnsi="宋体" w:eastAsia="宋体" w:cs="宋体"/>
          <w:color w:val="000000" w:themeColor="text1"/>
          <w:highlight w:val="none"/>
          <w14:textFill>
            <w14:solidFill>
              <w14:schemeClr w14:val="tx1"/>
            </w14:solidFill>
          </w14:textFill>
        </w:rPr>
        <w:t>11.1 市场价格波动引起的调整</w:t>
      </w:r>
      <w:bookmarkEnd w:id="1319"/>
      <w:bookmarkEnd w:id="1320"/>
      <w:bookmarkEnd w:id="1321"/>
      <w:bookmarkEnd w:id="1322"/>
      <w:bookmarkEnd w:id="1323"/>
      <w:bookmarkEnd w:id="1324"/>
      <w:bookmarkEnd w:id="1325"/>
    </w:p>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14:paraId="3C82BFEF">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市场价格波动是否调整合同价格的约定：</w:t>
      </w:r>
      <w:r>
        <w:rPr>
          <w:rFonts w:hint="eastAsia" w:ascii="宋体" w:hAnsi="宋体" w:eastAsia="宋体" w:cs="宋体"/>
          <w:color w:val="000000" w:themeColor="text1"/>
          <w:highlight w:val="none"/>
          <w:u w:val="single"/>
          <w:lang w:val="en-US" w:eastAsia="zh-CN"/>
          <w14:textFill>
            <w14:solidFill>
              <w14:schemeClr w14:val="tx1"/>
            </w14:solidFill>
          </w14:textFill>
        </w:rPr>
        <w:t>调整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4756DC7E">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因市场价格波动调整合同价格，采用以下第</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3</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种方式对合同价格进行调整：</w:t>
      </w:r>
    </w:p>
    <w:p w14:paraId="2DEE4AAC">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第1种方式：采用价格指数进行价格调整。</w:t>
      </w:r>
    </w:p>
    <w:p w14:paraId="71FC6D54">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关于各可调因子、定值和变值权重，以及基本价格指数及其来源的约定：</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  </w:t>
      </w:r>
    </w:p>
    <w:p w14:paraId="2099E7B4">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第2种方式：采用造价信息进行价格调整。</w:t>
      </w:r>
    </w:p>
    <w:p w14:paraId="25D4839E">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（1）允许调整主要材料和</w:t>
      </w:r>
      <w:r>
        <w:rPr>
          <w:rFonts w:hint="eastAsia" w:ascii="宋体" w:hAnsi="宋体" w:eastAsia="宋体" w:cs="宋体"/>
          <w:color w:val="000000" w:themeColor="text1"/>
          <w:highlight w:val="none"/>
          <w:lang w:val="en-US"/>
          <w14:textFill>
            <w14:solidFill>
              <w14:schemeClr w14:val="tx1"/>
            </w14:solidFill>
          </w14:textFill>
        </w:rPr>
        <w:t>工程</w:t>
      </w:r>
      <w:r>
        <w:rPr>
          <w:rFonts w:hint="eastAsia" w:ascii="宋体" w:hAnsi="宋体" w:eastAsia="宋体" w:cs="宋体"/>
          <w:color w:val="000000" w:themeColor="text1"/>
          <w:highlight w:val="none"/>
          <w14:textFill>
            <w14:solidFill>
              <w14:schemeClr w14:val="tx1"/>
            </w14:solidFill>
          </w14:textFill>
        </w:rPr>
        <w:t>设备、基期价格、风险系数、</w:t>
      </w:r>
      <w:r>
        <w:rPr>
          <w:rFonts w:hint="eastAsia" w:ascii="宋体" w:hAnsi="宋体" w:cs="宋体"/>
          <w:color w:val="000000" w:themeColor="text1"/>
          <w:highlight w:val="none"/>
          <w:lang w:eastAsia="zh-CN"/>
          <w14:textFill>
            <w14:solidFill>
              <w14:schemeClr w14:val="tx1"/>
            </w14:solidFill>
          </w14:textFill>
        </w:rPr>
        <w:t>竞标报价</w:t>
      </w:r>
      <w:r>
        <w:rPr>
          <w:rFonts w:hint="eastAsia" w:ascii="宋体" w:hAnsi="宋体" w:eastAsia="宋体" w:cs="宋体"/>
          <w:color w:val="000000" w:themeColor="text1"/>
          <w:highlight w:val="none"/>
          <w14:textFill>
            <w14:solidFill>
              <w14:schemeClr w14:val="tx1"/>
            </w14:solidFill>
          </w14:textFill>
        </w:rPr>
        <w:t>详见《</w:t>
      </w:r>
      <w:r>
        <w:rPr>
          <w:rFonts w:hint="eastAsia" w:ascii="宋体" w:hAnsi="宋体" w:eastAsia="宋体" w:cs="宋体"/>
          <w:color w:val="000000" w:themeColor="text1"/>
          <w:highlight w:val="none"/>
          <w:lang w:val="en-US" w:eastAsia="zh-CN"/>
          <w14:textFill>
            <w14:solidFill>
              <w14:schemeClr w14:val="tx1"/>
            </w14:solidFill>
          </w14:textFill>
        </w:rPr>
        <w:t>允许调整</w:t>
      </w:r>
      <w:r>
        <w:rPr>
          <w:rFonts w:hint="eastAsia" w:ascii="宋体" w:hAnsi="宋体" w:eastAsia="宋体" w:cs="宋体"/>
          <w:color w:val="000000" w:themeColor="text1"/>
          <w:highlight w:val="none"/>
          <w14:textFill>
            <w14:solidFill>
              <w14:schemeClr w14:val="tx1"/>
            </w14:solidFill>
          </w14:textFill>
        </w:rPr>
        <w:t>主要材料和</w:t>
      </w:r>
      <w:r>
        <w:rPr>
          <w:rFonts w:hint="eastAsia" w:ascii="宋体" w:hAnsi="宋体" w:eastAsia="宋体" w:cs="宋体"/>
          <w:color w:val="000000" w:themeColor="text1"/>
          <w:highlight w:val="none"/>
          <w:lang w:val="en-US"/>
          <w14:textFill>
            <w14:solidFill>
              <w14:schemeClr w14:val="tx1"/>
            </w14:solidFill>
          </w14:textFill>
        </w:rPr>
        <w:t>工程</w:t>
      </w:r>
      <w:r>
        <w:rPr>
          <w:rFonts w:hint="eastAsia" w:ascii="宋体" w:hAnsi="宋体" w:eastAsia="宋体" w:cs="宋体"/>
          <w:color w:val="000000" w:themeColor="text1"/>
          <w:highlight w:val="none"/>
          <w14:textFill>
            <w14:solidFill>
              <w14:schemeClr w14:val="tx1"/>
            </w14:solidFill>
          </w14:textFill>
        </w:rPr>
        <w:t>设备一览表》</w:t>
      </w:r>
      <w:r>
        <w:rPr>
          <w:rFonts w:hint="eastAsia" w:ascii="宋体" w:hAnsi="宋体" w:eastAsia="宋体" w:cs="宋体"/>
          <w:color w:val="000000" w:themeColor="text1"/>
          <w:kern w:val="0"/>
          <w:sz w:val="20"/>
          <w:highlight w:val="none"/>
          <w14:textFill>
            <w14:solidFill>
              <w14:schemeClr w14:val="tx1"/>
            </w14:solidFill>
          </w14:textFill>
        </w:rPr>
        <w:t>（表-22）</w:t>
      </w:r>
      <w:r>
        <w:rPr>
          <w:rFonts w:hint="eastAsia" w:ascii="宋体" w:hAnsi="宋体" w:eastAsia="宋体" w:cs="宋体"/>
          <w:color w:val="000000" w:themeColor="text1"/>
          <w:highlight w:val="none"/>
          <w14:textFill>
            <w14:solidFill>
              <w14:schemeClr w14:val="tx1"/>
            </w14:solidFill>
          </w14:textFill>
        </w:rPr>
        <w:t>,价差调整部分仅计算税金，除此表列明的材料、设备外，其余材料设备价差原则上不予调整。</w:t>
      </w:r>
    </w:p>
    <w:p w14:paraId="5DDB0114">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（2）主要材料和</w:t>
      </w:r>
      <w:r>
        <w:rPr>
          <w:rFonts w:hint="eastAsia" w:ascii="宋体" w:hAnsi="宋体" w:eastAsia="宋体" w:cs="宋体"/>
          <w:color w:val="000000" w:themeColor="text1"/>
          <w:highlight w:val="none"/>
          <w:lang w:val="en-US"/>
          <w14:textFill>
            <w14:solidFill>
              <w14:schemeClr w14:val="tx1"/>
            </w14:solidFill>
          </w14:textFill>
        </w:rPr>
        <w:t>工程</w:t>
      </w:r>
      <w:r>
        <w:rPr>
          <w:rFonts w:hint="eastAsia" w:ascii="宋体" w:hAnsi="宋体" w:eastAsia="宋体" w:cs="宋体"/>
          <w:color w:val="000000" w:themeColor="text1"/>
          <w:highlight w:val="none"/>
          <w14:textFill>
            <w14:solidFill>
              <w14:schemeClr w14:val="tx1"/>
            </w14:solidFill>
          </w14:textFill>
        </w:rPr>
        <w:t>设备确认价：</w:t>
      </w:r>
    </w:p>
    <w:p w14:paraId="0465717D">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按施工期间《</w:t>
      </w:r>
      <w:r>
        <w:rPr>
          <w:rFonts w:hint="eastAsia" w:ascii="宋体" w:hAnsi="宋体" w:eastAsia="宋体" w:cs="宋体"/>
          <w:color w:val="000000" w:themeColor="text1"/>
          <w:highlight w:val="none"/>
          <w:u w:val="single"/>
          <w:lang w:val="en-US" w:eastAsia="zh-CN"/>
          <w14:textFill>
            <w14:solidFill>
              <w14:schemeClr w14:val="tx1"/>
            </w14:solidFill>
          </w14:textFill>
        </w:rPr>
        <w:t>南宁</w:t>
      </w:r>
      <w:r>
        <w:rPr>
          <w:rFonts w:hint="eastAsia" w:ascii="宋体" w:hAnsi="宋体" w:eastAsia="宋体" w:cs="宋体"/>
          <w:color w:val="000000" w:themeColor="text1"/>
          <w:highlight w:val="none"/>
          <w14:textFill>
            <w14:solidFill>
              <w14:schemeClr w14:val="tx1"/>
            </w14:solidFill>
          </w14:textFill>
        </w:rPr>
        <w:t>市建设工程造价信息》材料信息价的加权平均价计算，信息价没有的按通用条款规定确定。</w:t>
      </w:r>
    </w:p>
    <w:p w14:paraId="2EA67C23">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（3）价差计算方法：</w:t>
      </w:r>
    </w:p>
    <w:p w14:paraId="25F29EE8">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w:t>
      </w:r>
      <w:r>
        <w:rPr>
          <w:rFonts w:hint="eastAsia" w:ascii="宋体" w:hAnsi="宋体" w:eastAsia="宋体" w:cs="宋体"/>
          <w:color w:val="000000" w:themeColor="text1"/>
          <w:highlight w:val="none"/>
          <w:lang w:val="en-US" w:eastAsia="zh-CN"/>
          <w14:textFill>
            <w14:solidFill>
              <w14:schemeClr w14:val="tx1"/>
            </w14:solidFill>
          </w14:textFill>
        </w:rPr>
        <w:t>允许调整</w:t>
      </w:r>
      <w:r>
        <w:rPr>
          <w:rFonts w:hint="eastAsia" w:ascii="宋体" w:hAnsi="宋体" w:eastAsia="宋体" w:cs="宋体"/>
          <w:color w:val="000000" w:themeColor="text1"/>
          <w:highlight w:val="none"/>
          <w14:textFill>
            <w14:solidFill>
              <w14:schemeClr w14:val="tx1"/>
            </w14:solidFill>
          </w14:textFill>
        </w:rPr>
        <w:t>主要材料和</w:t>
      </w:r>
      <w:r>
        <w:rPr>
          <w:rFonts w:hint="eastAsia" w:ascii="宋体" w:hAnsi="宋体" w:eastAsia="宋体" w:cs="宋体"/>
          <w:color w:val="000000" w:themeColor="text1"/>
          <w:highlight w:val="none"/>
          <w:lang w:eastAsia="zh-CN"/>
          <w14:textFill>
            <w14:solidFill>
              <w14:schemeClr w14:val="tx1"/>
            </w14:solidFill>
          </w14:textFill>
        </w:rPr>
        <w:t>工程</w:t>
      </w:r>
      <w:r>
        <w:rPr>
          <w:rFonts w:hint="eastAsia" w:ascii="宋体" w:hAnsi="宋体" w:eastAsia="宋体" w:cs="宋体"/>
          <w:color w:val="000000" w:themeColor="text1"/>
          <w:highlight w:val="none"/>
          <w14:textFill>
            <w14:solidFill>
              <w14:schemeClr w14:val="tx1"/>
            </w14:solidFill>
          </w14:textFill>
        </w:rPr>
        <w:t>设备一览表》中载明的材料和设备</w:t>
      </w:r>
      <w:r>
        <w:rPr>
          <w:rFonts w:hint="eastAsia" w:ascii="宋体" w:hAnsi="宋体" w:cs="宋体"/>
          <w:color w:val="000000" w:themeColor="text1"/>
          <w:highlight w:val="none"/>
          <w:lang w:eastAsia="zh-CN"/>
          <w14:textFill>
            <w14:solidFill>
              <w14:schemeClr w14:val="tx1"/>
            </w14:solidFill>
          </w14:textFill>
        </w:rPr>
        <w:t>竞标报价</w:t>
      </w:r>
      <w:r>
        <w:rPr>
          <w:rFonts w:hint="eastAsia" w:ascii="宋体" w:hAnsi="宋体" w:eastAsia="宋体" w:cs="宋体"/>
          <w:color w:val="000000" w:themeColor="text1"/>
          <w:highlight w:val="none"/>
          <w14:textFill>
            <w14:solidFill>
              <w14:schemeClr w14:val="tx1"/>
            </w14:solidFill>
          </w14:textFill>
        </w:rPr>
        <w:t>低于基准价格的：合同履行期间材料和设备单价涨幅以基准价格为基础超过约定的风险范围时，或材料和设备单价跌幅以</w:t>
      </w:r>
      <w:r>
        <w:rPr>
          <w:rFonts w:hint="eastAsia" w:ascii="宋体" w:hAnsi="宋体" w:cs="宋体"/>
          <w:color w:val="000000" w:themeColor="text1"/>
          <w:highlight w:val="none"/>
          <w:lang w:eastAsia="zh-CN"/>
          <w14:textFill>
            <w14:solidFill>
              <w14:schemeClr w14:val="tx1"/>
            </w14:solidFill>
          </w14:textFill>
        </w:rPr>
        <w:t>竞标报价</w:t>
      </w:r>
      <w:r>
        <w:rPr>
          <w:rFonts w:hint="eastAsia" w:ascii="宋体" w:hAnsi="宋体" w:eastAsia="宋体" w:cs="宋体"/>
          <w:color w:val="000000" w:themeColor="text1"/>
          <w:highlight w:val="none"/>
          <w14:textFill>
            <w14:solidFill>
              <w14:schemeClr w14:val="tx1"/>
            </w14:solidFill>
          </w14:textFill>
        </w:rPr>
        <w:t>为基础超过约定的风险范围时，对其超过部分进行价差调整，价差计算公式：价格上涨价差=确认价-基准价*（1+风险系数），价格下跌价差=确认价-</w:t>
      </w:r>
      <w:r>
        <w:rPr>
          <w:rFonts w:hint="eastAsia" w:ascii="宋体" w:hAnsi="宋体" w:cs="宋体"/>
          <w:color w:val="000000" w:themeColor="text1"/>
          <w:highlight w:val="none"/>
          <w:lang w:eastAsia="zh-CN"/>
          <w14:textFill>
            <w14:solidFill>
              <w14:schemeClr w14:val="tx1"/>
            </w14:solidFill>
          </w14:textFill>
        </w:rPr>
        <w:t>竞标报价</w:t>
      </w:r>
      <w:r>
        <w:rPr>
          <w:rFonts w:hint="eastAsia" w:ascii="宋体" w:hAnsi="宋体" w:eastAsia="宋体" w:cs="宋体"/>
          <w:color w:val="000000" w:themeColor="text1"/>
          <w:highlight w:val="none"/>
          <w14:textFill>
            <w14:solidFill>
              <w14:schemeClr w14:val="tx1"/>
            </w14:solidFill>
          </w14:textFill>
        </w:rPr>
        <w:t>*（1+风险系数）。</w:t>
      </w:r>
    </w:p>
    <w:p w14:paraId="1DD53ECB">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②承包人在《</w:t>
      </w:r>
      <w:r>
        <w:rPr>
          <w:rFonts w:hint="eastAsia" w:ascii="宋体" w:hAnsi="宋体" w:eastAsia="宋体" w:cs="宋体"/>
          <w:color w:val="000000" w:themeColor="text1"/>
          <w:highlight w:val="none"/>
          <w:lang w:val="en-US" w:eastAsia="zh-CN"/>
          <w14:textFill>
            <w14:solidFill>
              <w14:schemeClr w14:val="tx1"/>
            </w14:solidFill>
          </w14:textFill>
        </w:rPr>
        <w:t>允许调整</w:t>
      </w:r>
      <w:r>
        <w:rPr>
          <w:rFonts w:hint="eastAsia" w:ascii="宋体" w:hAnsi="宋体" w:eastAsia="宋体" w:cs="宋体"/>
          <w:color w:val="000000" w:themeColor="text1"/>
          <w:highlight w:val="none"/>
          <w14:textFill>
            <w14:solidFill>
              <w14:schemeClr w14:val="tx1"/>
            </w14:solidFill>
          </w14:textFill>
        </w:rPr>
        <w:t>主要材料和</w:t>
      </w:r>
      <w:r>
        <w:rPr>
          <w:rFonts w:hint="eastAsia" w:ascii="宋体" w:hAnsi="宋体" w:eastAsia="宋体" w:cs="宋体"/>
          <w:color w:val="000000" w:themeColor="text1"/>
          <w:highlight w:val="none"/>
          <w:lang w:eastAsia="zh-CN"/>
          <w14:textFill>
            <w14:solidFill>
              <w14:schemeClr w14:val="tx1"/>
            </w14:solidFill>
          </w14:textFill>
        </w:rPr>
        <w:t>工程</w:t>
      </w:r>
      <w:r>
        <w:rPr>
          <w:rFonts w:hint="eastAsia" w:ascii="宋体" w:hAnsi="宋体" w:eastAsia="宋体" w:cs="宋体"/>
          <w:color w:val="000000" w:themeColor="text1"/>
          <w:highlight w:val="none"/>
          <w14:textFill>
            <w14:solidFill>
              <w14:schemeClr w14:val="tx1"/>
            </w14:solidFill>
          </w14:textFill>
        </w:rPr>
        <w:t>设备一览表》中载明的材料和设备</w:t>
      </w:r>
      <w:r>
        <w:rPr>
          <w:rFonts w:hint="eastAsia" w:ascii="宋体" w:hAnsi="宋体" w:cs="宋体"/>
          <w:color w:val="000000" w:themeColor="text1"/>
          <w:highlight w:val="none"/>
          <w:lang w:eastAsia="zh-CN"/>
          <w14:textFill>
            <w14:solidFill>
              <w14:schemeClr w14:val="tx1"/>
            </w14:solidFill>
          </w14:textFill>
        </w:rPr>
        <w:t>竞标报价</w:t>
      </w:r>
      <w:r>
        <w:rPr>
          <w:rFonts w:hint="eastAsia" w:ascii="宋体" w:hAnsi="宋体" w:eastAsia="宋体" w:cs="宋体"/>
          <w:color w:val="000000" w:themeColor="text1"/>
          <w:highlight w:val="none"/>
          <w14:textFill>
            <w14:solidFill>
              <w14:schemeClr w14:val="tx1"/>
            </w14:solidFill>
          </w14:textFill>
        </w:rPr>
        <w:t>高于基准价格的：合同履行期间材料和设备单价跌幅以基准价格为基础超过约定的风险范围时，或材料和设备单价涨幅以</w:t>
      </w:r>
      <w:r>
        <w:rPr>
          <w:rFonts w:hint="eastAsia" w:ascii="宋体" w:hAnsi="宋体" w:cs="宋体"/>
          <w:color w:val="000000" w:themeColor="text1"/>
          <w:highlight w:val="none"/>
          <w:lang w:eastAsia="zh-CN"/>
          <w14:textFill>
            <w14:solidFill>
              <w14:schemeClr w14:val="tx1"/>
            </w14:solidFill>
          </w14:textFill>
        </w:rPr>
        <w:t>竞标报价</w:t>
      </w:r>
      <w:r>
        <w:rPr>
          <w:rFonts w:hint="eastAsia" w:ascii="宋体" w:hAnsi="宋体" w:eastAsia="宋体" w:cs="宋体"/>
          <w:color w:val="000000" w:themeColor="text1"/>
          <w:highlight w:val="none"/>
          <w14:textFill>
            <w14:solidFill>
              <w14:schemeClr w14:val="tx1"/>
            </w14:solidFill>
          </w14:textFill>
        </w:rPr>
        <w:t>为基础超过约定的风险范围时，对其超过部分进行价差调整。价差计算公式：价格上涨价差=确认价-</w:t>
      </w:r>
      <w:r>
        <w:rPr>
          <w:rFonts w:hint="eastAsia" w:ascii="宋体" w:hAnsi="宋体" w:cs="宋体"/>
          <w:color w:val="000000" w:themeColor="text1"/>
          <w:highlight w:val="none"/>
          <w:lang w:eastAsia="zh-CN"/>
          <w14:textFill>
            <w14:solidFill>
              <w14:schemeClr w14:val="tx1"/>
            </w14:solidFill>
          </w14:textFill>
        </w:rPr>
        <w:t>竞标报价</w:t>
      </w:r>
      <w:r>
        <w:rPr>
          <w:rFonts w:hint="eastAsia" w:ascii="宋体" w:hAnsi="宋体" w:eastAsia="宋体" w:cs="宋体"/>
          <w:color w:val="000000" w:themeColor="text1"/>
          <w:highlight w:val="none"/>
          <w14:textFill>
            <w14:solidFill>
              <w14:schemeClr w14:val="tx1"/>
            </w14:solidFill>
          </w14:textFill>
        </w:rPr>
        <w:t>*（1+风险系数），价格下跌价差=确认价-基准价*（1+风险系数。）</w:t>
      </w:r>
    </w:p>
    <w:p w14:paraId="2A771321">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③承包人在《</w:t>
      </w:r>
      <w:r>
        <w:rPr>
          <w:rFonts w:hint="eastAsia" w:ascii="宋体" w:hAnsi="宋体" w:eastAsia="宋体" w:cs="宋体"/>
          <w:color w:val="000000" w:themeColor="text1"/>
          <w:highlight w:val="none"/>
          <w:lang w:val="en-US" w:eastAsia="zh-CN"/>
          <w14:textFill>
            <w14:solidFill>
              <w14:schemeClr w14:val="tx1"/>
            </w14:solidFill>
          </w14:textFill>
        </w:rPr>
        <w:t>允许调整</w:t>
      </w:r>
      <w:r>
        <w:rPr>
          <w:rFonts w:hint="eastAsia" w:ascii="宋体" w:hAnsi="宋体" w:eastAsia="宋体" w:cs="宋体"/>
          <w:color w:val="000000" w:themeColor="text1"/>
          <w:highlight w:val="none"/>
          <w14:textFill>
            <w14:solidFill>
              <w14:schemeClr w14:val="tx1"/>
            </w14:solidFill>
          </w14:textFill>
        </w:rPr>
        <w:t>主要材料和</w:t>
      </w:r>
      <w:r>
        <w:rPr>
          <w:rFonts w:hint="eastAsia" w:ascii="宋体" w:hAnsi="宋体" w:eastAsia="宋体" w:cs="宋体"/>
          <w:color w:val="000000" w:themeColor="text1"/>
          <w:highlight w:val="none"/>
          <w:lang w:eastAsia="zh-CN"/>
          <w14:textFill>
            <w14:solidFill>
              <w14:schemeClr w14:val="tx1"/>
            </w14:solidFill>
          </w14:textFill>
        </w:rPr>
        <w:t>工程</w:t>
      </w:r>
      <w:r>
        <w:rPr>
          <w:rFonts w:hint="eastAsia" w:ascii="宋体" w:hAnsi="宋体" w:eastAsia="宋体" w:cs="宋体"/>
          <w:color w:val="000000" w:themeColor="text1"/>
          <w:highlight w:val="none"/>
          <w14:textFill>
            <w14:solidFill>
              <w14:schemeClr w14:val="tx1"/>
            </w14:solidFill>
          </w14:textFill>
        </w:rPr>
        <w:t>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252E8DF4">
      <w:pPr>
        <w:spacing w:line="360" w:lineRule="auto"/>
        <w:ind w:firstLine="645"/>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第3种方式： </w:t>
      </w:r>
      <w:r>
        <w:rPr>
          <w:rFonts w:hint="eastAsia" w:ascii="宋体" w:hAnsi="宋体" w:eastAsia="宋体" w:cs="宋体"/>
          <w:color w:val="000000" w:themeColor="text1"/>
          <w:highlight w:val="none"/>
          <w:u w:val="single"/>
          <w14:textFill>
            <w14:solidFill>
              <w14:schemeClr w14:val="tx1"/>
            </w14:solidFill>
          </w14:textFill>
        </w:rPr>
        <w:t>除合同约定可以调整的主要材料外，其他材料单价在合同实施期间不因市场价格变化因素而变动，主要材料涨跌的调整幅度按《南宁市建设工程造价信息》发布的主要建筑材料的平均价</w:t>
      </w:r>
      <w:r>
        <w:rPr>
          <w:rFonts w:hint="eastAsia" w:ascii="宋体" w:hAnsi="宋体" w:eastAsia="宋体" w:cs="宋体"/>
          <w:color w:val="000000" w:themeColor="text1"/>
          <w:highlight w:val="none"/>
          <w:u w:val="single"/>
          <w:lang w:val="en-US" w:eastAsia="zh-CN"/>
          <w14:textFill>
            <w14:solidFill>
              <w14:schemeClr w14:val="tx1"/>
            </w14:solidFill>
          </w14:textFill>
        </w:rPr>
        <w:t>较</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发包</w:t>
      </w:r>
      <w:r>
        <w:rPr>
          <w:rFonts w:hint="eastAsia" w:ascii="宋体" w:hAnsi="宋体" w:eastAsia="宋体" w:cs="宋体"/>
          <w:color w:val="000000" w:themeColor="text1"/>
          <w:sz w:val="21"/>
          <w:szCs w:val="21"/>
          <w:highlight w:val="none"/>
          <w:u w:val="single"/>
          <w14:textFill>
            <w14:solidFill>
              <w14:schemeClr w14:val="tx1"/>
            </w14:solidFill>
          </w14:textFill>
        </w:rPr>
        <w:t>时</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招标控制价工程量清单对应材料</w:t>
      </w:r>
      <w:r>
        <w:rPr>
          <w:rFonts w:hint="eastAsia" w:ascii="宋体" w:hAnsi="宋体" w:eastAsia="宋体" w:cs="宋体"/>
          <w:color w:val="000000" w:themeColor="text1"/>
          <w:sz w:val="21"/>
          <w:szCs w:val="21"/>
          <w:highlight w:val="none"/>
          <w:u w:val="single"/>
          <w14:textFill>
            <w14:solidFill>
              <w14:schemeClr w14:val="tx1"/>
            </w14:solidFill>
          </w14:textFill>
        </w:rPr>
        <w:t>的单价</w:t>
      </w:r>
      <w:r>
        <w:rPr>
          <w:rFonts w:hint="eastAsia" w:ascii="宋体" w:hAnsi="宋体" w:eastAsia="宋体" w:cs="宋体"/>
          <w:color w:val="000000" w:themeColor="text1"/>
          <w:highlight w:val="none"/>
          <w:u w:val="single"/>
          <w14:textFill>
            <w14:solidFill>
              <w14:schemeClr w14:val="tx1"/>
            </w14:solidFill>
          </w14:textFill>
        </w:rPr>
        <w:t>发生变动</w:t>
      </w:r>
      <w:r>
        <w:rPr>
          <w:rFonts w:hint="eastAsia" w:ascii="宋体" w:hAnsi="宋体" w:eastAsia="宋体" w:cs="宋体"/>
          <w:color w:val="000000" w:themeColor="text1"/>
          <w:highlight w:val="none"/>
          <w:u w:val="single"/>
          <w:lang w:val="en-US" w:eastAsia="zh-CN"/>
          <w14:textFill>
            <w14:solidFill>
              <w14:schemeClr w14:val="tx1"/>
            </w14:solidFill>
          </w14:textFill>
        </w:rPr>
        <w:t>时</w:t>
      </w:r>
      <w:r>
        <w:rPr>
          <w:rFonts w:hint="eastAsia" w:ascii="宋体" w:hAnsi="宋体" w:eastAsia="宋体" w:cs="宋体"/>
          <w:color w:val="000000" w:themeColor="text1"/>
          <w:highlight w:val="none"/>
          <w:u w:val="single"/>
          <w14:textFill>
            <w14:solidFill>
              <w14:schemeClr w14:val="tx1"/>
            </w14:solidFill>
          </w14:textFill>
        </w:rPr>
        <w:t>，变动幅度在±1</w:t>
      </w:r>
      <w:r>
        <w:rPr>
          <w:rFonts w:hint="eastAsia" w:ascii="宋体" w:hAnsi="宋体" w:eastAsia="宋体" w:cs="宋体"/>
          <w:color w:val="000000" w:themeColor="text1"/>
          <w:highlight w:val="none"/>
          <w:u w:val="single"/>
          <w:lang w:val="en-US" w:eastAsia="zh-CN"/>
          <w14:textFill>
            <w14:solidFill>
              <w14:schemeClr w14:val="tx1"/>
            </w14:solidFill>
          </w14:textFill>
        </w:rPr>
        <w:t>0</w:t>
      </w:r>
      <w:r>
        <w:rPr>
          <w:rFonts w:hint="eastAsia" w:ascii="宋体" w:hAnsi="宋体" w:eastAsia="宋体" w:cs="宋体"/>
          <w:color w:val="000000" w:themeColor="text1"/>
          <w:highlight w:val="none"/>
          <w:u w:val="single"/>
          <w14:textFill>
            <w14:solidFill>
              <w14:schemeClr w14:val="tx1"/>
            </w14:solidFill>
          </w14:textFill>
        </w:rPr>
        <w:t>%以上的部分，</w:t>
      </w:r>
      <w:r>
        <w:rPr>
          <w:rFonts w:hint="eastAsia" w:ascii="宋体" w:hAnsi="宋体" w:eastAsia="宋体" w:cs="宋体"/>
          <w:color w:val="000000" w:themeColor="text1"/>
          <w:highlight w:val="none"/>
          <w:u w:val="single"/>
          <w:lang w:val="en-US" w:eastAsia="zh-CN"/>
          <w14:textFill>
            <w14:solidFill>
              <w14:schemeClr w14:val="tx1"/>
            </w14:solidFill>
          </w14:textFill>
        </w:rPr>
        <w:t>承包人</w:t>
      </w:r>
      <w:r>
        <w:rPr>
          <w:rFonts w:hint="eastAsia" w:ascii="宋体" w:hAnsi="宋体" w:eastAsia="宋体" w:cs="宋体"/>
          <w:color w:val="000000" w:themeColor="text1"/>
          <w:highlight w:val="none"/>
          <w:u w:val="single"/>
          <w14:textFill>
            <w14:solidFill>
              <w14:schemeClr w14:val="tx1"/>
            </w14:solidFill>
          </w14:textFill>
        </w:rPr>
        <w:t>可以</w:t>
      </w:r>
      <w:r>
        <w:rPr>
          <w:rFonts w:hint="eastAsia" w:ascii="宋体" w:hAnsi="宋体" w:eastAsia="宋体" w:cs="宋体"/>
          <w:color w:val="000000" w:themeColor="text1"/>
          <w:highlight w:val="none"/>
          <w:u w:val="single"/>
          <w:lang w:val="en-US" w:eastAsia="zh-CN"/>
          <w14:textFill>
            <w14:solidFill>
              <w14:schemeClr w14:val="tx1"/>
            </w14:solidFill>
          </w14:textFill>
        </w:rPr>
        <w:t>提出</w:t>
      </w:r>
      <w:r>
        <w:rPr>
          <w:rFonts w:hint="eastAsia" w:ascii="宋体" w:hAnsi="宋体" w:eastAsia="宋体" w:cs="宋体"/>
          <w:color w:val="000000" w:themeColor="text1"/>
          <w:highlight w:val="none"/>
          <w:u w:val="single"/>
          <w14:textFill>
            <w14:solidFill>
              <w14:schemeClr w14:val="tx1"/>
            </w14:solidFill>
          </w14:textFill>
        </w:rPr>
        <w:t>申请调整</w:t>
      </w:r>
      <w:r>
        <w:rPr>
          <w:rFonts w:hint="eastAsia" w:ascii="宋体" w:hAnsi="宋体" w:eastAsia="宋体" w:cs="宋体"/>
          <w:color w:val="000000" w:themeColor="text1"/>
          <w:highlight w:val="none"/>
          <w:u w:val="single"/>
          <w:lang w:val="en-US" w:eastAsia="zh-CN"/>
          <w14:textFill>
            <w14:solidFill>
              <w14:schemeClr w14:val="tx1"/>
            </w14:solidFill>
          </w14:textFill>
        </w:rPr>
        <w:t>主要</w:t>
      </w:r>
      <w:r>
        <w:rPr>
          <w:rFonts w:hint="eastAsia" w:ascii="宋体" w:hAnsi="宋体" w:eastAsia="宋体" w:cs="宋体"/>
          <w:color w:val="000000" w:themeColor="text1"/>
          <w:highlight w:val="none"/>
          <w:u w:val="single"/>
          <w14:textFill>
            <w14:solidFill>
              <w14:schemeClr w14:val="tx1"/>
            </w14:solidFill>
          </w14:textFill>
        </w:rPr>
        <w:t>材料价格。调整日期范围是指合同规定的施工工期</w:t>
      </w:r>
      <w:r>
        <w:rPr>
          <w:rFonts w:hint="eastAsia" w:ascii="宋体" w:hAnsi="宋体" w:cs="宋体"/>
          <w:color w:val="000000" w:themeColor="text1"/>
          <w:highlight w:val="none"/>
          <w:u w:val="single"/>
          <w:lang w:val="en-US" w:eastAsia="zh-CN"/>
          <w14:textFill>
            <w14:solidFill>
              <w14:schemeClr w14:val="tx1"/>
            </w14:solidFill>
          </w14:textFill>
        </w:rPr>
        <w:t>或允许调整的合理工期</w:t>
      </w:r>
      <w:r>
        <w:rPr>
          <w:rFonts w:hint="eastAsia" w:ascii="宋体" w:hAnsi="宋体" w:eastAsia="宋体" w:cs="宋体"/>
          <w:color w:val="000000" w:themeColor="text1"/>
          <w:highlight w:val="none"/>
          <w:u w:val="single"/>
          <w14:textFill>
            <w14:solidFill>
              <w14:schemeClr w14:val="tx1"/>
            </w14:solidFill>
          </w14:textFill>
        </w:rPr>
        <w:t>，若超过合同规定的施工日期</w:t>
      </w:r>
      <w:r>
        <w:rPr>
          <w:rFonts w:hint="eastAsia" w:ascii="宋体" w:hAnsi="宋体" w:cs="宋体"/>
          <w:color w:val="000000" w:themeColor="text1"/>
          <w:highlight w:val="none"/>
          <w:u w:val="single"/>
          <w:lang w:val="en-US" w:eastAsia="zh-CN"/>
          <w14:textFill>
            <w14:solidFill>
              <w14:schemeClr w14:val="tx1"/>
            </w14:solidFill>
          </w14:textFill>
        </w:rPr>
        <w:t>或允许调整的合理工期</w:t>
      </w:r>
      <w:r>
        <w:rPr>
          <w:rFonts w:hint="eastAsia" w:ascii="宋体" w:hAnsi="宋体" w:eastAsia="宋体" w:cs="宋体"/>
          <w:color w:val="000000" w:themeColor="text1"/>
          <w:highlight w:val="none"/>
          <w:u w:val="single"/>
          <w14:textFill>
            <w14:solidFill>
              <w14:schemeClr w14:val="tx1"/>
            </w14:solidFill>
          </w14:textFill>
        </w:rPr>
        <w:t>，发包人将不予调整。若不按时间要求及时提出或承包人送</w:t>
      </w:r>
      <w:r>
        <w:rPr>
          <w:rFonts w:hint="eastAsia" w:ascii="宋体" w:hAnsi="宋体" w:eastAsia="宋体" w:cs="宋体"/>
          <w:color w:val="000000" w:themeColor="text1"/>
          <w:highlight w:val="none"/>
          <w:u w:val="single"/>
          <w:lang w:val="en-US" w:eastAsia="zh-CN"/>
          <w14:textFill>
            <w14:solidFill>
              <w14:schemeClr w14:val="tx1"/>
            </w14:solidFill>
          </w14:textFill>
        </w:rPr>
        <w:t>审</w:t>
      </w:r>
      <w:r>
        <w:rPr>
          <w:rFonts w:hint="eastAsia" w:ascii="宋体" w:hAnsi="宋体" w:eastAsia="宋体" w:cs="宋体"/>
          <w:color w:val="000000" w:themeColor="text1"/>
          <w:highlight w:val="none"/>
          <w:u w:val="single"/>
          <w14:textFill>
            <w14:solidFill>
              <w14:schemeClr w14:val="tx1"/>
            </w14:solidFill>
          </w14:textFill>
        </w:rPr>
        <w:t>结算</w:t>
      </w:r>
      <w:r>
        <w:rPr>
          <w:rFonts w:hint="eastAsia" w:ascii="宋体" w:hAnsi="宋体" w:eastAsia="宋体" w:cs="宋体"/>
          <w:color w:val="000000" w:themeColor="text1"/>
          <w:highlight w:val="none"/>
          <w:u w:val="single"/>
          <w:lang w:val="en-US" w:eastAsia="zh-CN"/>
          <w14:textFill>
            <w14:solidFill>
              <w14:schemeClr w14:val="tx1"/>
            </w14:solidFill>
          </w14:textFill>
        </w:rPr>
        <w:t>资料</w:t>
      </w:r>
      <w:r>
        <w:rPr>
          <w:rFonts w:hint="eastAsia" w:ascii="宋体" w:hAnsi="宋体" w:eastAsia="宋体" w:cs="宋体"/>
          <w:color w:val="000000" w:themeColor="text1"/>
          <w:highlight w:val="none"/>
          <w:u w:val="single"/>
          <w14:textFill>
            <w14:solidFill>
              <w14:schemeClr w14:val="tx1"/>
            </w14:solidFill>
          </w14:textFill>
        </w:rPr>
        <w:t>时才提出，发包人将不予调整</w:t>
      </w:r>
      <w:r>
        <w:rPr>
          <w:rFonts w:hint="eastAsia" w:ascii="宋体" w:hAnsi="宋体" w:eastAsia="宋体" w:cs="宋体"/>
          <w:color w:val="000000" w:themeColor="text1"/>
          <w:highlight w:val="none"/>
          <w14:textFill>
            <w14:solidFill>
              <w14:schemeClr w14:val="tx1"/>
            </w14:solidFill>
          </w14:textFill>
        </w:rPr>
        <w:t>。</w:t>
      </w:r>
    </w:p>
    <w:bookmarkEnd w:id="1173"/>
    <w:bookmarkEnd w:id="1174"/>
    <w:bookmarkEnd w:id="1175"/>
    <w:bookmarkEnd w:id="1176"/>
    <w:bookmarkEnd w:id="1177"/>
    <w:bookmarkEnd w:id="1178"/>
    <w:p w14:paraId="43DC29E2">
      <w:pPr>
        <w:pStyle w:val="5"/>
        <w:rPr>
          <w:rFonts w:hint="eastAsia" w:ascii="宋体" w:hAnsi="宋体" w:eastAsia="宋体" w:cs="宋体"/>
          <w:color w:val="000000" w:themeColor="text1"/>
          <w:highlight w:val="none"/>
          <w14:textFill>
            <w14:solidFill>
              <w14:schemeClr w14:val="tx1"/>
            </w14:solidFill>
          </w14:textFill>
        </w:rPr>
      </w:pPr>
      <w:bookmarkStart w:id="1342" w:name="_Toc296347204"/>
      <w:bookmarkStart w:id="1343" w:name="_Toc296503205"/>
      <w:bookmarkStart w:id="1344" w:name="_Toc297120505"/>
      <w:bookmarkStart w:id="1345" w:name="_Toc296891033"/>
      <w:bookmarkStart w:id="1346" w:name="_Toc296891245"/>
      <w:bookmarkStart w:id="1347" w:name="_Toc292559410"/>
      <w:bookmarkStart w:id="1348" w:name="_Toc297048391"/>
      <w:bookmarkStart w:id="1349" w:name="_Toc292559915"/>
      <w:bookmarkStart w:id="1350" w:name="_Toc296346706"/>
      <w:bookmarkStart w:id="1351" w:name="_Toc296944544"/>
      <w:bookmarkStart w:id="1352" w:name="_Toc407135251"/>
      <w:bookmarkStart w:id="1353" w:name="_Toc351203644"/>
      <w:bookmarkStart w:id="1354" w:name="_Toc1720046426"/>
      <w:bookmarkStart w:id="1355" w:name="_Toc78449837"/>
      <w:bookmarkStart w:id="1356" w:name="_Toc1935657796"/>
      <w:bookmarkStart w:id="1357" w:name="_Toc373478395"/>
      <w:bookmarkStart w:id="1358" w:name="_Toc373227748"/>
      <w:bookmarkStart w:id="1359" w:name="_Toc300935002"/>
      <w:bookmarkStart w:id="1360" w:name="_Toc304295579"/>
      <w:bookmarkStart w:id="1361" w:name="_Toc297216211"/>
      <w:bookmarkStart w:id="1362" w:name="_Toc312678040"/>
      <w:bookmarkStart w:id="1363" w:name="_Toc303539159"/>
      <w:bookmarkStart w:id="1364" w:name="_Toc297123552"/>
      <w:r>
        <w:rPr>
          <w:rFonts w:hint="eastAsia" w:ascii="宋体" w:hAnsi="宋体" w:eastAsia="宋体" w:cs="宋体"/>
          <w:color w:val="000000" w:themeColor="text1"/>
          <w:highlight w:val="none"/>
          <w14:textFill>
            <w14:solidFill>
              <w14:schemeClr w14:val="tx1"/>
            </w14:solidFill>
          </w14:textFill>
        </w:rPr>
        <w:t xml:space="preserve">12. </w:t>
      </w:r>
      <w:bookmarkEnd w:id="1342"/>
      <w:bookmarkEnd w:id="1343"/>
      <w:bookmarkEnd w:id="1344"/>
      <w:bookmarkEnd w:id="1345"/>
      <w:bookmarkEnd w:id="1346"/>
      <w:bookmarkEnd w:id="1347"/>
      <w:bookmarkEnd w:id="1348"/>
      <w:bookmarkEnd w:id="1349"/>
      <w:bookmarkEnd w:id="1350"/>
      <w:bookmarkEnd w:id="1351"/>
      <w:r>
        <w:rPr>
          <w:rFonts w:hint="eastAsia" w:ascii="宋体" w:hAnsi="宋体" w:eastAsia="宋体" w:cs="宋体"/>
          <w:color w:val="000000" w:themeColor="text1"/>
          <w:highlight w:val="none"/>
          <w14:textFill>
            <w14:solidFill>
              <w14:schemeClr w14:val="tx1"/>
            </w14:solidFill>
          </w14:textFill>
        </w:rPr>
        <w:t>合同价格、计量与支付</w:t>
      </w:r>
      <w:bookmarkEnd w:id="1352"/>
      <w:bookmarkEnd w:id="1353"/>
      <w:bookmarkEnd w:id="1354"/>
      <w:bookmarkEnd w:id="1355"/>
      <w:bookmarkEnd w:id="1356"/>
      <w:bookmarkEnd w:id="1357"/>
      <w:bookmarkEnd w:id="1358"/>
    </w:p>
    <w:bookmarkEnd w:id="1359"/>
    <w:bookmarkEnd w:id="1360"/>
    <w:bookmarkEnd w:id="1361"/>
    <w:bookmarkEnd w:id="1362"/>
    <w:bookmarkEnd w:id="1363"/>
    <w:bookmarkEnd w:id="1364"/>
    <w:p w14:paraId="5E8636F6">
      <w:pPr>
        <w:pStyle w:val="6"/>
        <w:rPr>
          <w:rFonts w:hint="eastAsia" w:ascii="宋体" w:hAnsi="宋体" w:eastAsia="宋体" w:cs="宋体"/>
          <w:color w:val="000000" w:themeColor="text1"/>
          <w:highlight w:val="none"/>
          <w14:textFill>
            <w14:solidFill>
              <w14:schemeClr w14:val="tx1"/>
            </w14:solidFill>
          </w14:textFill>
        </w:rPr>
      </w:pPr>
      <w:bookmarkStart w:id="1365" w:name="_Toc292559916"/>
      <w:bookmarkStart w:id="1366" w:name="_Toc292559411"/>
      <w:bookmarkStart w:id="1367" w:name="_Toc267251461"/>
      <w:bookmarkStart w:id="1368" w:name="_Toc296503206"/>
      <w:bookmarkStart w:id="1369" w:name="_Toc296944545"/>
      <w:bookmarkStart w:id="1370" w:name="_Toc296346707"/>
      <w:bookmarkStart w:id="1371" w:name="_Toc297048392"/>
      <w:bookmarkStart w:id="1372" w:name="_Toc297120506"/>
      <w:bookmarkStart w:id="1373" w:name="_Toc296891034"/>
      <w:bookmarkStart w:id="1374" w:name="_Toc296347205"/>
      <w:bookmarkStart w:id="1375" w:name="_Toc296891246"/>
      <w:bookmarkStart w:id="1376" w:name="_Toc373227749"/>
      <w:bookmarkStart w:id="1377" w:name="_Toc373478396"/>
      <w:bookmarkStart w:id="1378" w:name="_Toc389065314"/>
      <w:bookmarkStart w:id="1379" w:name="_Toc1395756356"/>
      <w:bookmarkStart w:id="1380" w:name="_Toc78449838"/>
      <w:bookmarkStart w:id="1381" w:name="_Toc1894565429"/>
      <w:bookmarkStart w:id="1382" w:name="_Toc407135252"/>
      <w:bookmarkStart w:id="1383" w:name="_Toc303539160"/>
      <w:bookmarkStart w:id="1384" w:name="_Toc300935003"/>
      <w:bookmarkStart w:id="1385" w:name="_Toc297123553"/>
      <w:bookmarkStart w:id="1386" w:name="_Toc312678041"/>
      <w:bookmarkStart w:id="1387" w:name="_Toc297216212"/>
      <w:bookmarkStart w:id="1388" w:name="_Toc304295580"/>
      <w:r>
        <w:rPr>
          <w:rFonts w:hint="eastAsia" w:ascii="宋体" w:hAnsi="宋体" w:eastAsia="宋体" w:cs="宋体"/>
          <w:color w:val="000000" w:themeColor="text1"/>
          <w:highlight w:val="none"/>
          <w14:textFill>
            <w14:solidFill>
              <w14:schemeClr w14:val="tx1"/>
            </w14:solidFill>
          </w14:textFill>
        </w:rPr>
        <w:t>12.1 合</w:t>
      </w:r>
      <w:bookmarkEnd w:id="1365"/>
      <w:bookmarkEnd w:id="1366"/>
      <w:bookmarkEnd w:id="1367"/>
      <w:r>
        <w:rPr>
          <w:rFonts w:hint="eastAsia" w:ascii="宋体" w:hAnsi="宋体" w:eastAsia="宋体" w:cs="宋体"/>
          <w:color w:val="000000" w:themeColor="text1"/>
          <w:highlight w:val="none"/>
          <w14:textFill>
            <w14:solidFill>
              <w14:schemeClr w14:val="tx1"/>
            </w14:solidFill>
          </w14:textFill>
        </w:rPr>
        <w:t>同价</w:t>
      </w:r>
      <w:bookmarkEnd w:id="1368"/>
      <w:bookmarkEnd w:id="1369"/>
      <w:bookmarkEnd w:id="1370"/>
      <w:bookmarkEnd w:id="1371"/>
      <w:bookmarkEnd w:id="1372"/>
      <w:bookmarkEnd w:id="1373"/>
      <w:bookmarkEnd w:id="1374"/>
      <w:bookmarkEnd w:id="1375"/>
      <w:r>
        <w:rPr>
          <w:rFonts w:hint="eastAsia" w:ascii="宋体" w:hAnsi="宋体" w:eastAsia="宋体" w:cs="宋体"/>
          <w:color w:val="000000" w:themeColor="text1"/>
          <w:highlight w:val="none"/>
          <w14:textFill>
            <w14:solidFill>
              <w14:schemeClr w14:val="tx1"/>
            </w14:solidFill>
          </w14:textFill>
        </w:rPr>
        <w:t>格形式</w:t>
      </w:r>
      <w:bookmarkEnd w:id="1376"/>
      <w:bookmarkEnd w:id="1377"/>
      <w:bookmarkEnd w:id="1378"/>
      <w:bookmarkEnd w:id="1379"/>
      <w:bookmarkEnd w:id="1380"/>
      <w:bookmarkEnd w:id="1381"/>
      <w:bookmarkEnd w:id="1382"/>
    </w:p>
    <w:bookmarkEnd w:id="1383"/>
    <w:bookmarkEnd w:id="1384"/>
    <w:bookmarkEnd w:id="1385"/>
    <w:bookmarkEnd w:id="1386"/>
    <w:bookmarkEnd w:id="1387"/>
    <w:bookmarkEnd w:id="1388"/>
    <w:p w14:paraId="57857F4F">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bookmarkStart w:id="1389" w:name="_Toc373478397"/>
      <w:bookmarkStart w:id="1390" w:name="_Toc373227750"/>
      <w:bookmarkStart w:id="1391" w:name="_Toc389065315"/>
      <w:bookmarkStart w:id="1392" w:name="_Toc296891035"/>
      <w:bookmarkStart w:id="1393" w:name="_Toc292559412"/>
      <w:bookmarkStart w:id="1394" w:name="_Toc304295581"/>
      <w:bookmarkStart w:id="1395" w:name="_Toc297123554"/>
      <w:bookmarkStart w:id="1396" w:name="_Toc300935004"/>
      <w:bookmarkStart w:id="1397" w:name="_Toc292559917"/>
      <w:bookmarkStart w:id="1398" w:name="_Toc296503207"/>
      <w:bookmarkStart w:id="1399" w:name="_Toc297120507"/>
      <w:bookmarkStart w:id="1400" w:name="_Toc297048393"/>
      <w:bookmarkStart w:id="1401" w:name="_Toc296891247"/>
      <w:bookmarkStart w:id="1402" w:name="_Toc297216213"/>
      <w:bookmarkStart w:id="1403" w:name="_Toc296346708"/>
      <w:bookmarkStart w:id="1404" w:name="_Toc296347206"/>
      <w:bookmarkStart w:id="1405" w:name="_Toc303539161"/>
      <w:bookmarkStart w:id="1406" w:name="_Toc312678042"/>
      <w:bookmarkStart w:id="1407" w:name="_Toc296944546"/>
      <w:r>
        <w:rPr>
          <w:rFonts w:hint="eastAsia" w:ascii="宋体" w:hAnsi="宋体" w:eastAsia="宋体" w:cs="宋体"/>
          <w:color w:val="000000" w:themeColor="text1"/>
          <w:highlight w:val="none"/>
          <w14:textFill>
            <w14:solidFill>
              <w14:schemeClr w14:val="tx1"/>
            </w14:solidFill>
          </w14:textFill>
        </w:rPr>
        <w:t>本工程采用</w:t>
      </w:r>
      <w:r>
        <w:rPr>
          <w:rFonts w:hint="eastAsia" w:ascii="宋体" w:hAnsi="宋体" w:eastAsia="宋体" w:cs="宋体"/>
          <w:color w:val="000000" w:themeColor="text1"/>
          <w:highlight w:val="none"/>
          <w:u w:val="single"/>
          <w14:textFill>
            <w14:solidFill>
              <w14:schemeClr w14:val="tx1"/>
            </w14:solidFill>
          </w14:textFill>
        </w:rPr>
        <w:t xml:space="preserve">   （1）    </w:t>
      </w:r>
      <w:r>
        <w:rPr>
          <w:rFonts w:hint="eastAsia" w:ascii="宋体" w:hAnsi="宋体" w:eastAsia="宋体" w:cs="宋体"/>
          <w:color w:val="000000" w:themeColor="text1"/>
          <w:highlight w:val="none"/>
          <w14:textFill>
            <w14:solidFill>
              <w14:schemeClr w14:val="tx1"/>
            </w14:solidFill>
          </w14:textFill>
        </w:rPr>
        <w:t>合同价格形式，合同价格包含增值税，本工程计价时采用的增值税计税方法为：</w:t>
      </w:r>
      <w:r>
        <w:rPr>
          <w:rFonts w:hint="eastAsia" w:ascii="宋体" w:hAnsi="宋体" w:eastAsia="宋体" w:cs="宋体"/>
          <w:color w:val="000000" w:themeColor="text1"/>
          <w:highlight w:val="none"/>
          <w14:textFill>
            <w14:solidFill>
              <w14:schemeClr w14:val="tx1"/>
            </w14:solidFill>
          </w14:textFill>
        </w:rPr>
        <w:sym w:font="Wingdings 2" w:char="0052"/>
      </w:r>
      <w:r>
        <w:rPr>
          <w:rFonts w:hint="eastAsia" w:ascii="宋体" w:hAnsi="宋体" w:eastAsia="宋体" w:cs="宋体"/>
          <w:color w:val="000000" w:themeColor="text1"/>
          <w:highlight w:val="none"/>
          <w14:textFill>
            <w14:solidFill>
              <w14:schemeClr w14:val="tx1"/>
            </w14:solidFill>
          </w14:textFill>
        </w:rPr>
        <w:t>一般计税法   □简易计税法。</w:t>
      </w:r>
    </w:p>
    <w:p w14:paraId="2724E09E">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（1）单价合同。</w:t>
      </w:r>
    </w:p>
    <w:p w14:paraId="29BDEC81">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采用综合单价合同方式时，工程量按建设单位、监理单位、施工单位三方确认的竣工图结算。</w:t>
      </w:r>
    </w:p>
    <w:p w14:paraId="77568CE2">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综合单价包含的风险范围：</w:t>
      </w:r>
      <w:r>
        <w:rPr>
          <w:rFonts w:hint="eastAsia" w:ascii="宋体" w:hAnsi="宋体" w:eastAsia="宋体" w:cs="宋体"/>
          <w:color w:val="000000" w:themeColor="text1"/>
          <w:highlight w:val="none"/>
          <w:u w:val="single"/>
          <w14:textFill>
            <w14:solidFill>
              <w14:schemeClr w14:val="tx1"/>
            </w14:solidFill>
          </w14:textFill>
        </w:rPr>
        <w:t>除工程变更、项目特征不符、工程量清单缺项、工程量偏差、</w:t>
      </w:r>
      <w:r>
        <w:rPr>
          <w:rFonts w:hint="eastAsia" w:ascii="宋体" w:hAnsi="宋体" w:eastAsia="宋体" w:cs="宋体"/>
          <w:color w:val="000000" w:themeColor="text1"/>
          <w:highlight w:val="none"/>
          <w:u w:val="single"/>
          <w:lang w:val="en-US" w:eastAsia="zh-CN"/>
          <w14:textFill>
            <w14:solidFill>
              <w14:schemeClr w14:val="tx1"/>
            </w14:solidFill>
          </w14:textFill>
        </w:rPr>
        <w:t>政策性调整、</w:t>
      </w:r>
      <w:r>
        <w:rPr>
          <w:rFonts w:hint="eastAsia" w:ascii="宋体" w:hAnsi="宋体" w:eastAsia="宋体" w:cs="宋体"/>
          <w:color w:val="000000" w:themeColor="text1"/>
          <w:highlight w:val="none"/>
          <w:u w:val="single"/>
          <w14:textFill>
            <w14:solidFill>
              <w14:schemeClr w14:val="tx1"/>
            </w14:solidFill>
          </w14:textFill>
        </w:rPr>
        <w:t>市场价格波动。</w:t>
      </w:r>
    </w:p>
    <w:p w14:paraId="000BB096">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风险范围以外合同价格的调整方法：</w:t>
      </w:r>
    </w:p>
    <w:p w14:paraId="3F372640">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因分部分项工程量清单漏项、设计变更、相关签证引起工程项目、工程量任何变化的，变更合同价款按下列方法进行：（1）合同中已有相同子目的，按合同该子目价格进行计算；（2）合同中只有类似子目的，参照该类似子目价格进行计算；（3）合同中没有适用或类似子目的价格计算方法：有定额的套定额（土石方工程除外）计算，其中材料价格按施工期间的《南宁建设工程造价信息》相应价格信息进行计算；《南宁建设工程造价信息》没有相应价格信息的按市场价计算；无定额可套的，根据市场价格协商确定综合价格；新增项目的单价必须经财政投评中心或者有资质的审核单位审定。</w:t>
      </w:r>
    </w:p>
    <w:p w14:paraId="2234A4FA">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（三）本工程可以调整的主要材料：</w:t>
      </w:r>
      <w:r>
        <w:rPr>
          <w:rFonts w:hint="eastAsia" w:ascii="宋体" w:hAnsi="宋体" w:eastAsia="宋体" w:cs="宋体"/>
          <w:b/>
          <w:bCs/>
          <w:color w:val="000000" w:themeColor="text1"/>
          <w:highlight w:val="none"/>
          <w14:textFill>
            <w14:solidFill>
              <w14:schemeClr w14:val="tx1"/>
            </w14:solidFill>
          </w14:textFill>
        </w:rPr>
        <w:t>钢筋、水泥、</w:t>
      </w:r>
      <w:r>
        <w:rPr>
          <w:rFonts w:hint="eastAsia" w:ascii="宋体" w:hAnsi="宋体" w:eastAsia="宋体" w:cs="宋体"/>
          <w:b/>
          <w:bCs/>
          <w:color w:val="000000" w:themeColor="text1"/>
          <w:highlight w:val="none"/>
          <w:lang w:val="en-US" w:eastAsia="zh-CN"/>
          <w14:textFill>
            <w14:solidFill>
              <w14:schemeClr w14:val="tx1"/>
            </w14:solidFill>
          </w14:textFill>
        </w:rPr>
        <w:t>砌（砖）</w:t>
      </w:r>
      <w:r>
        <w:rPr>
          <w:rFonts w:hint="eastAsia" w:ascii="宋体" w:hAnsi="宋体" w:eastAsia="宋体" w:cs="宋体"/>
          <w:b/>
          <w:bCs/>
          <w:color w:val="000000" w:themeColor="text1"/>
          <w:highlight w:val="none"/>
          <w14:textFill>
            <w14:solidFill>
              <w14:schemeClr w14:val="tx1"/>
            </w14:solidFill>
          </w14:textFill>
        </w:rPr>
        <w:t>块、砂、碎石、混凝土。本工程最终结算价以财政部门或者</w:t>
      </w:r>
      <w:r>
        <w:rPr>
          <w:rFonts w:hint="eastAsia" w:ascii="宋体" w:hAnsi="宋体" w:eastAsia="宋体" w:cs="宋体"/>
          <w:b/>
          <w:bCs/>
          <w:color w:val="000000" w:themeColor="text1"/>
          <w:highlight w:val="none"/>
          <w:lang w:val="en-US" w:eastAsia="zh-CN"/>
          <w14:textFill>
            <w14:solidFill>
              <w14:schemeClr w14:val="tx1"/>
            </w14:solidFill>
          </w14:textFill>
        </w:rPr>
        <w:t>业主委托</w:t>
      </w:r>
      <w:r>
        <w:rPr>
          <w:rFonts w:hint="eastAsia" w:ascii="宋体" w:hAnsi="宋体" w:eastAsia="宋体" w:cs="宋体"/>
          <w:b/>
          <w:bCs/>
          <w:color w:val="000000" w:themeColor="text1"/>
          <w:highlight w:val="none"/>
          <w14:textFill>
            <w14:solidFill>
              <w14:schemeClr w14:val="tx1"/>
            </w14:solidFill>
          </w14:textFill>
        </w:rPr>
        <w:t>有资质的审核单位审定为准。</w:t>
      </w:r>
    </w:p>
    <w:p w14:paraId="3CFD025C">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（2）总价合同。</w:t>
      </w:r>
    </w:p>
    <w:p w14:paraId="3A31EA81">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总价包含的风险范围：包含除工程变更、政策性调整、</w:t>
      </w:r>
      <w:r>
        <w:rPr>
          <w:rFonts w:hint="eastAsia" w:ascii="宋体" w:hAnsi="宋体" w:eastAsia="宋体" w:cs="宋体"/>
          <w:color w:val="000000" w:themeColor="text1"/>
          <w:highlight w:val="none"/>
          <w:u w:val="single"/>
          <w14:textFill>
            <w14:solidFill>
              <w14:schemeClr w14:val="tx1"/>
            </w14:solidFill>
          </w14:textFill>
        </w:rPr>
        <w:t xml:space="preserve">市场价格波动。除工程变更外，结算时不再对施工图对应的工程量重新计量 </w:t>
      </w:r>
      <w:r>
        <w:rPr>
          <w:rFonts w:hint="eastAsia" w:ascii="宋体" w:hAnsi="宋体" w:eastAsia="宋体" w:cs="宋体"/>
          <w:color w:val="000000" w:themeColor="text1"/>
          <w:highlight w:val="none"/>
          <w14:textFill>
            <w14:solidFill>
              <w14:schemeClr w14:val="tx1"/>
            </w14:solidFill>
          </w14:textFill>
        </w:rPr>
        <w:t>。</w:t>
      </w:r>
    </w:p>
    <w:p w14:paraId="20FE4853">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风险范围以外合同价格的调整方法：</w:t>
      </w:r>
    </w:p>
    <w:p w14:paraId="58A11EBC">
      <w:pPr>
        <w:numPr>
          <w:ilvl w:val="0"/>
          <w:numId w:val="0"/>
        </w:numPr>
        <w:spacing w:line="360" w:lineRule="auto"/>
        <w:ind w:left="0" w:firstLine="412"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2"/>
          <w:highlight w:val="none"/>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工程变更：按10.4.1变更估价原则的约定调整。</w:t>
      </w:r>
    </w:p>
    <w:p w14:paraId="339129BB">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②政策性调整：按国家、自治区住房城乡建设厅或工程所在地市级住房城乡建设主管部门颁布的文件执行。</w:t>
      </w:r>
    </w:p>
    <w:p w14:paraId="35360E1B">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③市场波动引起的调整：按11.1的约定调整。</w:t>
      </w:r>
    </w:p>
    <w:p w14:paraId="36D7DFCD">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 4 \* GB3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highlight w:val="none"/>
          <w14:textFill>
            <w14:solidFill>
              <w14:schemeClr w14:val="tx1"/>
            </w14:solidFill>
          </w14:textFill>
        </w:rPr>
        <w:t>其它：</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w:t>
      </w:r>
    </w:p>
    <w:p w14:paraId="537F5E7D">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（3）其他价格方式：</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w:t>
      </w:r>
    </w:p>
    <w:p w14:paraId="0D2D9B73">
      <w:pPr>
        <w:pStyle w:val="6"/>
        <w:rPr>
          <w:rFonts w:hint="eastAsia" w:ascii="宋体" w:hAnsi="宋体" w:eastAsia="宋体" w:cs="宋体"/>
          <w:color w:val="000000" w:themeColor="text1"/>
          <w:highlight w:val="none"/>
          <w14:textFill>
            <w14:solidFill>
              <w14:schemeClr w14:val="tx1"/>
            </w14:solidFill>
          </w14:textFill>
        </w:rPr>
      </w:pPr>
      <w:bookmarkStart w:id="1408" w:name="_Toc1681900246"/>
      <w:bookmarkStart w:id="1409" w:name="_Toc1338560546"/>
      <w:bookmarkStart w:id="1410" w:name="_Toc407135253"/>
      <w:bookmarkStart w:id="1411" w:name="_Toc78449839"/>
      <w:r>
        <w:rPr>
          <w:rFonts w:hint="eastAsia" w:ascii="宋体" w:hAnsi="宋体" w:eastAsia="宋体" w:cs="宋体"/>
          <w:color w:val="000000" w:themeColor="text1"/>
          <w:highlight w:val="none"/>
          <w14:textFill>
            <w14:solidFill>
              <w14:schemeClr w14:val="tx1"/>
            </w14:solidFill>
          </w14:textFill>
        </w:rPr>
        <w:t>12.2 预付款</w:t>
      </w:r>
      <w:bookmarkEnd w:id="1389"/>
      <w:bookmarkEnd w:id="1390"/>
      <w:bookmarkEnd w:id="1391"/>
      <w:bookmarkEnd w:id="1408"/>
      <w:bookmarkEnd w:id="1409"/>
      <w:bookmarkEnd w:id="1410"/>
      <w:bookmarkEnd w:id="1411"/>
    </w:p>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14:paraId="69189451">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bookmarkStart w:id="1412" w:name="_Toc78449840"/>
      <w:bookmarkStart w:id="1413" w:name="_Toc1494831447"/>
      <w:bookmarkStart w:id="1414" w:name="_Toc1307224940"/>
      <w:bookmarkStart w:id="1415" w:name="_Toc373478398"/>
      <w:bookmarkStart w:id="1416" w:name="_Toc407135254"/>
      <w:bookmarkStart w:id="1417" w:name="_Toc389065316"/>
      <w:bookmarkStart w:id="1418" w:name="_Toc373227751"/>
      <w:r>
        <w:rPr>
          <w:rFonts w:hint="eastAsia" w:ascii="宋体" w:hAnsi="宋体" w:eastAsia="宋体" w:cs="宋体"/>
          <w:color w:val="000000" w:themeColor="text1"/>
          <w:highlight w:val="none"/>
          <w14:textFill>
            <w14:solidFill>
              <w14:schemeClr w14:val="tx1"/>
            </w14:solidFill>
          </w14:textFill>
        </w:rPr>
        <w:t>12.2.1 预付款的支付</w:t>
      </w:r>
    </w:p>
    <w:p w14:paraId="18B250F4">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预付款支付比例或金额：</w:t>
      </w:r>
      <w:r>
        <w:rPr>
          <w:rFonts w:hint="eastAsia" w:hAnsi="宋体" w:cs="宋体"/>
          <w:color w:val="000000" w:themeColor="text1"/>
          <w:highlight w:val="none"/>
          <w:u w:val="single"/>
          <w:lang w:val="en-US" w:eastAsia="zh-CN"/>
          <w14:textFill>
            <w14:solidFill>
              <w14:schemeClr w14:val="tx1"/>
            </w14:solidFill>
          </w14:textFill>
        </w:rPr>
        <w:t xml:space="preserve">合同价款扣除暂列金额后的 30% </w:t>
      </w:r>
      <w:r>
        <w:rPr>
          <w:rFonts w:hint="eastAsia" w:ascii="宋体" w:hAnsi="宋体" w:eastAsia="宋体" w:cs="宋体"/>
          <w:color w:val="000000" w:themeColor="text1"/>
          <w:highlight w:val="none"/>
          <w:u w:val="single"/>
          <w14:textFill>
            <w14:solidFill>
              <w14:schemeClr w14:val="tx1"/>
            </w14:solidFill>
          </w14:textFill>
        </w:rPr>
        <w:t xml:space="preserve"> 【备注：政府投资项目应严格执行工程预付款制度，工程预付款应不低于合同总价（扣除暂列金额）的10%（最高不超过30%，并与工程进度款分期按约定比例抵扣）】</w:t>
      </w:r>
      <w:r>
        <w:rPr>
          <w:rFonts w:hint="eastAsia" w:ascii="宋体" w:hAnsi="宋体" w:eastAsia="宋体" w:cs="宋体"/>
          <w:color w:val="000000" w:themeColor="text1"/>
          <w:highlight w:val="none"/>
          <w14:textFill>
            <w14:solidFill>
              <w14:schemeClr w14:val="tx1"/>
            </w14:solidFill>
          </w14:textFill>
        </w:rPr>
        <w:t>。</w:t>
      </w:r>
    </w:p>
    <w:p w14:paraId="27C44CB7">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预付款支付期限：</w:t>
      </w:r>
      <w:r>
        <w:rPr>
          <w:rFonts w:hint="eastAsia" w:ascii="宋体" w:hAnsi="宋体" w:eastAsia="宋体" w:cs="宋体"/>
          <w:color w:val="000000" w:themeColor="text1"/>
          <w:highlight w:val="none"/>
          <w:u w:val="single"/>
          <w14:textFill>
            <w14:solidFill>
              <w14:schemeClr w14:val="tx1"/>
            </w14:solidFill>
          </w14:textFill>
        </w:rPr>
        <w:t xml:space="preserve">  合同签订后 </w:t>
      </w:r>
      <w:r>
        <w:rPr>
          <w:rFonts w:hint="eastAsia" w:ascii="宋体" w:hAnsi="宋体" w:eastAsia="宋体" w:cs="宋体"/>
          <w:color w:val="000000" w:themeColor="text1"/>
          <w:highlight w:val="none"/>
          <w:u w:val="single"/>
          <w:lang w:val="en-US" w:eastAsia="zh-CN"/>
          <w14:textFill>
            <w14:solidFill>
              <w14:schemeClr w14:val="tx1"/>
            </w14:solidFill>
          </w14:textFill>
        </w:rPr>
        <w:t>30</w:t>
      </w:r>
      <w:r>
        <w:rPr>
          <w:rFonts w:hint="eastAsia" w:ascii="宋体" w:hAnsi="宋体" w:eastAsia="宋体" w:cs="宋体"/>
          <w:color w:val="000000" w:themeColor="text1"/>
          <w:highlight w:val="none"/>
          <w:u w:val="single"/>
          <w14:textFill>
            <w14:solidFill>
              <w14:schemeClr w14:val="tx1"/>
            </w14:solidFill>
          </w14:textFill>
        </w:rPr>
        <w:t xml:space="preserve"> 天之内</w:t>
      </w:r>
      <w:r>
        <w:rPr>
          <w:rFonts w:hint="eastAsia" w:ascii="宋体" w:hAnsi="宋体" w:eastAsia="宋体" w:cs="宋体"/>
          <w:color w:val="000000" w:themeColor="text1"/>
          <w:highlight w:val="none"/>
          <w:u w:val="single"/>
          <w:lang w:eastAsia="zh-CN"/>
          <w14:textFill>
            <w14:solidFill>
              <w14:schemeClr w14:val="tx1"/>
            </w14:solidFill>
          </w14:textFill>
        </w:rPr>
        <w:t>，</w:t>
      </w:r>
      <w:r>
        <w:rPr>
          <w:rFonts w:hint="eastAsia" w:ascii="宋体" w:hAnsi="宋体" w:eastAsia="宋体" w:cs="宋体"/>
          <w:color w:val="000000" w:themeColor="text1"/>
          <w:highlight w:val="none"/>
          <w:u w:val="single"/>
          <w:lang w:val="en-US" w:eastAsia="zh-CN"/>
          <w14:textFill>
            <w14:solidFill>
              <w14:schemeClr w14:val="tx1"/>
            </w14:solidFill>
          </w14:textFill>
        </w:rPr>
        <w:t>由承包人向发包人提出支付申请</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0C489841">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预付款扣回的方式：</w:t>
      </w:r>
      <w:r>
        <w:rPr>
          <w:rFonts w:ascii="宋体" w:hAnsi="宋体" w:eastAsia="宋体" w:cs="宋体"/>
          <w:color w:val="000000" w:themeColor="text1"/>
          <w:highlight w:val="none"/>
          <w14:textFill>
            <w14:solidFill>
              <w14:schemeClr w14:val="tx1"/>
            </w14:solidFill>
          </w14:textFill>
        </w:rPr>
        <w:t>当期应扣回预付款金额 = 已支付预付款总额 × （当期已完成产值 ÷ 合同总价）</w:t>
      </w:r>
      <w:r>
        <w:rPr>
          <w:rFonts w:hint="eastAsia" w:ascii="宋体" w:hAnsi="宋体" w:eastAsia="宋体" w:cs="宋体"/>
          <w:color w:val="000000" w:themeColor="text1"/>
          <w:highlight w:val="none"/>
          <w14:textFill>
            <w14:solidFill>
              <w14:schemeClr w14:val="tx1"/>
            </w14:solidFill>
          </w14:textFill>
        </w:rPr>
        <w:t>。</w:t>
      </w:r>
    </w:p>
    <w:p w14:paraId="5AD5D230">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12.2.2 预付款担保</w:t>
      </w:r>
    </w:p>
    <w:p w14:paraId="19ED14F4">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承包人提交预付款担保的期限：</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u w:val="single"/>
          <w:lang w:val="en-US" w:eastAsia="zh-CN"/>
          <w14:textFill>
            <w14:solidFill>
              <w14:schemeClr w14:val="tx1"/>
            </w14:solidFill>
          </w14:textFill>
        </w:rPr>
        <w:t>合同签订30天内</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4024B5BB">
      <w:pPr>
        <w:spacing w:line="360" w:lineRule="auto"/>
        <w:ind w:firstLine="420" w:firstLineChars="200"/>
        <w:jc w:val="lef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预付款担保的形式为：</w:t>
      </w:r>
      <w:r>
        <w:rPr>
          <w:rFonts w:hint="eastAsia" w:ascii="宋体" w:hAnsi="宋体" w:eastAsia="宋体" w:cs="宋体"/>
          <w:color w:val="000000" w:themeColor="text1"/>
          <w:highlight w:val="none"/>
          <w:u w:val="none"/>
          <w:lang w:eastAsia="zh-CN"/>
          <w14:textFill>
            <w14:solidFill>
              <w14:schemeClr w14:val="tx1"/>
            </w14:solidFill>
          </w14:textFill>
        </w:rPr>
        <w:t>可以是</w:t>
      </w:r>
      <w:r>
        <w:rPr>
          <w:rFonts w:hint="eastAsia" w:ascii="宋体" w:hAnsi="宋体" w:eastAsia="宋体" w:cs="宋体"/>
          <w:color w:val="000000" w:themeColor="text1"/>
          <w:highlight w:val="none"/>
          <w14:textFill>
            <w14:solidFill>
              <w14:schemeClr w14:val="tx1"/>
            </w14:solidFill>
          </w14:textFill>
        </w:rPr>
        <w:t>银行转账、电汇或网上支付、保函（银行保函、电子保函、保证保险保函、工程担保保函）等</w:t>
      </w:r>
      <w:r>
        <w:rPr>
          <w:rFonts w:hint="eastAsia" w:ascii="宋体" w:hAnsi="宋体" w:eastAsia="宋体" w:cs="宋体"/>
          <w:color w:val="000000" w:themeColor="text1"/>
          <w:highlight w:val="none"/>
          <w:lang w:eastAsia="zh-CN"/>
          <w14:textFill>
            <w14:solidFill>
              <w14:schemeClr w14:val="tx1"/>
            </w14:solidFill>
          </w14:textFill>
        </w:rPr>
        <w:t>形</w:t>
      </w:r>
      <w:r>
        <w:rPr>
          <w:rFonts w:hint="eastAsia" w:ascii="宋体" w:hAnsi="宋体" w:eastAsia="宋体" w:cs="宋体"/>
          <w:color w:val="000000" w:themeColor="text1"/>
          <w:highlight w:val="none"/>
          <w14:textFill>
            <w14:solidFill>
              <w14:schemeClr w14:val="tx1"/>
            </w14:solidFill>
          </w14:textFill>
        </w:rPr>
        <w:t>式。工程担保保证人应将出具的保函相关信息录入“广西建筑市场监管云”平台（http://gxjzsc.caihcloud.com），以实现保函查询及验真功能</w:t>
      </w:r>
      <w:r>
        <w:rPr>
          <w:rFonts w:hint="eastAsia" w:ascii="宋体" w:hAnsi="宋体" w:eastAsia="宋体" w:cs="宋体"/>
          <w:color w:val="000000" w:themeColor="text1"/>
          <w:highlight w:val="none"/>
          <w:lang w:eastAsia="zh-CN"/>
          <w14:textFill>
            <w14:solidFill>
              <w14:schemeClr w14:val="tx1"/>
            </w14:solidFill>
          </w14:textFill>
        </w:rPr>
        <w:t>。</w:t>
      </w:r>
    </w:p>
    <w:p w14:paraId="08A30916">
      <w:pPr>
        <w:pStyle w:val="6"/>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12.3 计量</w:t>
      </w:r>
      <w:bookmarkEnd w:id="1412"/>
      <w:bookmarkEnd w:id="1413"/>
      <w:bookmarkEnd w:id="1414"/>
      <w:bookmarkEnd w:id="1415"/>
      <w:bookmarkEnd w:id="1416"/>
      <w:bookmarkEnd w:id="1417"/>
      <w:bookmarkEnd w:id="1418"/>
    </w:p>
    <w:p w14:paraId="4366DB08">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12.3.1 计量原则</w:t>
      </w:r>
    </w:p>
    <w:p w14:paraId="020E2B5A">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工程量计算规则：</w:t>
      </w:r>
      <w:r>
        <w:rPr>
          <w:rFonts w:hint="eastAsia" w:ascii="宋体" w:hAnsi="宋体" w:eastAsia="宋体" w:cs="宋体"/>
          <w:color w:val="000000" w:themeColor="text1"/>
          <w:highlight w:val="none"/>
          <w:u w:val="single"/>
          <w14:textFill>
            <w14:solidFill>
              <w14:schemeClr w14:val="tx1"/>
            </w14:solidFill>
          </w14:textFill>
        </w:rPr>
        <w:t>工程的计量均以《建设工程工程量清单计价规范》（GB50500－2013）及广西壮族自治区实施细则、《建设工程工程量清单计算规范》（GB50854~50862－2013）及广西实施细则、本工程补充项目清单为准。</w:t>
      </w:r>
    </w:p>
    <w:p w14:paraId="2B635811">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12.3.2 计量周期</w:t>
      </w:r>
    </w:p>
    <w:p w14:paraId="035F5ED5">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关于计量周期的约定：</w:t>
      </w:r>
      <w:r>
        <w:rPr>
          <w:rFonts w:hint="eastAsia" w:ascii="宋体" w:hAnsi="宋体" w:eastAsia="宋体" w:cs="宋体"/>
          <w:color w:val="000000" w:themeColor="text1"/>
          <w:highlight w:val="none"/>
          <w:u w:val="single"/>
          <w14:textFill>
            <w14:solidFill>
              <w14:schemeClr w14:val="tx1"/>
            </w14:solidFill>
          </w14:textFill>
        </w:rPr>
        <w:t>每月25日前</w:t>
      </w:r>
      <w:r>
        <w:rPr>
          <w:rFonts w:hint="eastAsia" w:ascii="宋体" w:hAnsi="宋体" w:eastAsia="宋体" w:cs="宋体"/>
          <w:color w:val="000000" w:themeColor="text1"/>
          <w:highlight w:val="none"/>
          <w14:textFill>
            <w14:solidFill>
              <w14:schemeClr w14:val="tx1"/>
            </w14:solidFill>
          </w14:textFill>
        </w:rPr>
        <w:t>。</w:t>
      </w:r>
    </w:p>
    <w:p w14:paraId="0A6ECE7A">
      <w:pPr>
        <w:spacing w:line="360" w:lineRule="auto"/>
        <w:ind w:firstLine="420" w:firstLineChars="200"/>
        <w:jc w:val="left"/>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12.3.3 单价合同的计量</w:t>
      </w:r>
    </w:p>
    <w:p w14:paraId="09F75F35">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关于单价合同计量的约定：</w:t>
      </w:r>
    </w:p>
    <w:p w14:paraId="712A9655">
      <w:pPr>
        <w:spacing w:line="360" w:lineRule="auto"/>
        <w:ind w:firstLine="438" w:firstLineChars="20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工程量清单所列的工程量，不能作为承包人按合同履行其责任依据，实际施工中发生的工程量增加或减少并不影响承包人履行合同的责任，工程结算以完成的实际工程量为准。</w:t>
      </w:r>
    </w:p>
    <w:p w14:paraId="5709A475">
      <w:pPr>
        <w:spacing w:line="360" w:lineRule="auto"/>
        <w:ind w:firstLine="438" w:firstLineChars="20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 除另有规定外，工程师应按照合同通过计量来核实确定已完成的工程量和价款，承包人应得到该价款扣除保留金后的金额。当工程师要对已完工的工程量进行计量时，应适时地通知承包人参加。</w:t>
      </w:r>
    </w:p>
    <w:p w14:paraId="084ED3EB">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12.3.4 总价合同的计量</w:t>
      </w:r>
    </w:p>
    <w:p w14:paraId="31C2D50F">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（1）总价合同计量约定：进度款按支付分解表支付</w:t>
      </w:r>
      <w:r>
        <w:rPr>
          <w:rFonts w:hint="eastAsia" w:ascii="宋体" w:hAnsi="宋体" w:eastAsia="宋体" w:cs="宋体"/>
          <w:color w:val="000000" w:themeColor="text1"/>
          <w:kern w:val="0"/>
          <w:highlight w:val="none"/>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支付分解表在招标完成后签合同之前制定，具体详见本专用合同条款12.4.6。</w:t>
      </w:r>
    </w:p>
    <w:p w14:paraId="73DDC63C">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12.3.6 其他价格形式合同的计量</w:t>
      </w:r>
    </w:p>
    <w:p w14:paraId="307845FA">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其他价格形式的计量方式和程序：</w:t>
      </w:r>
      <w:r>
        <w:rPr>
          <w:rFonts w:hint="eastAsia" w:ascii="宋体" w:hAnsi="宋体" w:eastAsia="宋体" w:cs="宋体"/>
          <w:color w:val="000000" w:themeColor="text1"/>
          <w:highlight w:val="none"/>
          <w:u w:val="single"/>
          <w:lang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p w14:paraId="6EBAC426">
      <w:pPr>
        <w:pStyle w:val="6"/>
        <w:rPr>
          <w:rFonts w:hint="eastAsia" w:ascii="宋体" w:hAnsi="宋体" w:eastAsia="宋体" w:cs="宋体"/>
          <w:color w:val="000000" w:themeColor="text1"/>
          <w:highlight w:val="none"/>
          <w14:textFill>
            <w14:solidFill>
              <w14:schemeClr w14:val="tx1"/>
            </w14:solidFill>
          </w14:textFill>
        </w:rPr>
      </w:pPr>
      <w:bookmarkStart w:id="1419" w:name="_Toc373478399"/>
      <w:bookmarkStart w:id="1420" w:name="_Toc1711431123"/>
      <w:bookmarkStart w:id="1421" w:name="_Toc389065317"/>
      <w:bookmarkStart w:id="1422" w:name="_Toc1155368667"/>
      <w:bookmarkStart w:id="1423" w:name="_Toc373227752"/>
      <w:bookmarkStart w:id="1424" w:name="_Toc78449841"/>
      <w:bookmarkStart w:id="1425" w:name="_Toc407135255"/>
      <w:r>
        <w:rPr>
          <w:rFonts w:hint="eastAsia" w:ascii="宋体" w:hAnsi="宋体" w:eastAsia="宋体" w:cs="宋体"/>
          <w:color w:val="000000" w:themeColor="text1"/>
          <w:highlight w:val="none"/>
          <w14:textFill>
            <w14:solidFill>
              <w14:schemeClr w14:val="tx1"/>
            </w14:solidFill>
          </w14:textFill>
        </w:rPr>
        <w:t>12.4 工程进度款支付</w:t>
      </w:r>
      <w:bookmarkEnd w:id="1419"/>
      <w:bookmarkEnd w:id="1420"/>
      <w:bookmarkEnd w:id="1421"/>
      <w:bookmarkEnd w:id="1422"/>
      <w:bookmarkEnd w:id="1423"/>
      <w:bookmarkEnd w:id="1424"/>
      <w:bookmarkEnd w:id="1425"/>
    </w:p>
    <w:p w14:paraId="44683516">
      <w:pPr>
        <w:spacing w:line="400" w:lineRule="exact"/>
        <w:ind w:firstLine="440" w:firstLineChars="200"/>
        <w:jc w:val="left"/>
        <w:rPr>
          <w:rFonts w:hint="eastAsia" w:ascii="宋体" w:hAnsi="宋体" w:eastAsia="宋体" w:cs="宋体"/>
          <w:color w:val="000000" w:themeColor="text1"/>
          <w:highlight w:val="none"/>
          <w14:textFill>
            <w14:solidFill>
              <w14:schemeClr w14:val="tx1"/>
            </w14:solidFill>
          </w14:textFill>
        </w:rPr>
      </w:pPr>
      <w:bookmarkStart w:id="1426" w:name="_Toc292559416"/>
      <w:bookmarkStart w:id="1427" w:name="_Toc296503211"/>
      <w:bookmarkStart w:id="1428" w:name="_Toc296346712"/>
      <w:bookmarkStart w:id="1429" w:name="_Toc296347210"/>
      <w:bookmarkStart w:id="1430" w:name="_Toc297123556"/>
      <w:bookmarkStart w:id="1431" w:name="_Toc300935006"/>
      <w:bookmarkStart w:id="1432" w:name="_Toc296944550"/>
      <w:bookmarkStart w:id="1433" w:name="_Toc296891251"/>
      <w:bookmarkStart w:id="1434" w:name="_Toc296891039"/>
      <w:bookmarkStart w:id="1435" w:name="_Toc297216215"/>
      <w:bookmarkStart w:id="1436" w:name="_Toc297048397"/>
      <w:bookmarkStart w:id="1437" w:name="_Toc292559921"/>
      <w:bookmarkStart w:id="1438" w:name="_Toc303539163"/>
      <w:bookmarkStart w:id="1439" w:name="_Toc297120511"/>
      <w:r>
        <w:rPr>
          <w:rFonts w:hint="eastAsia" w:ascii="宋体" w:hAnsi="宋体" w:eastAsia="宋体" w:cs="宋体"/>
          <w:color w:val="000000" w:themeColor="text1"/>
          <w:kern w:val="0"/>
          <w:sz w:val="22"/>
          <w:szCs w:val="22"/>
          <w:highlight w:val="none"/>
          <w:lang w:val="en-US" w:eastAsia="zh-CN" w:bidi="ar-SA"/>
          <w14:textFill>
            <w14:solidFill>
              <w14:schemeClr w14:val="tx1"/>
            </w14:solidFill>
          </w14:textFill>
        </w:rPr>
        <w:t>政府机关、事业单位、国有企业建设工程进度款支付应不低于已完成工程价款的80%；同时，在确保不超出工程总概（预）算以及工程决（结）算工作顺利开展的前提下，除按合同约定保留不超过工程价款总额3%的质量保证金外，进度款支付比例可由发承包双方根据项目实际情况自行确定。在结算过程中，若发生进度款支付超出实际已完成工程价款的情况，承包单位应按规定在结算后30日内向发包单位返还多收到的工程进度款。</w:t>
      </w:r>
    </w:p>
    <w:p w14:paraId="4E7ADD7E">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12.4.1 付款周期</w:t>
      </w:r>
    </w:p>
    <w:p w14:paraId="306CBCB8">
      <w:pPr>
        <w:pageBreakBefore w:val="0"/>
        <w:widowControl w:val="0"/>
        <w:kinsoku/>
        <w:wordWrap/>
        <w:overflowPunct/>
        <w:topLinePunct w:val="0"/>
        <w:adjustRightInd/>
        <w:snapToGrid/>
        <w:spacing w:line="360" w:lineRule="auto"/>
        <w:ind w:left="0" w:firstLine="420" w:firstLineChars="200"/>
        <w:jc w:val="left"/>
        <w:rPr>
          <w:rFonts w:hint="eastAsia" w:ascii="宋体" w:hAnsi="宋体" w:eastAsia="宋体" w:cs="宋体"/>
          <w:b/>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关于付款周期的约定：</w:t>
      </w:r>
      <w:r>
        <w:rPr>
          <w:rFonts w:hint="eastAsia" w:ascii="宋体" w:hAnsi="宋体" w:eastAsia="宋体" w:cs="宋体"/>
          <w:b/>
          <w:bCs/>
          <w:color w:val="000000" w:themeColor="text1"/>
          <w:sz w:val="21"/>
          <w:szCs w:val="21"/>
          <w:highlight w:val="none"/>
          <w:u w:val="single"/>
          <w14:textFill>
            <w14:solidFill>
              <w14:schemeClr w14:val="tx1"/>
            </w14:solidFill>
          </w14:textFill>
        </w:rPr>
        <w:t>工程款按进度支付，合同内进度款支付限额为已完成工程</w:t>
      </w:r>
      <w:r>
        <w:rPr>
          <w:rFonts w:hint="eastAsia" w:ascii="宋体" w:hAnsi="宋体" w:cs="宋体"/>
          <w:b/>
          <w:bCs/>
          <w:color w:val="000000" w:themeColor="text1"/>
          <w:sz w:val="21"/>
          <w:szCs w:val="21"/>
          <w:highlight w:val="none"/>
          <w:u w:val="single"/>
          <w:lang w:val="en-US" w:eastAsia="zh-CN"/>
          <w14:textFill>
            <w14:solidFill>
              <w14:schemeClr w14:val="tx1"/>
            </w14:solidFill>
          </w14:textFill>
        </w:rPr>
        <w:t>价款</w:t>
      </w:r>
      <w:r>
        <w:rPr>
          <w:rFonts w:hint="eastAsia" w:ascii="宋体" w:hAnsi="宋体" w:eastAsia="宋体" w:cs="宋体"/>
          <w:b/>
          <w:bCs/>
          <w:color w:val="000000" w:themeColor="text1"/>
          <w:sz w:val="21"/>
          <w:szCs w:val="21"/>
          <w:highlight w:val="none"/>
          <w:u w:val="single"/>
          <w14:textFill>
            <w14:solidFill>
              <w14:schemeClr w14:val="tx1"/>
            </w14:solidFill>
          </w14:textFill>
        </w:rPr>
        <w:t>的8</w:t>
      </w:r>
      <w:r>
        <w:rPr>
          <w:rFonts w:hint="eastAsia" w:ascii="宋体" w:hAnsi="宋体" w:eastAsia="宋体" w:cs="宋体"/>
          <w:b/>
          <w:bCs/>
          <w:color w:val="000000" w:themeColor="text1"/>
          <w:sz w:val="21"/>
          <w:szCs w:val="21"/>
          <w:highlight w:val="none"/>
          <w:u w:val="single"/>
          <w:lang w:val="en-US" w:eastAsia="zh-CN"/>
          <w14:textFill>
            <w14:solidFill>
              <w14:schemeClr w14:val="tx1"/>
            </w14:solidFill>
          </w14:textFill>
        </w:rPr>
        <w:t>0</w:t>
      </w:r>
      <w:r>
        <w:rPr>
          <w:rFonts w:hint="eastAsia" w:ascii="宋体" w:hAnsi="宋体" w:eastAsia="宋体" w:cs="宋体"/>
          <w:b/>
          <w:bCs/>
          <w:color w:val="000000" w:themeColor="text1"/>
          <w:sz w:val="21"/>
          <w:szCs w:val="21"/>
          <w:highlight w:val="none"/>
          <w:u w:val="single"/>
          <w14:textFill>
            <w14:solidFill>
              <w14:schemeClr w14:val="tx1"/>
            </w14:solidFill>
          </w14:textFill>
        </w:rPr>
        <w:t>%，工程变更部分进度款支付限额为已完成工程</w:t>
      </w:r>
      <w:r>
        <w:rPr>
          <w:rFonts w:hint="eastAsia" w:ascii="宋体" w:hAnsi="宋体" w:cs="宋体"/>
          <w:b/>
          <w:bCs/>
          <w:color w:val="000000" w:themeColor="text1"/>
          <w:sz w:val="21"/>
          <w:szCs w:val="21"/>
          <w:highlight w:val="none"/>
          <w:u w:val="single"/>
          <w:lang w:val="en-US" w:eastAsia="zh-CN"/>
          <w14:textFill>
            <w14:solidFill>
              <w14:schemeClr w14:val="tx1"/>
            </w14:solidFill>
          </w14:textFill>
        </w:rPr>
        <w:t>价款</w:t>
      </w:r>
      <w:r>
        <w:rPr>
          <w:rFonts w:hint="eastAsia" w:ascii="宋体" w:hAnsi="宋体" w:eastAsia="宋体" w:cs="宋体"/>
          <w:b/>
          <w:bCs/>
          <w:color w:val="000000" w:themeColor="text1"/>
          <w:sz w:val="21"/>
          <w:szCs w:val="21"/>
          <w:highlight w:val="none"/>
          <w:u w:val="single"/>
          <w14:textFill>
            <w14:solidFill>
              <w14:schemeClr w14:val="tx1"/>
            </w14:solidFill>
          </w14:textFill>
        </w:rPr>
        <w:t>的60%；</w:t>
      </w:r>
      <w:r>
        <w:rPr>
          <w:rFonts w:hint="eastAsia" w:ascii="宋体" w:hAnsi="宋体" w:eastAsia="宋体" w:cs="宋体"/>
          <w:b/>
          <w:color w:val="000000" w:themeColor="text1"/>
          <w:sz w:val="21"/>
          <w:szCs w:val="21"/>
          <w:highlight w:val="none"/>
          <w:u w:val="single"/>
          <w14:textFill>
            <w14:solidFill>
              <w14:schemeClr w14:val="tx1"/>
            </w14:solidFill>
          </w14:textFill>
        </w:rPr>
        <w:t>工程完工验收达到质量要求，结算经审计后并向发包人提交完整的竣工资料，工程款支付至结算总价的97%（含已支付的）；发包人按工程价款结算总额的3%预留</w:t>
      </w:r>
      <w:r>
        <w:rPr>
          <w:rFonts w:hint="eastAsia" w:ascii="宋体" w:hAnsi="宋体" w:cs="宋体"/>
          <w:b/>
          <w:color w:val="000000" w:themeColor="text1"/>
          <w:sz w:val="21"/>
          <w:szCs w:val="21"/>
          <w:highlight w:val="none"/>
          <w:u w:val="single"/>
          <w:lang w:eastAsia="zh-CN"/>
          <w14:textFill>
            <w14:solidFill>
              <w14:schemeClr w14:val="tx1"/>
            </w14:solidFill>
          </w14:textFill>
        </w:rPr>
        <w:t>工程质量保证金</w:t>
      </w:r>
      <w:r>
        <w:rPr>
          <w:rFonts w:hint="eastAsia" w:ascii="宋体" w:hAnsi="宋体" w:eastAsia="宋体" w:cs="宋体"/>
          <w:b/>
          <w:color w:val="000000" w:themeColor="text1"/>
          <w:sz w:val="21"/>
          <w:szCs w:val="21"/>
          <w:highlight w:val="none"/>
          <w:u w:val="single"/>
          <w14:textFill>
            <w14:solidFill>
              <w14:schemeClr w14:val="tx1"/>
            </w14:solidFill>
          </w14:textFill>
        </w:rPr>
        <w:t>，待工程质量保修期满后返还，工程保修期满后退还给承包人（无息）。</w:t>
      </w:r>
    </w:p>
    <w:p w14:paraId="395C0DED">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12.4.2 进度付款申请单的编制</w:t>
      </w:r>
    </w:p>
    <w:p w14:paraId="7CC73ECC">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关于进度付款申请单编制的约定：</w:t>
      </w:r>
      <w:r>
        <w:rPr>
          <w:rFonts w:hint="eastAsia" w:ascii="宋体" w:hAnsi="宋体" w:eastAsia="宋体" w:cs="宋体"/>
          <w:color w:val="000000" w:themeColor="text1"/>
          <w:highlight w:val="none"/>
          <w:u w:val="single"/>
          <w:lang w:eastAsia="zh-CN"/>
          <w14:textFill>
            <w14:solidFill>
              <w14:schemeClr w14:val="tx1"/>
            </w14:solidFill>
          </w14:textFill>
        </w:rPr>
        <w:t>按发包人要求</w:t>
      </w:r>
      <w:r>
        <w:rPr>
          <w:rFonts w:hint="eastAsia" w:ascii="宋体" w:hAnsi="宋体" w:eastAsia="宋体" w:cs="宋体"/>
          <w:color w:val="000000" w:themeColor="text1"/>
          <w:highlight w:val="none"/>
          <w14:textFill>
            <w14:solidFill>
              <w14:schemeClr w14:val="tx1"/>
            </w14:solidFill>
          </w14:textFill>
        </w:rPr>
        <w:t>。</w:t>
      </w:r>
    </w:p>
    <w:p w14:paraId="1BB0CFE5">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r>
        <w:rPr>
          <w:rFonts w:hint="eastAsia" w:ascii="宋体" w:hAnsi="宋体" w:eastAsia="宋体" w:cs="宋体"/>
          <w:color w:val="000000" w:themeColor="text1"/>
          <w:highlight w:val="none"/>
          <w14:textFill>
            <w14:solidFill>
              <w14:schemeClr w14:val="tx1"/>
            </w14:solidFill>
          </w14:textFill>
        </w:rPr>
        <w:t>2.4.3 进度付款申请单的提交</w:t>
      </w:r>
    </w:p>
    <w:p w14:paraId="6C076E60">
      <w:pPr>
        <w:spacing w:line="360" w:lineRule="auto"/>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（1）单价合同进度付款申请单提交的约定：</w:t>
      </w:r>
      <w:r>
        <w:rPr>
          <w:rFonts w:hint="eastAsia" w:ascii="宋体" w:hAnsi="宋体" w:eastAsia="宋体" w:cs="宋体"/>
          <w:b/>
          <w:bCs/>
          <w:color w:val="000000" w:themeColor="text1"/>
          <w:sz w:val="21"/>
          <w:szCs w:val="21"/>
          <w:highlight w:val="none"/>
          <w:u w:val="single"/>
          <w14:textFill>
            <w14:solidFill>
              <w14:schemeClr w14:val="tx1"/>
            </w14:solidFill>
          </w14:textFill>
        </w:rPr>
        <w:t>承包人向</w:t>
      </w:r>
      <w:r>
        <w:rPr>
          <w:rFonts w:hint="eastAsia" w:ascii="宋体" w:hAnsi="宋体" w:eastAsia="宋体" w:cs="宋体"/>
          <w:b/>
          <w:bCs/>
          <w:color w:val="000000" w:themeColor="text1"/>
          <w:sz w:val="21"/>
          <w:szCs w:val="21"/>
          <w:highlight w:val="none"/>
          <w:u w:val="single"/>
          <w:lang w:val="en-US" w:eastAsia="zh-CN"/>
          <w14:textFill>
            <w14:solidFill>
              <w14:schemeClr w14:val="tx1"/>
            </w14:solidFill>
          </w14:textFill>
        </w:rPr>
        <w:t>发包人</w:t>
      </w:r>
      <w:r>
        <w:rPr>
          <w:rFonts w:hint="eastAsia" w:ascii="宋体" w:hAnsi="宋体" w:eastAsia="宋体" w:cs="宋体"/>
          <w:b/>
          <w:bCs/>
          <w:color w:val="000000" w:themeColor="text1"/>
          <w:sz w:val="21"/>
          <w:szCs w:val="21"/>
          <w:highlight w:val="none"/>
          <w:u w:val="single"/>
          <w14:textFill>
            <w14:solidFill>
              <w14:schemeClr w14:val="tx1"/>
            </w14:solidFill>
          </w14:textFill>
        </w:rPr>
        <w:t>申请支付工程进度款时，承包人应向发包人提供以下资料：①请款函</w:t>
      </w:r>
      <w:r>
        <w:rPr>
          <w:rFonts w:hint="eastAsia" w:ascii="宋体" w:hAnsi="宋体" w:eastAsia="宋体" w:cs="宋体"/>
          <w:b/>
          <w:bCs/>
          <w:color w:val="000000" w:themeColor="text1"/>
          <w:sz w:val="21"/>
          <w:szCs w:val="21"/>
          <w:highlight w:val="none"/>
          <w:u w:val="single"/>
          <w:lang w:eastAsia="zh-CN"/>
          <w14:textFill>
            <w14:solidFill>
              <w14:schemeClr w14:val="tx1"/>
            </w14:solidFill>
          </w14:textFill>
        </w:rPr>
        <w:t>、</w:t>
      </w:r>
      <w:r>
        <w:rPr>
          <w:rFonts w:hint="eastAsia" w:ascii="宋体" w:hAnsi="宋体" w:eastAsia="宋体" w:cs="宋体"/>
          <w:b/>
          <w:bCs/>
          <w:color w:val="000000" w:themeColor="text1"/>
          <w:sz w:val="21"/>
          <w:szCs w:val="21"/>
          <w:highlight w:val="none"/>
          <w:u w:val="single"/>
          <w14:textFill>
            <w14:solidFill>
              <w14:schemeClr w14:val="tx1"/>
            </w14:solidFill>
          </w14:textFill>
        </w:rPr>
        <w:t>②项目进度表、③</w:t>
      </w:r>
      <w:r>
        <w:rPr>
          <w:rFonts w:hint="eastAsia" w:ascii="宋体" w:hAnsi="宋体" w:eastAsia="宋体" w:cs="宋体"/>
          <w:b/>
          <w:bCs/>
          <w:color w:val="000000" w:themeColor="text1"/>
          <w:sz w:val="21"/>
          <w:szCs w:val="21"/>
          <w:highlight w:val="none"/>
          <w:u w:val="single"/>
          <w:lang w:val="en-US" w:eastAsia="zh-CN"/>
          <w14:textFill>
            <w14:solidFill>
              <w14:schemeClr w14:val="tx1"/>
            </w14:solidFill>
          </w14:textFill>
        </w:rPr>
        <w:t>用款申请表</w:t>
      </w:r>
      <w:r>
        <w:rPr>
          <w:rFonts w:hint="eastAsia" w:ascii="宋体" w:hAnsi="宋体" w:eastAsia="宋体" w:cs="宋体"/>
          <w:b/>
          <w:bCs/>
          <w:color w:val="000000" w:themeColor="text1"/>
          <w:sz w:val="21"/>
          <w:szCs w:val="21"/>
          <w:highlight w:val="none"/>
          <w:u w:val="single"/>
          <w14:textFill>
            <w14:solidFill>
              <w14:schemeClr w14:val="tx1"/>
            </w14:solidFill>
          </w14:textFill>
        </w:rPr>
        <w:t>、④中标通知书、⑤施工合同、⑥《工程用款支付证书》、⑦工程量计量报表（格式按横州市财政局具体要求）</w:t>
      </w:r>
      <w:r>
        <w:rPr>
          <w:rFonts w:hint="eastAsia" w:ascii="宋体" w:hAnsi="宋体" w:cs="宋体"/>
          <w:b/>
          <w:bCs/>
          <w:color w:val="000000" w:themeColor="text1"/>
          <w:sz w:val="21"/>
          <w:szCs w:val="21"/>
          <w:highlight w:val="none"/>
          <w:u w:val="single"/>
          <w:lang w:eastAsia="zh-CN"/>
          <w14:textFill>
            <w14:solidFill>
              <w14:schemeClr w14:val="tx1"/>
            </w14:solidFill>
          </w14:textFill>
        </w:rPr>
        <w:t>、</w:t>
      </w:r>
      <w:r>
        <w:rPr>
          <w:rFonts w:hint="eastAsia" w:ascii="宋体" w:hAnsi="宋体" w:eastAsia="宋体" w:cs="宋体"/>
          <w:b/>
          <w:bCs/>
          <w:color w:val="000000" w:themeColor="text1"/>
          <w:sz w:val="21"/>
          <w:szCs w:val="21"/>
          <w:highlight w:val="none"/>
          <w:u w:val="single"/>
          <w14:textFill>
            <w14:solidFill>
              <w14:schemeClr w14:val="tx1"/>
            </w14:solidFill>
          </w14:textFill>
        </w:rPr>
        <w:t>⑧项目形象进度照片、⑨农民工专户信息、⑩营业执照、开户许可证；其他需要补充说明的材料。（请款前与发包人确认具体的请款清单）</w:t>
      </w:r>
      <w:r>
        <w:rPr>
          <w:rFonts w:hint="eastAsia" w:ascii="宋体" w:hAnsi="宋体" w:eastAsia="宋体" w:cs="宋体"/>
          <w:color w:val="000000" w:themeColor="text1"/>
          <w:sz w:val="21"/>
          <w:szCs w:val="21"/>
          <w:highlight w:val="none"/>
          <w14:textFill>
            <w14:solidFill>
              <w14:schemeClr w14:val="tx1"/>
            </w14:solidFill>
          </w14:textFill>
        </w:rPr>
        <w:t>。</w:t>
      </w:r>
    </w:p>
    <w:p w14:paraId="1AAEAF93">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（2）总价合同进度付款申请单提交的约定：</w:t>
      </w:r>
      <w:r>
        <w:rPr>
          <w:rFonts w:hint="eastAsia" w:ascii="宋体" w:hAnsi="宋体" w:eastAsia="宋体" w:cs="宋体"/>
          <w:color w:val="000000" w:themeColor="text1"/>
          <w:highlight w:val="none"/>
          <w:u w:val="single"/>
          <w:lang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p w14:paraId="39F1FEDB">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（3）其他价格形式合同进度付款申请单提交的约定：</w:t>
      </w:r>
      <w:r>
        <w:rPr>
          <w:rFonts w:hint="eastAsia" w:ascii="宋体" w:hAnsi="宋体" w:eastAsia="宋体" w:cs="宋体"/>
          <w:color w:val="000000" w:themeColor="text1"/>
          <w:highlight w:val="none"/>
          <w:u w:val="single"/>
          <w:lang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p w14:paraId="71725F4E">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12.4.4 进度款审核和支付</w:t>
      </w:r>
    </w:p>
    <w:p w14:paraId="74B63E8C">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（1）监理人审查并报送发包人的期限：</w:t>
      </w:r>
      <w:r>
        <w:rPr>
          <w:rFonts w:hint="eastAsia" w:ascii="宋体" w:hAnsi="宋体" w:eastAsia="宋体" w:cs="宋体"/>
          <w:color w:val="000000" w:themeColor="text1"/>
          <w:highlight w:val="none"/>
          <w:u w:val="single"/>
          <w:lang w:val="en-US" w:eastAsia="zh-CN"/>
          <w14:textFill>
            <w14:solidFill>
              <w14:schemeClr w14:val="tx1"/>
            </w14:solidFill>
          </w14:textFill>
        </w:rPr>
        <w:t>7个工作日内</w:t>
      </w:r>
      <w:r>
        <w:rPr>
          <w:rFonts w:hint="eastAsia" w:ascii="宋体" w:hAnsi="宋体" w:eastAsia="宋体" w:cs="宋体"/>
          <w:color w:val="000000" w:themeColor="text1"/>
          <w:highlight w:val="none"/>
          <w14:textFill>
            <w14:solidFill>
              <w14:schemeClr w14:val="tx1"/>
            </w14:solidFill>
          </w14:textFill>
        </w:rPr>
        <w:t>。</w:t>
      </w:r>
    </w:p>
    <w:p w14:paraId="166A5678">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发包人完成审批并签发进度款支付</w:t>
      </w:r>
      <w:r>
        <w:rPr>
          <w:rFonts w:hint="eastAsia" w:ascii="宋体" w:hAnsi="宋体" w:cs="宋体"/>
          <w:color w:val="000000" w:themeColor="text1"/>
          <w:highlight w:val="none"/>
          <w:lang w:val="en-US" w:eastAsia="zh-CN"/>
          <w14:textFill>
            <w14:solidFill>
              <w14:schemeClr w14:val="tx1"/>
            </w14:solidFill>
          </w14:textFill>
        </w:rPr>
        <w:t>申请</w:t>
      </w:r>
      <w:r>
        <w:rPr>
          <w:rFonts w:hint="eastAsia" w:ascii="宋体" w:hAnsi="宋体" w:eastAsia="宋体" w:cs="宋体"/>
          <w:color w:val="000000" w:themeColor="text1"/>
          <w:highlight w:val="none"/>
          <w14:textFill>
            <w14:solidFill>
              <w14:schemeClr w14:val="tx1"/>
            </w14:solidFill>
          </w14:textFill>
        </w:rPr>
        <w:t>的期限：</w:t>
      </w:r>
      <w:r>
        <w:rPr>
          <w:rFonts w:hint="eastAsia" w:ascii="宋体" w:hAnsi="宋体" w:eastAsia="宋体" w:cs="宋体"/>
          <w:color w:val="000000" w:themeColor="text1"/>
          <w:highlight w:val="none"/>
          <w:u w:val="single"/>
          <w14:textFill>
            <w14:solidFill>
              <w14:schemeClr w14:val="tx1"/>
            </w14:solidFill>
          </w14:textFill>
        </w:rPr>
        <w:t>收</w:t>
      </w:r>
      <w:r>
        <w:rPr>
          <w:rFonts w:hint="eastAsia" w:ascii="宋体" w:hAnsi="宋体" w:eastAsia="宋体" w:cs="宋体"/>
          <w:color w:val="000000" w:themeColor="text1"/>
          <w:highlight w:val="none"/>
          <w:u w:val="single"/>
          <w:lang w:val="en-US" w:eastAsia="zh-CN"/>
          <w14:textFill>
            <w14:solidFill>
              <w14:schemeClr w14:val="tx1"/>
            </w14:solidFill>
          </w14:textFill>
        </w:rPr>
        <w:t>到完整的材料后7个工作日内完成审批并签发进度款</w:t>
      </w:r>
      <w:r>
        <w:rPr>
          <w:rFonts w:hint="eastAsia" w:ascii="宋体" w:hAnsi="宋体" w:cs="宋体"/>
          <w:color w:val="000000" w:themeColor="text1"/>
          <w:highlight w:val="none"/>
          <w:u w:val="single"/>
          <w:lang w:val="en-US" w:eastAsia="zh-CN"/>
          <w14:textFill>
            <w14:solidFill>
              <w14:schemeClr w14:val="tx1"/>
            </w14:solidFill>
          </w14:textFill>
        </w:rPr>
        <w:t>用款申请表</w:t>
      </w:r>
      <w:r>
        <w:rPr>
          <w:rFonts w:hint="eastAsia" w:ascii="宋体" w:hAnsi="宋体" w:eastAsia="宋体" w:cs="宋体"/>
          <w:color w:val="000000" w:themeColor="text1"/>
          <w:highlight w:val="none"/>
          <w14:textFill>
            <w14:solidFill>
              <w14:schemeClr w14:val="tx1"/>
            </w14:solidFill>
          </w14:textFill>
        </w:rPr>
        <w:t>。</w:t>
      </w:r>
    </w:p>
    <w:p w14:paraId="68FA8773">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000000" w:themeColor="text1"/>
          <w:highlight w:val="none"/>
          <w:u w:val="singl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为保证工程顺利进行，发包人严禁承包人将付给的工程进度款使用在与发包人发包的工程 以外的其他项目，工程进度款必须专款专用，如本工程有农民工</w:t>
      </w:r>
      <w:r>
        <w:rPr>
          <w:rFonts w:hint="eastAsia" w:ascii="宋体" w:hAnsi="宋体" w:eastAsia="宋体" w:cs="宋体"/>
          <w:color w:val="000000" w:themeColor="text1"/>
          <w:highlight w:val="none"/>
          <w:lang w:val="en-US" w:eastAsia="zh-CN"/>
          <w14:textFill>
            <w14:solidFill>
              <w14:schemeClr w14:val="tx1"/>
            </w14:solidFill>
          </w14:textFill>
        </w:rPr>
        <w:t>因</w:t>
      </w:r>
      <w:r>
        <w:rPr>
          <w:rFonts w:hint="eastAsia" w:ascii="宋体" w:hAnsi="宋体" w:eastAsia="宋体" w:cs="宋体"/>
          <w:color w:val="000000" w:themeColor="text1"/>
          <w:highlight w:val="none"/>
          <w14:textFill>
            <w14:solidFill>
              <w14:schemeClr w14:val="tx1"/>
            </w14:solidFill>
          </w14:textFill>
        </w:rPr>
        <w:t>工资未及时支付造成停工或向相关部门维权，一经核实承包人有挪用发包人支付的工程进度款，发包人处承包</w:t>
      </w:r>
      <w:r>
        <w:rPr>
          <w:rFonts w:hint="eastAsia" w:ascii="宋体" w:hAnsi="宋体" w:eastAsia="宋体" w:cs="宋体"/>
          <w:color w:val="000000" w:themeColor="text1"/>
          <w:highlight w:val="none"/>
          <w:lang w:eastAsia="zh-CN"/>
          <w14:textFill>
            <w14:solidFill>
              <w14:schemeClr w14:val="tx1"/>
            </w14:solidFill>
          </w14:textFill>
        </w:rPr>
        <w:t>人</w:t>
      </w:r>
      <w:r>
        <w:rPr>
          <w:rFonts w:hint="eastAsia" w:ascii="宋体" w:hAnsi="宋体" w:eastAsia="宋体" w:cs="宋体"/>
          <w:color w:val="000000" w:themeColor="text1"/>
          <w:highlight w:val="none"/>
          <w14:textFill>
            <w14:solidFill>
              <w14:schemeClr w14:val="tx1"/>
            </w14:solidFill>
          </w14:textFill>
        </w:rPr>
        <w:t>20000元</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次的违约金在结算总价中扣除。承包人雇佣的劳务工人工资及一切支出由承包人自行解决，承 包人不得以任何理由和事项为借口拖欠劳务工人工资，发包人对承包人拖欠任何应付款不承担责任</w:t>
      </w:r>
      <w:r>
        <w:rPr>
          <w:rFonts w:hint="eastAsia" w:ascii="宋体" w:hAnsi="宋体" w:eastAsia="宋体" w:cs="宋体"/>
          <w:color w:val="000000" w:themeColor="text1"/>
          <w:highlight w:val="none"/>
          <w:lang w:eastAsia="zh-CN"/>
          <w14:textFill>
            <w14:solidFill>
              <w14:schemeClr w14:val="tx1"/>
            </w14:solidFill>
          </w14:textFill>
        </w:rPr>
        <w:t>。</w:t>
      </w:r>
    </w:p>
    <w:p w14:paraId="27A73889">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（2）发包人支付进度款的期限：</w:t>
      </w:r>
      <w:r>
        <w:rPr>
          <w:rFonts w:hint="eastAsia" w:hAnsi="宋体" w:cs="宋体"/>
          <w:color w:val="000000" w:themeColor="text1"/>
          <w:highlight w:val="none"/>
          <w:u w:val="single"/>
          <w:lang w:val="en-US" w:eastAsia="zh-CN"/>
          <w14:textFill>
            <w14:solidFill>
              <w14:schemeClr w14:val="tx1"/>
            </w14:solidFill>
          </w14:textFill>
        </w:rPr>
        <w:t>以财政实际拨付到位时间为准</w:t>
      </w:r>
      <w:r>
        <w:rPr>
          <w:rFonts w:hint="eastAsia" w:ascii="宋体" w:hAnsi="宋体" w:eastAsia="宋体" w:cs="宋体"/>
          <w:color w:val="000000" w:themeColor="text1"/>
          <w:highlight w:val="none"/>
          <w14:textFill>
            <w14:solidFill>
              <w14:schemeClr w14:val="tx1"/>
            </w14:solidFill>
          </w14:textFill>
        </w:rPr>
        <w:t>。</w:t>
      </w:r>
    </w:p>
    <w:p w14:paraId="58E45D04">
      <w:pPr>
        <w:spacing w:line="360" w:lineRule="auto"/>
        <w:ind w:firstLine="525" w:firstLineChars="25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发包人逾期支付进度款的违约金的计算方式：</w:t>
      </w:r>
      <w:r>
        <w:rPr>
          <w:rFonts w:hint="eastAsia" w:ascii="宋体" w:hAnsi="宋体" w:eastAsia="宋体" w:cs="宋体"/>
          <w:color w:val="000000" w:themeColor="text1"/>
          <w:highlight w:val="none"/>
          <w:u w:val="single"/>
          <w:lang w:val="en-US"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p w14:paraId="55FBBB72">
      <w:pPr>
        <w:spacing w:line="360" w:lineRule="auto"/>
        <w:ind w:firstLine="630" w:firstLineChars="3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进度款支付方式：</w:t>
      </w:r>
      <w:r>
        <w:rPr>
          <w:rFonts w:hint="eastAsia" w:ascii="宋体" w:hAnsi="宋体" w:eastAsia="宋体" w:cs="宋体"/>
          <w:color w:val="000000" w:themeColor="text1"/>
          <w:highlight w:val="none"/>
          <w:u w:val="single"/>
          <w14:textFill>
            <w14:solidFill>
              <w14:schemeClr w14:val="tx1"/>
            </w14:solidFill>
          </w14:textFill>
        </w:rPr>
        <w:t>银行转账</w:t>
      </w:r>
      <w:r>
        <w:rPr>
          <w:rFonts w:hint="eastAsia" w:ascii="宋体" w:hAnsi="宋体" w:eastAsia="宋体" w:cs="宋体"/>
          <w:color w:val="000000" w:themeColor="text1"/>
          <w:highlight w:val="none"/>
          <w14:textFill>
            <w14:solidFill>
              <w14:schemeClr w14:val="tx1"/>
            </w14:solidFill>
          </w14:textFill>
        </w:rPr>
        <w:t>。</w:t>
      </w:r>
    </w:p>
    <w:p w14:paraId="17D34B90">
      <w:pPr>
        <w:spacing w:line="360" w:lineRule="auto"/>
        <w:ind w:firstLine="525" w:firstLineChars="25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 农民工工资支付</w:t>
      </w:r>
    </w:p>
    <w:p w14:paraId="7CA685E3">
      <w:pPr>
        <w:spacing w:line="360" w:lineRule="auto"/>
        <w:ind w:firstLine="525" w:firstLineChars="25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2C400BA3">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2）人工费应与工程进度款分帐管理。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帐出来的人工费转入承包人农民工工资支付专用账户，转入农民工工资支付专用账户环节必须有银行流水凭证。</w:t>
      </w:r>
    </w:p>
    <w:p w14:paraId="7801E2EC">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3）发包人依据工程进度，审核承包人申报的工程进度款，按照与承包人约定的人工费支付比例</w:t>
      </w:r>
      <w:r>
        <w:rPr>
          <w:rFonts w:hint="eastAsia" w:ascii="宋体" w:hAnsi="宋体" w:eastAsia="宋体" w:cs="宋体"/>
          <w:color w:val="000000" w:themeColor="text1"/>
          <w:spacing w:val="41"/>
          <w:sz w:val="21"/>
          <w:highlight w:val="none"/>
          <w:lang w:val="en-US" w:eastAsia="zh-CN"/>
          <w14:textFill>
            <w14:solidFill>
              <w14:schemeClr w14:val="tx1"/>
            </w14:solidFill>
          </w14:textFill>
        </w:rPr>
        <w:t>20</w:t>
      </w:r>
      <w:r>
        <w:rPr>
          <w:rFonts w:hint="eastAsia" w:ascii="宋体" w:hAnsi="宋体" w:eastAsia="宋体" w:cs="宋体"/>
          <w:color w:val="000000" w:themeColor="text1"/>
          <w:kern w:val="0"/>
          <w:highlight w:val="none"/>
          <w14:textFill>
            <w14:solidFill>
              <w14:schemeClr w14:val="tx1"/>
            </w14:solidFill>
          </w14:textFill>
        </w:rPr>
        <w:t xml:space="preserve"> %</w:t>
      </w:r>
      <w:r>
        <w:rPr>
          <w:rFonts w:hint="eastAsia" w:ascii="宋体" w:hAnsi="宋体" w:eastAsia="宋体" w:cs="宋体"/>
          <w:color w:val="000000" w:themeColor="text1"/>
          <w:kern w:val="0"/>
          <w:highlight w:val="none"/>
          <w:lang w:eastAsia="zh-CN"/>
          <w14:textFill>
            <w14:solidFill>
              <w14:schemeClr w14:val="tx1"/>
            </w14:solidFill>
          </w14:textFill>
        </w:rPr>
        <w:t>（房建项目不少于</w:t>
      </w:r>
      <w:r>
        <w:rPr>
          <w:rFonts w:hint="eastAsia" w:ascii="宋体" w:hAnsi="宋体" w:eastAsia="宋体" w:cs="宋体"/>
          <w:color w:val="000000" w:themeColor="text1"/>
          <w:kern w:val="0"/>
          <w:highlight w:val="none"/>
          <w:lang w:val="en-US" w:eastAsia="zh-CN"/>
          <w14:textFill>
            <w14:solidFill>
              <w14:schemeClr w14:val="tx1"/>
            </w14:solidFill>
          </w14:textFill>
        </w:rPr>
        <w:t>20%，市政项目不少于15%）</w:t>
      </w:r>
      <w:r>
        <w:rPr>
          <w:rFonts w:hint="eastAsia" w:ascii="宋体" w:hAnsi="宋体" w:eastAsia="宋体" w:cs="宋体"/>
          <w:color w:val="000000" w:themeColor="text1"/>
          <w:kern w:val="0"/>
          <w:highlight w:val="none"/>
          <w14:textFill>
            <w14:solidFill>
              <w14:schemeClr w14:val="tx1"/>
            </w14:solidFill>
          </w14:textFill>
        </w:rPr>
        <w:t>，将人工费及时足额拨付至承包人的农民工工资专用账户，其余工程进度款项由发包人支付到承包人的单位基本户。</w:t>
      </w:r>
    </w:p>
    <w:p w14:paraId="24EDB089">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 xml:space="preserve">4）工程建设领域总包单位对农民工工资支付负总责，推行分包单位农民工工资委托总包单位代发制度（以下简称总包代发制度）。工程建设项目施行总包代发制度的，总包单位与分包单位签订委托工资支付协议。 </w:t>
      </w:r>
    </w:p>
    <w:p w14:paraId="52EE2684">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5）凡未向付款单位提供农民工工资专用账户的，或者请款单位在申请工程进度款时未将人工费单列的，付款单位有权拒绝支付工程进度款。</w:t>
      </w:r>
    </w:p>
    <w:p w14:paraId="5F3A22FD">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6）人工费使用要求：专款专用，除发放农民工工资外，不得用于其他用途。</w:t>
      </w:r>
    </w:p>
    <w:p w14:paraId="4B6AED84">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7）承包人将人工费支付情况定期报告发包人和监理单位，并提供相应的材料接受建设行政主管部门和劳动保障行政主管部门对此事项监管。</w:t>
      </w:r>
    </w:p>
    <w:p w14:paraId="18EC77E8">
      <w:pPr>
        <w:keepNext w:val="0"/>
        <w:keepLines w:val="0"/>
        <w:pageBreakBefore w:val="0"/>
        <w:widowControl w:val="0"/>
        <w:kinsoku/>
        <w:wordWrap/>
        <w:overflowPunct/>
        <w:topLinePunct w:val="0"/>
        <w:autoSpaceDE w:val="0"/>
        <w:autoSpaceDN w:val="0"/>
        <w:adjustRightInd w:val="0"/>
        <w:snapToGrid/>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8）人工费支付专用账户：</w:t>
      </w:r>
    </w:p>
    <w:p w14:paraId="1C84DAD7">
      <w:pPr>
        <w:keepNext w:val="0"/>
        <w:keepLines w:val="0"/>
        <w:pageBreakBefore w:val="0"/>
        <w:widowControl w:val="0"/>
        <w:kinsoku/>
        <w:wordWrap/>
        <w:overflowPunct/>
        <w:topLinePunct w:val="0"/>
        <w:autoSpaceDE w:val="0"/>
        <w:autoSpaceDN w:val="0"/>
        <w:adjustRightInd w:val="0"/>
        <w:snapToGrid/>
        <w:spacing w:line="360" w:lineRule="auto"/>
        <w:ind w:firstLine="420" w:firstLineChars="200"/>
        <w:rPr>
          <w:rFonts w:hint="eastAsia" w:ascii="宋体" w:hAnsi="宋体" w:eastAsia="宋体" w:cs="宋体"/>
          <w:color w:val="000000" w:themeColor="text1"/>
          <w:kern w:val="0"/>
          <w:highlight w:val="none"/>
          <w:lang w:eastAsia="zh-CN"/>
          <w14:textFill>
            <w14:solidFill>
              <w14:schemeClr w14:val="tx1"/>
            </w14:solidFill>
          </w14:textFill>
        </w:rPr>
      </w:pPr>
      <w:r>
        <w:rPr>
          <w:rFonts w:hint="eastAsia" w:ascii="宋体" w:hAnsi="宋体" w:eastAsia="宋体" w:cs="宋体"/>
          <w:color w:val="000000" w:themeColor="text1"/>
          <w:kern w:val="0"/>
          <w:highlight w:val="none"/>
          <w:lang w:eastAsia="zh-CN"/>
          <w14:textFill>
            <w14:solidFill>
              <w14:schemeClr w14:val="tx1"/>
            </w14:solidFill>
          </w14:textFill>
        </w:rPr>
        <w:t>户</w:t>
      </w:r>
      <w:r>
        <w:rPr>
          <w:rFonts w:hint="eastAsia" w:ascii="宋体" w:hAnsi="宋体" w:eastAsia="宋体" w:cs="宋体"/>
          <w:color w:val="000000" w:themeColor="text1"/>
          <w:kern w:val="0"/>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highlight w:val="none"/>
          <w:lang w:eastAsia="zh-CN"/>
          <w14:textFill>
            <w14:solidFill>
              <w14:schemeClr w14:val="tx1"/>
            </w14:solidFill>
          </w14:textFill>
        </w:rPr>
        <w:t>名：</w:t>
      </w:r>
      <w:r>
        <w:rPr>
          <w:rFonts w:hint="eastAsia" w:ascii="宋体" w:hAnsi="宋体" w:eastAsia="宋体" w:cs="宋体"/>
          <w:color w:val="000000" w:themeColor="text1"/>
          <w:kern w:val="0"/>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highlight w:val="none"/>
          <w:lang w:eastAsia="zh-CN"/>
          <w14:textFill>
            <w14:solidFill>
              <w14:schemeClr w14:val="tx1"/>
            </w14:solidFill>
          </w14:textFill>
        </w:rPr>
        <w:t>；</w:t>
      </w:r>
    </w:p>
    <w:p w14:paraId="18B84EA2">
      <w:pPr>
        <w:keepNext w:val="0"/>
        <w:keepLines w:val="0"/>
        <w:pageBreakBefore w:val="0"/>
        <w:widowControl w:val="0"/>
        <w:kinsoku/>
        <w:wordWrap/>
        <w:overflowPunct/>
        <w:topLinePunct w:val="0"/>
        <w:autoSpaceDE w:val="0"/>
        <w:autoSpaceDN w:val="0"/>
        <w:adjustRightInd w:val="0"/>
        <w:snapToGrid/>
        <w:spacing w:line="360" w:lineRule="auto"/>
        <w:ind w:firstLine="420" w:firstLineChars="200"/>
        <w:rPr>
          <w:rFonts w:hint="eastAsia" w:ascii="宋体" w:hAnsi="宋体" w:eastAsia="宋体" w:cs="宋体"/>
          <w:color w:val="000000" w:themeColor="text1"/>
          <w:kern w:val="0"/>
          <w:highlight w:val="none"/>
          <w:lang w:eastAsia="zh-CN"/>
          <w14:textFill>
            <w14:solidFill>
              <w14:schemeClr w14:val="tx1"/>
            </w14:solidFill>
          </w14:textFill>
        </w:rPr>
      </w:pPr>
      <w:r>
        <w:rPr>
          <w:rFonts w:hint="eastAsia" w:ascii="宋体" w:hAnsi="宋体" w:eastAsia="宋体" w:cs="宋体"/>
          <w:color w:val="000000" w:themeColor="text1"/>
          <w:kern w:val="0"/>
          <w:highlight w:val="none"/>
          <w:lang w:eastAsia="zh-CN"/>
          <w14:textFill>
            <w14:solidFill>
              <w14:schemeClr w14:val="tx1"/>
            </w14:solidFill>
          </w14:textFill>
        </w:rPr>
        <w:t>开户行：</w:t>
      </w:r>
      <w:r>
        <w:rPr>
          <w:rFonts w:hint="eastAsia" w:ascii="宋体" w:hAnsi="宋体" w:eastAsia="宋体" w:cs="宋体"/>
          <w:color w:val="000000" w:themeColor="text1"/>
          <w:kern w:val="0"/>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highlight w:val="none"/>
          <w:lang w:eastAsia="zh-CN"/>
          <w14:textFill>
            <w14:solidFill>
              <w14:schemeClr w14:val="tx1"/>
            </w14:solidFill>
          </w14:textFill>
        </w:rPr>
        <w:t>；</w:t>
      </w:r>
    </w:p>
    <w:p w14:paraId="16867BE3">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账号：</w:t>
      </w:r>
      <w:r>
        <w:rPr>
          <w:rFonts w:hint="eastAsia" w:ascii="宋体" w:hAnsi="宋体" w:eastAsia="宋体" w:cs="宋体"/>
          <w:color w:val="000000" w:themeColor="text1"/>
          <w:kern w:val="0"/>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highlight w:val="none"/>
          <w14:textFill>
            <w14:solidFill>
              <w14:schemeClr w14:val="tx1"/>
            </w14:solidFill>
          </w14:textFill>
        </w:rPr>
        <w:t>。</w:t>
      </w:r>
    </w:p>
    <w:p w14:paraId="359E0D78">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12.4.6 支付分解表的编制</w:t>
      </w:r>
    </w:p>
    <w:p w14:paraId="032F2B04">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总价合同支付分解表的编制与审批：</w:t>
      </w:r>
      <w:r>
        <w:rPr>
          <w:rFonts w:hint="eastAsia" w:ascii="宋体" w:hAnsi="宋体" w:eastAsia="宋体" w:cs="宋体"/>
          <w:color w:val="000000" w:themeColor="text1"/>
          <w:highlight w:val="none"/>
          <w:u w:val="single"/>
          <w14:textFill>
            <w14:solidFill>
              <w14:schemeClr w14:val="tx1"/>
            </w14:solidFill>
          </w14:textFill>
        </w:rPr>
        <w:t xml:space="preserve">  总价合同支付分解表在招标完成后由发包人和承包人共同编制，发包人审批，并作为本合同内容。</w:t>
      </w:r>
    </w:p>
    <w:p w14:paraId="140DC782">
      <w:pPr>
        <w:keepNext w:val="0"/>
        <w:keepLines w:val="0"/>
        <w:pageBreakBefore w:val="0"/>
        <w:widowControl w:val="0"/>
        <w:kinsoku/>
        <w:wordWrap/>
        <w:overflowPunct/>
        <w:topLinePunct w:val="0"/>
        <w:snapToGrid/>
        <w:spacing w:line="360" w:lineRule="auto"/>
        <w:ind w:firstLine="525" w:firstLineChars="25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（2）单价合同的总价项目支付分解表的编制与审批：</w:t>
      </w:r>
      <w:r>
        <w:rPr>
          <w:rFonts w:hint="eastAsia" w:ascii="宋体" w:hAnsi="宋体" w:eastAsia="宋体" w:cs="宋体"/>
          <w:color w:val="000000" w:themeColor="text1"/>
          <w:highlight w:val="none"/>
          <w:u w:val="single"/>
          <w14:textFill>
            <w14:solidFill>
              <w14:schemeClr w14:val="tx1"/>
            </w14:solidFill>
          </w14:textFill>
        </w:rPr>
        <w:t>总价项目不采用支付分解表的方式计算，而按《建设工程工程量清单计价规范（GB50500-2013）广西壮族自治区实施细则》的规定执行</w:t>
      </w:r>
      <w:r>
        <w:rPr>
          <w:rFonts w:hint="eastAsia" w:ascii="宋体" w:hAnsi="宋体" w:eastAsia="宋体" w:cs="宋体"/>
          <w:color w:val="000000" w:themeColor="text1"/>
          <w:highlight w:val="none"/>
          <w14:textFill>
            <w14:solidFill>
              <w14:schemeClr w14:val="tx1"/>
            </w14:solidFill>
          </w14:textFill>
        </w:rPr>
        <w:t>。</w:t>
      </w:r>
    </w:p>
    <w:bookmarkEnd w:id="1179"/>
    <w:p w14:paraId="6A271C16">
      <w:pPr>
        <w:pStyle w:val="5"/>
        <w:rPr>
          <w:rFonts w:hint="eastAsia" w:ascii="宋体" w:hAnsi="宋体" w:eastAsia="宋体" w:cs="宋体"/>
          <w:color w:val="000000" w:themeColor="text1"/>
          <w:highlight w:val="none"/>
          <w14:textFill>
            <w14:solidFill>
              <w14:schemeClr w14:val="tx1"/>
            </w14:solidFill>
          </w14:textFill>
        </w:rPr>
      </w:pPr>
      <w:bookmarkStart w:id="1440" w:name="_Toc351203645"/>
      <w:bookmarkStart w:id="1441" w:name="_Toc78449842"/>
      <w:bookmarkStart w:id="1442" w:name="_Toc373227753"/>
      <w:bookmarkStart w:id="1443" w:name="_Toc2003466256"/>
      <w:bookmarkStart w:id="1444" w:name="_Toc728899116"/>
      <w:bookmarkStart w:id="1445" w:name="_Toc407135256"/>
      <w:bookmarkStart w:id="1446" w:name="_Toc389065318"/>
      <w:bookmarkStart w:id="1447" w:name="_Toc373478400"/>
      <w:bookmarkStart w:id="1448" w:name="_Toc296347218"/>
      <w:bookmarkStart w:id="1449" w:name="_Toc296891259"/>
      <w:bookmarkStart w:id="1450" w:name="_Toc296346720"/>
      <w:bookmarkStart w:id="1451" w:name="_Toc292559929"/>
      <w:bookmarkStart w:id="1452" w:name="_Toc296891047"/>
      <w:bookmarkStart w:id="1453" w:name="_Toc303539172"/>
      <w:bookmarkStart w:id="1454" w:name="_Toc312678053"/>
      <w:bookmarkStart w:id="1455" w:name="_Toc296944558"/>
      <w:bookmarkStart w:id="1456" w:name="_Toc297048405"/>
      <w:bookmarkStart w:id="1457" w:name="_Toc296503219"/>
      <w:bookmarkStart w:id="1458" w:name="_Toc297216223"/>
      <w:bookmarkStart w:id="1459" w:name="_Toc300935015"/>
      <w:bookmarkStart w:id="1460" w:name="_Toc292559424"/>
      <w:bookmarkStart w:id="1461" w:name="_Toc297123564"/>
      <w:bookmarkStart w:id="1462" w:name="_Toc304295593"/>
      <w:bookmarkStart w:id="1463" w:name="_Toc297120519"/>
      <w:r>
        <w:rPr>
          <w:rFonts w:hint="eastAsia" w:ascii="宋体" w:hAnsi="宋体" w:eastAsia="宋体" w:cs="宋体"/>
          <w:color w:val="000000" w:themeColor="text1"/>
          <w:highlight w:val="none"/>
          <w14:textFill>
            <w14:solidFill>
              <w14:schemeClr w14:val="tx1"/>
            </w14:solidFill>
          </w14:textFill>
        </w:rPr>
        <w:t>13. 验收和工程试车</w:t>
      </w:r>
      <w:bookmarkEnd w:id="1440"/>
      <w:bookmarkEnd w:id="1441"/>
      <w:bookmarkEnd w:id="1442"/>
      <w:bookmarkEnd w:id="1443"/>
      <w:bookmarkEnd w:id="1444"/>
      <w:bookmarkEnd w:id="1445"/>
      <w:bookmarkEnd w:id="1446"/>
      <w:bookmarkEnd w:id="1447"/>
    </w:p>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14:paraId="7CE5F379">
      <w:pPr>
        <w:pStyle w:val="6"/>
        <w:rPr>
          <w:rFonts w:hint="eastAsia" w:ascii="宋体" w:hAnsi="宋体" w:eastAsia="宋体" w:cs="宋体"/>
          <w:color w:val="000000" w:themeColor="text1"/>
          <w:highlight w:val="none"/>
          <w14:textFill>
            <w14:solidFill>
              <w14:schemeClr w14:val="tx1"/>
            </w14:solidFill>
          </w14:textFill>
        </w:rPr>
      </w:pPr>
      <w:bookmarkStart w:id="1464" w:name="_Toc78449843"/>
      <w:bookmarkStart w:id="1465" w:name="_Toc389065319"/>
      <w:bookmarkStart w:id="1466" w:name="_Toc740353520"/>
      <w:bookmarkStart w:id="1467" w:name="_Toc373478401"/>
      <w:bookmarkStart w:id="1468" w:name="_Toc407135257"/>
      <w:bookmarkStart w:id="1469" w:name="_Toc373227754"/>
      <w:bookmarkStart w:id="1470" w:name="_Toc834489126"/>
      <w:r>
        <w:rPr>
          <w:rFonts w:hint="eastAsia" w:ascii="宋体" w:hAnsi="宋体" w:eastAsia="宋体" w:cs="宋体"/>
          <w:color w:val="000000" w:themeColor="text1"/>
          <w:highlight w:val="none"/>
          <w14:textFill>
            <w14:solidFill>
              <w14:schemeClr w14:val="tx1"/>
            </w14:solidFill>
          </w14:textFill>
        </w:rPr>
        <w:t>13.1 分部分项工程验收</w:t>
      </w:r>
      <w:bookmarkEnd w:id="1464"/>
      <w:bookmarkEnd w:id="1465"/>
      <w:bookmarkEnd w:id="1466"/>
      <w:bookmarkEnd w:id="1467"/>
      <w:bookmarkEnd w:id="1468"/>
      <w:bookmarkEnd w:id="1469"/>
      <w:bookmarkEnd w:id="1470"/>
    </w:p>
    <w:p w14:paraId="01D3027F">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13.1.2监理人不能按时进行验收时，应提前</w:t>
      </w:r>
      <w:r>
        <w:rPr>
          <w:rFonts w:hint="eastAsia" w:ascii="宋体" w:hAnsi="宋体" w:eastAsia="宋体" w:cs="宋体"/>
          <w:color w:val="000000" w:themeColor="text1"/>
          <w:highlight w:val="none"/>
          <w:u w:val="single"/>
          <w:lang w:val="en-US" w:eastAsia="zh-CN"/>
          <w14:textFill>
            <w14:solidFill>
              <w14:schemeClr w14:val="tx1"/>
            </w14:solidFill>
          </w14:textFill>
        </w:rPr>
        <w:t>24</w:t>
      </w:r>
      <w:r>
        <w:rPr>
          <w:rFonts w:hint="eastAsia" w:ascii="宋体" w:hAnsi="宋体" w:eastAsia="宋体" w:cs="宋体"/>
          <w:color w:val="000000" w:themeColor="text1"/>
          <w:highlight w:val="none"/>
          <w14:textFill>
            <w14:solidFill>
              <w14:schemeClr w14:val="tx1"/>
            </w14:solidFill>
          </w14:textFill>
        </w:rPr>
        <w:t>小时提交书面延期要求。</w:t>
      </w:r>
    </w:p>
    <w:p w14:paraId="5BD2C65B">
      <w:pPr>
        <w:spacing w:line="360" w:lineRule="auto"/>
        <w:ind w:firstLine="420" w:firstLineChars="200"/>
        <w:jc w:val="left"/>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关于延期最长不得超过：</w:t>
      </w:r>
      <w:r>
        <w:rPr>
          <w:rFonts w:hint="eastAsia" w:ascii="宋体" w:hAnsi="宋体" w:eastAsia="宋体" w:cs="宋体"/>
          <w:color w:val="000000" w:themeColor="text1"/>
          <w:highlight w:val="none"/>
          <w:u w:val="single"/>
          <w:lang w:val="en-US" w:eastAsia="zh-CN"/>
          <w14:textFill>
            <w14:solidFill>
              <w14:schemeClr w14:val="tx1"/>
            </w14:solidFill>
          </w14:textFill>
        </w:rPr>
        <w:t>48</w:t>
      </w:r>
      <w:r>
        <w:rPr>
          <w:rFonts w:hint="eastAsia" w:ascii="宋体" w:hAnsi="宋体" w:eastAsia="宋体" w:cs="宋体"/>
          <w:color w:val="000000" w:themeColor="text1"/>
          <w:highlight w:val="none"/>
          <w14:textFill>
            <w14:solidFill>
              <w14:schemeClr w14:val="tx1"/>
            </w14:solidFill>
          </w14:textFill>
        </w:rPr>
        <w:t>小时。</w:t>
      </w:r>
    </w:p>
    <w:p w14:paraId="68663507">
      <w:pPr>
        <w:pStyle w:val="6"/>
        <w:rPr>
          <w:rFonts w:hint="eastAsia" w:ascii="宋体" w:hAnsi="宋体" w:eastAsia="宋体" w:cs="宋体"/>
          <w:color w:val="000000" w:themeColor="text1"/>
          <w:highlight w:val="none"/>
          <w14:textFill>
            <w14:solidFill>
              <w14:schemeClr w14:val="tx1"/>
            </w14:solidFill>
          </w14:textFill>
        </w:rPr>
      </w:pPr>
      <w:bookmarkStart w:id="1471" w:name="_Toc1062221039"/>
      <w:bookmarkStart w:id="1472" w:name="_Toc389065320"/>
      <w:bookmarkStart w:id="1473" w:name="_Toc1578431234"/>
      <w:bookmarkStart w:id="1474" w:name="_Toc78449844"/>
      <w:bookmarkStart w:id="1475" w:name="_Toc373478402"/>
      <w:bookmarkStart w:id="1476" w:name="_Toc373227755"/>
      <w:bookmarkStart w:id="1477" w:name="_Toc407135258"/>
      <w:bookmarkStart w:id="1478" w:name="_Toc297120523"/>
      <w:bookmarkStart w:id="1479" w:name="_Toc292559933"/>
      <w:bookmarkStart w:id="1480" w:name="_Toc297123565"/>
      <w:bookmarkStart w:id="1481" w:name="_Toc296347222"/>
      <w:bookmarkStart w:id="1482" w:name="_Toc300935016"/>
      <w:bookmarkStart w:id="1483" w:name="_Toc296346724"/>
      <w:bookmarkStart w:id="1484" w:name="_Toc304295596"/>
      <w:bookmarkStart w:id="1485" w:name="_Toc297048409"/>
      <w:bookmarkStart w:id="1486" w:name="_Toc296891051"/>
      <w:bookmarkStart w:id="1487" w:name="_Toc297216224"/>
      <w:bookmarkStart w:id="1488" w:name="_Toc292559428"/>
      <w:bookmarkStart w:id="1489" w:name="_Toc296944562"/>
      <w:bookmarkStart w:id="1490" w:name="_Toc303539173"/>
      <w:bookmarkStart w:id="1491" w:name="_Toc296503223"/>
      <w:bookmarkStart w:id="1492" w:name="_Toc312678056"/>
      <w:bookmarkStart w:id="1493" w:name="_Toc296891263"/>
      <w:bookmarkStart w:id="1494" w:name="_Toc267251476"/>
      <w:bookmarkStart w:id="1495" w:name="_Toc267251472"/>
      <w:bookmarkStart w:id="1496" w:name="_Toc267251473"/>
      <w:bookmarkStart w:id="1497" w:name="_Toc267251474"/>
      <w:bookmarkStart w:id="1498" w:name="_Toc267251475"/>
      <w:bookmarkStart w:id="1499" w:name="_Toc267251471"/>
      <w:bookmarkStart w:id="1500" w:name="_Toc267251470"/>
      <w:r>
        <w:rPr>
          <w:rFonts w:hint="eastAsia" w:ascii="宋体" w:hAnsi="宋体" w:eastAsia="宋体" w:cs="宋体"/>
          <w:color w:val="000000" w:themeColor="text1"/>
          <w:highlight w:val="none"/>
          <w14:textFill>
            <w14:solidFill>
              <w14:schemeClr w14:val="tx1"/>
            </w14:solidFill>
          </w14:textFill>
        </w:rPr>
        <w:t>13.2 竣工验收</w:t>
      </w:r>
      <w:bookmarkEnd w:id="1471"/>
      <w:bookmarkEnd w:id="1472"/>
      <w:bookmarkEnd w:id="1473"/>
      <w:bookmarkEnd w:id="1474"/>
      <w:bookmarkEnd w:id="1475"/>
      <w:bookmarkEnd w:id="1476"/>
      <w:bookmarkEnd w:id="1477"/>
    </w:p>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14:paraId="1D271F7B">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bookmarkStart w:id="1501" w:name="_Toc280868704"/>
      <w:bookmarkStart w:id="1502" w:name="_Toc280868705"/>
      <w:bookmarkStart w:id="1503" w:name="_Toc280868706"/>
      <w:bookmarkStart w:id="1504" w:name="_Toc280868707"/>
      <w:bookmarkStart w:id="1505" w:name="_Toc280868708"/>
      <w:bookmarkStart w:id="1506" w:name="_Toc280868709"/>
      <w:r>
        <w:rPr>
          <w:rFonts w:hint="eastAsia" w:ascii="宋体" w:hAnsi="宋体" w:eastAsia="宋体" w:cs="宋体"/>
          <w:color w:val="000000" w:themeColor="text1"/>
          <w:highlight w:val="none"/>
          <w14:textFill>
            <w14:solidFill>
              <w14:schemeClr w14:val="tx1"/>
            </w14:solidFill>
          </w14:textFill>
        </w:rPr>
        <w:t>13.2.1竣工验收条件</w:t>
      </w:r>
    </w:p>
    <w:p w14:paraId="3AACCACB">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（3）承包人负责整理和提交的竣工验收资料应当符合工程所在地建设行政主管部门和(或)城市建设档案管理机构有关施工资料的要求，具体内容包括</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施工管理资料、建筑材料及工程质量检测报告、单项验收报告、竣工图等</w:t>
      </w:r>
      <w:r>
        <w:rPr>
          <w:rFonts w:hint="eastAsia" w:ascii="宋体" w:hAnsi="宋体" w:eastAsia="宋体" w:cs="宋体"/>
          <w:color w:val="000000" w:themeColor="text1"/>
          <w:highlight w:val="none"/>
          <w14:textFill>
            <w14:solidFill>
              <w14:schemeClr w14:val="tx1"/>
            </w14:solidFill>
          </w14:textFill>
        </w:rPr>
        <w:t>。</w:t>
      </w:r>
    </w:p>
    <w:p w14:paraId="5A3F1AAC">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竣工验收资料的份数：</w:t>
      </w:r>
      <w:r>
        <w:rPr>
          <w:rFonts w:hint="eastAsia" w:ascii="宋体" w:hAnsi="宋体" w:eastAsia="宋体" w:cs="宋体"/>
          <w:color w:val="000000" w:themeColor="text1"/>
          <w:highlight w:val="none"/>
          <w:u w:val="single"/>
          <w:lang w:val="en-US" w:eastAsia="zh-CN"/>
          <w14:textFill>
            <w14:solidFill>
              <w14:schemeClr w14:val="tx1"/>
            </w14:solidFill>
          </w14:textFill>
        </w:rPr>
        <w:t>一式贰份</w:t>
      </w:r>
      <w:r>
        <w:rPr>
          <w:rFonts w:hint="eastAsia" w:ascii="宋体" w:hAnsi="宋体" w:eastAsia="宋体" w:cs="宋体"/>
          <w:color w:val="000000" w:themeColor="text1"/>
          <w:highlight w:val="none"/>
          <w14:textFill>
            <w14:solidFill>
              <w14:schemeClr w14:val="tx1"/>
            </w14:solidFill>
          </w14:textFill>
        </w:rPr>
        <w:t>。</w:t>
      </w:r>
    </w:p>
    <w:p w14:paraId="6CABAF76">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承包人提供竣工图的约定：</w:t>
      </w:r>
      <w:r>
        <w:rPr>
          <w:rFonts w:hint="eastAsia" w:ascii="宋体" w:hAnsi="宋体" w:eastAsia="宋体" w:cs="宋体"/>
          <w:color w:val="000000" w:themeColor="text1"/>
          <w:highlight w:val="none"/>
          <w:u w:val="single"/>
          <w14:textFill>
            <w14:solidFill>
              <w14:schemeClr w14:val="tx1"/>
            </w14:solidFill>
          </w14:textFill>
        </w:rPr>
        <w:t>竣工验收正式通过后 15 天，提供竣工图的数量为 2 套。</w:t>
      </w:r>
    </w:p>
    <w:p w14:paraId="74AC6D88">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13.2.2竣工验收程序</w:t>
      </w:r>
    </w:p>
    <w:bookmarkEnd w:id="1501"/>
    <w:p w14:paraId="6A2D3844">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关于竣工验收程序的约定：</w:t>
      </w:r>
      <w:r>
        <w:rPr>
          <w:rFonts w:hint="eastAsia" w:ascii="宋体" w:hAnsi="宋体" w:eastAsia="宋体" w:cs="宋体"/>
          <w:color w:val="000000" w:themeColor="text1"/>
          <w:kern w:val="0"/>
          <w:szCs w:val="21"/>
          <w:highlight w:val="none"/>
          <w:u w:val="single"/>
          <w14:textFill>
            <w14:solidFill>
              <w14:schemeClr w14:val="tx1"/>
            </w14:solidFill>
          </w14:textFill>
        </w:rPr>
        <w:t>按国家竣工验收规定及项目所在地建设行政管理部门规定要求执行</w:t>
      </w:r>
      <w:r>
        <w:rPr>
          <w:rFonts w:hint="eastAsia" w:ascii="宋体" w:hAnsi="宋体" w:eastAsia="宋体" w:cs="宋体"/>
          <w:color w:val="000000" w:themeColor="text1"/>
          <w:highlight w:val="none"/>
          <w14:textFill>
            <w14:solidFill>
              <w14:schemeClr w14:val="tx1"/>
            </w14:solidFill>
          </w14:textFill>
        </w:rPr>
        <w:t>。</w:t>
      </w:r>
    </w:p>
    <w:p w14:paraId="5670B0AA">
      <w:pPr>
        <w:spacing w:line="360" w:lineRule="auto"/>
        <w:ind w:firstLine="420" w:firstLineChars="200"/>
        <w:jc w:val="lef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项目完成后，由承包方提前七天发出验收申请，由建设单位组织相关部门验收，如建设单位在收到承包方通知后30天未组织项目验收，并且没有合理的文件回复，则视为项目验收合格通过</w:t>
      </w:r>
      <w:r>
        <w:rPr>
          <w:rFonts w:hint="eastAsia" w:ascii="宋体" w:hAnsi="宋体" w:cs="宋体"/>
          <w:color w:val="000000" w:themeColor="text1"/>
          <w:highlight w:val="none"/>
          <w:lang w:eastAsia="zh-CN"/>
          <w14:textFill>
            <w14:solidFill>
              <w14:schemeClr w14:val="tx1"/>
            </w14:solidFill>
          </w14:textFill>
        </w:rPr>
        <w:t>。</w:t>
      </w:r>
    </w:p>
    <w:p w14:paraId="546C093B">
      <w:pPr>
        <w:spacing w:line="360" w:lineRule="auto"/>
        <w:ind w:firstLine="210" w:firstLineChars="1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发包人不按照本项约定组织竣工验收、颁发工程接收证书的违约金的计算方法：</w:t>
      </w:r>
      <w:r>
        <w:rPr>
          <w:rFonts w:hint="eastAsia" w:ascii="宋体" w:hAnsi="宋体" w:eastAsia="宋体" w:cs="宋体"/>
          <w:color w:val="000000" w:themeColor="text1"/>
          <w:highlight w:val="none"/>
          <w:u w:val="single"/>
          <w:lang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bookmarkEnd w:id="1502"/>
    <w:p w14:paraId="554B6179">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13.2.5移交、接收全部与部分工程</w:t>
      </w:r>
    </w:p>
    <w:bookmarkEnd w:id="1503"/>
    <w:p w14:paraId="7A293205">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 xml:space="preserve">承包人向发包人移交工程的期限： </w:t>
      </w:r>
      <w:r>
        <w:rPr>
          <w:rFonts w:hint="eastAsia" w:ascii="宋体" w:hAnsi="宋体" w:eastAsia="宋体" w:cs="宋体"/>
          <w:color w:val="000000" w:themeColor="text1"/>
          <w:kern w:val="0"/>
          <w:highlight w:val="none"/>
          <w:u w:val="single"/>
          <w14:textFill>
            <w14:solidFill>
              <w14:schemeClr w14:val="tx1"/>
            </w14:solidFill>
          </w14:textFill>
        </w:rPr>
        <w:t>验收合格后7 日内</w:t>
      </w:r>
      <w:r>
        <w:rPr>
          <w:rFonts w:hint="eastAsia" w:ascii="宋体" w:hAnsi="宋体" w:eastAsia="宋体" w:cs="宋体"/>
          <w:color w:val="000000" w:themeColor="text1"/>
          <w:highlight w:val="none"/>
          <w14:textFill>
            <w14:solidFill>
              <w14:schemeClr w14:val="tx1"/>
            </w14:solidFill>
          </w14:textFill>
        </w:rPr>
        <w:t>。</w:t>
      </w:r>
    </w:p>
    <w:p w14:paraId="0B1C0AA6">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发包人未按本合同约定接收全部或部分工程的，违约金的计算方法为：</w:t>
      </w:r>
      <w:r>
        <w:rPr>
          <w:rFonts w:hint="eastAsia" w:ascii="宋体" w:hAnsi="宋体" w:eastAsia="宋体" w:cs="宋体"/>
          <w:color w:val="000000" w:themeColor="text1"/>
          <w:kern w:val="0"/>
          <w:highlight w:val="none"/>
          <w:u w:val="single"/>
          <w:lang w:val="en-US"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bookmarkEnd w:id="1504"/>
    <w:p w14:paraId="0925DD0D">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承包人未按时移交工程的，违约金的计算方法为：</w:t>
      </w:r>
      <w:r>
        <w:rPr>
          <w:rFonts w:hint="eastAsia" w:ascii="宋体" w:hAnsi="宋体" w:eastAsia="宋体" w:cs="宋体"/>
          <w:color w:val="000000" w:themeColor="text1"/>
          <w:highlight w:val="none"/>
          <w:u w:val="single"/>
          <w14:textFill>
            <w14:solidFill>
              <w14:schemeClr w14:val="tx1"/>
            </w14:solidFill>
          </w14:textFill>
        </w:rPr>
        <w:t>承包人在配合发包人完成竣工备案过程中，不得以工程结算、工程款支付等为由拒绝或拖延提供需承包人提供的资料（如工人工资发放完成承诺书、工程款支付证明等）。否则，发包人除处承包人10万元的违约金外，还须承担由此造成竣工备案延误引起发包人的一切损失（包括直接及间接损失等）。同时，发包人有权延缓结算的办理时间，缓付甚至拒付工程款</w:t>
      </w:r>
      <w:r>
        <w:rPr>
          <w:rFonts w:hint="eastAsia" w:ascii="宋体" w:hAnsi="宋体" w:eastAsia="宋体" w:cs="宋体"/>
          <w:color w:val="000000" w:themeColor="text1"/>
          <w:highlight w:val="none"/>
          <w14:textFill>
            <w14:solidFill>
              <w14:schemeClr w14:val="tx1"/>
            </w14:solidFill>
          </w14:textFill>
        </w:rPr>
        <w:t>。</w:t>
      </w:r>
    </w:p>
    <w:p w14:paraId="4543A996">
      <w:pPr>
        <w:pStyle w:val="6"/>
        <w:rPr>
          <w:rFonts w:hint="eastAsia" w:ascii="宋体" w:hAnsi="宋体" w:eastAsia="宋体" w:cs="宋体"/>
          <w:color w:val="000000" w:themeColor="text1"/>
          <w:highlight w:val="none"/>
          <w14:textFill>
            <w14:solidFill>
              <w14:schemeClr w14:val="tx1"/>
            </w14:solidFill>
          </w14:textFill>
        </w:rPr>
      </w:pPr>
      <w:bookmarkStart w:id="1507" w:name="_Toc2090321864"/>
      <w:bookmarkStart w:id="1508" w:name="_Toc373227756"/>
      <w:bookmarkStart w:id="1509" w:name="_Toc78449845"/>
      <w:bookmarkStart w:id="1510" w:name="_Toc407135259"/>
      <w:bookmarkStart w:id="1511" w:name="_Toc1470255881"/>
      <w:bookmarkStart w:id="1512" w:name="_Toc389065321"/>
      <w:bookmarkStart w:id="1513" w:name="_Toc373478403"/>
      <w:r>
        <w:rPr>
          <w:rFonts w:hint="eastAsia" w:ascii="宋体" w:hAnsi="宋体" w:eastAsia="宋体" w:cs="宋体"/>
          <w:color w:val="000000" w:themeColor="text1"/>
          <w:highlight w:val="none"/>
          <w14:textFill>
            <w14:solidFill>
              <w14:schemeClr w14:val="tx1"/>
            </w14:solidFill>
          </w14:textFill>
        </w:rPr>
        <w:t>13.3 工程试车</w:t>
      </w:r>
      <w:bookmarkEnd w:id="1507"/>
      <w:bookmarkEnd w:id="1508"/>
      <w:bookmarkEnd w:id="1509"/>
      <w:bookmarkEnd w:id="1510"/>
      <w:bookmarkEnd w:id="1511"/>
      <w:bookmarkEnd w:id="1512"/>
      <w:bookmarkEnd w:id="1513"/>
    </w:p>
    <w:bookmarkEnd w:id="1505"/>
    <w:p w14:paraId="7C6C27A4">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13.3.1 试车程序</w:t>
      </w:r>
    </w:p>
    <w:p w14:paraId="6468AE7E">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工程试车内容：</w:t>
      </w:r>
      <w:r>
        <w:rPr>
          <w:rFonts w:hint="eastAsia" w:ascii="宋体" w:hAnsi="宋体" w:eastAsia="宋体" w:cs="宋体"/>
          <w:color w:val="000000" w:themeColor="text1"/>
          <w:highlight w:val="none"/>
          <w:u w:val="single"/>
          <w:lang w:val="en-US"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p w14:paraId="63D2AED8">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（1）单机无负荷试车费用由</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   </w:t>
      </w:r>
      <w:r>
        <w:rPr>
          <w:rFonts w:hint="eastAsia" w:ascii="宋体" w:hAnsi="宋体" w:eastAsia="宋体" w:cs="宋体"/>
          <w:color w:val="000000" w:themeColor="text1"/>
          <w:kern w:val="0"/>
          <w:highlight w:val="none"/>
          <w14:textFill>
            <w14:solidFill>
              <w14:schemeClr w14:val="tx1"/>
            </w14:solidFill>
          </w14:textFill>
        </w:rPr>
        <w:t>承担；</w:t>
      </w:r>
    </w:p>
    <w:p w14:paraId="249CA9F4">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（2）无负荷联动试车费用由</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  </w:t>
      </w:r>
      <w:r>
        <w:rPr>
          <w:rFonts w:hint="eastAsia" w:ascii="宋体" w:hAnsi="宋体" w:eastAsia="宋体" w:cs="宋体"/>
          <w:color w:val="000000" w:themeColor="text1"/>
          <w:kern w:val="0"/>
          <w:highlight w:val="none"/>
          <w14:textFill>
            <w14:solidFill>
              <w14:schemeClr w14:val="tx1"/>
            </w14:solidFill>
          </w14:textFill>
        </w:rPr>
        <w:t>承担。</w:t>
      </w:r>
    </w:p>
    <w:p w14:paraId="272A165E">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13.3.3 投料试车</w:t>
      </w:r>
    </w:p>
    <w:p w14:paraId="4CAE5E34">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关于投料试车相关事项的约定：</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w:t>
      </w:r>
    </w:p>
    <w:p w14:paraId="5B68217D">
      <w:pPr>
        <w:pStyle w:val="6"/>
        <w:rPr>
          <w:rFonts w:hint="eastAsia" w:ascii="宋体" w:hAnsi="宋体" w:eastAsia="宋体" w:cs="宋体"/>
          <w:color w:val="000000" w:themeColor="text1"/>
          <w:highlight w:val="none"/>
          <w14:textFill>
            <w14:solidFill>
              <w14:schemeClr w14:val="tx1"/>
            </w14:solidFill>
          </w14:textFill>
        </w:rPr>
      </w:pPr>
      <w:bookmarkStart w:id="1514" w:name="_Toc373478404"/>
      <w:bookmarkStart w:id="1515" w:name="_Toc78449846"/>
      <w:bookmarkStart w:id="1516" w:name="_Toc389065322"/>
      <w:bookmarkStart w:id="1517" w:name="_Toc10307455"/>
      <w:bookmarkStart w:id="1518" w:name="_Toc373227757"/>
      <w:bookmarkStart w:id="1519" w:name="_Toc407135260"/>
      <w:bookmarkStart w:id="1520" w:name="_Toc550030550"/>
      <w:r>
        <w:rPr>
          <w:rFonts w:hint="eastAsia" w:ascii="宋体" w:hAnsi="宋体" w:eastAsia="宋体" w:cs="宋体"/>
          <w:color w:val="000000" w:themeColor="text1"/>
          <w:highlight w:val="none"/>
          <w14:textFill>
            <w14:solidFill>
              <w14:schemeClr w14:val="tx1"/>
            </w14:solidFill>
          </w14:textFill>
        </w:rPr>
        <w:t>13.6 竣工退场</w:t>
      </w:r>
      <w:bookmarkEnd w:id="1514"/>
      <w:bookmarkEnd w:id="1515"/>
      <w:bookmarkEnd w:id="1516"/>
      <w:bookmarkEnd w:id="1517"/>
      <w:bookmarkEnd w:id="1518"/>
      <w:bookmarkEnd w:id="1519"/>
      <w:bookmarkEnd w:id="1520"/>
    </w:p>
    <w:p w14:paraId="19ED5FBC">
      <w:pPr>
        <w:spacing w:line="360" w:lineRule="auto"/>
        <w:ind w:firstLine="420" w:firstLineChars="200"/>
        <w:jc w:val="left"/>
        <w:outlineLvl w:val="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13.6.1 竣工退场</w:t>
      </w:r>
    </w:p>
    <w:p w14:paraId="74F13E78">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承包人完成竣工退场的期限：</w:t>
      </w:r>
      <w:r>
        <w:rPr>
          <w:rFonts w:hint="eastAsia" w:ascii="宋体" w:hAnsi="宋体" w:eastAsia="宋体" w:cs="宋体"/>
          <w:color w:val="000000" w:themeColor="text1"/>
          <w:kern w:val="0"/>
          <w:highlight w:val="none"/>
          <w:u w:val="single"/>
          <w:lang w:val="en-US" w:eastAsia="zh-CN"/>
          <w14:textFill>
            <w14:solidFill>
              <w14:schemeClr w14:val="tx1"/>
            </w14:solidFill>
          </w14:textFill>
        </w:rPr>
        <w:t>按发包人要求</w:t>
      </w:r>
      <w:r>
        <w:rPr>
          <w:rFonts w:hint="eastAsia" w:ascii="宋体" w:hAnsi="宋体" w:eastAsia="宋体" w:cs="宋体"/>
          <w:color w:val="000000" w:themeColor="text1"/>
          <w:kern w:val="0"/>
          <w:highlight w:val="none"/>
          <w14:textFill>
            <w14:solidFill>
              <w14:schemeClr w14:val="tx1"/>
            </w14:solidFill>
          </w14:textFill>
        </w:rPr>
        <w:t>。</w:t>
      </w:r>
    </w:p>
    <w:p w14:paraId="5CC3B23F">
      <w:pPr>
        <w:pStyle w:val="5"/>
        <w:rPr>
          <w:rFonts w:hint="eastAsia" w:ascii="宋体" w:hAnsi="宋体" w:eastAsia="宋体" w:cs="宋体"/>
          <w:color w:val="000000" w:themeColor="text1"/>
          <w:highlight w:val="none"/>
          <w14:textFill>
            <w14:solidFill>
              <w14:schemeClr w14:val="tx1"/>
            </w14:solidFill>
          </w14:textFill>
        </w:rPr>
      </w:pPr>
      <w:bookmarkStart w:id="1521" w:name="_Toc407135261"/>
      <w:bookmarkStart w:id="1522" w:name="_Toc351203646"/>
      <w:bookmarkStart w:id="1523" w:name="_Toc373478405"/>
      <w:bookmarkStart w:id="1524" w:name="_Toc373227758"/>
      <w:bookmarkStart w:id="1525" w:name="_Toc1950258056"/>
      <w:bookmarkStart w:id="1526" w:name="_Toc1385490858"/>
      <w:bookmarkStart w:id="1527" w:name="_Toc78449847"/>
      <w:bookmarkStart w:id="1528" w:name="_Toc389065323"/>
      <w:r>
        <w:rPr>
          <w:rFonts w:hint="eastAsia" w:ascii="宋体" w:hAnsi="宋体" w:eastAsia="宋体" w:cs="宋体"/>
          <w:color w:val="000000" w:themeColor="text1"/>
          <w:highlight w:val="none"/>
          <w14:textFill>
            <w14:solidFill>
              <w14:schemeClr w14:val="tx1"/>
            </w14:solidFill>
          </w14:textFill>
        </w:rPr>
        <w:t>14. 竣工结算</w:t>
      </w:r>
      <w:bookmarkEnd w:id="1521"/>
      <w:bookmarkEnd w:id="1522"/>
      <w:bookmarkEnd w:id="1523"/>
      <w:bookmarkEnd w:id="1524"/>
      <w:bookmarkEnd w:id="1525"/>
      <w:bookmarkEnd w:id="1526"/>
      <w:bookmarkEnd w:id="1527"/>
      <w:bookmarkEnd w:id="1528"/>
    </w:p>
    <w:p w14:paraId="73DB8339">
      <w:pPr>
        <w:pStyle w:val="6"/>
        <w:rPr>
          <w:rFonts w:hint="eastAsia" w:ascii="宋体" w:hAnsi="宋体" w:eastAsia="宋体" w:cs="宋体"/>
          <w:color w:val="000000" w:themeColor="text1"/>
          <w:highlight w:val="none"/>
          <w14:textFill>
            <w14:solidFill>
              <w14:schemeClr w14:val="tx1"/>
            </w14:solidFill>
          </w14:textFill>
        </w:rPr>
      </w:pPr>
      <w:bookmarkStart w:id="1529" w:name="_Toc389065324"/>
      <w:bookmarkStart w:id="1530" w:name="_Toc373227759"/>
      <w:bookmarkStart w:id="1531" w:name="_Toc78449848"/>
      <w:bookmarkStart w:id="1532" w:name="_Toc407135262"/>
      <w:bookmarkStart w:id="1533" w:name="_Toc373478406"/>
      <w:bookmarkStart w:id="1534" w:name="_Toc174652718"/>
      <w:bookmarkStart w:id="1535" w:name="_Toc1973954660"/>
      <w:r>
        <w:rPr>
          <w:rFonts w:hint="eastAsia" w:ascii="宋体" w:hAnsi="宋体" w:eastAsia="宋体" w:cs="宋体"/>
          <w:color w:val="000000" w:themeColor="text1"/>
          <w:highlight w:val="none"/>
          <w14:textFill>
            <w14:solidFill>
              <w14:schemeClr w14:val="tx1"/>
            </w14:solidFill>
          </w14:textFill>
        </w:rPr>
        <w:t>14.1 竣工付款申请</w:t>
      </w:r>
      <w:bookmarkEnd w:id="1529"/>
      <w:bookmarkEnd w:id="1530"/>
      <w:bookmarkEnd w:id="1531"/>
      <w:bookmarkEnd w:id="1532"/>
      <w:bookmarkEnd w:id="1533"/>
      <w:bookmarkEnd w:id="1534"/>
      <w:bookmarkEnd w:id="1535"/>
    </w:p>
    <w:p w14:paraId="5731CB0F">
      <w:pPr>
        <w:numPr>
          <w:ilvl w:val="0"/>
          <w:numId w:val="0"/>
        </w:numPr>
        <w:spacing w:line="400" w:lineRule="exact"/>
        <w:ind w:left="0"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自竣工结算完毕之日起 </w:t>
      </w:r>
      <w:r>
        <w:rPr>
          <w:rFonts w:hint="eastAsia" w:ascii="宋体" w:hAnsi="宋体" w:eastAsia="宋体" w:cs="宋体"/>
          <w:color w:val="000000" w:themeColor="text1"/>
          <w:highlight w:val="none"/>
          <w:u w:val="single"/>
          <w:lang w:val="en-US" w:eastAsia="zh-CN"/>
          <w14:textFill>
            <w14:solidFill>
              <w14:schemeClr w14:val="tx1"/>
            </w14:solidFill>
          </w14:textFill>
        </w:rPr>
        <w:t>60</w:t>
      </w:r>
      <w:r>
        <w:rPr>
          <w:rFonts w:hint="eastAsia" w:ascii="宋体" w:hAnsi="宋体" w:eastAsia="宋体" w:cs="宋体"/>
          <w:color w:val="000000" w:themeColor="text1"/>
          <w:highlight w:val="none"/>
          <w:u w:val="single"/>
          <w14:textFill>
            <w14:solidFill>
              <w14:schemeClr w14:val="tx1"/>
            </w14:solidFill>
          </w14:textFill>
        </w:rPr>
        <w:t xml:space="preserve"> 天内，</w:t>
      </w:r>
      <w:r>
        <w:rPr>
          <w:rFonts w:hint="eastAsia" w:ascii="宋体" w:hAnsi="宋体" w:eastAsia="宋体" w:cs="宋体"/>
          <w:color w:val="000000" w:themeColor="text1"/>
          <w:highlight w:val="none"/>
          <w:u w:val="single"/>
          <w:lang w:val="en-US" w:eastAsia="zh-CN"/>
          <w14:textFill>
            <w14:solidFill>
              <w14:schemeClr w14:val="tx1"/>
            </w14:solidFill>
          </w14:textFill>
        </w:rPr>
        <w:t>由承包人向发包人提出竣工付款申请</w:t>
      </w:r>
      <w:r>
        <w:rPr>
          <w:rFonts w:hint="eastAsia" w:ascii="宋体" w:hAnsi="宋体" w:eastAsia="宋体" w:cs="宋体"/>
          <w:color w:val="000000" w:themeColor="text1"/>
          <w:highlight w:val="none"/>
          <w:u w:val="single"/>
          <w14:textFill>
            <w14:solidFill>
              <w14:schemeClr w14:val="tx1"/>
            </w14:solidFill>
          </w14:textFill>
        </w:rPr>
        <w:t>。</w:t>
      </w:r>
    </w:p>
    <w:p w14:paraId="11254BDB">
      <w:pPr>
        <w:keepNext w:val="0"/>
        <w:keepLines w:val="0"/>
        <w:pageBreakBefore w:val="0"/>
        <w:widowControl w:val="0"/>
        <w:kinsoku/>
        <w:wordWrap/>
        <w:overflowPunct/>
        <w:topLinePunct w:val="0"/>
        <w:autoSpaceDE/>
        <w:autoSpaceDN/>
        <w:adjustRightInd/>
        <w:snapToGrid/>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hAnsi="宋体" w:cs="宋体"/>
          <w:color w:val="000000" w:themeColor="text1"/>
          <w:highlight w:val="none"/>
          <w14:textFill>
            <w14:solidFill>
              <w14:schemeClr w14:val="tx1"/>
            </w14:solidFill>
          </w14:textFill>
        </w:rPr>
        <w:t>竣工付款申请</w:t>
      </w:r>
      <w:r>
        <w:rPr>
          <w:rFonts w:hint="eastAsia" w:hAnsi="宋体" w:cs="宋体"/>
          <w:color w:val="000000" w:themeColor="text1"/>
          <w:highlight w:val="none"/>
          <w:u w:val="single"/>
          <w:lang w:val="en-US" w:eastAsia="zh-CN"/>
          <w14:textFill>
            <w14:solidFill>
              <w14:schemeClr w14:val="tx1"/>
            </w14:solidFill>
          </w14:textFill>
        </w:rPr>
        <w:t>材料</w:t>
      </w:r>
      <w:r>
        <w:rPr>
          <w:rFonts w:hint="eastAsia" w:hAnsi="宋体" w:cs="宋体"/>
          <w:color w:val="000000" w:themeColor="text1"/>
          <w:highlight w:val="none"/>
          <w14:textFill>
            <w14:solidFill>
              <w14:schemeClr w14:val="tx1"/>
            </w14:solidFill>
          </w14:textFill>
        </w:rPr>
        <w:t>应包括的内容：</w:t>
      </w:r>
      <w:r>
        <w:rPr>
          <w:rFonts w:hint="eastAsia" w:hAnsi="宋体" w:cs="宋体"/>
          <w:color w:val="000000" w:themeColor="text1"/>
          <w:highlight w:val="none"/>
          <w:u w:val="single"/>
          <w:lang w:val="en-US" w:eastAsia="zh-CN"/>
          <w14:textFill>
            <w14:solidFill>
              <w14:schemeClr w14:val="tx1"/>
            </w14:solidFill>
          </w14:textFill>
        </w:rPr>
        <w:t>请款函、</w:t>
      </w:r>
      <w:r>
        <w:rPr>
          <w:rFonts w:hint="eastAsia" w:hAnsi="宋体" w:cs="宋体"/>
          <w:color w:val="000000" w:themeColor="text1"/>
          <w:highlight w:val="none"/>
          <w:u w:val="single"/>
          <w14:textFill>
            <w14:solidFill>
              <w14:schemeClr w14:val="tx1"/>
            </w14:solidFill>
          </w14:textFill>
        </w:rPr>
        <w:t>合同、结算书、</w:t>
      </w:r>
      <w:r>
        <w:rPr>
          <w:rFonts w:hint="eastAsia" w:hAnsi="宋体" w:cs="宋体"/>
          <w:color w:val="000000" w:themeColor="text1"/>
          <w:highlight w:val="none"/>
          <w:u w:val="single"/>
          <w:lang w:val="en-US" w:eastAsia="zh-CN"/>
          <w14:textFill>
            <w14:solidFill>
              <w14:schemeClr w14:val="tx1"/>
            </w14:solidFill>
          </w14:textFill>
        </w:rPr>
        <w:t>竣工验收报告</w:t>
      </w:r>
      <w:r>
        <w:rPr>
          <w:rFonts w:hint="eastAsia" w:hAnsi="宋体" w:cs="宋体"/>
          <w:color w:val="000000" w:themeColor="text1"/>
          <w:highlight w:val="none"/>
          <w:u w:val="single"/>
          <w14:textFill>
            <w14:solidFill>
              <w14:schemeClr w14:val="tx1"/>
            </w14:solidFill>
          </w14:textFill>
        </w:rPr>
        <w:t>等发包人要求的资料（具体请款时与</w:t>
      </w:r>
      <w:r>
        <w:rPr>
          <w:rFonts w:hint="eastAsia" w:hAnsi="宋体" w:cs="宋体"/>
          <w:color w:val="000000" w:themeColor="text1"/>
          <w:highlight w:val="none"/>
          <w:u w:val="single"/>
          <w:lang w:val="en-US" w:eastAsia="zh-CN"/>
          <w14:textFill>
            <w14:solidFill>
              <w14:schemeClr w14:val="tx1"/>
            </w14:solidFill>
          </w14:textFill>
        </w:rPr>
        <w:t>发包人</w:t>
      </w:r>
      <w:r>
        <w:rPr>
          <w:rFonts w:hint="eastAsia" w:hAnsi="宋体" w:cs="宋体"/>
          <w:color w:val="000000" w:themeColor="text1"/>
          <w:highlight w:val="none"/>
          <w:u w:val="single"/>
          <w14:textFill>
            <w14:solidFill>
              <w14:schemeClr w14:val="tx1"/>
            </w14:solidFill>
          </w14:textFill>
        </w:rPr>
        <w:t>对接）。</w:t>
      </w:r>
    </w:p>
    <w:p w14:paraId="2312A92F">
      <w:pPr>
        <w:pStyle w:val="6"/>
        <w:rPr>
          <w:rFonts w:hint="eastAsia" w:ascii="宋体" w:hAnsi="宋体" w:eastAsia="宋体" w:cs="宋体"/>
          <w:color w:val="000000" w:themeColor="text1"/>
          <w:highlight w:val="none"/>
          <w14:textFill>
            <w14:solidFill>
              <w14:schemeClr w14:val="tx1"/>
            </w14:solidFill>
          </w14:textFill>
        </w:rPr>
      </w:pPr>
      <w:bookmarkStart w:id="1536" w:name="_Toc78449849"/>
      <w:bookmarkStart w:id="1537" w:name="_Toc667492935"/>
      <w:bookmarkStart w:id="1538" w:name="_Toc489920513"/>
      <w:bookmarkStart w:id="1539" w:name="_Toc407135263"/>
      <w:bookmarkStart w:id="1540" w:name="_Toc373227760"/>
      <w:bookmarkStart w:id="1541" w:name="_Toc373478407"/>
      <w:bookmarkStart w:id="1542" w:name="_Toc389065325"/>
      <w:r>
        <w:rPr>
          <w:rFonts w:hint="eastAsia" w:ascii="宋体" w:hAnsi="宋体" w:eastAsia="宋体" w:cs="宋体"/>
          <w:color w:val="000000" w:themeColor="text1"/>
          <w:highlight w:val="none"/>
          <w14:textFill>
            <w14:solidFill>
              <w14:schemeClr w14:val="tx1"/>
            </w14:solidFill>
          </w14:textFill>
        </w:rPr>
        <w:t>14.2 竣工结算审核</w:t>
      </w:r>
      <w:bookmarkEnd w:id="1536"/>
      <w:bookmarkEnd w:id="1537"/>
      <w:bookmarkEnd w:id="1538"/>
      <w:bookmarkEnd w:id="1539"/>
      <w:bookmarkEnd w:id="1540"/>
      <w:bookmarkEnd w:id="1541"/>
      <w:bookmarkEnd w:id="1542"/>
    </w:p>
    <w:p w14:paraId="37C9B96C">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发包人审批竣工</w:t>
      </w:r>
      <w:r>
        <w:rPr>
          <w:rFonts w:hint="eastAsia" w:ascii="宋体" w:hAnsi="宋体" w:cs="宋体"/>
          <w:color w:val="000000" w:themeColor="text1"/>
          <w:highlight w:val="none"/>
          <w:lang w:val="en-US" w:eastAsia="zh-CN"/>
          <w14:textFill>
            <w14:solidFill>
              <w14:schemeClr w14:val="tx1"/>
            </w14:solidFill>
          </w14:textFill>
        </w:rPr>
        <w:t>结算</w:t>
      </w:r>
      <w:r>
        <w:rPr>
          <w:rFonts w:hint="eastAsia" w:ascii="宋体" w:hAnsi="宋体" w:eastAsia="宋体" w:cs="宋体"/>
          <w:color w:val="000000" w:themeColor="text1"/>
          <w:highlight w:val="none"/>
          <w14:textFill>
            <w14:solidFill>
              <w14:schemeClr w14:val="tx1"/>
            </w14:solidFill>
          </w14:textFill>
        </w:rPr>
        <w:t>申请的期限：</w:t>
      </w:r>
    </w:p>
    <w:tbl>
      <w:tblPr>
        <w:tblStyle w:val="53"/>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3361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vAlign w:val="center"/>
          </w:tcPr>
          <w:p w14:paraId="0CE50532">
            <w:pPr>
              <w:keepNext w:val="0"/>
              <w:keepLines w:val="0"/>
              <w:suppressLineNumbers w:val="0"/>
              <w:spacing w:before="0" w:beforeAutospacing="0" w:after="0" w:afterAutospacing="0" w:line="360" w:lineRule="auto"/>
              <w:ind w:left="0" w:right="0"/>
              <w:rPr>
                <w:rFonts w:hint="eastAsia" w:ascii="宋体" w:hAnsi="宋体" w:eastAsia="宋体" w:cs="宋体"/>
                <w:color w:val="000000" w:themeColor="text1"/>
                <w:highlight w:val="none"/>
                <w14:textFill>
                  <w14:solidFill>
                    <w14:schemeClr w14:val="tx1"/>
                  </w14:solidFill>
                </w14:textFill>
              </w:rPr>
            </w:pPr>
          </w:p>
        </w:tc>
        <w:tc>
          <w:tcPr>
            <w:tcW w:w="2466" w:type="dxa"/>
            <w:tcBorders>
              <w:tl2br w:val="nil"/>
              <w:tr2bl w:val="nil"/>
            </w:tcBorders>
            <w:vAlign w:val="center"/>
          </w:tcPr>
          <w:p w14:paraId="6ABF937A">
            <w:pPr>
              <w:keepNext w:val="0"/>
              <w:keepLines w:val="0"/>
              <w:suppressLineNumbers w:val="0"/>
              <w:spacing w:before="0" w:beforeAutospacing="0" w:after="0" w:afterAutospacing="0" w:line="360" w:lineRule="auto"/>
              <w:ind w:left="0" w:right="0" w:firstLine="27" w:firstLineChars="13"/>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工程竣工结算报告金额</w:t>
            </w:r>
          </w:p>
        </w:tc>
        <w:tc>
          <w:tcPr>
            <w:tcW w:w="5967" w:type="dxa"/>
            <w:tcBorders>
              <w:tl2br w:val="nil"/>
              <w:tr2bl w:val="nil"/>
            </w:tcBorders>
            <w:vAlign w:val="center"/>
          </w:tcPr>
          <w:p w14:paraId="2552061A">
            <w:pPr>
              <w:keepNext w:val="0"/>
              <w:keepLines w:val="0"/>
              <w:suppressLineNumbers w:val="0"/>
              <w:spacing w:before="0" w:beforeAutospacing="0" w:after="0" w:afterAutospacing="0" w:line="360" w:lineRule="auto"/>
              <w:ind w:left="0" w:right="0" w:firstLine="438" w:firstLineChars="209"/>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发包人审查时间</w:t>
            </w:r>
          </w:p>
        </w:tc>
      </w:tr>
      <w:tr w14:paraId="6B80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vAlign w:val="center"/>
          </w:tcPr>
          <w:p w14:paraId="6BE9E50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2466" w:type="dxa"/>
            <w:tcBorders>
              <w:tl2br w:val="nil"/>
              <w:tr2bl w:val="nil"/>
            </w:tcBorders>
            <w:vAlign w:val="center"/>
          </w:tcPr>
          <w:p w14:paraId="54D23F7B">
            <w:pPr>
              <w:keepNext w:val="0"/>
              <w:keepLines w:val="0"/>
              <w:suppressLineNumbers w:val="0"/>
              <w:spacing w:before="0" w:beforeAutospacing="0" w:after="0" w:afterAutospacing="0" w:line="360" w:lineRule="auto"/>
              <w:ind w:left="0" w:right="0" w:firstLine="27" w:firstLineChars="13"/>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500万元以下</w:t>
            </w:r>
          </w:p>
        </w:tc>
        <w:tc>
          <w:tcPr>
            <w:tcW w:w="5967" w:type="dxa"/>
            <w:tcBorders>
              <w:tl2br w:val="nil"/>
              <w:tr2bl w:val="nil"/>
            </w:tcBorders>
            <w:vAlign w:val="center"/>
          </w:tcPr>
          <w:p w14:paraId="01AA80C3">
            <w:pPr>
              <w:keepNext w:val="0"/>
              <w:keepLines w:val="0"/>
              <w:suppressLineNumbers w:val="0"/>
              <w:spacing w:before="0" w:beforeAutospacing="0" w:after="0" w:afterAutospacing="0" w:line="360" w:lineRule="auto"/>
              <w:ind w:left="0" w:right="0" w:firstLine="438" w:firstLineChars="209"/>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从接到竣工结算报告和完整的竣工结算资料之日起20天</w:t>
            </w:r>
          </w:p>
        </w:tc>
      </w:tr>
      <w:tr w14:paraId="3F12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vAlign w:val="center"/>
          </w:tcPr>
          <w:p w14:paraId="7011F09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2466" w:type="dxa"/>
            <w:tcBorders>
              <w:tl2br w:val="nil"/>
              <w:tr2bl w:val="nil"/>
            </w:tcBorders>
            <w:vAlign w:val="center"/>
          </w:tcPr>
          <w:p w14:paraId="7AFDC7D4">
            <w:pPr>
              <w:keepNext w:val="0"/>
              <w:keepLines w:val="0"/>
              <w:suppressLineNumbers w:val="0"/>
              <w:spacing w:before="0" w:beforeAutospacing="0" w:after="0" w:afterAutospacing="0" w:line="360" w:lineRule="auto"/>
              <w:ind w:left="0" w:right="0" w:firstLine="27" w:firstLineChars="13"/>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500万元-2000万元</w:t>
            </w:r>
          </w:p>
        </w:tc>
        <w:tc>
          <w:tcPr>
            <w:tcW w:w="5967" w:type="dxa"/>
            <w:tcBorders>
              <w:tl2br w:val="nil"/>
              <w:tr2bl w:val="nil"/>
            </w:tcBorders>
            <w:vAlign w:val="center"/>
          </w:tcPr>
          <w:p w14:paraId="630E0C18">
            <w:pPr>
              <w:keepNext w:val="0"/>
              <w:keepLines w:val="0"/>
              <w:suppressLineNumbers w:val="0"/>
              <w:spacing w:before="0" w:beforeAutospacing="0" w:after="0" w:afterAutospacing="0" w:line="360" w:lineRule="auto"/>
              <w:ind w:left="0" w:right="0" w:firstLine="438" w:firstLineChars="209"/>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从接到竣工结算报告和完整的竣工结算资料之日起30天</w:t>
            </w:r>
          </w:p>
        </w:tc>
      </w:tr>
      <w:tr w14:paraId="33EA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vAlign w:val="center"/>
          </w:tcPr>
          <w:p w14:paraId="64B039E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2466" w:type="dxa"/>
            <w:tcBorders>
              <w:tl2br w:val="nil"/>
              <w:tr2bl w:val="nil"/>
            </w:tcBorders>
            <w:vAlign w:val="center"/>
          </w:tcPr>
          <w:p w14:paraId="3D320D66">
            <w:pPr>
              <w:keepNext w:val="0"/>
              <w:keepLines w:val="0"/>
              <w:suppressLineNumbers w:val="0"/>
              <w:spacing w:before="0" w:beforeAutospacing="0" w:after="0" w:afterAutospacing="0" w:line="360" w:lineRule="auto"/>
              <w:ind w:left="0" w:right="0" w:firstLine="27" w:firstLineChars="13"/>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2000万元-5000万元</w:t>
            </w:r>
          </w:p>
        </w:tc>
        <w:tc>
          <w:tcPr>
            <w:tcW w:w="5967" w:type="dxa"/>
            <w:tcBorders>
              <w:tl2br w:val="nil"/>
              <w:tr2bl w:val="nil"/>
            </w:tcBorders>
            <w:vAlign w:val="center"/>
          </w:tcPr>
          <w:p w14:paraId="0A2730CB">
            <w:pPr>
              <w:keepNext w:val="0"/>
              <w:keepLines w:val="0"/>
              <w:suppressLineNumbers w:val="0"/>
              <w:spacing w:before="0" w:beforeAutospacing="0" w:after="0" w:afterAutospacing="0" w:line="360" w:lineRule="auto"/>
              <w:ind w:left="0" w:right="0" w:firstLine="438" w:firstLineChars="209"/>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从接到竣工结算报告和完整的竣工结算资料之日起45天</w:t>
            </w:r>
          </w:p>
        </w:tc>
      </w:tr>
      <w:tr w14:paraId="5779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vAlign w:val="center"/>
          </w:tcPr>
          <w:p w14:paraId="1E3E603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2466" w:type="dxa"/>
            <w:tcBorders>
              <w:tl2br w:val="nil"/>
              <w:tr2bl w:val="nil"/>
            </w:tcBorders>
            <w:vAlign w:val="center"/>
          </w:tcPr>
          <w:p w14:paraId="369DC711">
            <w:pPr>
              <w:keepNext w:val="0"/>
              <w:keepLines w:val="0"/>
              <w:suppressLineNumbers w:val="0"/>
              <w:spacing w:before="0" w:beforeAutospacing="0" w:after="0" w:afterAutospacing="0" w:line="360" w:lineRule="auto"/>
              <w:ind w:left="0" w:right="0" w:firstLine="27" w:firstLineChars="13"/>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5000万元以上</w:t>
            </w:r>
          </w:p>
        </w:tc>
        <w:tc>
          <w:tcPr>
            <w:tcW w:w="5967" w:type="dxa"/>
            <w:tcBorders>
              <w:tl2br w:val="nil"/>
              <w:tr2bl w:val="nil"/>
            </w:tcBorders>
            <w:vAlign w:val="center"/>
          </w:tcPr>
          <w:p w14:paraId="5FAA1AB1">
            <w:pPr>
              <w:keepNext w:val="0"/>
              <w:keepLines w:val="0"/>
              <w:suppressLineNumbers w:val="0"/>
              <w:spacing w:before="0" w:beforeAutospacing="0" w:after="0" w:afterAutospacing="0" w:line="360" w:lineRule="auto"/>
              <w:ind w:left="0" w:right="0" w:firstLine="438" w:firstLineChars="209"/>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从接到竣工结算报告和完整的竣工结算资料之日起60天</w:t>
            </w:r>
          </w:p>
        </w:tc>
      </w:tr>
      <w:tr w14:paraId="40105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vAlign w:val="center"/>
          </w:tcPr>
          <w:p w14:paraId="0F8A06E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2466" w:type="dxa"/>
            <w:tcBorders>
              <w:tl2br w:val="nil"/>
              <w:tr2bl w:val="nil"/>
            </w:tcBorders>
            <w:vAlign w:val="center"/>
          </w:tcPr>
          <w:p w14:paraId="1467DC50">
            <w:pPr>
              <w:keepNext w:val="0"/>
              <w:keepLines w:val="0"/>
              <w:suppressLineNumbers w:val="0"/>
              <w:spacing w:before="0" w:beforeAutospacing="0" w:after="0" w:afterAutospacing="0" w:line="360" w:lineRule="auto"/>
              <w:ind w:left="0" w:right="0" w:firstLine="27" w:firstLineChars="13"/>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5000万以上每增加0.5亿(不足0.5亿不增加)</w:t>
            </w:r>
          </w:p>
        </w:tc>
        <w:tc>
          <w:tcPr>
            <w:tcW w:w="5967" w:type="dxa"/>
            <w:tcBorders>
              <w:tl2br w:val="nil"/>
              <w:tr2bl w:val="nil"/>
            </w:tcBorders>
            <w:vAlign w:val="center"/>
          </w:tcPr>
          <w:p w14:paraId="755A58A6">
            <w:pPr>
              <w:keepNext w:val="0"/>
              <w:keepLines w:val="0"/>
              <w:suppressLineNumbers w:val="0"/>
              <w:spacing w:before="0" w:beforeAutospacing="0" w:after="0" w:afterAutospacing="0" w:line="360" w:lineRule="auto"/>
              <w:ind w:left="0" w:right="0" w:firstLine="438" w:firstLineChars="209"/>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增加10天</w:t>
            </w:r>
          </w:p>
        </w:tc>
      </w:tr>
    </w:tbl>
    <w:p w14:paraId="34C99677">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bookmarkStart w:id="1543" w:name="_Toc407135264"/>
      <w:bookmarkStart w:id="1544" w:name="_Toc373227761"/>
      <w:bookmarkStart w:id="1545" w:name="_Toc373478408"/>
      <w:bookmarkStart w:id="1546" w:name="_Toc78449850"/>
      <w:bookmarkStart w:id="1547" w:name="_Toc1203653078"/>
      <w:bookmarkStart w:id="1548" w:name="_Toc389065326"/>
      <w:bookmarkStart w:id="1549" w:name="_Toc540165641"/>
      <w:r>
        <w:rPr>
          <w:rFonts w:hint="eastAsia" w:ascii="宋体" w:hAnsi="宋体" w:eastAsia="宋体" w:cs="宋体"/>
          <w:color w:val="000000" w:themeColor="text1"/>
          <w:highlight w:val="none"/>
          <w14:textFill>
            <w14:solidFill>
              <w14:schemeClr w14:val="tx1"/>
            </w14:solidFill>
          </w14:textFill>
        </w:rPr>
        <w:t>因承包人提供的结算资料不完整而需要补充或承包人不按时对账耽误时间时，审查时间应相应顺延。</w:t>
      </w:r>
    </w:p>
    <w:p w14:paraId="46BBEBD1">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竣工结算审核约定：</w:t>
      </w:r>
    </w:p>
    <w:p w14:paraId="0A6283E8">
      <w:pPr>
        <w:numPr>
          <w:ilvl w:val="0"/>
          <w:numId w:val="6"/>
        </w:numPr>
        <w:spacing w:line="400" w:lineRule="exact"/>
        <w:ind w:left="0" w:firstLine="411" w:firstLineChars="196"/>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工程竣工验收报告经发包人认可后 </w:t>
      </w:r>
      <w:r>
        <w:rPr>
          <w:rFonts w:hint="eastAsia" w:ascii="宋体" w:hAnsi="宋体" w:eastAsia="宋体" w:cs="宋体"/>
          <w:color w:val="000000" w:themeColor="text1"/>
          <w:highlight w:val="none"/>
          <w:u w:val="single"/>
          <w:lang w:val="en-US" w:eastAsia="zh-CN"/>
          <w14:textFill>
            <w14:solidFill>
              <w14:schemeClr w14:val="tx1"/>
            </w14:solidFill>
          </w14:textFill>
        </w:rPr>
        <w:t>30</w:t>
      </w:r>
      <w:r>
        <w:rPr>
          <w:rFonts w:hint="eastAsia" w:ascii="宋体" w:hAnsi="宋体" w:eastAsia="宋体" w:cs="宋体"/>
          <w:color w:val="000000" w:themeColor="text1"/>
          <w:highlight w:val="none"/>
          <w:u w:val="single"/>
          <w14:textFill>
            <w14:solidFill>
              <w14:schemeClr w14:val="tx1"/>
            </w14:solidFill>
          </w14:textFill>
        </w:rPr>
        <w:t xml:space="preserve"> 天内，承包人向发包人递交竣工验收合格资料及完整的结算资料和报告，双方按照本工程合同约定的价格形式及价款调整办法进行工程竣工结算。</w:t>
      </w:r>
    </w:p>
    <w:p w14:paraId="771C409C">
      <w:pPr>
        <w:numPr>
          <w:ilvl w:val="0"/>
          <w:numId w:val="6"/>
        </w:numPr>
        <w:spacing w:line="400" w:lineRule="exact"/>
        <w:ind w:left="0" w:firstLine="411" w:firstLineChars="196"/>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发包人收到承包人递交的竣工结算报告及结算资料之日起 </w:t>
      </w:r>
      <w:r>
        <w:rPr>
          <w:rFonts w:hint="eastAsia" w:ascii="宋体" w:hAnsi="宋体" w:eastAsia="宋体" w:cs="宋体"/>
          <w:color w:val="000000" w:themeColor="text1"/>
          <w:highlight w:val="none"/>
          <w:u w:val="single"/>
          <w:lang w:val="en-US" w:eastAsia="zh-CN"/>
          <w14:textFill>
            <w14:solidFill>
              <w14:schemeClr w14:val="tx1"/>
            </w14:solidFill>
          </w14:textFill>
        </w:rPr>
        <w:t>30</w:t>
      </w:r>
      <w:r>
        <w:rPr>
          <w:rFonts w:hint="eastAsia" w:ascii="宋体" w:hAnsi="宋体" w:eastAsia="宋体" w:cs="宋体"/>
          <w:color w:val="000000" w:themeColor="text1"/>
          <w:highlight w:val="none"/>
          <w:u w:val="single"/>
          <w14:textFill>
            <w14:solidFill>
              <w14:schemeClr w14:val="tx1"/>
            </w14:solidFill>
          </w14:textFill>
        </w:rPr>
        <w:t xml:space="preserve"> 天内</w:t>
      </w:r>
      <w:r>
        <w:rPr>
          <w:rFonts w:hint="eastAsia" w:ascii="宋体" w:hAnsi="宋体" w:eastAsia="宋体" w:cs="宋体"/>
          <w:color w:val="000000" w:themeColor="text1"/>
          <w:highlight w:val="none"/>
          <w:u w:val="single"/>
          <w:lang w:val="en-US" w:eastAsia="zh-CN"/>
          <w14:textFill>
            <w14:solidFill>
              <w14:schemeClr w14:val="tx1"/>
            </w14:solidFill>
          </w14:textFill>
        </w:rPr>
        <w:t>对结算材料的完整性及合理性</w:t>
      </w:r>
      <w:r>
        <w:rPr>
          <w:rFonts w:hint="eastAsia" w:ascii="宋体" w:hAnsi="宋体" w:eastAsia="宋体" w:cs="宋体"/>
          <w:color w:val="000000" w:themeColor="text1"/>
          <w:highlight w:val="none"/>
          <w:u w:val="single"/>
          <w14:textFill>
            <w14:solidFill>
              <w14:schemeClr w14:val="tx1"/>
            </w14:solidFill>
          </w14:textFill>
        </w:rPr>
        <w:t>进行审核，并给予确认或者提出</w:t>
      </w:r>
      <w:r>
        <w:rPr>
          <w:rFonts w:hint="eastAsia" w:ascii="宋体" w:hAnsi="宋体" w:eastAsia="宋体" w:cs="宋体"/>
          <w:color w:val="000000" w:themeColor="text1"/>
          <w:highlight w:val="none"/>
          <w:u w:val="single"/>
          <w:lang w:val="en-US" w:eastAsia="zh-CN"/>
          <w14:textFill>
            <w14:solidFill>
              <w14:schemeClr w14:val="tx1"/>
            </w14:solidFill>
          </w14:textFill>
        </w:rPr>
        <w:t>初步</w:t>
      </w:r>
      <w:r>
        <w:rPr>
          <w:rFonts w:hint="eastAsia" w:ascii="宋体" w:hAnsi="宋体" w:eastAsia="宋体" w:cs="宋体"/>
          <w:color w:val="000000" w:themeColor="text1"/>
          <w:highlight w:val="none"/>
          <w:u w:val="single"/>
          <w14:textFill>
            <w14:solidFill>
              <w14:schemeClr w14:val="tx1"/>
            </w14:solidFill>
          </w14:textFill>
        </w:rPr>
        <w:t xml:space="preserve">审核意见。承包人对发包人审核意见有异议的，应在收到发包人确认的价款或审核意见之日起 </w:t>
      </w:r>
      <w:r>
        <w:rPr>
          <w:rFonts w:hint="eastAsia" w:ascii="宋体" w:hAnsi="宋体" w:eastAsia="宋体" w:cs="宋体"/>
          <w:color w:val="000000" w:themeColor="text1"/>
          <w:highlight w:val="none"/>
          <w:u w:val="single"/>
          <w:lang w:val="en-US" w:eastAsia="zh-CN"/>
          <w14:textFill>
            <w14:solidFill>
              <w14:schemeClr w14:val="tx1"/>
            </w14:solidFill>
          </w14:textFill>
        </w:rPr>
        <w:t>7</w:t>
      </w:r>
      <w:r>
        <w:rPr>
          <w:rFonts w:hint="eastAsia" w:ascii="宋体" w:hAnsi="宋体" w:eastAsia="宋体" w:cs="宋体"/>
          <w:color w:val="000000" w:themeColor="text1"/>
          <w:highlight w:val="none"/>
          <w:u w:val="single"/>
          <w14:textFill>
            <w14:solidFill>
              <w14:schemeClr w14:val="tx1"/>
            </w14:solidFill>
          </w14:textFill>
        </w:rPr>
        <w:t xml:space="preserve"> 天内提出异议，必要时合同当事人要当面核对</w:t>
      </w:r>
      <w:r>
        <w:rPr>
          <w:rFonts w:hint="eastAsia" w:ascii="宋体" w:hAnsi="宋体" w:eastAsia="宋体" w:cs="宋体"/>
          <w:color w:val="000000" w:themeColor="text1"/>
          <w:highlight w:val="none"/>
          <w:u w:val="single"/>
          <w:lang w:eastAsia="zh-CN"/>
          <w14:textFill>
            <w14:solidFill>
              <w14:schemeClr w14:val="tx1"/>
            </w14:solidFill>
          </w14:textFill>
        </w:rPr>
        <w:t>。</w:t>
      </w:r>
      <w:r>
        <w:rPr>
          <w:rFonts w:hint="eastAsia" w:ascii="宋体" w:hAnsi="宋体" w:eastAsia="宋体" w:cs="宋体"/>
          <w:color w:val="000000" w:themeColor="text1"/>
          <w:highlight w:val="none"/>
          <w:u w:val="single"/>
          <w:lang w:val="en-US" w:eastAsia="zh-CN"/>
          <w14:textFill>
            <w14:solidFill>
              <w14:schemeClr w14:val="tx1"/>
            </w14:solidFill>
          </w14:textFill>
        </w:rPr>
        <w:t>本工程属于政府投资项目，竣工结算应由市财政局或其委托的第三批评审机构对承包人提交的结算进行评审，最终结算价以市财政局或其委托的第三批评审机构出具的评审报告为准。</w:t>
      </w:r>
    </w:p>
    <w:p w14:paraId="4310D394">
      <w:pPr>
        <w:pStyle w:val="6"/>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14.4 最终结清</w:t>
      </w:r>
      <w:bookmarkEnd w:id="1543"/>
      <w:bookmarkEnd w:id="1544"/>
      <w:bookmarkEnd w:id="1545"/>
      <w:bookmarkEnd w:id="1546"/>
      <w:bookmarkEnd w:id="1547"/>
      <w:bookmarkEnd w:id="1548"/>
      <w:bookmarkEnd w:id="1549"/>
    </w:p>
    <w:p w14:paraId="522A3BB6">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14.4.1 最终结清申请单</w:t>
      </w:r>
    </w:p>
    <w:p w14:paraId="2D6C1611">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承包人提交最终结清申请单的份数：</w:t>
      </w:r>
      <w:r>
        <w:rPr>
          <w:rFonts w:hint="eastAsia" w:ascii="宋体" w:hAnsi="宋体" w:eastAsia="宋体" w:cs="宋体"/>
          <w:color w:val="000000" w:themeColor="text1"/>
          <w:spacing w:val="-3"/>
          <w:sz w:val="21"/>
          <w:szCs w:val="21"/>
          <w:highlight w:val="none"/>
          <w:u w:val="single" w:color="auto"/>
          <w14:textFill>
            <w14:solidFill>
              <w14:schemeClr w14:val="tx1"/>
            </w14:solidFill>
          </w14:textFill>
        </w:rPr>
        <w:t>一</w:t>
      </w:r>
      <w:r>
        <w:rPr>
          <w:rFonts w:hint="eastAsia" w:ascii="宋体" w:hAnsi="宋体" w:eastAsia="宋体" w:cs="宋体"/>
          <w:color w:val="000000" w:themeColor="text1"/>
          <w:spacing w:val="-4"/>
          <w:sz w:val="21"/>
          <w:szCs w:val="21"/>
          <w:highlight w:val="none"/>
          <w:u w:val="single" w:color="auto"/>
          <w14:textFill>
            <w14:solidFill>
              <w14:schemeClr w14:val="tx1"/>
            </w14:solidFill>
          </w14:textFill>
        </w:rPr>
        <w:t>式叁份</w:t>
      </w:r>
      <w:r>
        <w:rPr>
          <w:rFonts w:hint="eastAsia" w:ascii="宋体" w:hAnsi="宋体" w:eastAsia="宋体" w:cs="宋体"/>
          <w:color w:val="000000" w:themeColor="text1"/>
          <w:highlight w:val="none"/>
          <w14:textFill>
            <w14:solidFill>
              <w14:schemeClr w14:val="tx1"/>
            </w14:solidFill>
          </w14:textFill>
        </w:rPr>
        <w:t>。</w:t>
      </w:r>
    </w:p>
    <w:p w14:paraId="594B4F6A">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承包人提交最终结算申请单的期限：</w:t>
      </w:r>
      <w:r>
        <w:rPr>
          <w:rFonts w:hint="eastAsia" w:ascii="宋体" w:hAnsi="宋体" w:eastAsia="宋体" w:cs="宋体"/>
          <w:color w:val="000000" w:themeColor="text1"/>
          <w:kern w:val="0"/>
          <w:highlight w:val="none"/>
          <w:u w:val="single"/>
          <w14:textFill>
            <w14:solidFill>
              <w14:schemeClr w14:val="tx1"/>
            </w14:solidFill>
          </w14:textFill>
        </w:rPr>
        <w:t>双方确认审计总额后28天</w:t>
      </w:r>
      <w:r>
        <w:rPr>
          <w:rFonts w:hint="eastAsia" w:ascii="宋体" w:hAnsi="宋体" w:eastAsia="宋体" w:cs="宋体"/>
          <w:color w:val="000000" w:themeColor="text1"/>
          <w:highlight w:val="none"/>
          <w14:textFill>
            <w14:solidFill>
              <w14:schemeClr w14:val="tx1"/>
            </w14:solidFill>
          </w14:textFill>
        </w:rPr>
        <w:t xml:space="preserve">。 </w:t>
      </w:r>
    </w:p>
    <w:p w14:paraId="04870B0C">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14.4.2 最终结清证书和支付</w:t>
      </w:r>
    </w:p>
    <w:p w14:paraId="3BD849DA">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（1）发包人完成最终结清申请单的审批并颁发最终结清证书的期限：</w:t>
      </w:r>
      <w:r>
        <w:rPr>
          <w:rFonts w:hint="eastAsia" w:ascii="宋体" w:hAnsi="宋体" w:eastAsia="宋体" w:cs="宋体"/>
          <w:color w:val="000000" w:themeColor="text1"/>
          <w:kern w:val="0"/>
          <w:highlight w:val="none"/>
          <w:u w:val="single"/>
          <w14:textFill>
            <w14:solidFill>
              <w14:schemeClr w14:val="tx1"/>
            </w14:solidFill>
          </w14:textFill>
        </w:rPr>
        <w:t>双方确认审计总额后28天</w:t>
      </w:r>
      <w:r>
        <w:rPr>
          <w:rFonts w:hint="eastAsia" w:ascii="宋体" w:hAnsi="宋体" w:eastAsia="宋体" w:cs="宋体"/>
          <w:color w:val="000000" w:themeColor="text1"/>
          <w:highlight w:val="none"/>
          <w14:textFill>
            <w14:solidFill>
              <w14:schemeClr w14:val="tx1"/>
            </w14:solidFill>
          </w14:textFill>
        </w:rPr>
        <w:t>。</w:t>
      </w:r>
    </w:p>
    <w:p w14:paraId="1287B6E4">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（2）发包人完成支付的期限：</w:t>
      </w:r>
      <w:r>
        <w:rPr>
          <w:rFonts w:hint="eastAsia" w:ascii="宋体" w:hAnsi="宋体" w:eastAsia="宋体" w:cs="宋体"/>
          <w:color w:val="000000" w:themeColor="text1"/>
          <w:kern w:val="0"/>
          <w:highlight w:val="none"/>
          <w:u w:val="single"/>
          <w14:textFill>
            <w14:solidFill>
              <w14:schemeClr w14:val="tx1"/>
            </w14:solidFill>
          </w14:textFill>
        </w:rPr>
        <w:t>双方确认审计总额后</w:t>
      </w:r>
      <w:r>
        <w:rPr>
          <w:rFonts w:hint="eastAsia" w:ascii="宋体" w:hAnsi="宋体" w:eastAsia="宋体" w:cs="宋体"/>
          <w:color w:val="000000" w:themeColor="text1"/>
          <w:kern w:val="0"/>
          <w:highlight w:val="none"/>
          <w:u w:val="single"/>
          <w:lang w:val="en-US" w:eastAsia="zh-CN"/>
          <w14:textFill>
            <w14:solidFill>
              <w14:schemeClr w14:val="tx1"/>
            </w14:solidFill>
          </w14:textFill>
        </w:rPr>
        <w:t>45</w:t>
      </w:r>
      <w:r>
        <w:rPr>
          <w:rFonts w:hint="eastAsia" w:ascii="宋体" w:hAnsi="宋体" w:eastAsia="宋体" w:cs="宋体"/>
          <w:color w:val="000000" w:themeColor="text1"/>
          <w:kern w:val="0"/>
          <w:highlight w:val="none"/>
          <w:u w:val="single"/>
          <w14:textFill>
            <w14:solidFill>
              <w14:schemeClr w14:val="tx1"/>
            </w14:solidFill>
          </w14:textFill>
        </w:rPr>
        <w:t>天</w:t>
      </w:r>
      <w:r>
        <w:rPr>
          <w:rFonts w:hint="eastAsia" w:ascii="宋体" w:hAnsi="宋体" w:cs="宋体"/>
          <w:color w:val="000000" w:themeColor="text1"/>
          <w:kern w:val="0"/>
          <w:highlight w:val="none"/>
          <w:u w:val="single"/>
          <w:lang w:eastAsia="zh-CN"/>
          <w14:textFill>
            <w14:solidFill>
              <w14:schemeClr w14:val="tx1"/>
            </w14:solidFill>
          </w14:textFill>
        </w:rPr>
        <w:t>，</w:t>
      </w:r>
      <w:r>
        <w:rPr>
          <w:rFonts w:hint="eastAsia" w:ascii="宋体" w:hAnsi="宋体" w:cs="宋体"/>
          <w:color w:val="000000" w:themeColor="text1"/>
          <w:kern w:val="0"/>
          <w:highlight w:val="none"/>
          <w:u w:val="single"/>
          <w:lang w:val="en-US" w:eastAsia="zh-CN"/>
          <w14:textFill>
            <w14:solidFill>
              <w14:schemeClr w14:val="tx1"/>
            </w14:solidFill>
          </w14:textFill>
        </w:rPr>
        <w:t>由承包人提出书面申请，具体时间以市财政拨付到位为准</w:t>
      </w:r>
      <w:r>
        <w:rPr>
          <w:rFonts w:hint="eastAsia" w:ascii="宋体" w:hAnsi="宋体" w:eastAsia="宋体" w:cs="宋体"/>
          <w:color w:val="000000" w:themeColor="text1"/>
          <w:highlight w:val="none"/>
          <w14:textFill>
            <w14:solidFill>
              <w14:schemeClr w14:val="tx1"/>
            </w14:solidFill>
          </w14:textFill>
        </w:rPr>
        <w:t>。</w:t>
      </w:r>
    </w:p>
    <w:bookmarkEnd w:id="1494"/>
    <w:bookmarkEnd w:id="1495"/>
    <w:bookmarkEnd w:id="1496"/>
    <w:bookmarkEnd w:id="1497"/>
    <w:bookmarkEnd w:id="1498"/>
    <w:bookmarkEnd w:id="1499"/>
    <w:bookmarkEnd w:id="1500"/>
    <w:bookmarkEnd w:id="1506"/>
    <w:p w14:paraId="51C56C17">
      <w:pPr>
        <w:pStyle w:val="5"/>
        <w:rPr>
          <w:rFonts w:hint="eastAsia" w:ascii="宋体" w:hAnsi="宋体" w:eastAsia="宋体" w:cs="宋体"/>
          <w:color w:val="000000" w:themeColor="text1"/>
          <w:highlight w:val="none"/>
          <w14:textFill>
            <w14:solidFill>
              <w14:schemeClr w14:val="tx1"/>
            </w14:solidFill>
          </w14:textFill>
        </w:rPr>
      </w:pPr>
      <w:bookmarkStart w:id="1550" w:name="_Toc389065327"/>
      <w:bookmarkStart w:id="1551" w:name="_Toc373227762"/>
      <w:bookmarkStart w:id="1552" w:name="_Toc905081407"/>
      <w:bookmarkStart w:id="1553" w:name="_Toc1294213766"/>
      <w:bookmarkStart w:id="1554" w:name="_Toc78449851"/>
      <w:bookmarkStart w:id="1555" w:name="_Toc407135265"/>
      <w:bookmarkStart w:id="1556" w:name="_Toc351203647"/>
      <w:bookmarkStart w:id="1557" w:name="_Toc373478409"/>
      <w:bookmarkStart w:id="1558" w:name="_Toc267251483"/>
      <w:bookmarkStart w:id="1559" w:name="_Toc267251482"/>
      <w:bookmarkStart w:id="1560" w:name="_Toc267251484"/>
      <w:bookmarkStart w:id="1561" w:name="_Toc267251485"/>
      <w:bookmarkStart w:id="1562" w:name="_Toc267251488"/>
      <w:bookmarkStart w:id="1563" w:name="_Toc267251490"/>
      <w:bookmarkStart w:id="1564" w:name="_Toc267251489"/>
      <w:bookmarkStart w:id="1565" w:name="_Toc267251486"/>
      <w:bookmarkStart w:id="1566" w:name="_Toc267251492"/>
      <w:bookmarkStart w:id="1567" w:name="_Toc267251499"/>
      <w:bookmarkStart w:id="1568" w:name="_Toc267251491"/>
      <w:bookmarkStart w:id="1569" w:name="_Toc267251501"/>
      <w:bookmarkStart w:id="1570" w:name="_Toc267251494"/>
      <w:bookmarkStart w:id="1571" w:name="_Toc267251497"/>
      <w:bookmarkStart w:id="1572" w:name="_Toc267251495"/>
      <w:bookmarkStart w:id="1573" w:name="_Toc267251503"/>
      <w:bookmarkStart w:id="1574" w:name="_Toc267251496"/>
      <w:bookmarkStart w:id="1575" w:name="_Toc267251498"/>
      <w:bookmarkStart w:id="1576" w:name="_Toc267251493"/>
      <w:bookmarkStart w:id="1577" w:name="_Toc267251502"/>
      <w:bookmarkStart w:id="1578" w:name="_Toc267251504"/>
      <w:bookmarkStart w:id="1579" w:name="_Toc267251506"/>
      <w:bookmarkStart w:id="1580" w:name="_Toc267251507"/>
      <w:bookmarkStart w:id="1581" w:name="_Toc267251508"/>
      <w:bookmarkStart w:id="1582" w:name="_Toc267251511"/>
      <w:bookmarkStart w:id="1583" w:name="_Toc267251513"/>
      <w:bookmarkStart w:id="1584" w:name="_Toc267251510"/>
      <w:bookmarkStart w:id="1585" w:name="_Toc267251515"/>
      <w:bookmarkStart w:id="1586" w:name="_Toc267251509"/>
      <w:bookmarkStart w:id="1587" w:name="_Toc267251514"/>
      <w:r>
        <w:rPr>
          <w:rFonts w:hint="eastAsia" w:ascii="宋体" w:hAnsi="宋体" w:eastAsia="宋体" w:cs="宋体"/>
          <w:color w:val="000000" w:themeColor="text1"/>
          <w:highlight w:val="none"/>
          <w14:textFill>
            <w14:solidFill>
              <w14:schemeClr w14:val="tx1"/>
            </w14:solidFill>
          </w14:textFill>
        </w:rPr>
        <w:t>15. 缺陷责任期与保修</w:t>
      </w:r>
      <w:bookmarkEnd w:id="1550"/>
      <w:bookmarkEnd w:id="1551"/>
      <w:bookmarkEnd w:id="1552"/>
      <w:bookmarkEnd w:id="1553"/>
      <w:bookmarkEnd w:id="1554"/>
      <w:bookmarkEnd w:id="1555"/>
      <w:bookmarkEnd w:id="1556"/>
      <w:bookmarkEnd w:id="1557"/>
    </w:p>
    <w:p w14:paraId="45EC3FBD">
      <w:pPr>
        <w:pStyle w:val="6"/>
        <w:rPr>
          <w:rFonts w:hint="eastAsia" w:ascii="宋体" w:hAnsi="宋体" w:eastAsia="宋体" w:cs="宋体"/>
          <w:color w:val="000000" w:themeColor="text1"/>
          <w:highlight w:val="none"/>
          <w14:textFill>
            <w14:solidFill>
              <w14:schemeClr w14:val="tx1"/>
            </w14:solidFill>
          </w14:textFill>
        </w:rPr>
      </w:pPr>
      <w:bookmarkStart w:id="1588" w:name="_Toc373227763"/>
      <w:bookmarkStart w:id="1589" w:name="_Toc1468458868"/>
      <w:bookmarkStart w:id="1590" w:name="_Toc373478410"/>
      <w:bookmarkStart w:id="1591" w:name="_Toc1845278067"/>
      <w:bookmarkStart w:id="1592" w:name="_Toc78449852"/>
      <w:bookmarkStart w:id="1593" w:name="_Toc407135266"/>
      <w:bookmarkStart w:id="1594" w:name="_Toc389065328"/>
      <w:r>
        <w:rPr>
          <w:rFonts w:hint="eastAsia" w:ascii="宋体" w:hAnsi="宋体" w:eastAsia="宋体" w:cs="宋体"/>
          <w:color w:val="000000" w:themeColor="text1"/>
          <w:highlight w:val="none"/>
          <w14:textFill>
            <w14:solidFill>
              <w14:schemeClr w14:val="tx1"/>
            </w14:solidFill>
          </w14:textFill>
        </w:rPr>
        <w:t>15.2 缺陷责任期</w:t>
      </w:r>
      <w:bookmarkEnd w:id="1558"/>
      <w:bookmarkEnd w:id="1588"/>
      <w:bookmarkEnd w:id="1589"/>
      <w:bookmarkEnd w:id="1590"/>
      <w:bookmarkEnd w:id="1591"/>
      <w:bookmarkEnd w:id="1592"/>
      <w:bookmarkEnd w:id="1593"/>
      <w:bookmarkEnd w:id="1594"/>
    </w:p>
    <w:p w14:paraId="46F3975D">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缺陷责任期的具体期限：</w:t>
      </w:r>
      <w:r>
        <w:rPr>
          <w:rFonts w:hint="eastAsia" w:ascii="宋体" w:hAnsi="宋体" w:eastAsia="宋体" w:cs="宋体"/>
          <w:color w:val="000000" w:themeColor="text1"/>
          <w:highlight w:val="none"/>
          <w:u w:val="single"/>
          <w:lang w:eastAsia="zh-CN"/>
          <w14:textFill>
            <w14:solidFill>
              <w14:schemeClr w14:val="tx1"/>
            </w14:solidFill>
          </w14:textFill>
        </w:rPr>
        <w:t>竣工验收合格之日起</w:t>
      </w:r>
      <w:r>
        <w:rPr>
          <w:rFonts w:hint="eastAsia" w:ascii="宋体" w:hAnsi="宋体" w:eastAsia="宋体" w:cs="宋体"/>
          <w:color w:val="000000" w:themeColor="text1"/>
          <w:highlight w:val="none"/>
          <w:u w:val="single"/>
          <w:lang w:val="en-US" w:eastAsia="zh-CN"/>
          <w14:textFill>
            <w14:solidFill>
              <w14:schemeClr w14:val="tx1"/>
            </w14:solidFill>
          </w14:textFill>
        </w:rPr>
        <w:t>24个月</w:t>
      </w:r>
      <w:r>
        <w:rPr>
          <w:rFonts w:hint="eastAsia" w:ascii="宋体" w:hAnsi="宋体" w:eastAsia="宋体" w:cs="宋体"/>
          <w:color w:val="000000" w:themeColor="text1"/>
          <w:highlight w:val="none"/>
          <w14:textFill>
            <w14:solidFill>
              <w14:schemeClr w14:val="tx1"/>
            </w14:solidFill>
          </w14:textFill>
        </w:rPr>
        <w:t>。</w:t>
      </w:r>
    </w:p>
    <w:p w14:paraId="6AA2E8B9">
      <w:pPr>
        <w:pStyle w:val="6"/>
        <w:rPr>
          <w:rFonts w:hint="eastAsia" w:ascii="宋体" w:hAnsi="宋体" w:eastAsia="宋体" w:cs="宋体"/>
          <w:color w:val="000000" w:themeColor="text1"/>
          <w:highlight w:val="none"/>
          <w14:textFill>
            <w14:solidFill>
              <w14:schemeClr w14:val="tx1"/>
            </w14:solidFill>
          </w14:textFill>
        </w:rPr>
      </w:pPr>
      <w:bookmarkStart w:id="1595" w:name="_Toc1004692311"/>
      <w:bookmarkStart w:id="1596" w:name="_Toc373227764"/>
      <w:bookmarkStart w:id="1597" w:name="_Toc389065329"/>
      <w:bookmarkStart w:id="1598" w:name="_Toc78449853"/>
      <w:bookmarkStart w:id="1599" w:name="_Toc407135267"/>
      <w:bookmarkStart w:id="1600" w:name="_Toc373478411"/>
      <w:bookmarkStart w:id="1601" w:name="_Toc666080472"/>
      <w:r>
        <w:rPr>
          <w:rFonts w:hint="eastAsia" w:ascii="宋体" w:hAnsi="宋体" w:eastAsia="宋体" w:cs="宋体"/>
          <w:color w:val="000000" w:themeColor="text1"/>
          <w:highlight w:val="none"/>
          <w14:textFill>
            <w14:solidFill>
              <w14:schemeClr w14:val="tx1"/>
            </w14:solidFill>
          </w14:textFill>
        </w:rPr>
        <w:t>15.3 质量保证金</w:t>
      </w:r>
      <w:bookmarkEnd w:id="1595"/>
      <w:bookmarkEnd w:id="1596"/>
      <w:bookmarkEnd w:id="1597"/>
      <w:bookmarkEnd w:id="1598"/>
      <w:bookmarkEnd w:id="1599"/>
      <w:bookmarkEnd w:id="1600"/>
      <w:bookmarkEnd w:id="1601"/>
    </w:p>
    <w:p w14:paraId="62B0F699">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关于是否扣留质量保证金的约定：</w:t>
      </w:r>
      <w:r>
        <w:rPr>
          <w:rFonts w:hint="eastAsia" w:ascii="宋体" w:hAnsi="宋体" w:eastAsia="宋体" w:cs="宋体"/>
          <w:color w:val="000000" w:themeColor="text1"/>
          <w:szCs w:val="21"/>
          <w:highlight w:val="none"/>
          <w:u w:val="single"/>
          <w14:textFill>
            <w14:solidFill>
              <w14:schemeClr w14:val="tx1"/>
            </w14:solidFill>
          </w14:textFill>
        </w:rPr>
        <w:t>扣留质量保证金</w:t>
      </w:r>
      <w:r>
        <w:rPr>
          <w:rFonts w:hint="eastAsia" w:ascii="宋体" w:hAnsi="宋体" w:eastAsia="宋体" w:cs="宋体"/>
          <w:color w:val="000000" w:themeColor="text1"/>
          <w:highlight w:val="none"/>
          <w14:textFill>
            <w14:solidFill>
              <w14:schemeClr w14:val="tx1"/>
            </w14:solidFill>
          </w14:textFill>
        </w:rPr>
        <w:t>。</w:t>
      </w:r>
    </w:p>
    <w:p w14:paraId="7F437A3A">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在工程项目竣工前，承包人按专用合同条款第3.7条提供履约担保的，发包人不得同时预留工程质量保证金。</w:t>
      </w:r>
    </w:p>
    <w:p w14:paraId="30B1C64C">
      <w:pPr>
        <w:spacing w:line="360" w:lineRule="auto"/>
        <w:ind w:firstLine="420" w:firstLineChars="200"/>
        <w:jc w:val="left"/>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15.3.1 承包人提供质量保证金的方式</w:t>
      </w:r>
    </w:p>
    <w:p w14:paraId="4C19E29E">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质量保证金采用以下第</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（2）</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种方式：</w:t>
      </w:r>
    </w:p>
    <w:p w14:paraId="69941BB0">
      <w:pPr>
        <w:autoSpaceDE w:val="0"/>
        <w:autoSpaceDN w:val="0"/>
        <w:adjustRightInd w:val="0"/>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（1）质量保证金保函</w:t>
      </w:r>
      <w:r>
        <w:rPr>
          <w:rFonts w:hint="eastAsia" w:ascii="宋体" w:hAnsi="宋体" w:eastAsia="宋体" w:cs="宋体"/>
          <w:color w:val="000000" w:themeColor="text1"/>
          <w:highlight w:val="none"/>
          <w14:textFill>
            <w14:solidFill>
              <w14:schemeClr w14:val="tx1"/>
            </w14:solidFill>
          </w14:textFill>
        </w:rPr>
        <w:t>（银行保函、电子保函、保证保险保函、工程担保保函</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kern w:val="0"/>
          <w:highlight w:val="none"/>
          <w14:textFill>
            <w14:solidFill>
              <w14:schemeClr w14:val="tx1"/>
            </w14:solidFill>
          </w14:textFill>
        </w:rPr>
        <w:t>工程担保保证人应将出具的保函相关信息录入“广西建筑市场监管云”平台（http://gxjzsc.caihcloud.com），以实现保函查询及验真功能</w:t>
      </w:r>
      <w:r>
        <w:rPr>
          <w:rFonts w:hint="eastAsia" w:ascii="宋体" w:hAnsi="宋体" w:eastAsia="宋体" w:cs="宋体"/>
          <w:color w:val="000000" w:themeColor="text1"/>
          <w:kern w:val="0"/>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kern w:val="0"/>
          <w:highlight w:val="none"/>
          <w14:textFill>
            <w14:solidFill>
              <w14:schemeClr w14:val="tx1"/>
            </w14:solidFill>
          </w14:textFill>
        </w:rPr>
        <w:t>，保证金额为：</w:t>
      </w:r>
      <w:r>
        <w:rPr>
          <w:rFonts w:hint="eastAsia" w:ascii="宋体" w:hAnsi="宋体" w:eastAsia="宋体" w:cs="宋体"/>
          <w:color w:val="000000" w:themeColor="text1"/>
          <w:kern w:val="0"/>
          <w:highlight w:val="none"/>
          <w:u w:val="single"/>
          <w14:textFill>
            <w14:solidFill>
              <w14:schemeClr w14:val="tx1"/>
            </w14:solidFill>
          </w14:textFill>
        </w:rPr>
        <w:t xml:space="preserve">      </w:t>
      </w:r>
      <w:r>
        <w:rPr>
          <w:rFonts w:hint="eastAsia" w:ascii="宋体" w:hAnsi="宋体" w:eastAsia="宋体" w:cs="宋体"/>
          <w:color w:val="000000" w:themeColor="text1"/>
          <w:kern w:val="0"/>
          <w:highlight w:val="none"/>
          <w:u w:val="single"/>
          <w:lang w:val="en-US" w:eastAsia="zh-CN"/>
          <w14:textFill>
            <w14:solidFill>
              <w14:schemeClr w14:val="tx1"/>
            </w14:solidFill>
          </w14:textFill>
        </w:rPr>
        <w:t>/</w:t>
      </w:r>
      <w:r>
        <w:rPr>
          <w:rFonts w:hint="eastAsia" w:ascii="宋体" w:hAnsi="宋体" w:eastAsia="宋体" w:cs="宋体"/>
          <w:color w:val="000000" w:themeColor="text1"/>
          <w:kern w:val="0"/>
          <w:highlight w:val="none"/>
          <w:u w:val="single"/>
          <w14:textFill>
            <w14:solidFill>
              <w14:schemeClr w14:val="tx1"/>
            </w14:solidFill>
          </w14:textFill>
        </w:rPr>
        <w:t xml:space="preserve">  </w:t>
      </w:r>
      <w:r>
        <w:rPr>
          <w:rFonts w:hint="eastAsia" w:ascii="宋体" w:hAnsi="宋体" w:eastAsia="宋体" w:cs="宋体"/>
          <w:color w:val="000000" w:themeColor="text1"/>
          <w:kern w:val="0"/>
          <w:highlight w:val="none"/>
          <w14:textFill>
            <w14:solidFill>
              <w14:schemeClr w14:val="tx1"/>
            </w14:solidFill>
          </w14:textFill>
        </w:rPr>
        <w:t>；</w:t>
      </w:r>
    </w:p>
    <w:p w14:paraId="4DD28D25">
      <w:pPr>
        <w:autoSpaceDE w:val="0"/>
        <w:autoSpaceDN w:val="0"/>
        <w:adjustRightInd w:val="0"/>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发包人按工程价款结算总额的</w:t>
      </w:r>
      <w:r>
        <w:rPr>
          <w:rFonts w:hint="eastAsia" w:ascii="宋体" w:hAnsi="宋体" w:eastAsia="宋体" w:cs="宋体"/>
          <w:color w:val="000000" w:themeColor="text1"/>
          <w:highlight w:val="none"/>
          <w:u w:val="single"/>
          <w:lang w:val="en-US" w:eastAsia="zh-CN"/>
          <w14:textFill>
            <w14:solidFill>
              <w14:schemeClr w14:val="tx1"/>
            </w14:solidFill>
          </w14:textFill>
        </w:rPr>
        <w:t>3</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%（不得超过3%）预留工程质量保证金，待缺陷责任期满后返还，是否付息及利息计算方式为：</w:t>
      </w:r>
      <w:r>
        <w:rPr>
          <w:rFonts w:hint="eastAsia" w:ascii="宋体" w:hAnsi="宋体" w:eastAsia="宋体" w:cs="宋体"/>
          <w:color w:val="000000" w:themeColor="text1"/>
          <w:highlight w:val="none"/>
          <w:u w:val="single"/>
          <w:lang w:eastAsia="zh-CN"/>
          <w14:textFill>
            <w14:solidFill>
              <w14:schemeClr w14:val="tx1"/>
            </w14:solidFill>
          </w14:textFill>
        </w:rPr>
        <w:t>否</w:t>
      </w:r>
      <w:r>
        <w:rPr>
          <w:rFonts w:hint="eastAsia" w:ascii="宋体" w:hAnsi="宋体" w:eastAsia="宋体" w:cs="宋体"/>
          <w:color w:val="000000" w:themeColor="text1"/>
          <w:kern w:val="0"/>
          <w:highlight w:val="none"/>
          <w14:textFill>
            <w14:solidFill>
              <w14:schemeClr w14:val="tx1"/>
            </w14:solidFill>
          </w14:textFill>
        </w:rPr>
        <w:t>；</w:t>
      </w:r>
    </w:p>
    <w:p w14:paraId="25EB59C4">
      <w:pPr>
        <w:autoSpaceDE w:val="0"/>
        <w:autoSpaceDN w:val="0"/>
        <w:adjustRightInd w:val="0"/>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（3）其他方式：</w:t>
      </w:r>
      <w:r>
        <w:rPr>
          <w:rFonts w:hint="eastAsia" w:ascii="宋体" w:hAnsi="宋体" w:eastAsia="宋体" w:cs="宋体"/>
          <w:color w:val="000000" w:themeColor="text1"/>
          <w:highlight w:val="none"/>
          <w14:textFill>
            <w14:solidFill>
              <w14:schemeClr w14:val="tx1"/>
            </w14:solidFill>
          </w14:textFill>
        </w:rPr>
        <w:t>银行转账、电汇或网上支付等</w:t>
      </w:r>
      <w:r>
        <w:rPr>
          <w:rFonts w:hint="eastAsia" w:ascii="宋体" w:hAnsi="宋体" w:eastAsia="宋体" w:cs="宋体"/>
          <w:color w:val="000000" w:themeColor="text1"/>
          <w:highlight w:val="none"/>
          <w:lang w:eastAsia="zh-CN"/>
          <w14:textFill>
            <w14:solidFill>
              <w14:schemeClr w14:val="tx1"/>
            </w14:solidFill>
          </w14:textFill>
        </w:rPr>
        <w:t>形</w:t>
      </w:r>
      <w:r>
        <w:rPr>
          <w:rFonts w:hint="eastAsia" w:ascii="宋体" w:hAnsi="宋体" w:eastAsia="宋体" w:cs="宋体"/>
          <w:color w:val="000000" w:themeColor="text1"/>
          <w:highlight w:val="none"/>
          <w14:textFill>
            <w14:solidFill>
              <w14:schemeClr w14:val="tx1"/>
            </w14:solidFill>
          </w14:textFill>
        </w:rPr>
        <w:t>式。</w:t>
      </w:r>
    </w:p>
    <w:p w14:paraId="2EAF1F9E">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15.3.2 质量保证金的扣留</w:t>
      </w:r>
    </w:p>
    <w:p w14:paraId="2B354E1F">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质量保证金的扣留采取以下第</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（2）</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种方式：</w:t>
      </w:r>
    </w:p>
    <w:p w14:paraId="01F32DDF">
      <w:pPr>
        <w:autoSpaceDE w:val="0"/>
        <w:autoSpaceDN w:val="0"/>
        <w:adjustRightInd w:val="0"/>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（1）在不缴纳履</w:t>
      </w:r>
      <w:r>
        <w:rPr>
          <w:rFonts w:hint="eastAsia" w:ascii="宋体" w:hAnsi="宋体" w:eastAsia="宋体" w:cs="宋体"/>
          <w:color w:val="000000" w:themeColor="text1"/>
          <w:kern w:val="0"/>
          <w:highlight w:val="none"/>
          <w:lang w:val="en-US" w:eastAsia="zh-CN"/>
          <w14:textFill>
            <w14:solidFill>
              <w14:schemeClr w14:val="tx1"/>
            </w14:solidFill>
          </w14:textFill>
        </w:rPr>
        <w:t>约</w:t>
      </w:r>
      <w:r>
        <w:rPr>
          <w:rFonts w:hint="eastAsia" w:ascii="宋体" w:hAnsi="宋体" w:eastAsia="宋体" w:cs="宋体"/>
          <w:color w:val="000000" w:themeColor="text1"/>
          <w:kern w:val="0"/>
          <w:highlight w:val="none"/>
          <w14:textFill>
            <w14:solidFill>
              <w14:schemeClr w14:val="tx1"/>
            </w14:solidFill>
          </w14:textFill>
        </w:rPr>
        <w:t>保证金情况下，按支付工程进度款时逐次扣留，质量保证金的计算基数不包括预付款的支付、扣回以及价格调整的金额；</w:t>
      </w:r>
    </w:p>
    <w:p w14:paraId="7B0C14EB">
      <w:pPr>
        <w:autoSpaceDE w:val="0"/>
        <w:autoSpaceDN w:val="0"/>
        <w:adjustRightInd w:val="0"/>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（2）工程竣工结算时，一次性扣留质量保证金，由承包人以银行保函、保证保险替代预留质量保证金，保函金额不得高于工程价款结算总额的3%；</w:t>
      </w:r>
    </w:p>
    <w:p w14:paraId="098AE97E">
      <w:pPr>
        <w:autoSpaceDE w:val="0"/>
        <w:autoSpaceDN w:val="0"/>
        <w:adjustRightInd w:val="0"/>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（3）其他扣留方式:</w:t>
      </w:r>
      <w:r>
        <w:rPr>
          <w:rFonts w:hint="eastAsia" w:ascii="宋体" w:hAnsi="宋体" w:eastAsia="宋体" w:cs="宋体"/>
          <w:color w:val="000000" w:themeColor="text1"/>
          <w:kern w:val="0"/>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银行转账、电汇或网上支付、保函（银行保函、电子保函、保证保险保函、工程担保保函）等</w:t>
      </w:r>
      <w:r>
        <w:rPr>
          <w:rFonts w:hint="eastAsia" w:ascii="宋体" w:hAnsi="宋体" w:eastAsia="宋体" w:cs="宋体"/>
          <w:color w:val="000000" w:themeColor="text1"/>
          <w:highlight w:val="none"/>
          <w:lang w:eastAsia="zh-CN"/>
          <w14:textFill>
            <w14:solidFill>
              <w14:schemeClr w14:val="tx1"/>
            </w14:solidFill>
          </w14:textFill>
        </w:rPr>
        <w:t>形</w:t>
      </w:r>
      <w:r>
        <w:rPr>
          <w:rFonts w:hint="eastAsia" w:ascii="宋体" w:hAnsi="宋体" w:eastAsia="宋体" w:cs="宋体"/>
          <w:color w:val="000000" w:themeColor="text1"/>
          <w:highlight w:val="none"/>
          <w14:textFill>
            <w14:solidFill>
              <w14:schemeClr w14:val="tx1"/>
            </w14:solidFill>
          </w14:textFill>
        </w:rPr>
        <w:t>式</w:t>
      </w:r>
      <w:r>
        <w:rPr>
          <w:rFonts w:hint="eastAsia" w:ascii="宋体" w:hAnsi="宋体" w:eastAsia="宋体" w:cs="宋体"/>
          <w:color w:val="000000" w:themeColor="text1"/>
          <w:kern w:val="0"/>
          <w:highlight w:val="none"/>
          <w14:textFill>
            <w14:solidFill>
              <w14:schemeClr w14:val="tx1"/>
            </w14:solidFill>
          </w14:textFill>
        </w:rPr>
        <w:t>。</w:t>
      </w:r>
    </w:p>
    <w:p w14:paraId="55DF035D">
      <w:pPr>
        <w:spacing w:line="360" w:lineRule="auto"/>
        <w:ind w:firstLine="420" w:firstLineChars="200"/>
        <w:jc w:val="left"/>
        <w:rPr>
          <w:rFonts w:hint="eastAsia" w:ascii="宋体" w:hAnsi="宋体" w:eastAsia="宋体" w:cs="宋体"/>
          <w:color w:val="000000" w:themeColor="text1"/>
          <w:kern w:val="0"/>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关于质量保证金的补充约定：</w:t>
      </w:r>
      <w:r>
        <w:rPr>
          <w:rFonts w:hint="eastAsia" w:ascii="宋体" w:hAnsi="宋体" w:eastAsia="宋体" w:cs="宋体"/>
          <w:color w:val="000000" w:themeColor="text1"/>
          <w:kern w:val="0"/>
          <w:highlight w:val="none"/>
          <w:u w:val="single"/>
          <w:lang w:eastAsia="zh-CN"/>
          <w14:textFill>
            <w14:solidFill>
              <w14:schemeClr w14:val="tx1"/>
            </w14:solidFill>
          </w14:textFill>
        </w:rPr>
        <w:t>无</w:t>
      </w:r>
      <w:r>
        <w:rPr>
          <w:rFonts w:hint="eastAsia" w:ascii="宋体" w:hAnsi="宋体" w:eastAsia="宋体" w:cs="宋体"/>
          <w:color w:val="000000" w:themeColor="text1"/>
          <w:kern w:val="0"/>
          <w:highlight w:val="none"/>
          <w14:textFill>
            <w14:solidFill>
              <w14:schemeClr w14:val="tx1"/>
            </w14:solidFill>
          </w14:textFill>
        </w:rPr>
        <w:t>。</w:t>
      </w:r>
    </w:p>
    <w:bookmarkEnd w:id="1559"/>
    <w:bookmarkEnd w:id="1560"/>
    <w:p w14:paraId="4AF0CF9B">
      <w:pPr>
        <w:pStyle w:val="6"/>
        <w:rPr>
          <w:rFonts w:hint="eastAsia" w:ascii="宋体" w:hAnsi="宋体" w:eastAsia="宋体" w:cs="宋体"/>
          <w:color w:val="000000" w:themeColor="text1"/>
          <w:highlight w:val="none"/>
          <w14:textFill>
            <w14:solidFill>
              <w14:schemeClr w14:val="tx1"/>
            </w14:solidFill>
          </w14:textFill>
        </w:rPr>
      </w:pPr>
      <w:bookmarkStart w:id="1602" w:name="_Toc407135268"/>
      <w:bookmarkStart w:id="1603" w:name="_Toc78449854"/>
      <w:bookmarkStart w:id="1604" w:name="_Toc1902722111"/>
      <w:bookmarkStart w:id="1605" w:name="_Toc373478412"/>
      <w:bookmarkStart w:id="1606" w:name="_Toc196306762"/>
      <w:bookmarkStart w:id="1607" w:name="_Toc389065330"/>
      <w:bookmarkStart w:id="1608" w:name="_Toc373227765"/>
      <w:r>
        <w:rPr>
          <w:rFonts w:hint="eastAsia" w:ascii="宋体" w:hAnsi="宋体" w:eastAsia="宋体" w:cs="宋体"/>
          <w:color w:val="000000" w:themeColor="text1"/>
          <w:highlight w:val="none"/>
          <w14:textFill>
            <w14:solidFill>
              <w14:schemeClr w14:val="tx1"/>
            </w14:solidFill>
          </w14:textFill>
        </w:rPr>
        <w:t>15.4 保修</w:t>
      </w:r>
      <w:bookmarkEnd w:id="1602"/>
      <w:bookmarkEnd w:id="1603"/>
      <w:bookmarkEnd w:id="1604"/>
      <w:bookmarkEnd w:id="1605"/>
      <w:bookmarkEnd w:id="1606"/>
      <w:bookmarkEnd w:id="1607"/>
      <w:bookmarkEnd w:id="1608"/>
    </w:p>
    <w:bookmarkEnd w:id="1561"/>
    <w:p w14:paraId="1158A7A1">
      <w:pPr>
        <w:spacing w:line="360" w:lineRule="auto"/>
        <w:ind w:firstLine="409" w:firstLineChars="195"/>
        <w:jc w:val="left"/>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15.4.1 保修责任</w:t>
      </w:r>
    </w:p>
    <w:p w14:paraId="7628E3A8">
      <w:pPr>
        <w:spacing w:line="360" w:lineRule="auto"/>
        <w:ind w:firstLine="409" w:firstLineChars="195"/>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工程保修期为：</w:t>
      </w:r>
      <w:r>
        <w:rPr>
          <w:rFonts w:hint="eastAsia" w:ascii="宋体" w:hAnsi="宋体" w:eastAsia="宋体" w:cs="宋体"/>
          <w:color w:val="000000" w:themeColor="text1"/>
          <w:highlight w:val="none"/>
          <w:u w:val="single"/>
          <w14:textFill>
            <w14:solidFill>
              <w14:schemeClr w14:val="tx1"/>
            </w14:solidFill>
          </w14:textFill>
        </w:rPr>
        <w:t>地基基础工程和主体结构工程为设计文件规定的该工程的合理使用年限， 本工程为 50 年；屋面防水工程、有防水要求的卫生间、房间和外墙面的防渗漏为 5 年；电气管线、给排水管道、设备安装为2年</w:t>
      </w:r>
      <w:r>
        <w:rPr>
          <w:rFonts w:hint="eastAsia" w:ascii="宋体" w:hAnsi="宋体" w:eastAsia="宋体" w:cs="宋体"/>
          <w:color w:val="000000" w:themeColor="text1"/>
          <w:kern w:val="0"/>
          <w:highlight w:val="none"/>
          <w14:textFill>
            <w14:solidFill>
              <w14:schemeClr w14:val="tx1"/>
            </w14:solidFill>
          </w14:textFill>
        </w:rPr>
        <w:t>。</w:t>
      </w:r>
    </w:p>
    <w:p w14:paraId="2D690CAC">
      <w:pPr>
        <w:spacing w:line="360" w:lineRule="auto"/>
        <w:ind w:firstLine="409" w:firstLineChars="195"/>
        <w:jc w:val="left"/>
        <w:rPr>
          <w:rFonts w:hint="eastAsia" w:ascii="宋体" w:hAnsi="宋体" w:eastAsia="宋体" w:cs="宋体"/>
          <w:color w:val="000000" w:themeColor="text1"/>
          <w:kern w:val="0"/>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工程保修书具体内容见合同附件2。</w:t>
      </w:r>
    </w:p>
    <w:p w14:paraId="2A739574">
      <w:pPr>
        <w:spacing w:line="360" w:lineRule="auto"/>
        <w:ind w:firstLine="409" w:firstLineChars="195"/>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15.4.3 修复通知</w:t>
      </w:r>
    </w:p>
    <w:p w14:paraId="0573692B">
      <w:pPr>
        <w:spacing w:line="360" w:lineRule="auto"/>
        <w:ind w:firstLine="409" w:firstLineChars="195"/>
        <w:jc w:val="left"/>
        <w:rPr>
          <w:rFonts w:hint="eastAsia" w:ascii="宋体" w:hAnsi="宋体" w:eastAsia="宋体" w:cs="宋体"/>
          <w:color w:val="000000" w:themeColor="text1"/>
          <w:kern w:val="0"/>
          <w:highlight w:val="none"/>
          <w:u w:val="singl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承包人收到保修通知并到达工程现场的合理时间：</w:t>
      </w:r>
      <w:r>
        <w:rPr>
          <w:rFonts w:hint="eastAsia" w:ascii="宋体" w:hAnsi="宋体" w:eastAsia="宋体" w:cs="宋体"/>
          <w:color w:val="000000" w:themeColor="text1"/>
          <w:kern w:val="0"/>
          <w:highlight w:val="none"/>
          <w:u w:val="single"/>
          <w:lang w:val="en-US" w:eastAsia="zh-CN"/>
          <w14:textFill>
            <w14:solidFill>
              <w14:schemeClr w14:val="tx1"/>
            </w14:solidFill>
          </w14:textFill>
        </w:rPr>
        <w:t>收到通知后24小时内</w:t>
      </w:r>
      <w:r>
        <w:rPr>
          <w:rFonts w:hint="eastAsia" w:ascii="宋体" w:hAnsi="宋体" w:eastAsia="宋体" w:cs="宋体"/>
          <w:color w:val="000000" w:themeColor="text1"/>
          <w:kern w:val="0"/>
          <w:highlight w:val="none"/>
          <w14:textFill>
            <w14:solidFill>
              <w14:schemeClr w14:val="tx1"/>
            </w14:solidFill>
          </w14:textFill>
        </w:rPr>
        <w:t>。</w:t>
      </w:r>
    </w:p>
    <w:bookmarkEnd w:id="1562"/>
    <w:bookmarkEnd w:id="1563"/>
    <w:bookmarkEnd w:id="1564"/>
    <w:bookmarkEnd w:id="1565"/>
    <w:p w14:paraId="630A1EEE">
      <w:pPr>
        <w:pStyle w:val="5"/>
        <w:rPr>
          <w:rFonts w:hint="eastAsia" w:ascii="宋体" w:hAnsi="宋体" w:eastAsia="宋体" w:cs="宋体"/>
          <w:color w:val="000000" w:themeColor="text1"/>
          <w:highlight w:val="none"/>
          <w14:textFill>
            <w14:solidFill>
              <w14:schemeClr w14:val="tx1"/>
            </w14:solidFill>
          </w14:textFill>
        </w:rPr>
      </w:pPr>
      <w:bookmarkStart w:id="1609" w:name="_Toc78449855"/>
      <w:bookmarkStart w:id="1610" w:name="_Toc1725581915"/>
      <w:bookmarkStart w:id="1611" w:name="_Toc389065331"/>
      <w:bookmarkStart w:id="1612" w:name="_Toc373478413"/>
      <w:bookmarkStart w:id="1613" w:name="_Toc351203648"/>
      <w:bookmarkStart w:id="1614" w:name="_Toc1360137061"/>
      <w:bookmarkStart w:id="1615" w:name="_Toc373227766"/>
      <w:bookmarkStart w:id="1616" w:name="_Toc407135269"/>
      <w:bookmarkStart w:id="1617" w:name="_Toc280868717"/>
      <w:bookmarkStart w:id="1618" w:name="_Toc280868718"/>
      <w:r>
        <w:rPr>
          <w:rFonts w:hint="eastAsia" w:ascii="宋体" w:hAnsi="宋体" w:eastAsia="宋体" w:cs="宋体"/>
          <w:color w:val="000000" w:themeColor="text1"/>
          <w:highlight w:val="none"/>
          <w14:textFill>
            <w14:solidFill>
              <w14:schemeClr w14:val="tx1"/>
            </w14:solidFill>
          </w14:textFill>
        </w:rPr>
        <w:t>16. 违约</w:t>
      </w:r>
      <w:bookmarkEnd w:id="1609"/>
      <w:bookmarkEnd w:id="1610"/>
      <w:bookmarkEnd w:id="1611"/>
      <w:bookmarkEnd w:id="1612"/>
      <w:bookmarkEnd w:id="1613"/>
      <w:bookmarkEnd w:id="1614"/>
      <w:bookmarkEnd w:id="1615"/>
      <w:bookmarkEnd w:id="1616"/>
    </w:p>
    <w:p w14:paraId="62478C1C">
      <w:pPr>
        <w:pStyle w:val="6"/>
        <w:rPr>
          <w:rFonts w:hint="eastAsia" w:ascii="宋体" w:hAnsi="宋体" w:eastAsia="宋体" w:cs="宋体"/>
          <w:color w:val="000000" w:themeColor="text1"/>
          <w:highlight w:val="none"/>
          <w14:textFill>
            <w14:solidFill>
              <w14:schemeClr w14:val="tx1"/>
            </w14:solidFill>
          </w14:textFill>
        </w:rPr>
      </w:pPr>
      <w:bookmarkStart w:id="1619" w:name="_Toc1535389315"/>
      <w:bookmarkStart w:id="1620" w:name="_Toc373227767"/>
      <w:bookmarkStart w:id="1621" w:name="_Toc373478414"/>
      <w:bookmarkStart w:id="1622" w:name="_Toc389065332"/>
      <w:bookmarkStart w:id="1623" w:name="_Toc78449856"/>
      <w:bookmarkStart w:id="1624" w:name="_Toc1973395665"/>
      <w:bookmarkStart w:id="1625" w:name="_Toc407135270"/>
      <w:r>
        <w:rPr>
          <w:rFonts w:hint="eastAsia" w:ascii="宋体" w:hAnsi="宋体" w:eastAsia="宋体" w:cs="宋体"/>
          <w:color w:val="000000" w:themeColor="text1"/>
          <w:highlight w:val="none"/>
          <w14:textFill>
            <w14:solidFill>
              <w14:schemeClr w14:val="tx1"/>
            </w14:solidFill>
          </w14:textFill>
        </w:rPr>
        <w:t>16.1 发包人违约</w:t>
      </w:r>
      <w:bookmarkEnd w:id="1619"/>
      <w:bookmarkEnd w:id="1620"/>
      <w:bookmarkEnd w:id="1621"/>
      <w:bookmarkEnd w:id="1622"/>
      <w:bookmarkEnd w:id="1623"/>
      <w:bookmarkEnd w:id="1624"/>
      <w:bookmarkEnd w:id="1625"/>
    </w:p>
    <w:p w14:paraId="0A66245F">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16.1.1发包人违约的情形</w:t>
      </w:r>
    </w:p>
    <w:p w14:paraId="4A31C5DE">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 xml:space="preserve">发包人违约的其他情形： </w:t>
      </w:r>
      <w:r>
        <w:rPr>
          <w:rFonts w:hint="eastAsia" w:ascii="宋体" w:hAnsi="宋体" w:eastAsia="宋体" w:cs="宋体"/>
          <w:color w:val="000000" w:themeColor="text1"/>
          <w:kern w:val="0"/>
          <w:highlight w:val="none"/>
          <w:u w:val="single"/>
          <w14:textFill>
            <w14:solidFill>
              <w14:schemeClr w14:val="tx1"/>
            </w14:solidFill>
          </w14:textFill>
        </w:rPr>
        <w:t>按本合同《通用条款》执行</w:t>
      </w:r>
      <w:r>
        <w:rPr>
          <w:rFonts w:hint="eastAsia" w:ascii="宋体" w:hAnsi="宋体" w:eastAsia="宋体" w:cs="宋体"/>
          <w:color w:val="000000" w:themeColor="text1"/>
          <w:kern w:val="0"/>
          <w:highlight w:val="none"/>
          <w14:textFill>
            <w14:solidFill>
              <w14:schemeClr w14:val="tx1"/>
            </w14:solidFill>
          </w14:textFill>
        </w:rPr>
        <w:t>。</w:t>
      </w:r>
    </w:p>
    <w:p w14:paraId="1D7B7771">
      <w:pPr>
        <w:spacing w:line="360" w:lineRule="auto"/>
        <w:ind w:firstLine="420" w:firstLineChars="200"/>
        <w:jc w:val="left"/>
        <w:outlineLvl w:val="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16.1.2 发包人违约的责任</w:t>
      </w:r>
    </w:p>
    <w:p w14:paraId="56882D4E">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发包人违约责任的承担方式和计算方法：</w:t>
      </w:r>
    </w:p>
    <w:p w14:paraId="1E8A7455">
      <w:pPr>
        <w:spacing w:line="360" w:lineRule="auto"/>
        <w:ind w:firstLine="420" w:firstLineChars="200"/>
        <w:jc w:val="left"/>
        <w:rPr>
          <w:rFonts w:hint="eastAsia" w:ascii="宋体" w:hAnsi="宋体" w:eastAsia="宋体" w:cs="宋体"/>
          <w:color w:val="000000" w:themeColor="text1"/>
          <w:kern w:val="0"/>
          <w:highlight w:val="none"/>
          <w:u w:val="singl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（1）因发包人原因未能在计划开工日期前7天内下达开工通知的违约责任：</w:t>
      </w:r>
      <w:r>
        <w:rPr>
          <w:rFonts w:hint="eastAsia" w:ascii="宋体" w:hAnsi="宋体" w:eastAsia="宋体" w:cs="宋体"/>
          <w:color w:val="000000" w:themeColor="text1"/>
          <w:kern w:val="0"/>
          <w:highlight w:val="none"/>
          <w:u w:val="single"/>
          <w:lang w:eastAsia="zh-CN"/>
          <w14:textFill>
            <w14:solidFill>
              <w14:schemeClr w14:val="tx1"/>
            </w14:solidFill>
          </w14:textFill>
        </w:rPr>
        <w:t>顺延工期</w:t>
      </w:r>
      <w:r>
        <w:rPr>
          <w:rFonts w:hint="eastAsia" w:ascii="宋体" w:hAnsi="宋体" w:eastAsia="宋体" w:cs="宋体"/>
          <w:color w:val="000000" w:themeColor="text1"/>
          <w:kern w:val="0"/>
          <w:highlight w:val="none"/>
          <w14:textFill>
            <w14:solidFill>
              <w14:schemeClr w14:val="tx1"/>
            </w14:solidFill>
          </w14:textFill>
        </w:rPr>
        <w:t>。</w:t>
      </w:r>
    </w:p>
    <w:p w14:paraId="3844B82B">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（2）因发包人原因未能按合同约定支付合同价款的违约责任：</w:t>
      </w:r>
      <w:r>
        <w:rPr>
          <w:rFonts w:hint="eastAsia" w:ascii="宋体" w:hAnsi="宋体" w:eastAsia="宋体" w:cs="宋体"/>
          <w:color w:val="000000" w:themeColor="text1"/>
          <w:kern w:val="0"/>
          <w:highlight w:val="none"/>
          <w:u w:val="single"/>
          <w14:textFill>
            <w14:solidFill>
              <w14:schemeClr w14:val="tx1"/>
            </w14:solidFill>
          </w14:textFill>
        </w:rPr>
        <w:t>承包人与发包人签订延期付款协议，延期付款协议须经财政部门及双方认可</w:t>
      </w:r>
      <w:r>
        <w:rPr>
          <w:rFonts w:hint="eastAsia" w:ascii="宋体" w:hAnsi="宋体" w:eastAsia="宋体" w:cs="宋体"/>
          <w:color w:val="000000" w:themeColor="text1"/>
          <w:kern w:val="0"/>
          <w:highlight w:val="none"/>
          <w14:textFill>
            <w14:solidFill>
              <w14:schemeClr w14:val="tx1"/>
            </w14:solidFill>
          </w14:textFill>
        </w:rPr>
        <w:t>。</w:t>
      </w:r>
    </w:p>
    <w:p w14:paraId="26D7066E">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（3）发包人违反</w:t>
      </w:r>
      <w:r>
        <w:rPr>
          <w:rFonts w:hint="eastAsia" w:ascii="宋体" w:hAnsi="宋体" w:eastAsia="宋体" w:cs="宋体"/>
          <w:color w:val="000000" w:themeColor="text1"/>
          <w:kern w:val="0"/>
          <w:highlight w:val="none"/>
          <w:lang w:eastAsia="zh-CN"/>
          <w14:textFill>
            <w14:solidFill>
              <w14:schemeClr w14:val="tx1"/>
            </w14:solidFill>
          </w14:textFill>
        </w:rPr>
        <w:t>《专用合同条款》</w:t>
      </w:r>
      <w:r>
        <w:rPr>
          <w:rFonts w:hint="eastAsia" w:ascii="宋体" w:hAnsi="宋体" w:eastAsia="宋体" w:cs="宋体"/>
          <w:color w:val="000000" w:themeColor="text1"/>
          <w:kern w:val="0"/>
          <w:highlight w:val="none"/>
          <w14:textFill>
            <w14:solidFill>
              <w14:schemeClr w14:val="tx1"/>
            </w14:solidFill>
          </w14:textFill>
        </w:rPr>
        <w:t>第10.1款〔变更的范围〕第（2）项约定，自行实施被取消的工作或转由他人实施的违约责任：</w:t>
      </w:r>
      <w:r>
        <w:rPr>
          <w:rFonts w:hint="eastAsia" w:ascii="宋体" w:hAnsi="宋体" w:eastAsia="宋体" w:cs="宋体"/>
          <w:color w:val="000000" w:themeColor="text1"/>
          <w:kern w:val="0"/>
          <w:highlight w:val="none"/>
          <w:u w:val="single"/>
          <w:lang w:eastAsia="zh-CN"/>
          <w14:textFill>
            <w14:solidFill>
              <w14:schemeClr w14:val="tx1"/>
            </w14:solidFill>
          </w14:textFill>
        </w:rPr>
        <w:t>无</w:t>
      </w:r>
      <w:r>
        <w:rPr>
          <w:rFonts w:hint="eastAsia" w:ascii="宋体" w:hAnsi="宋体" w:eastAsia="宋体" w:cs="宋体"/>
          <w:color w:val="000000" w:themeColor="text1"/>
          <w:kern w:val="0"/>
          <w:highlight w:val="none"/>
          <w14:textFill>
            <w14:solidFill>
              <w14:schemeClr w14:val="tx1"/>
            </w14:solidFill>
          </w14:textFill>
        </w:rPr>
        <w:t>。</w:t>
      </w:r>
    </w:p>
    <w:p w14:paraId="0B1EE620">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（4）发包人提供的材料、工程设备的规格、数量或质量不符合合同约定，或因发包人原因导致交货日期延误或交货地点变更等情况的违约责任：</w:t>
      </w:r>
      <w:r>
        <w:rPr>
          <w:rFonts w:hint="eastAsia" w:ascii="宋体" w:hAnsi="宋体" w:eastAsia="宋体" w:cs="宋体"/>
          <w:color w:val="000000" w:themeColor="text1"/>
          <w:szCs w:val="21"/>
          <w:highlight w:val="none"/>
          <w:u w:val="single"/>
          <w:lang w:eastAsia="zh-CN"/>
          <w14:textFill>
            <w14:solidFill>
              <w14:schemeClr w14:val="tx1"/>
            </w14:solidFill>
          </w14:textFill>
        </w:rPr>
        <w:t>无</w:t>
      </w:r>
      <w:r>
        <w:rPr>
          <w:rFonts w:hint="eastAsia" w:ascii="宋体" w:hAnsi="宋体" w:eastAsia="宋体" w:cs="宋体"/>
          <w:color w:val="000000" w:themeColor="text1"/>
          <w:kern w:val="0"/>
          <w:highlight w:val="none"/>
          <w14:textFill>
            <w14:solidFill>
              <w14:schemeClr w14:val="tx1"/>
            </w14:solidFill>
          </w14:textFill>
        </w:rPr>
        <w:t>。</w:t>
      </w:r>
    </w:p>
    <w:p w14:paraId="75096B57">
      <w:pPr>
        <w:spacing w:line="360" w:lineRule="auto"/>
        <w:ind w:firstLine="420" w:firstLineChars="200"/>
        <w:jc w:val="left"/>
        <w:rPr>
          <w:rFonts w:hint="eastAsia" w:ascii="宋体" w:hAnsi="宋体" w:eastAsia="宋体" w:cs="宋体"/>
          <w:color w:val="000000" w:themeColor="text1"/>
          <w:kern w:val="0"/>
          <w:highlight w:val="none"/>
          <w:u w:val="singl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（5）因发包人违反合同约定造成暂停施工的违约责任：</w:t>
      </w:r>
      <w:r>
        <w:rPr>
          <w:rFonts w:hint="eastAsia" w:ascii="宋体" w:hAnsi="宋体" w:eastAsia="宋体" w:cs="宋体"/>
          <w:color w:val="000000" w:themeColor="text1"/>
          <w:kern w:val="0"/>
          <w:highlight w:val="none"/>
          <w:u w:val="single"/>
          <w14:textFill>
            <w14:solidFill>
              <w14:schemeClr w14:val="tx1"/>
            </w14:solidFill>
          </w14:textFill>
        </w:rPr>
        <w:t>影响关键线路工期的工期相应顺延</w:t>
      </w:r>
      <w:r>
        <w:rPr>
          <w:rFonts w:hint="eastAsia" w:ascii="宋体" w:hAnsi="宋体" w:eastAsia="宋体" w:cs="宋体"/>
          <w:color w:val="000000" w:themeColor="text1"/>
          <w:kern w:val="0"/>
          <w:highlight w:val="none"/>
          <w14:textFill>
            <w14:solidFill>
              <w14:schemeClr w14:val="tx1"/>
            </w14:solidFill>
          </w14:textFill>
        </w:rPr>
        <w:t>。</w:t>
      </w:r>
    </w:p>
    <w:p w14:paraId="78B9B833">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（6）发包人无正当理由没有在约定期限内发出复工指示，导致承包人无法复工的违约责任：</w:t>
      </w:r>
      <w:r>
        <w:rPr>
          <w:rFonts w:hint="eastAsia" w:ascii="宋体" w:hAnsi="宋体" w:eastAsia="宋体" w:cs="宋体"/>
          <w:color w:val="000000" w:themeColor="text1"/>
          <w:szCs w:val="21"/>
          <w:highlight w:val="none"/>
          <w:u w:val="single"/>
          <w14:textFill>
            <w14:solidFill>
              <w14:schemeClr w14:val="tx1"/>
            </w14:solidFill>
          </w14:textFill>
        </w:rPr>
        <w:t>所耽误的工期相应顺延</w:t>
      </w:r>
      <w:r>
        <w:rPr>
          <w:rFonts w:hint="eastAsia" w:ascii="宋体" w:hAnsi="宋体" w:eastAsia="宋体" w:cs="宋体"/>
          <w:color w:val="000000" w:themeColor="text1"/>
          <w:kern w:val="0"/>
          <w:highlight w:val="none"/>
          <w14:textFill>
            <w14:solidFill>
              <w14:schemeClr w14:val="tx1"/>
            </w14:solidFill>
          </w14:textFill>
        </w:rPr>
        <w:t>。</w:t>
      </w:r>
    </w:p>
    <w:p w14:paraId="5225939A">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（7）其他：</w:t>
      </w:r>
      <w:r>
        <w:rPr>
          <w:rFonts w:hint="eastAsia" w:ascii="宋体" w:hAnsi="宋体" w:eastAsia="宋体" w:cs="宋体"/>
          <w:color w:val="000000" w:themeColor="text1"/>
          <w:kern w:val="0"/>
          <w:highlight w:val="none"/>
          <w:u w:val="single"/>
          <w:lang w:eastAsia="zh-CN"/>
          <w14:textFill>
            <w14:solidFill>
              <w14:schemeClr w14:val="tx1"/>
            </w14:solidFill>
          </w14:textFill>
        </w:rPr>
        <w:t>无</w:t>
      </w:r>
      <w:r>
        <w:rPr>
          <w:rFonts w:hint="eastAsia" w:ascii="宋体" w:hAnsi="宋体" w:eastAsia="宋体" w:cs="宋体"/>
          <w:color w:val="000000" w:themeColor="text1"/>
          <w:kern w:val="0"/>
          <w:highlight w:val="none"/>
          <w14:textFill>
            <w14:solidFill>
              <w14:schemeClr w14:val="tx1"/>
            </w14:solidFill>
          </w14:textFill>
        </w:rPr>
        <w:t>。</w:t>
      </w:r>
    </w:p>
    <w:p w14:paraId="18C9E163">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16.1.3 因发包人违约解除合同</w:t>
      </w:r>
    </w:p>
    <w:p w14:paraId="4E890BD7">
      <w:pPr>
        <w:autoSpaceDE w:val="0"/>
        <w:autoSpaceDN w:val="0"/>
        <w:adjustRightInd w:val="0"/>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承包人按16.1.1项〔发包人违约的情形〕约定暂停施工满</w:t>
      </w:r>
      <w:r>
        <w:rPr>
          <w:rFonts w:hint="eastAsia" w:ascii="宋体" w:hAnsi="宋体" w:eastAsia="宋体" w:cs="宋体"/>
          <w:color w:val="000000" w:themeColor="text1"/>
          <w:kern w:val="0"/>
          <w:highlight w:val="none"/>
          <w:u w:val="single"/>
          <w:lang w:val="en-US" w:eastAsia="zh-CN"/>
          <w14:textFill>
            <w14:solidFill>
              <w14:schemeClr w14:val="tx1"/>
            </w14:solidFill>
          </w14:textFill>
        </w:rPr>
        <w:t xml:space="preserve"> / </w:t>
      </w:r>
      <w:r>
        <w:rPr>
          <w:rFonts w:hint="eastAsia" w:ascii="宋体" w:hAnsi="宋体" w:eastAsia="宋体" w:cs="宋体"/>
          <w:color w:val="000000" w:themeColor="text1"/>
          <w:kern w:val="0"/>
          <w:highlight w:val="none"/>
          <w14:textFill>
            <w14:solidFill>
              <w14:schemeClr w14:val="tx1"/>
            </w14:solidFill>
          </w14:textFill>
        </w:rPr>
        <w:t>天后发包人仍不纠正其违约行为并致使合同目的不能实现的，承包人有权解除合同。</w:t>
      </w:r>
    </w:p>
    <w:p w14:paraId="0BB43D39">
      <w:pPr>
        <w:pStyle w:val="6"/>
        <w:rPr>
          <w:rFonts w:hint="eastAsia" w:ascii="宋体" w:hAnsi="宋体" w:eastAsia="宋体" w:cs="宋体"/>
          <w:color w:val="000000" w:themeColor="text1"/>
          <w:highlight w:val="none"/>
          <w14:textFill>
            <w14:solidFill>
              <w14:schemeClr w14:val="tx1"/>
            </w14:solidFill>
          </w14:textFill>
        </w:rPr>
      </w:pPr>
      <w:bookmarkStart w:id="1626" w:name="_Toc247586342"/>
      <w:bookmarkStart w:id="1627" w:name="_Toc373227768"/>
      <w:bookmarkStart w:id="1628" w:name="_Toc78449857"/>
      <w:bookmarkStart w:id="1629" w:name="_Toc407135271"/>
      <w:bookmarkStart w:id="1630" w:name="_Toc61078193"/>
      <w:bookmarkStart w:id="1631" w:name="_Toc389065333"/>
      <w:bookmarkStart w:id="1632" w:name="_Toc373478415"/>
      <w:r>
        <w:rPr>
          <w:rFonts w:hint="eastAsia" w:ascii="宋体" w:hAnsi="宋体" w:eastAsia="宋体" w:cs="宋体"/>
          <w:color w:val="000000" w:themeColor="text1"/>
          <w:highlight w:val="none"/>
          <w14:textFill>
            <w14:solidFill>
              <w14:schemeClr w14:val="tx1"/>
            </w14:solidFill>
          </w14:textFill>
        </w:rPr>
        <w:t>16.2 承包人违约</w:t>
      </w:r>
      <w:bookmarkEnd w:id="1626"/>
      <w:bookmarkEnd w:id="1627"/>
      <w:bookmarkEnd w:id="1628"/>
      <w:bookmarkEnd w:id="1629"/>
      <w:bookmarkEnd w:id="1630"/>
      <w:bookmarkEnd w:id="1631"/>
      <w:bookmarkEnd w:id="1632"/>
    </w:p>
    <w:p w14:paraId="622A5A3E">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16.2.1 承包人违约的情形</w:t>
      </w:r>
    </w:p>
    <w:p w14:paraId="177206FC">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承包人违约的其他情形：</w:t>
      </w:r>
    </w:p>
    <w:p w14:paraId="5A386404">
      <w:pPr>
        <w:spacing w:line="360" w:lineRule="auto"/>
        <w:ind w:firstLine="420" w:firstLineChars="200"/>
        <w:jc w:val="left"/>
        <w:rPr>
          <w:rFonts w:hint="eastAsia" w:ascii="宋体" w:hAnsi="宋体" w:eastAsia="宋体" w:cs="宋体"/>
          <w:color w:val="000000" w:themeColor="text1"/>
          <w:kern w:val="0"/>
          <w:highlight w:val="none"/>
          <w:u w:val="single"/>
          <w14:textFill>
            <w14:solidFill>
              <w14:schemeClr w14:val="tx1"/>
            </w14:solidFill>
          </w14:textFill>
        </w:rPr>
      </w:pPr>
      <w:r>
        <w:rPr>
          <w:rFonts w:hint="eastAsia" w:ascii="宋体" w:hAnsi="宋体" w:eastAsia="宋体" w:cs="宋体"/>
          <w:color w:val="000000" w:themeColor="text1"/>
          <w:kern w:val="0"/>
          <w:highlight w:val="none"/>
          <w:u w:val="single"/>
          <w14:textFill>
            <w14:solidFill>
              <w14:schemeClr w14:val="tx1"/>
            </w14:solidFill>
          </w14:textFill>
        </w:rPr>
        <w:t>(1) 承包人在保修期内拒绝按规定进行修复，或经监理人检验认为修复质量不合格而承包人拒绝再进行修补的， 发包人将扣除承包人全部质量保修金；</w:t>
      </w:r>
    </w:p>
    <w:p w14:paraId="52EEA054">
      <w:pPr>
        <w:spacing w:line="360" w:lineRule="auto"/>
        <w:ind w:firstLine="420" w:firstLineChars="200"/>
        <w:jc w:val="left"/>
        <w:rPr>
          <w:rFonts w:hint="eastAsia" w:ascii="宋体" w:hAnsi="宋体" w:eastAsia="宋体" w:cs="宋体"/>
          <w:color w:val="000000" w:themeColor="text1"/>
          <w:kern w:val="0"/>
          <w:highlight w:val="none"/>
          <w:u w:val="single"/>
          <w14:textFill>
            <w14:solidFill>
              <w14:schemeClr w14:val="tx1"/>
            </w14:solidFill>
          </w14:textFill>
        </w:rPr>
      </w:pPr>
      <w:r>
        <w:rPr>
          <w:rFonts w:hint="eastAsia" w:ascii="宋体" w:hAnsi="宋体" w:eastAsia="宋体" w:cs="宋体"/>
          <w:color w:val="000000" w:themeColor="text1"/>
          <w:kern w:val="0"/>
          <w:highlight w:val="none"/>
          <w:u w:val="single"/>
          <w14:textFill>
            <w14:solidFill>
              <w14:schemeClr w14:val="tx1"/>
            </w14:solidFill>
          </w14:textFill>
        </w:rPr>
        <w:t>(2）承包人违约有以下情况之一者，发包人有权采取合同规定的以下措施处理并视情节轻重予以罚款：</w:t>
      </w:r>
    </w:p>
    <w:p w14:paraId="748CF1A5">
      <w:pPr>
        <w:spacing w:line="360" w:lineRule="auto"/>
        <w:ind w:firstLine="420" w:firstLineChars="200"/>
        <w:jc w:val="left"/>
        <w:rPr>
          <w:rFonts w:hint="eastAsia" w:ascii="宋体" w:hAnsi="宋体" w:eastAsia="宋体" w:cs="宋体"/>
          <w:color w:val="000000" w:themeColor="text1"/>
          <w:kern w:val="0"/>
          <w:highlight w:val="none"/>
          <w:u w:val="single"/>
          <w14:textFill>
            <w14:solidFill>
              <w14:schemeClr w14:val="tx1"/>
            </w14:solidFill>
          </w14:textFill>
        </w:rPr>
      </w:pPr>
      <w:r>
        <w:rPr>
          <w:rFonts w:hint="eastAsia" w:ascii="宋体" w:hAnsi="宋体" w:eastAsia="宋体" w:cs="宋体"/>
          <w:color w:val="000000" w:themeColor="text1"/>
          <w:kern w:val="0"/>
          <w:highlight w:val="none"/>
          <w:u w:val="single"/>
          <w14:textFill>
            <w14:solidFill>
              <w14:schemeClr w14:val="tx1"/>
            </w14:solidFill>
          </w14:textFill>
        </w:rPr>
        <w:t>A、未经监理工程师审查批准，施工期内自行调走主要施工机械，经发现不及时调回的，视为承包人违约，发包人有权收取违约金，金额为</w:t>
      </w:r>
      <w:r>
        <w:rPr>
          <w:rFonts w:hint="eastAsia" w:ascii="宋体" w:hAnsi="宋体" w:eastAsia="宋体" w:cs="宋体"/>
          <w:color w:val="000000" w:themeColor="text1"/>
          <w:kern w:val="0"/>
          <w:highlight w:val="none"/>
          <w:u w:val="single"/>
          <w:lang w:val="en-US" w:eastAsia="zh-CN"/>
          <w14:textFill>
            <w14:solidFill>
              <w14:schemeClr w14:val="tx1"/>
            </w14:solidFill>
          </w14:textFill>
        </w:rPr>
        <w:t>合同价</w:t>
      </w:r>
      <w:r>
        <w:rPr>
          <w:rFonts w:hint="eastAsia" w:ascii="宋体" w:hAnsi="宋体" w:eastAsia="宋体" w:cs="宋体"/>
          <w:color w:val="000000" w:themeColor="text1"/>
          <w:kern w:val="0"/>
          <w:highlight w:val="none"/>
          <w:u w:val="single"/>
          <w14:textFill>
            <w14:solidFill>
              <w14:schemeClr w14:val="tx1"/>
            </w14:solidFill>
          </w14:textFill>
        </w:rPr>
        <w:t>的10-50 ％（视情节严重而定）。</w:t>
      </w:r>
    </w:p>
    <w:p w14:paraId="67218DC2">
      <w:pPr>
        <w:spacing w:line="360" w:lineRule="auto"/>
        <w:ind w:firstLine="420" w:firstLineChars="200"/>
        <w:jc w:val="left"/>
        <w:rPr>
          <w:rFonts w:hint="eastAsia" w:ascii="宋体" w:hAnsi="宋体" w:eastAsia="宋体" w:cs="宋体"/>
          <w:color w:val="000000" w:themeColor="text1"/>
          <w:kern w:val="0"/>
          <w:highlight w:val="none"/>
          <w:u w:val="single"/>
          <w14:textFill>
            <w14:solidFill>
              <w14:schemeClr w14:val="tx1"/>
            </w14:solidFill>
          </w14:textFill>
        </w:rPr>
      </w:pPr>
      <w:r>
        <w:rPr>
          <w:rFonts w:hint="eastAsia" w:ascii="宋体" w:hAnsi="宋体" w:eastAsia="宋体" w:cs="宋体"/>
          <w:color w:val="000000" w:themeColor="text1"/>
          <w:kern w:val="0"/>
          <w:highlight w:val="none"/>
          <w:u w:val="single"/>
          <w14:textFill>
            <w14:solidFill>
              <w14:schemeClr w14:val="tx1"/>
            </w14:solidFill>
          </w14:textFill>
        </w:rPr>
        <w:t>B、违约金金额</w:t>
      </w:r>
      <w:r>
        <w:rPr>
          <w:rFonts w:hint="eastAsia" w:ascii="宋体" w:hAnsi="宋体" w:eastAsia="宋体" w:cs="宋体"/>
          <w:color w:val="000000" w:themeColor="text1"/>
          <w:kern w:val="0"/>
          <w:highlight w:val="none"/>
          <w:u w:val="single"/>
          <w:lang w:val="en-US" w:eastAsia="zh-CN"/>
          <w14:textFill>
            <w14:solidFill>
              <w14:schemeClr w14:val="tx1"/>
            </w14:solidFill>
          </w14:textFill>
        </w:rPr>
        <w:t>可</w:t>
      </w:r>
      <w:r>
        <w:rPr>
          <w:rFonts w:hint="eastAsia" w:ascii="宋体" w:hAnsi="宋体" w:eastAsia="宋体" w:cs="宋体"/>
          <w:color w:val="000000" w:themeColor="text1"/>
          <w:kern w:val="0"/>
          <w:highlight w:val="none"/>
          <w:u w:val="single"/>
          <w14:textFill>
            <w14:solidFill>
              <w14:schemeClr w14:val="tx1"/>
            </w14:solidFill>
          </w14:textFill>
        </w:rPr>
        <w:t>在承包人的计量支付款内扣除</w:t>
      </w:r>
      <w:r>
        <w:rPr>
          <w:rFonts w:hint="eastAsia" w:ascii="宋体" w:hAnsi="宋体" w:eastAsia="宋体" w:cs="宋体"/>
          <w:color w:val="000000" w:themeColor="text1"/>
          <w:kern w:val="0"/>
          <w:highlight w:val="none"/>
          <w:u w:val="single"/>
          <w:lang w:eastAsia="zh-CN"/>
          <w14:textFill>
            <w14:solidFill>
              <w14:schemeClr w14:val="tx1"/>
            </w14:solidFill>
          </w14:textFill>
        </w:rPr>
        <w:t>，</w:t>
      </w:r>
      <w:r>
        <w:rPr>
          <w:rFonts w:hint="eastAsia" w:ascii="宋体" w:hAnsi="宋体" w:eastAsia="宋体" w:cs="宋体"/>
          <w:color w:val="000000" w:themeColor="text1"/>
          <w:kern w:val="0"/>
          <w:highlight w:val="none"/>
          <w:u w:val="single"/>
          <w:lang w:val="en-US" w:eastAsia="zh-CN"/>
          <w14:textFill>
            <w14:solidFill>
              <w14:schemeClr w14:val="tx1"/>
            </w14:solidFill>
          </w14:textFill>
        </w:rPr>
        <w:t>也可就违约责任向承包人索赔</w:t>
      </w:r>
      <w:r>
        <w:rPr>
          <w:rFonts w:hint="eastAsia" w:ascii="宋体" w:hAnsi="宋体" w:eastAsia="宋体" w:cs="宋体"/>
          <w:color w:val="000000" w:themeColor="text1"/>
          <w:kern w:val="0"/>
          <w:highlight w:val="none"/>
          <w:u w:val="single"/>
          <w14:textFill>
            <w14:solidFill>
              <w14:schemeClr w14:val="tx1"/>
            </w14:solidFill>
          </w14:textFill>
        </w:rPr>
        <w:t>。</w:t>
      </w:r>
    </w:p>
    <w:p w14:paraId="466EF70B">
      <w:pPr>
        <w:spacing w:line="360" w:lineRule="auto"/>
        <w:ind w:firstLine="420" w:firstLineChars="200"/>
        <w:jc w:val="left"/>
        <w:rPr>
          <w:rFonts w:hint="eastAsia" w:ascii="宋体" w:hAnsi="宋体" w:eastAsia="宋体" w:cs="宋体"/>
          <w:color w:val="000000" w:themeColor="text1"/>
          <w:kern w:val="0"/>
          <w:highlight w:val="none"/>
          <w:u w:val="single"/>
          <w14:textFill>
            <w14:solidFill>
              <w14:schemeClr w14:val="tx1"/>
            </w14:solidFill>
          </w14:textFill>
        </w:rPr>
      </w:pPr>
      <w:r>
        <w:rPr>
          <w:rFonts w:hint="eastAsia" w:ascii="宋体" w:hAnsi="宋体" w:eastAsia="宋体" w:cs="宋体"/>
          <w:color w:val="000000" w:themeColor="text1"/>
          <w:kern w:val="0"/>
          <w:highlight w:val="none"/>
          <w:u w:val="single"/>
          <w14:textFill>
            <w14:solidFill>
              <w14:schemeClr w14:val="tx1"/>
            </w14:solidFill>
          </w14:textFill>
        </w:rPr>
        <w:t xml:space="preserve">C、承包人在合同期内完成合同规定的全部工程且质量合格可于工程竣工验收后 15 天内申请返还全部或部分罚款，返还金额由监理工程师审核， 发包人批准，罚款金额返还时不包括银行利息； </w:t>
      </w:r>
    </w:p>
    <w:p w14:paraId="143B24AD">
      <w:pPr>
        <w:spacing w:line="360" w:lineRule="auto"/>
        <w:ind w:firstLine="420" w:firstLineChars="200"/>
        <w:jc w:val="left"/>
        <w:rPr>
          <w:rFonts w:hint="eastAsia" w:ascii="宋体" w:hAnsi="宋体" w:eastAsia="宋体" w:cs="宋体"/>
          <w:color w:val="000000" w:themeColor="text1"/>
          <w:kern w:val="0"/>
          <w:highlight w:val="none"/>
          <w:u w:val="single"/>
          <w14:textFill>
            <w14:solidFill>
              <w14:schemeClr w14:val="tx1"/>
            </w14:solidFill>
          </w14:textFill>
        </w:rPr>
      </w:pPr>
      <w:r>
        <w:rPr>
          <w:rFonts w:hint="eastAsia" w:ascii="宋体" w:hAnsi="宋体" w:eastAsia="宋体" w:cs="宋体"/>
          <w:color w:val="000000" w:themeColor="text1"/>
          <w:kern w:val="0"/>
          <w:highlight w:val="none"/>
          <w:u w:val="single"/>
          <w14:textFill>
            <w14:solidFill>
              <w14:schemeClr w14:val="tx1"/>
            </w14:solidFill>
          </w14:textFill>
        </w:rPr>
        <w:t>(3）承包人有违反《南宁市建设工程造价管理办法》（南宁市人民政府令2007年第5号） 规定的，按规定给予处罚。</w:t>
      </w:r>
    </w:p>
    <w:p w14:paraId="0A0D3CFB">
      <w:pPr>
        <w:spacing w:line="360" w:lineRule="auto"/>
        <w:ind w:firstLine="420" w:firstLineChars="200"/>
        <w:jc w:val="left"/>
        <w:outlineLvl w:val="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16.2.2承包人违约的责任</w:t>
      </w:r>
    </w:p>
    <w:p w14:paraId="4FBF705D">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承包人违约责任的承担方式和计算方法：</w:t>
      </w:r>
    </w:p>
    <w:p w14:paraId="77C4DBE4">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承包人有本合同通用条款第16.2.1（2）、（3）条内容情形的，承包人无条件返工处理，修复至工程质量要求并承担相关费用，并在发包人规定的时间内完成返工，否则发包人有权扣罚该分项工程10%的工程款作为处罚。</w:t>
      </w:r>
    </w:p>
    <w:p w14:paraId="034D1959">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（2）承包人有本合同通用条款第16.2.1（6）条情形的，或经监理人检验认为修复质量不合格而承包人拒绝再进行修补的，发包人将扣除承包人全部质量保证金。</w:t>
      </w:r>
    </w:p>
    <w:p w14:paraId="5B059C46">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3）承包人有本专用合同条款3.2、3.3条违约责任的，发包人有权扣除承包人的违约金。违约金金额均在承包人计量支付款内扣除。监理人预先下发含有罚款意向的指令，如承包人不及时采取措施纠正，则在指令下达后十五天下发罚款通知书（不再陈述罚款理由）。承包人在合同期内，完成合同规定的全部工程，且质量合格，在本工程施工竣工验收后十五天内可申请返还全部或部分罚款，返还金额由监理人审核，发包人批准。罚款金额返还时不包括银行利息。</w:t>
      </w:r>
    </w:p>
    <w:p w14:paraId="481F3384">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16.2.3 因承包人违约解除合同</w:t>
      </w:r>
    </w:p>
    <w:p w14:paraId="1A393778">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关于承包人违约解除合同的特别约定：</w:t>
      </w:r>
      <w:r>
        <w:rPr>
          <w:rFonts w:hint="eastAsia" w:ascii="宋体" w:hAnsi="宋体" w:eastAsia="宋体" w:cs="宋体"/>
          <w:color w:val="000000" w:themeColor="text1"/>
          <w:kern w:val="0"/>
          <w:highlight w:val="none"/>
          <w:u w:val="single"/>
          <w14:textFill>
            <w14:solidFill>
              <w14:schemeClr w14:val="tx1"/>
            </w14:solidFill>
          </w14:textFill>
        </w:rPr>
        <w:t>承包人有违反以下情况之一的，发包人有权解除合同，并</w:t>
      </w:r>
      <w:r>
        <w:rPr>
          <w:rFonts w:hint="eastAsia" w:ascii="宋体" w:hAnsi="宋体" w:eastAsia="宋体" w:cs="宋体"/>
          <w:color w:val="000000" w:themeColor="text1"/>
          <w:kern w:val="0"/>
          <w:highlight w:val="none"/>
          <w:u w:val="single"/>
          <w:lang w:val="en-US" w:eastAsia="zh-CN"/>
          <w14:textFill>
            <w14:solidFill>
              <w14:schemeClr w14:val="tx1"/>
            </w14:solidFill>
          </w14:textFill>
        </w:rPr>
        <w:t>按规定追究承包人违约责任</w:t>
      </w:r>
      <w:r>
        <w:rPr>
          <w:rFonts w:hint="eastAsia" w:ascii="宋体" w:hAnsi="宋体" w:eastAsia="宋体" w:cs="宋体"/>
          <w:color w:val="000000" w:themeColor="text1"/>
          <w:kern w:val="0"/>
          <w:highlight w:val="none"/>
          <w14:textFill>
            <w14:solidFill>
              <w14:schemeClr w14:val="tx1"/>
            </w14:solidFill>
          </w14:textFill>
        </w:rPr>
        <w:t>。</w:t>
      </w:r>
    </w:p>
    <w:p w14:paraId="600190BE">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(1)承包人无正当理由不按开工通知的要求及时进场组织施工和不按签订协议书时商定的进度计划有效地开展施工准备，造成工期延误的；</w:t>
      </w:r>
    </w:p>
    <w:p w14:paraId="4C54AB84">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(2)承包人违反本合同通用条款第3.5条规定私自将合同或合同的任何部分或任何权利转让给其他人，或私自将工程或工程的一部分分包出去的；</w:t>
      </w:r>
    </w:p>
    <w:p w14:paraId="4AFAE29A">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(3)未经监理人批准，承包人私自将已按</w:t>
      </w:r>
      <w:r>
        <w:rPr>
          <w:rFonts w:hint="eastAsia" w:ascii="宋体" w:hAnsi="宋体" w:eastAsia="宋体" w:cs="宋体"/>
          <w:color w:val="000000" w:themeColor="text1"/>
          <w:kern w:val="0"/>
          <w:highlight w:val="none"/>
          <w:lang w:val="en-US" w:eastAsia="zh-CN"/>
          <w14:textFill>
            <w14:solidFill>
              <w14:schemeClr w14:val="tx1"/>
            </w14:solidFill>
          </w14:textFill>
        </w:rPr>
        <w:t>合同</w:t>
      </w:r>
      <w:r>
        <w:rPr>
          <w:rFonts w:hint="eastAsia" w:ascii="宋体" w:hAnsi="宋体" w:eastAsia="宋体" w:cs="宋体"/>
          <w:color w:val="000000" w:themeColor="text1"/>
          <w:kern w:val="0"/>
          <w:highlight w:val="none"/>
          <w14:textFill>
            <w14:solidFill>
              <w14:schemeClr w14:val="tx1"/>
            </w14:solidFill>
          </w14:textFill>
        </w:rPr>
        <w:t>文件承诺进入工地的工程设备、施工设备、临时工程或材料撤离工地的；</w:t>
      </w:r>
    </w:p>
    <w:p w14:paraId="7E0FF8B2">
      <w:pPr>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(4)由于承包人原因拒绝按合同进度计划及时完成合同规定的工程，而又未采取有效措施赶上进度，造成工期严重延误的；</w:t>
      </w:r>
    </w:p>
    <w:p w14:paraId="207E35D4">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(5)承包人否认合同有效或拒绝履行合同规定的承包人义务，或由于法律、财务等原因导致承包人无法继续履行或实质上已停止履行合同的义务的；</w:t>
      </w:r>
    </w:p>
    <w:p w14:paraId="7FDA2E60">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(6)合同签订</w:t>
      </w:r>
      <w:r>
        <w:rPr>
          <w:rFonts w:hint="eastAsia" w:ascii="宋体" w:hAnsi="宋体" w:eastAsia="宋体" w:cs="宋体"/>
          <w:color w:val="000000" w:themeColor="text1"/>
          <w:highlight w:val="none"/>
          <w14:textFill>
            <w14:solidFill>
              <w14:schemeClr w14:val="tx1"/>
            </w14:solidFill>
          </w14:textFill>
        </w:rPr>
        <w:t>且具备法定开工条件后</w:t>
      </w:r>
      <w:r>
        <w:rPr>
          <w:rFonts w:hint="eastAsia" w:ascii="宋体" w:hAnsi="宋体" w:eastAsia="宋体" w:cs="宋体"/>
          <w:color w:val="000000" w:themeColor="text1"/>
          <w:kern w:val="0"/>
          <w:highlight w:val="none"/>
          <w14:textFill>
            <w14:solidFill>
              <w14:schemeClr w14:val="tx1"/>
            </w14:solidFill>
          </w14:textFill>
        </w:rPr>
        <w:t>之日起十五日内，承包人无法按合同规定及</w:t>
      </w:r>
      <w:r>
        <w:rPr>
          <w:rFonts w:hint="eastAsia" w:ascii="宋体" w:hAnsi="宋体" w:eastAsia="宋体" w:cs="宋体"/>
          <w:color w:val="000000" w:themeColor="text1"/>
          <w:kern w:val="0"/>
          <w:highlight w:val="none"/>
          <w:lang w:val="en-US" w:eastAsia="zh-CN"/>
          <w14:textFill>
            <w14:solidFill>
              <w14:schemeClr w14:val="tx1"/>
            </w14:solidFill>
          </w14:textFill>
        </w:rPr>
        <w:t>合同</w:t>
      </w:r>
      <w:r>
        <w:rPr>
          <w:rFonts w:hint="eastAsia" w:ascii="宋体" w:hAnsi="宋体" w:eastAsia="宋体" w:cs="宋体"/>
          <w:color w:val="000000" w:themeColor="text1"/>
          <w:kern w:val="0"/>
          <w:highlight w:val="none"/>
          <w14:textFill>
            <w14:solidFill>
              <w14:schemeClr w14:val="tx1"/>
            </w14:solidFill>
          </w14:textFill>
        </w:rPr>
        <w:t>文件的承诺进场经监理工程师认可的该施工阶段应有的全部人员和机械的。</w:t>
      </w:r>
    </w:p>
    <w:p w14:paraId="0D2C19D5">
      <w:pPr>
        <w:spacing w:line="360" w:lineRule="auto"/>
        <w:ind w:firstLine="420" w:firstLineChars="200"/>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发包人继续使用承包人在施工现场的材料、设备、临时工程、承包人文件和由承包人或以其名义编制的其他文件的费用承担方式：</w:t>
      </w:r>
      <w:r>
        <w:rPr>
          <w:rFonts w:hint="eastAsia" w:ascii="宋体" w:hAnsi="宋体" w:eastAsia="宋体" w:cs="宋体"/>
          <w:color w:val="000000" w:themeColor="text1"/>
          <w:kern w:val="0"/>
          <w:highlight w:val="none"/>
          <w:u w:val="single"/>
          <w:lang w:eastAsia="zh-CN"/>
          <w14:textFill>
            <w14:solidFill>
              <w14:schemeClr w14:val="tx1"/>
            </w14:solidFill>
          </w14:textFill>
        </w:rPr>
        <w:t>承包人承担</w:t>
      </w:r>
      <w:r>
        <w:rPr>
          <w:rFonts w:hint="eastAsia" w:ascii="宋体" w:hAnsi="宋体" w:eastAsia="宋体" w:cs="宋体"/>
          <w:color w:val="000000" w:themeColor="text1"/>
          <w:kern w:val="0"/>
          <w:highlight w:val="none"/>
          <w14:textFill>
            <w14:solidFill>
              <w14:schemeClr w14:val="tx1"/>
            </w14:solidFill>
          </w14:textFill>
        </w:rPr>
        <w:t>。</w:t>
      </w:r>
    </w:p>
    <w:p w14:paraId="5ED3B4DD">
      <w:pPr>
        <w:pStyle w:val="5"/>
        <w:rPr>
          <w:rFonts w:hint="eastAsia" w:ascii="宋体" w:hAnsi="宋体" w:eastAsia="宋体" w:cs="宋体"/>
          <w:color w:val="000000" w:themeColor="text1"/>
          <w:highlight w:val="none"/>
          <w14:textFill>
            <w14:solidFill>
              <w14:schemeClr w14:val="tx1"/>
            </w14:solidFill>
          </w14:textFill>
        </w:rPr>
      </w:pPr>
      <w:bookmarkStart w:id="1633" w:name="_Toc407135272"/>
      <w:bookmarkStart w:id="1634" w:name="_Toc1753556740"/>
      <w:bookmarkStart w:id="1635" w:name="_Toc373478416"/>
      <w:bookmarkStart w:id="1636" w:name="_Toc1117922953"/>
      <w:bookmarkStart w:id="1637" w:name="_Toc351203649"/>
      <w:bookmarkStart w:id="1638" w:name="_Toc389065334"/>
      <w:bookmarkStart w:id="1639" w:name="_Toc373227769"/>
      <w:bookmarkStart w:id="1640" w:name="_Toc78449858"/>
      <w:r>
        <w:rPr>
          <w:rFonts w:hint="eastAsia" w:ascii="宋体" w:hAnsi="宋体" w:eastAsia="宋体" w:cs="宋体"/>
          <w:color w:val="000000" w:themeColor="text1"/>
          <w:highlight w:val="none"/>
          <w14:textFill>
            <w14:solidFill>
              <w14:schemeClr w14:val="tx1"/>
            </w14:solidFill>
          </w14:textFill>
        </w:rPr>
        <w:t>17. 不可抗力</w:t>
      </w:r>
      <w:bookmarkEnd w:id="1633"/>
      <w:bookmarkEnd w:id="1634"/>
      <w:bookmarkEnd w:id="1635"/>
      <w:bookmarkEnd w:id="1636"/>
      <w:bookmarkEnd w:id="1637"/>
      <w:bookmarkEnd w:id="1638"/>
      <w:bookmarkEnd w:id="1639"/>
      <w:bookmarkEnd w:id="1640"/>
      <w:r>
        <w:rPr>
          <w:rFonts w:hint="eastAsia" w:ascii="宋体" w:hAnsi="宋体" w:eastAsia="宋体" w:cs="宋体"/>
          <w:color w:val="000000" w:themeColor="text1"/>
          <w:highlight w:val="none"/>
          <w14:textFill>
            <w14:solidFill>
              <w14:schemeClr w14:val="tx1"/>
            </w14:solidFill>
          </w14:textFill>
        </w:rPr>
        <w:t xml:space="preserve"> </w:t>
      </w:r>
      <w:bookmarkEnd w:id="1617"/>
    </w:p>
    <w:p w14:paraId="21288FEF">
      <w:pPr>
        <w:pStyle w:val="6"/>
        <w:rPr>
          <w:rFonts w:hint="eastAsia" w:ascii="宋体" w:hAnsi="宋体" w:eastAsia="宋体" w:cs="宋体"/>
          <w:color w:val="000000" w:themeColor="text1"/>
          <w:highlight w:val="none"/>
          <w14:textFill>
            <w14:solidFill>
              <w14:schemeClr w14:val="tx1"/>
            </w14:solidFill>
          </w14:textFill>
        </w:rPr>
      </w:pPr>
      <w:bookmarkStart w:id="1641" w:name="_Toc78449859"/>
      <w:bookmarkStart w:id="1642" w:name="_Toc373478417"/>
      <w:bookmarkStart w:id="1643" w:name="_Toc407135273"/>
      <w:bookmarkStart w:id="1644" w:name="_Toc429574049"/>
      <w:bookmarkStart w:id="1645" w:name="_Toc389065335"/>
      <w:bookmarkStart w:id="1646" w:name="_Toc666312941"/>
      <w:bookmarkStart w:id="1647" w:name="_Toc373227770"/>
      <w:r>
        <w:rPr>
          <w:rFonts w:hint="eastAsia" w:ascii="宋体" w:hAnsi="宋体" w:eastAsia="宋体" w:cs="宋体"/>
          <w:color w:val="000000" w:themeColor="text1"/>
          <w:highlight w:val="none"/>
          <w14:textFill>
            <w14:solidFill>
              <w14:schemeClr w14:val="tx1"/>
            </w14:solidFill>
          </w14:textFill>
        </w:rPr>
        <w:t>17.1 不可抗力的确认</w:t>
      </w:r>
      <w:bookmarkEnd w:id="1641"/>
      <w:bookmarkEnd w:id="1642"/>
      <w:bookmarkEnd w:id="1643"/>
      <w:bookmarkEnd w:id="1644"/>
      <w:bookmarkEnd w:id="1645"/>
      <w:bookmarkEnd w:id="1646"/>
      <w:bookmarkEnd w:id="1647"/>
    </w:p>
    <w:p w14:paraId="3107ED0F">
      <w:pPr>
        <w:spacing w:line="360" w:lineRule="auto"/>
        <w:ind w:firstLine="420" w:firstLineChars="200"/>
        <w:jc w:val="left"/>
        <w:rPr>
          <w:rFonts w:hint="eastAsia" w:ascii="宋体" w:hAnsi="宋体" w:eastAsia="宋体" w:cs="宋体"/>
          <w:color w:val="000000" w:themeColor="text1"/>
          <w:kern w:val="0"/>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除通用合同条款约定的不可抗力事件之外，视为不可抗力的其他情形：</w:t>
      </w:r>
      <w:r>
        <w:rPr>
          <w:rFonts w:hint="eastAsia" w:ascii="宋体" w:hAnsi="宋体" w:eastAsia="宋体" w:cs="宋体"/>
          <w:color w:val="000000" w:themeColor="text1"/>
          <w:highlight w:val="none"/>
          <w:u w:val="single"/>
          <w14:textFill>
            <w14:solidFill>
              <w14:schemeClr w14:val="tx1"/>
            </w14:solidFill>
          </w14:textFill>
        </w:rPr>
        <w:t>① 6 级以上的地震；②10级以上的持续3天的大风；③暴雨级以上的持续3天的大雨；④50年以上未发生过，持续3天的高温天气⑤50年以上未发生过，持续 3 天的严寒天气；⑥50年以上未发生过的洪水；⑦ 战争、战乱、空中巨型物坠落；⑧其他不可预见的不可抗力；⑨由于任何爆炸性核装置或其看 不见的任何核燃料或核燃料燃烧后的核废物、放射性有毒炸药，或其他有害物质所引起的放射性污染</w:t>
      </w:r>
      <w:r>
        <w:rPr>
          <w:rFonts w:hint="eastAsia" w:ascii="宋体" w:hAnsi="宋体" w:eastAsia="宋体" w:cs="宋体"/>
          <w:color w:val="000000" w:themeColor="text1"/>
          <w:highlight w:val="none"/>
          <w14:textFill>
            <w14:solidFill>
              <w14:schemeClr w14:val="tx1"/>
            </w14:solidFill>
          </w14:textFill>
        </w:rPr>
        <w:t>。</w:t>
      </w:r>
    </w:p>
    <w:p w14:paraId="7B7D24FB">
      <w:pPr>
        <w:pStyle w:val="6"/>
        <w:rPr>
          <w:rFonts w:hint="eastAsia" w:ascii="宋体" w:hAnsi="宋体" w:eastAsia="宋体" w:cs="宋体"/>
          <w:color w:val="000000" w:themeColor="text1"/>
          <w:highlight w:val="none"/>
          <w14:textFill>
            <w14:solidFill>
              <w14:schemeClr w14:val="tx1"/>
            </w14:solidFill>
          </w14:textFill>
        </w:rPr>
      </w:pPr>
      <w:bookmarkStart w:id="1648" w:name="_Toc389065336"/>
      <w:bookmarkStart w:id="1649" w:name="_Toc1951449751"/>
      <w:bookmarkStart w:id="1650" w:name="_Toc78449860"/>
      <w:bookmarkStart w:id="1651" w:name="_Toc658729758"/>
      <w:bookmarkStart w:id="1652" w:name="_Toc407135274"/>
      <w:bookmarkStart w:id="1653" w:name="_Toc373227771"/>
      <w:bookmarkStart w:id="1654" w:name="_Toc373478418"/>
      <w:r>
        <w:rPr>
          <w:rFonts w:hint="eastAsia" w:ascii="宋体" w:hAnsi="宋体" w:eastAsia="宋体" w:cs="宋体"/>
          <w:color w:val="000000" w:themeColor="text1"/>
          <w:highlight w:val="none"/>
          <w14:textFill>
            <w14:solidFill>
              <w14:schemeClr w14:val="tx1"/>
            </w14:solidFill>
          </w14:textFill>
        </w:rPr>
        <w:t>17.4 因不可抗力解除合同</w:t>
      </w:r>
      <w:bookmarkEnd w:id="1648"/>
      <w:bookmarkEnd w:id="1649"/>
      <w:bookmarkEnd w:id="1650"/>
      <w:bookmarkEnd w:id="1651"/>
      <w:bookmarkEnd w:id="1652"/>
      <w:bookmarkEnd w:id="1653"/>
      <w:bookmarkEnd w:id="1654"/>
    </w:p>
    <w:p w14:paraId="7F38F3A7">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合同解除后，发包人应在商定或确定发包人应支付款项后</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  </w:t>
      </w:r>
      <w:r>
        <w:rPr>
          <w:rFonts w:hint="eastAsia" w:ascii="宋体" w:hAnsi="宋体" w:eastAsia="宋体" w:cs="宋体"/>
          <w:color w:val="000000" w:themeColor="text1"/>
          <w:highlight w:val="none"/>
          <w14:textFill>
            <w14:solidFill>
              <w14:schemeClr w14:val="tx1"/>
            </w14:solidFill>
          </w14:textFill>
        </w:rPr>
        <w:t>天内完成款项的支付。</w:t>
      </w:r>
    </w:p>
    <w:p w14:paraId="4732BC6B">
      <w:pPr>
        <w:pStyle w:val="5"/>
        <w:rPr>
          <w:rFonts w:hint="eastAsia" w:ascii="宋体" w:hAnsi="宋体" w:eastAsia="宋体" w:cs="宋体"/>
          <w:color w:val="000000" w:themeColor="text1"/>
          <w:highlight w:val="none"/>
          <w14:textFill>
            <w14:solidFill>
              <w14:schemeClr w14:val="tx1"/>
            </w14:solidFill>
          </w14:textFill>
        </w:rPr>
      </w:pPr>
      <w:bookmarkStart w:id="1655" w:name="_Toc407135275"/>
      <w:bookmarkStart w:id="1656" w:name="_Toc389065337"/>
      <w:bookmarkStart w:id="1657" w:name="_Toc612072600"/>
      <w:bookmarkStart w:id="1658" w:name="_Toc373478419"/>
      <w:bookmarkStart w:id="1659" w:name="_Toc56822299"/>
      <w:bookmarkStart w:id="1660" w:name="_Toc351203650"/>
      <w:bookmarkStart w:id="1661" w:name="_Toc78449861"/>
      <w:bookmarkStart w:id="1662" w:name="_Toc373227772"/>
      <w:r>
        <w:rPr>
          <w:rFonts w:hint="eastAsia" w:ascii="宋体" w:hAnsi="宋体" w:eastAsia="宋体" w:cs="宋体"/>
          <w:color w:val="000000" w:themeColor="text1"/>
          <w:highlight w:val="none"/>
          <w14:textFill>
            <w14:solidFill>
              <w14:schemeClr w14:val="tx1"/>
            </w14:solidFill>
          </w14:textFill>
        </w:rPr>
        <w:t>18. 保险</w:t>
      </w:r>
      <w:bookmarkEnd w:id="1655"/>
      <w:bookmarkEnd w:id="1656"/>
      <w:bookmarkEnd w:id="1657"/>
      <w:bookmarkEnd w:id="1658"/>
      <w:bookmarkEnd w:id="1659"/>
      <w:bookmarkEnd w:id="1660"/>
      <w:bookmarkEnd w:id="1661"/>
      <w:bookmarkEnd w:id="1662"/>
    </w:p>
    <w:bookmarkEnd w:id="1618"/>
    <w:p w14:paraId="4C7652C4">
      <w:pPr>
        <w:pStyle w:val="6"/>
        <w:rPr>
          <w:rFonts w:hint="eastAsia" w:ascii="宋体" w:hAnsi="宋体" w:eastAsia="宋体" w:cs="宋体"/>
          <w:color w:val="000000" w:themeColor="text1"/>
          <w:highlight w:val="none"/>
          <w14:textFill>
            <w14:solidFill>
              <w14:schemeClr w14:val="tx1"/>
            </w14:solidFill>
          </w14:textFill>
        </w:rPr>
      </w:pPr>
      <w:bookmarkStart w:id="1663" w:name="_Toc407135276"/>
      <w:bookmarkStart w:id="1664" w:name="_Toc1446953302"/>
      <w:bookmarkStart w:id="1665" w:name="_Toc2075285517"/>
      <w:bookmarkStart w:id="1666" w:name="_Toc78449862"/>
      <w:bookmarkStart w:id="1667" w:name="_Toc373227773"/>
      <w:bookmarkStart w:id="1668" w:name="_Toc373478420"/>
      <w:bookmarkStart w:id="1669" w:name="_Toc389065338"/>
      <w:r>
        <w:rPr>
          <w:rFonts w:hint="eastAsia" w:ascii="宋体" w:hAnsi="宋体" w:eastAsia="宋体" w:cs="宋体"/>
          <w:color w:val="000000" w:themeColor="text1"/>
          <w:highlight w:val="none"/>
          <w14:textFill>
            <w14:solidFill>
              <w14:schemeClr w14:val="tx1"/>
            </w14:solidFill>
          </w14:textFill>
        </w:rPr>
        <w:t>18.1 工程保险</w:t>
      </w:r>
      <w:bookmarkEnd w:id="1663"/>
      <w:bookmarkEnd w:id="1664"/>
      <w:bookmarkEnd w:id="1665"/>
      <w:bookmarkEnd w:id="1666"/>
      <w:bookmarkEnd w:id="1667"/>
      <w:bookmarkEnd w:id="1668"/>
      <w:bookmarkEnd w:id="1669"/>
    </w:p>
    <w:p w14:paraId="6B816CC0">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关于工程保险的特别约定：</w:t>
      </w:r>
      <w:r>
        <w:rPr>
          <w:rFonts w:hint="eastAsia" w:ascii="宋体" w:hAnsi="宋体" w:eastAsia="宋体" w:cs="宋体"/>
          <w:color w:val="000000" w:themeColor="text1"/>
          <w:highlight w:val="none"/>
          <w:u w:val="single"/>
          <w14:textFill>
            <w14:solidFill>
              <w14:schemeClr w14:val="tx1"/>
            </w14:solidFill>
          </w14:textFill>
        </w:rPr>
        <w:t>发包人可根据需要投保工程质量保险；对已投保的工程项目，承包人应积极配合保险公司开展相关工作</w:t>
      </w:r>
      <w:r>
        <w:rPr>
          <w:rFonts w:hint="eastAsia" w:ascii="宋体" w:hAnsi="宋体" w:eastAsia="宋体" w:cs="宋体"/>
          <w:color w:val="000000" w:themeColor="text1"/>
          <w:kern w:val="0"/>
          <w:highlight w:val="none"/>
          <w14:textFill>
            <w14:solidFill>
              <w14:schemeClr w14:val="tx1"/>
            </w14:solidFill>
          </w14:textFill>
        </w:rPr>
        <w:t>。</w:t>
      </w:r>
    </w:p>
    <w:p w14:paraId="7511A842">
      <w:pPr>
        <w:pStyle w:val="6"/>
        <w:rPr>
          <w:rFonts w:hint="eastAsia" w:ascii="宋体" w:hAnsi="宋体" w:eastAsia="宋体" w:cs="宋体"/>
          <w:color w:val="000000" w:themeColor="text1"/>
          <w:highlight w:val="none"/>
          <w14:textFill>
            <w14:solidFill>
              <w14:schemeClr w14:val="tx1"/>
            </w14:solidFill>
          </w14:textFill>
        </w:rPr>
      </w:pPr>
      <w:bookmarkStart w:id="1670" w:name="_Toc454766369"/>
      <w:bookmarkStart w:id="1671" w:name="_Toc2001387503"/>
      <w:bookmarkStart w:id="1672" w:name="_Toc78449863"/>
      <w:bookmarkStart w:id="1673" w:name="_Toc373478421"/>
      <w:bookmarkStart w:id="1674" w:name="_Toc373227774"/>
      <w:bookmarkStart w:id="1675" w:name="_Toc407135277"/>
      <w:bookmarkStart w:id="1676" w:name="_Toc389065339"/>
      <w:r>
        <w:rPr>
          <w:rFonts w:hint="eastAsia" w:ascii="宋体" w:hAnsi="宋体" w:eastAsia="宋体" w:cs="宋体"/>
          <w:color w:val="000000" w:themeColor="text1"/>
          <w:highlight w:val="none"/>
          <w14:textFill>
            <w14:solidFill>
              <w14:schemeClr w14:val="tx1"/>
            </w14:solidFill>
          </w14:textFill>
        </w:rPr>
        <w:t>18.3 其他保险</w:t>
      </w:r>
      <w:bookmarkEnd w:id="1670"/>
      <w:bookmarkEnd w:id="1671"/>
      <w:bookmarkEnd w:id="1672"/>
      <w:bookmarkEnd w:id="1673"/>
      <w:bookmarkEnd w:id="1674"/>
      <w:bookmarkEnd w:id="1675"/>
      <w:bookmarkEnd w:id="1676"/>
    </w:p>
    <w:p w14:paraId="4121ADAD">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bookmarkStart w:id="1677" w:name="_Toc373478422"/>
      <w:bookmarkStart w:id="1678" w:name="_Toc407135278"/>
      <w:bookmarkStart w:id="1679" w:name="_Toc373227775"/>
      <w:bookmarkStart w:id="1680" w:name="_Toc1114527236"/>
      <w:bookmarkStart w:id="1681" w:name="_Toc389065340"/>
      <w:bookmarkStart w:id="1682" w:name="_Toc78449864"/>
      <w:bookmarkStart w:id="1683" w:name="_Toc2102614655"/>
      <w:r>
        <w:rPr>
          <w:rFonts w:hint="eastAsia" w:ascii="宋体" w:hAnsi="宋体" w:eastAsia="宋体" w:cs="宋体"/>
          <w:color w:val="000000" w:themeColor="text1"/>
          <w:highlight w:val="none"/>
          <w14:textFill>
            <w14:solidFill>
              <w14:schemeClr w14:val="tx1"/>
            </w14:solidFill>
          </w14:textFill>
        </w:rPr>
        <w:t>关于工程保险的特别约定：</w:t>
      </w:r>
      <w:r>
        <w:rPr>
          <w:rFonts w:hint="eastAsia" w:ascii="宋体" w:hAnsi="宋体" w:eastAsia="宋体" w:cs="宋体"/>
          <w:color w:val="000000" w:themeColor="text1"/>
          <w:kern w:val="0"/>
          <w:highlight w:val="none"/>
          <w:u w:val="single"/>
          <w14:textFill>
            <w14:solidFill>
              <w14:schemeClr w14:val="tx1"/>
            </w14:solidFill>
          </w14:textFill>
        </w:rPr>
        <w:t xml:space="preserve">  </w:t>
      </w:r>
      <w:r>
        <w:rPr>
          <w:rFonts w:hint="eastAsia" w:ascii="宋体" w:hAnsi="宋体" w:eastAsia="宋体" w:cs="宋体"/>
          <w:color w:val="000000" w:themeColor="text1"/>
          <w:kern w:val="0"/>
          <w:highlight w:val="none"/>
          <w:u w:val="single"/>
          <w:lang w:val="en-US" w:eastAsia="zh-CN"/>
          <w14:textFill>
            <w14:solidFill>
              <w14:schemeClr w14:val="tx1"/>
            </w14:solidFill>
          </w14:textFill>
        </w:rPr>
        <w:t>依据广西壮族自治区住房和城乡建设厅文件桂建发 (2023) 6 号文件规定，</w:t>
      </w:r>
      <w:r>
        <w:rPr>
          <w:rFonts w:hint="eastAsia" w:ascii="宋体" w:hAnsi="宋体" w:eastAsia="宋体" w:cs="宋体"/>
          <w:color w:val="000000" w:themeColor="text1"/>
          <w:kern w:val="0"/>
          <w:highlight w:val="none"/>
          <w:u w:val="single"/>
          <w14:textFill>
            <w14:solidFill>
              <w14:schemeClr w14:val="tx1"/>
            </w14:solidFill>
          </w14:textFill>
        </w:rPr>
        <w:t>安全生产责任保险费按分部分项工程费及措施项目费（含单价及总价措施项目费）为计算基数乘以 0.2%计入暂估价，工程结算时，由发承包双方根据工程实际情况确认的安全生产责任保险费计入工程造价</w:t>
      </w:r>
      <w:r>
        <w:rPr>
          <w:rFonts w:hint="eastAsia" w:ascii="宋体" w:hAnsi="宋体" w:eastAsia="宋体" w:cs="宋体"/>
          <w:color w:val="000000" w:themeColor="text1"/>
          <w:kern w:val="0"/>
          <w:highlight w:val="none"/>
          <w14:textFill>
            <w14:solidFill>
              <w14:schemeClr w14:val="tx1"/>
            </w14:solidFill>
          </w14:textFill>
        </w:rPr>
        <w:t>。</w:t>
      </w:r>
    </w:p>
    <w:p w14:paraId="018ED326">
      <w:pPr>
        <w:pStyle w:val="6"/>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18.7 通知义务</w:t>
      </w:r>
      <w:bookmarkEnd w:id="1677"/>
      <w:bookmarkEnd w:id="1678"/>
      <w:bookmarkEnd w:id="1679"/>
      <w:bookmarkEnd w:id="1680"/>
      <w:bookmarkEnd w:id="1681"/>
      <w:bookmarkEnd w:id="1682"/>
      <w:bookmarkEnd w:id="1683"/>
    </w:p>
    <w:p w14:paraId="75A72A7D">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关于变更保险合同时的通知义务的约定：</w:t>
      </w:r>
      <w:r>
        <w:rPr>
          <w:rFonts w:hint="eastAsia" w:ascii="宋体" w:hAnsi="宋体" w:eastAsia="宋体" w:cs="宋体"/>
          <w:color w:val="000000" w:themeColor="text1"/>
          <w:kern w:val="0"/>
          <w:highlight w:val="none"/>
          <w:u w:val="single"/>
          <w14:textFill>
            <w14:solidFill>
              <w14:schemeClr w14:val="tx1"/>
            </w14:solidFill>
          </w14:textFill>
        </w:rPr>
        <w:t>发包人变更除工伤保险之外的保险合同时，应事先征得承包人同意，并通知监理人；承包人变更除工伤保险之外的保险合同时，应事先征得发包人同意，并通知监理人。保险事故发生时，投保人应按照保险合同规定的条件和期限及时向保险人报告。发包人和承包人应当在知道保险事故发生后及时通知对方</w:t>
      </w:r>
      <w:r>
        <w:rPr>
          <w:rFonts w:hint="eastAsia" w:ascii="宋体" w:hAnsi="宋体" w:eastAsia="宋体" w:cs="宋体"/>
          <w:color w:val="000000" w:themeColor="text1"/>
          <w:highlight w:val="none"/>
          <w14:textFill>
            <w14:solidFill>
              <w14:schemeClr w14:val="tx1"/>
            </w14:solidFill>
          </w14:textFill>
        </w:rPr>
        <w:t>。</w:t>
      </w:r>
    </w:p>
    <w:bookmarkEnd w:id="1566"/>
    <w:bookmarkEnd w:id="1567"/>
    <w:bookmarkEnd w:id="1568"/>
    <w:bookmarkEnd w:id="1569"/>
    <w:bookmarkEnd w:id="1570"/>
    <w:bookmarkEnd w:id="1571"/>
    <w:bookmarkEnd w:id="1572"/>
    <w:bookmarkEnd w:id="1573"/>
    <w:bookmarkEnd w:id="1574"/>
    <w:bookmarkEnd w:id="1575"/>
    <w:bookmarkEnd w:id="1576"/>
    <w:bookmarkEnd w:id="1577"/>
    <w:p w14:paraId="5DA68AD4">
      <w:pPr>
        <w:pStyle w:val="5"/>
        <w:rPr>
          <w:rFonts w:hint="eastAsia" w:ascii="宋体" w:hAnsi="宋体" w:eastAsia="宋体" w:cs="宋体"/>
          <w:color w:val="000000" w:themeColor="text1"/>
          <w:highlight w:val="none"/>
          <w14:textFill>
            <w14:solidFill>
              <w14:schemeClr w14:val="tx1"/>
            </w14:solidFill>
          </w14:textFill>
        </w:rPr>
      </w:pPr>
      <w:bookmarkStart w:id="1684" w:name="_Toc1959910599"/>
      <w:bookmarkStart w:id="1685" w:name="_Toc373227776"/>
      <w:bookmarkStart w:id="1686" w:name="_Toc78449865"/>
      <w:bookmarkStart w:id="1687" w:name="_Toc407135279"/>
      <w:bookmarkStart w:id="1688" w:name="_Toc1430568476"/>
      <w:bookmarkStart w:id="1689" w:name="_Toc373478423"/>
      <w:bookmarkStart w:id="1690" w:name="_Toc389065341"/>
      <w:bookmarkStart w:id="1691" w:name="_Toc351203651"/>
      <w:r>
        <w:rPr>
          <w:rFonts w:hint="eastAsia" w:ascii="宋体" w:hAnsi="宋体" w:eastAsia="宋体" w:cs="宋体"/>
          <w:color w:val="000000" w:themeColor="text1"/>
          <w:highlight w:val="none"/>
          <w14:textFill>
            <w14:solidFill>
              <w14:schemeClr w14:val="tx1"/>
            </w14:solidFill>
          </w14:textFill>
        </w:rPr>
        <w:t>20. 争议解决</w:t>
      </w:r>
      <w:bookmarkEnd w:id="1684"/>
      <w:bookmarkEnd w:id="1685"/>
      <w:bookmarkEnd w:id="1686"/>
      <w:bookmarkEnd w:id="1687"/>
      <w:bookmarkEnd w:id="1688"/>
      <w:bookmarkEnd w:id="1689"/>
      <w:bookmarkEnd w:id="1690"/>
      <w:bookmarkEnd w:id="1691"/>
    </w:p>
    <w:bookmarkEnd w:id="1578"/>
    <w:bookmarkEnd w:id="1579"/>
    <w:p w14:paraId="7670292D">
      <w:pPr>
        <w:pStyle w:val="6"/>
        <w:rPr>
          <w:rFonts w:hint="eastAsia" w:ascii="宋体" w:hAnsi="宋体" w:eastAsia="宋体" w:cs="宋体"/>
          <w:color w:val="000000" w:themeColor="text1"/>
          <w:highlight w:val="none"/>
          <w14:textFill>
            <w14:solidFill>
              <w14:schemeClr w14:val="tx1"/>
            </w14:solidFill>
          </w14:textFill>
        </w:rPr>
      </w:pPr>
      <w:bookmarkStart w:id="1692" w:name="_Toc407135280"/>
      <w:bookmarkStart w:id="1693" w:name="_Toc373478424"/>
      <w:bookmarkStart w:id="1694" w:name="_Toc2138124043"/>
      <w:bookmarkStart w:id="1695" w:name="_Toc1645489822"/>
      <w:bookmarkStart w:id="1696" w:name="_Toc78449866"/>
      <w:bookmarkStart w:id="1697" w:name="_Toc373227777"/>
      <w:bookmarkStart w:id="1698" w:name="_Toc389065342"/>
      <w:r>
        <w:rPr>
          <w:rFonts w:hint="eastAsia" w:ascii="宋体" w:hAnsi="宋体" w:eastAsia="宋体" w:cs="宋体"/>
          <w:color w:val="000000" w:themeColor="text1"/>
          <w:highlight w:val="none"/>
          <w14:textFill>
            <w14:solidFill>
              <w14:schemeClr w14:val="tx1"/>
            </w14:solidFill>
          </w14:textFill>
        </w:rPr>
        <w:t>20.3 争</w:t>
      </w:r>
      <w:bookmarkEnd w:id="1580"/>
      <w:r>
        <w:rPr>
          <w:rFonts w:hint="eastAsia" w:ascii="宋体" w:hAnsi="宋体" w:eastAsia="宋体" w:cs="宋体"/>
          <w:color w:val="000000" w:themeColor="text1"/>
          <w:highlight w:val="none"/>
          <w14:textFill>
            <w14:solidFill>
              <w14:schemeClr w14:val="tx1"/>
            </w14:solidFill>
          </w14:textFill>
        </w:rPr>
        <w:t>议评审</w:t>
      </w:r>
      <w:bookmarkEnd w:id="1692"/>
      <w:bookmarkEnd w:id="1693"/>
      <w:bookmarkEnd w:id="1694"/>
      <w:bookmarkEnd w:id="1695"/>
      <w:bookmarkEnd w:id="1696"/>
      <w:bookmarkEnd w:id="1697"/>
      <w:bookmarkEnd w:id="1698"/>
    </w:p>
    <w:p w14:paraId="76A03620">
      <w:pPr>
        <w:spacing w:line="360" w:lineRule="auto"/>
        <w:ind w:left="149" w:leftChars="71" w:firstLine="315" w:firstLineChars="15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合同当事人是否同意将工程争议提交争议评审小组决定：</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120F08A9">
      <w:pPr>
        <w:spacing w:line="360" w:lineRule="auto"/>
        <w:ind w:firstLine="420" w:firstLineChars="200"/>
        <w:jc w:val="left"/>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20.3.1 争议评审小组的确定</w:t>
      </w:r>
    </w:p>
    <w:p w14:paraId="0FA1745A">
      <w:pPr>
        <w:spacing w:line="360" w:lineRule="auto"/>
        <w:ind w:firstLine="420" w:firstLineChars="200"/>
        <w:jc w:val="left"/>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争议评审小组成员的确定：</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33F44C91">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选定争议评审员的期限：</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0DE9F5F3">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争议评审小组成员的报酬承担方式：</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7229BCF8">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其他事项的约定：</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570BDCF9">
      <w:pPr>
        <w:autoSpaceDE w:val="0"/>
        <w:autoSpaceDN w:val="0"/>
        <w:adjustRightInd w:val="0"/>
        <w:spacing w:line="360" w:lineRule="auto"/>
        <w:ind w:firstLine="420" w:firstLineChars="200"/>
        <w:jc w:val="left"/>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20.3.2 争议评审小组的决定</w:t>
      </w:r>
    </w:p>
    <w:p w14:paraId="17621107">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合同当事人关于本项的约定：</w:t>
      </w:r>
      <w:r>
        <w:rPr>
          <w:rFonts w:hint="eastAsia" w:ascii="宋体" w:hAnsi="宋体" w:eastAsia="宋体" w:cs="宋体"/>
          <w:color w:val="000000" w:themeColor="text1"/>
          <w:highlight w:val="none"/>
          <w:u w:val="single"/>
          <w:lang w:eastAsia="zh-CN"/>
          <w14:textFill>
            <w14:solidFill>
              <w14:schemeClr w14:val="tx1"/>
            </w14:solidFill>
          </w14:textFill>
        </w:rPr>
        <w:t>另行商定</w:t>
      </w:r>
      <w:r>
        <w:rPr>
          <w:rFonts w:hint="eastAsia" w:ascii="宋体" w:hAnsi="宋体" w:eastAsia="宋体" w:cs="宋体"/>
          <w:color w:val="000000" w:themeColor="text1"/>
          <w:highlight w:val="none"/>
          <w14:textFill>
            <w14:solidFill>
              <w14:schemeClr w14:val="tx1"/>
            </w14:solidFill>
          </w14:textFill>
        </w:rPr>
        <w:t>。</w:t>
      </w:r>
    </w:p>
    <w:p w14:paraId="36D015EF">
      <w:pPr>
        <w:pStyle w:val="6"/>
        <w:rPr>
          <w:rFonts w:hint="eastAsia" w:ascii="宋体" w:hAnsi="宋体" w:eastAsia="宋体" w:cs="宋体"/>
          <w:color w:val="000000" w:themeColor="text1"/>
          <w:highlight w:val="none"/>
          <w14:textFill>
            <w14:solidFill>
              <w14:schemeClr w14:val="tx1"/>
            </w14:solidFill>
          </w14:textFill>
        </w:rPr>
      </w:pPr>
      <w:bookmarkStart w:id="1699" w:name="_Toc407135281"/>
      <w:bookmarkStart w:id="1700" w:name="_Toc389065343"/>
      <w:bookmarkStart w:id="1701" w:name="_Toc373227778"/>
      <w:bookmarkStart w:id="1702" w:name="_Toc1156795721"/>
      <w:bookmarkStart w:id="1703" w:name="_Toc78449867"/>
      <w:bookmarkStart w:id="1704" w:name="_Toc373478425"/>
      <w:bookmarkStart w:id="1705" w:name="_Toc1456517022"/>
      <w:r>
        <w:rPr>
          <w:rFonts w:hint="eastAsia" w:ascii="宋体" w:hAnsi="宋体" w:eastAsia="宋体" w:cs="宋体"/>
          <w:color w:val="000000" w:themeColor="text1"/>
          <w:highlight w:val="none"/>
          <w14:textFill>
            <w14:solidFill>
              <w14:schemeClr w14:val="tx1"/>
            </w14:solidFill>
          </w14:textFill>
        </w:rPr>
        <w:t>20.4 仲裁或诉讼</w:t>
      </w:r>
      <w:bookmarkEnd w:id="1581"/>
      <w:bookmarkEnd w:id="1699"/>
      <w:bookmarkEnd w:id="1700"/>
      <w:bookmarkEnd w:id="1701"/>
      <w:bookmarkEnd w:id="1702"/>
      <w:bookmarkEnd w:id="1703"/>
      <w:bookmarkEnd w:id="1704"/>
      <w:bookmarkEnd w:id="1705"/>
    </w:p>
    <w:p w14:paraId="0E738B99">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因合同及合同有关事项发生的争议，按下列第</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（2）</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种方式解决：</w:t>
      </w:r>
    </w:p>
    <w:p w14:paraId="1C241702">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（1）提请</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仲裁委员会按照该会仲裁规则进行仲裁，仲裁裁决是终局的，对合同双方均有约束力。</w:t>
      </w:r>
    </w:p>
    <w:p w14:paraId="4CE470EF">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（2）向</w:t>
      </w:r>
      <w:r>
        <w:rPr>
          <w:rFonts w:hint="eastAsia" w:ascii="宋体" w:hAnsi="宋体" w:cs="宋体"/>
          <w:color w:val="000000" w:themeColor="text1"/>
          <w:sz w:val="21"/>
          <w:highlight w:val="none"/>
          <w:u w:val="single"/>
          <w:lang w:val="en-US" w:eastAsia="zh-CN"/>
          <w14:textFill>
            <w14:solidFill>
              <w14:schemeClr w14:val="tx1"/>
            </w14:solidFill>
          </w14:textFill>
        </w:rPr>
        <w:t>横州市</w:t>
      </w:r>
      <w:r>
        <w:rPr>
          <w:rFonts w:hint="eastAsia" w:ascii="宋体" w:hAnsi="宋体" w:eastAsia="宋体" w:cs="宋体"/>
          <w:color w:val="000000" w:themeColor="text1"/>
          <w:highlight w:val="none"/>
          <w14:textFill>
            <w14:solidFill>
              <w14:schemeClr w14:val="tx1"/>
            </w14:solidFill>
          </w14:textFill>
        </w:rPr>
        <w:t>人民法院起诉。</w:t>
      </w:r>
      <w:bookmarkEnd w:id="1582"/>
      <w:bookmarkEnd w:id="1583"/>
      <w:bookmarkEnd w:id="1584"/>
      <w:bookmarkEnd w:id="1585"/>
      <w:bookmarkEnd w:id="1586"/>
      <w:bookmarkEnd w:id="1587"/>
    </w:p>
    <w:p w14:paraId="20D2EDE2">
      <w:pPr>
        <w:spacing w:line="360" w:lineRule="auto"/>
        <w:ind w:firstLine="420" w:firstLineChars="200"/>
        <w:jc w:val="left"/>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以上条款的违约金或罚款等，经监理和</w:t>
      </w:r>
      <w:r>
        <w:rPr>
          <w:rFonts w:hint="eastAsia" w:ascii="宋体" w:hAnsi="宋体" w:eastAsia="宋体" w:cs="宋体"/>
          <w:color w:val="000000" w:themeColor="text1"/>
          <w:highlight w:val="none"/>
          <w:lang w:eastAsia="zh-CN"/>
          <w14:textFill>
            <w14:solidFill>
              <w14:schemeClr w14:val="tx1"/>
            </w14:solidFill>
          </w14:textFill>
        </w:rPr>
        <w:t>发包人</w:t>
      </w:r>
      <w:r>
        <w:rPr>
          <w:rFonts w:hint="eastAsia" w:ascii="宋体" w:hAnsi="宋体" w:eastAsia="宋体" w:cs="宋体"/>
          <w:color w:val="000000" w:themeColor="text1"/>
          <w:highlight w:val="none"/>
          <w14:textFill>
            <w14:solidFill>
              <w14:schemeClr w14:val="tx1"/>
            </w14:solidFill>
          </w14:textFill>
        </w:rPr>
        <w:t>确认签字后从本期工程款中扣除。</w:t>
      </w:r>
      <w:bookmarkStart w:id="1706" w:name="_Toc351203652"/>
    </w:p>
    <w:p w14:paraId="2B55DB58">
      <w:pPr>
        <w:spacing w:line="360" w:lineRule="auto"/>
        <w:ind w:firstLine="420" w:firstLineChars="200"/>
        <w:jc w:val="left"/>
        <w:rPr>
          <w:rFonts w:ascii="宋体" w:hAnsi="宋体" w:eastAsia="宋体" w:cs="宋体"/>
          <w:color w:val="000000" w:themeColor="text1"/>
          <w:highlight w:val="none"/>
          <w14:textFill>
            <w14:solidFill>
              <w14:schemeClr w14:val="tx1"/>
            </w14:solidFill>
          </w14:textFill>
        </w:rPr>
      </w:pPr>
    </w:p>
    <w:p w14:paraId="2C72F809">
      <w:pPr>
        <w:spacing w:line="360" w:lineRule="auto"/>
        <w:ind w:firstLine="420" w:firstLineChars="200"/>
        <w:jc w:val="left"/>
        <w:rPr>
          <w:rFonts w:ascii="宋体" w:hAnsi="宋体" w:eastAsia="宋体" w:cs="宋体"/>
          <w:color w:val="000000" w:themeColor="text1"/>
          <w:highlight w:val="none"/>
          <w14:textFill>
            <w14:solidFill>
              <w14:schemeClr w14:val="tx1"/>
            </w14:solidFill>
          </w14:textFill>
        </w:rPr>
      </w:pPr>
    </w:p>
    <w:p w14:paraId="58BD39E5">
      <w:pPr>
        <w:spacing w:line="360" w:lineRule="auto"/>
        <w:ind w:firstLine="420" w:firstLineChars="200"/>
        <w:jc w:val="left"/>
        <w:rPr>
          <w:rFonts w:ascii="宋体" w:hAnsi="宋体" w:eastAsia="宋体" w:cs="宋体"/>
          <w:color w:val="000000" w:themeColor="text1"/>
          <w:highlight w:val="none"/>
          <w14:textFill>
            <w14:solidFill>
              <w14:schemeClr w14:val="tx1"/>
            </w14:solidFill>
          </w14:textFill>
        </w:rPr>
      </w:pPr>
    </w:p>
    <w:p w14:paraId="6B146E7B">
      <w:pPr>
        <w:spacing w:line="360" w:lineRule="auto"/>
        <w:ind w:firstLine="420" w:firstLineChars="200"/>
        <w:jc w:val="left"/>
        <w:rPr>
          <w:rFonts w:ascii="宋体" w:hAnsi="宋体" w:eastAsia="宋体" w:cs="宋体"/>
          <w:color w:val="000000" w:themeColor="text1"/>
          <w:highlight w:val="none"/>
          <w14:textFill>
            <w14:solidFill>
              <w14:schemeClr w14:val="tx1"/>
            </w14:solidFill>
          </w14:textFill>
        </w:rPr>
      </w:pPr>
    </w:p>
    <w:p w14:paraId="07AC30EF">
      <w:pPr>
        <w:spacing w:line="360" w:lineRule="auto"/>
        <w:ind w:firstLine="420" w:firstLineChars="200"/>
        <w:jc w:val="left"/>
        <w:rPr>
          <w:rFonts w:ascii="宋体" w:hAnsi="宋体" w:eastAsia="宋体" w:cs="宋体"/>
          <w:color w:val="000000" w:themeColor="text1"/>
          <w:highlight w:val="none"/>
          <w14:textFill>
            <w14:solidFill>
              <w14:schemeClr w14:val="tx1"/>
            </w14:solidFill>
          </w14:textFill>
        </w:rPr>
      </w:pPr>
    </w:p>
    <w:p w14:paraId="7487EA1B">
      <w:pPr>
        <w:spacing w:line="360" w:lineRule="auto"/>
        <w:ind w:firstLine="420" w:firstLineChars="200"/>
        <w:jc w:val="left"/>
        <w:rPr>
          <w:rFonts w:ascii="宋体" w:hAnsi="宋体" w:eastAsia="宋体" w:cs="宋体"/>
          <w:color w:val="000000" w:themeColor="text1"/>
          <w:highlight w:val="none"/>
          <w14:textFill>
            <w14:solidFill>
              <w14:schemeClr w14:val="tx1"/>
            </w14:solidFill>
          </w14:textFill>
        </w:rPr>
      </w:pPr>
    </w:p>
    <w:p w14:paraId="34BD87B5">
      <w:pPr>
        <w:spacing w:line="360" w:lineRule="auto"/>
        <w:ind w:firstLine="420" w:firstLineChars="200"/>
        <w:jc w:val="left"/>
        <w:rPr>
          <w:rFonts w:ascii="宋体" w:hAnsi="宋体" w:eastAsia="宋体" w:cs="宋体"/>
          <w:color w:val="000000" w:themeColor="text1"/>
          <w:highlight w:val="none"/>
          <w14:textFill>
            <w14:solidFill>
              <w14:schemeClr w14:val="tx1"/>
            </w14:solidFill>
          </w14:textFill>
        </w:rPr>
      </w:pPr>
    </w:p>
    <w:p w14:paraId="3E41AE1F">
      <w:pPr>
        <w:spacing w:line="360" w:lineRule="auto"/>
        <w:ind w:firstLine="420" w:firstLineChars="200"/>
        <w:jc w:val="left"/>
        <w:rPr>
          <w:rFonts w:ascii="宋体" w:hAnsi="宋体" w:eastAsia="宋体" w:cs="宋体"/>
          <w:color w:val="000000" w:themeColor="text1"/>
          <w:highlight w:val="none"/>
          <w14:textFill>
            <w14:solidFill>
              <w14:schemeClr w14:val="tx1"/>
            </w14:solidFill>
          </w14:textFill>
        </w:rPr>
      </w:pPr>
    </w:p>
    <w:p w14:paraId="239AF226">
      <w:pPr>
        <w:spacing w:line="360" w:lineRule="auto"/>
        <w:ind w:firstLine="420" w:firstLineChars="200"/>
        <w:jc w:val="left"/>
        <w:rPr>
          <w:rFonts w:ascii="宋体" w:hAnsi="宋体" w:eastAsia="宋体" w:cs="宋体"/>
          <w:color w:val="000000" w:themeColor="text1"/>
          <w:highlight w:val="none"/>
          <w14:textFill>
            <w14:solidFill>
              <w14:schemeClr w14:val="tx1"/>
            </w14:solidFill>
          </w14:textFill>
        </w:rPr>
      </w:pPr>
    </w:p>
    <w:p w14:paraId="251D79C2">
      <w:pPr>
        <w:spacing w:line="360" w:lineRule="auto"/>
        <w:ind w:firstLine="420" w:firstLineChars="200"/>
        <w:jc w:val="left"/>
        <w:rPr>
          <w:rFonts w:hint="eastAsia" w:ascii="宋体" w:hAnsi="宋体" w:eastAsia="宋体" w:cs="宋体"/>
          <w:color w:val="000000" w:themeColor="text1"/>
          <w:highlight w:val="none"/>
          <w14:textFill>
            <w14:solidFill>
              <w14:schemeClr w14:val="tx1"/>
            </w14:solidFill>
          </w14:textFill>
        </w:rPr>
      </w:pPr>
    </w:p>
    <w:p w14:paraId="68B1491E">
      <w:pPr>
        <w:spacing w:line="360" w:lineRule="auto"/>
        <w:jc w:val="left"/>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附件</w:t>
      </w:r>
      <w:bookmarkEnd w:id="1706"/>
    </w:p>
    <w:p w14:paraId="0F4A4082">
      <w:pPr>
        <w:spacing w:line="360" w:lineRule="auto"/>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附件1：承包人承揽工程项目一览表</w:t>
      </w:r>
    </w:p>
    <w:p w14:paraId="28BD5221">
      <w:pPr>
        <w:spacing w:line="360" w:lineRule="auto"/>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附件2：工程质量保修书</w:t>
      </w:r>
    </w:p>
    <w:p w14:paraId="1B66B043">
      <w:pPr>
        <w:spacing w:line="360" w:lineRule="auto"/>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附件3：承包人用于本工程施工的机械设备表</w:t>
      </w:r>
    </w:p>
    <w:p w14:paraId="68FB0E98">
      <w:pPr>
        <w:spacing w:line="360" w:lineRule="auto"/>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附件4：承包人主要施工管理人员表</w:t>
      </w:r>
    </w:p>
    <w:p w14:paraId="5BF9E17A">
      <w:pPr>
        <w:spacing w:line="360" w:lineRule="auto"/>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附件5：施工单位资质证书正本及营业执照正本（彩色扫描） </w:t>
      </w:r>
    </w:p>
    <w:p w14:paraId="187D4E3D">
      <w:pPr>
        <w:spacing w:line="360" w:lineRule="auto"/>
        <w:jc w:val="left"/>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附件6：中标通知书</w:t>
      </w:r>
    </w:p>
    <w:p w14:paraId="68662755">
      <w:pPr>
        <w:spacing w:line="360" w:lineRule="auto"/>
        <w:jc w:val="left"/>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附件7：预付款担保格式（独立保函、非独立保函）</w:t>
      </w:r>
    </w:p>
    <w:p w14:paraId="2F832533">
      <w:pPr>
        <w:spacing w:line="360" w:lineRule="auto"/>
        <w:jc w:val="left"/>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附件8：支付担保格式（独立保函、非独立保函）</w:t>
      </w:r>
    </w:p>
    <w:p w14:paraId="4563C766">
      <w:pPr>
        <w:spacing w:line="360" w:lineRule="auto"/>
        <w:jc w:val="left"/>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附件9：预付款支付申请（核准）表</w:t>
      </w:r>
    </w:p>
    <w:p w14:paraId="4FCB1C57">
      <w:pPr>
        <w:spacing w:line="360" w:lineRule="auto"/>
        <w:jc w:val="left"/>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附件10：进度款支付申请（核准）表</w:t>
      </w:r>
    </w:p>
    <w:p w14:paraId="27AEC511">
      <w:pPr>
        <w:spacing w:line="360" w:lineRule="auto"/>
        <w:jc w:val="left"/>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附件11：竣工结算款支付申请（核准）表</w:t>
      </w:r>
    </w:p>
    <w:p w14:paraId="107439B7">
      <w:pPr>
        <w:spacing w:line="360" w:lineRule="auto"/>
        <w:jc w:val="left"/>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附件12：最终结算款支付申请（核准）表</w:t>
      </w:r>
    </w:p>
    <w:p w14:paraId="528EC04B">
      <w:pPr>
        <w:spacing w:line="360" w:lineRule="auto"/>
        <w:jc w:val="left"/>
        <w:rPr>
          <w:rFonts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附件13：总价合同进度款支付分解表</w:t>
      </w:r>
    </w:p>
    <w:p w14:paraId="7FDC88D1">
      <w:pPr>
        <w:spacing w:before="166" w:beforeLines="50" w:after="166" w:afterLines="50" w:line="440" w:lineRule="exact"/>
        <w:jc w:val="left"/>
        <w:rPr>
          <w:rFonts w:ascii="宋体" w:hAnsi="宋体" w:eastAsia="宋体" w:cs="宋体"/>
          <w:color w:val="000000" w:themeColor="text1"/>
          <w:sz w:val="30"/>
          <w:szCs w:val="30"/>
          <w:highlight w:val="none"/>
          <w14:textFill>
            <w14:solidFill>
              <w14:schemeClr w14:val="tx1"/>
            </w14:solidFill>
          </w14:textFill>
        </w:rPr>
      </w:pPr>
    </w:p>
    <w:p w14:paraId="6C1B5B3E">
      <w:pPr>
        <w:spacing w:before="166" w:beforeLines="50" w:after="166" w:afterLines="50" w:line="440" w:lineRule="exact"/>
        <w:jc w:val="left"/>
        <w:rPr>
          <w:rFonts w:ascii="宋体" w:hAnsi="宋体" w:eastAsia="宋体" w:cs="宋体"/>
          <w:color w:val="000000" w:themeColor="text1"/>
          <w:sz w:val="30"/>
          <w:szCs w:val="30"/>
          <w:highlight w:val="none"/>
          <w14:textFill>
            <w14:solidFill>
              <w14:schemeClr w14:val="tx1"/>
            </w14:solidFill>
          </w14:textFill>
        </w:rPr>
      </w:pPr>
    </w:p>
    <w:p w14:paraId="194C7DC6">
      <w:pPr>
        <w:spacing w:before="166" w:beforeLines="50" w:after="166" w:afterLines="50" w:line="440" w:lineRule="exact"/>
        <w:jc w:val="left"/>
        <w:rPr>
          <w:rFonts w:ascii="宋体" w:hAnsi="宋体" w:eastAsia="宋体" w:cs="宋体"/>
          <w:color w:val="000000" w:themeColor="text1"/>
          <w:sz w:val="30"/>
          <w:szCs w:val="30"/>
          <w:highlight w:val="none"/>
          <w14:textFill>
            <w14:solidFill>
              <w14:schemeClr w14:val="tx1"/>
            </w14:solidFill>
          </w14:textFill>
        </w:rPr>
      </w:pPr>
    </w:p>
    <w:p w14:paraId="2B8F335E">
      <w:pPr>
        <w:spacing w:before="166" w:beforeLines="50" w:after="166" w:afterLines="50" w:line="440" w:lineRule="exact"/>
        <w:jc w:val="left"/>
        <w:rPr>
          <w:rFonts w:ascii="宋体" w:hAnsi="宋体" w:eastAsia="宋体" w:cs="宋体"/>
          <w:color w:val="000000" w:themeColor="text1"/>
          <w:sz w:val="30"/>
          <w:szCs w:val="30"/>
          <w:highlight w:val="none"/>
          <w14:textFill>
            <w14:solidFill>
              <w14:schemeClr w14:val="tx1"/>
            </w14:solidFill>
          </w14:textFill>
        </w:rPr>
      </w:pPr>
    </w:p>
    <w:p w14:paraId="6B510B9B">
      <w:pPr>
        <w:spacing w:before="166" w:beforeLines="50" w:after="166" w:afterLines="50" w:line="440" w:lineRule="exact"/>
        <w:jc w:val="left"/>
        <w:rPr>
          <w:rFonts w:ascii="宋体" w:hAnsi="宋体" w:eastAsia="宋体" w:cs="宋体"/>
          <w:color w:val="000000" w:themeColor="text1"/>
          <w:sz w:val="30"/>
          <w:szCs w:val="30"/>
          <w:highlight w:val="none"/>
          <w14:textFill>
            <w14:solidFill>
              <w14:schemeClr w14:val="tx1"/>
            </w14:solidFill>
          </w14:textFill>
        </w:rPr>
      </w:pPr>
    </w:p>
    <w:p w14:paraId="640FE127">
      <w:pPr>
        <w:spacing w:before="166" w:beforeLines="50" w:after="166" w:afterLines="50" w:line="440" w:lineRule="exact"/>
        <w:jc w:val="left"/>
        <w:rPr>
          <w:rFonts w:ascii="宋体" w:hAnsi="宋体" w:eastAsia="宋体" w:cs="宋体"/>
          <w:color w:val="000000" w:themeColor="text1"/>
          <w:sz w:val="30"/>
          <w:szCs w:val="30"/>
          <w:highlight w:val="none"/>
          <w14:textFill>
            <w14:solidFill>
              <w14:schemeClr w14:val="tx1"/>
            </w14:solidFill>
          </w14:textFill>
        </w:rPr>
      </w:pPr>
    </w:p>
    <w:p w14:paraId="4B74F0CE">
      <w:pPr>
        <w:spacing w:before="166" w:beforeLines="50" w:after="166" w:afterLines="50" w:line="440" w:lineRule="exact"/>
        <w:jc w:val="left"/>
        <w:rPr>
          <w:rFonts w:ascii="宋体" w:hAnsi="宋体" w:eastAsia="宋体" w:cs="宋体"/>
          <w:color w:val="000000" w:themeColor="text1"/>
          <w:sz w:val="30"/>
          <w:szCs w:val="30"/>
          <w:highlight w:val="none"/>
          <w14:textFill>
            <w14:solidFill>
              <w14:schemeClr w14:val="tx1"/>
            </w14:solidFill>
          </w14:textFill>
        </w:rPr>
      </w:pPr>
    </w:p>
    <w:p w14:paraId="07D76FBD">
      <w:pPr>
        <w:spacing w:before="166" w:beforeLines="50" w:after="166" w:afterLines="50" w:line="440" w:lineRule="exact"/>
        <w:jc w:val="left"/>
        <w:rPr>
          <w:rFonts w:ascii="宋体" w:hAnsi="宋体" w:eastAsia="宋体" w:cs="宋体"/>
          <w:color w:val="000000" w:themeColor="text1"/>
          <w:sz w:val="30"/>
          <w:szCs w:val="30"/>
          <w:highlight w:val="none"/>
          <w14:textFill>
            <w14:solidFill>
              <w14:schemeClr w14:val="tx1"/>
            </w14:solidFill>
          </w14:textFill>
        </w:rPr>
      </w:pPr>
    </w:p>
    <w:p w14:paraId="3509E529">
      <w:pPr>
        <w:spacing w:before="166" w:beforeLines="50" w:after="166" w:afterLines="50" w:line="440" w:lineRule="exact"/>
        <w:jc w:val="left"/>
        <w:rPr>
          <w:rFonts w:ascii="宋体" w:hAnsi="宋体" w:eastAsia="宋体" w:cs="宋体"/>
          <w:color w:val="000000" w:themeColor="text1"/>
          <w:sz w:val="30"/>
          <w:szCs w:val="30"/>
          <w:highlight w:val="none"/>
          <w14:textFill>
            <w14:solidFill>
              <w14:schemeClr w14:val="tx1"/>
            </w14:solidFill>
          </w14:textFill>
        </w:rPr>
      </w:pPr>
    </w:p>
    <w:p w14:paraId="09FC38FF">
      <w:pPr>
        <w:spacing w:before="166" w:beforeLines="50" w:after="166" w:afterLines="50" w:line="440" w:lineRule="exact"/>
        <w:jc w:val="left"/>
        <w:rPr>
          <w:rFonts w:hint="eastAsia" w:ascii="宋体" w:hAnsi="宋体" w:eastAsia="宋体" w:cs="宋体"/>
          <w:color w:val="000000" w:themeColor="text1"/>
          <w:sz w:val="30"/>
          <w:szCs w:val="30"/>
          <w:highlight w:val="none"/>
          <w14:textFill>
            <w14:solidFill>
              <w14:schemeClr w14:val="tx1"/>
            </w14:solidFill>
          </w14:textFill>
        </w:rPr>
      </w:pPr>
    </w:p>
    <w:p w14:paraId="7977629A">
      <w:pPr>
        <w:spacing w:before="166" w:beforeLines="50" w:after="166" w:afterLines="50" w:line="440" w:lineRule="exact"/>
        <w:jc w:val="left"/>
        <w:rPr>
          <w:rFonts w:hint="eastAsia" w:ascii="宋体" w:hAnsi="宋体" w:eastAsia="宋体" w:cs="宋体"/>
          <w:color w:val="000000" w:themeColor="text1"/>
          <w:sz w:val="30"/>
          <w:szCs w:val="30"/>
          <w:highlight w:val="none"/>
          <w14:textFill>
            <w14:solidFill>
              <w14:schemeClr w14:val="tx1"/>
            </w14:solidFill>
          </w14:textFill>
        </w:rPr>
      </w:pPr>
    </w:p>
    <w:p w14:paraId="70452E7A">
      <w:pPr>
        <w:spacing w:before="166" w:beforeLines="50" w:after="166" w:afterLines="50" w:line="440" w:lineRule="exact"/>
        <w:jc w:val="left"/>
        <w:rPr>
          <w:rFonts w:hint="eastAsia" w:ascii="宋体" w:hAnsi="宋体" w:eastAsia="宋体" w:cs="宋体"/>
          <w:color w:val="000000" w:themeColor="text1"/>
          <w:sz w:val="30"/>
          <w:szCs w:val="30"/>
          <w:highlight w:val="none"/>
          <w14:textFill>
            <w14:solidFill>
              <w14:schemeClr w14:val="tx1"/>
            </w14:solidFill>
          </w14:textFill>
        </w:rPr>
      </w:pPr>
    </w:p>
    <w:p w14:paraId="75355635">
      <w:pPr>
        <w:spacing w:before="166" w:beforeLines="50" w:after="166" w:afterLines="50" w:line="440" w:lineRule="exact"/>
        <w:jc w:val="left"/>
        <w:rPr>
          <w:rFonts w:hint="eastAsia" w:ascii="宋体" w:hAnsi="宋体" w:eastAsia="宋体" w:cs="宋体"/>
          <w:color w:val="000000" w:themeColor="text1"/>
          <w:sz w:val="30"/>
          <w:szCs w:val="30"/>
          <w:highlight w:val="none"/>
          <w14:textFill>
            <w14:solidFill>
              <w14:schemeClr w14:val="tx1"/>
            </w14:solidFill>
          </w14:textFill>
        </w:rPr>
      </w:pPr>
    </w:p>
    <w:p w14:paraId="0574EBC4">
      <w:pPr>
        <w:spacing w:before="166" w:beforeLines="50" w:after="166" w:afterLines="50" w:line="440" w:lineRule="exact"/>
        <w:jc w:val="left"/>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附件1：</w:t>
      </w:r>
    </w:p>
    <w:p w14:paraId="4D6BC347">
      <w:pPr>
        <w:spacing w:before="166" w:beforeLines="50" w:after="166" w:afterLines="50" w:line="440" w:lineRule="exact"/>
        <w:jc w:val="center"/>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承包人承揽工程项目一览表</w:t>
      </w:r>
    </w:p>
    <w:tbl>
      <w:tblPr>
        <w:tblStyle w:val="53"/>
        <w:tblW w:w="98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34"/>
        <w:gridCol w:w="977"/>
        <w:gridCol w:w="1455"/>
        <w:gridCol w:w="870"/>
        <w:gridCol w:w="930"/>
        <w:gridCol w:w="847"/>
        <w:gridCol w:w="990"/>
        <w:gridCol w:w="1020"/>
        <w:gridCol w:w="870"/>
        <w:gridCol w:w="795"/>
      </w:tblGrid>
      <w:tr w14:paraId="4752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4" w:type="dxa"/>
            <w:tcBorders>
              <w:tl2br w:val="nil"/>
              <w:tr2bl w:val="nil"/>
            </w:tcBorders>
            <w:vAlign w:val="center"/>
          </w:tcPr>
          <w:p w14:paraId="4AF876D3">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单位工程名称</w:t>
            </w:r>
          </w:p>
        </w:tc>
        <w:tc>
          <w:tcPr>
            <w:tcW w:w="977" w:type="dxa"/>
            <w:tcBorders>
              <w:tl2br w:val="nil"/>
              <w:tr2bl w:val="nil"/>
            </w:tcBorders>
            <w:vAlign w:val="center"/>
          </w:tcPr>
          <w:p w14:paraId="7477314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建设规模</w:t>
            </w:r>
          </w:p>
        </w:tc>
        <w:tc>
          <w:tcPr>
            <w:tcW w:w="1455" w:type="dxa"/>
            <w:tcBorders>
              <w:tl2br w:val="nil"/>
              <w:tr2bl w:val="nil"/>
            </w:tcBorders>
            <w:vAlign w:val="center"/>
          </w:tcPr>
          <w:p w14:paraId="1E232D43">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建筑面积(平方米)</w:t>
            </w:r>
          </w:p>
        </w:tc>
        <w:tc>
          <w:tcPr>
            <w:tcW w:w="870" w:type="dxa"/>
            <w:tcBorders>
              <w:tl2br w:val="nil"/>
              <w:tr2bl w:val="nil"/>
            </w:tcBorders>
            <w:vAlign w:val="center"/>
          </w:tcPr>
          <w:p w14:paraId="09C7215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结构形式</w:t>
            </w:r>
          </w:p>
        </w:tc>
        <w:tc>
          <w:tcPr>
            <w:tcW w:w="930" w:type="dxa"/>
            <w:tcBorders>
              <w:tl2br w:val="nil"/>
              <w:tr2bl w:val="nil"/>
            </w:tcBorders>
            <w:vAlign w:val="center"/>
          </w:tcPr>
          <w:p w14:paraId="655F7352">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层数</w:t>
            </w:r>
          </w:p>
        </w:tc>
        <w:tc>
          <w:tcPr>
            <w:tcW w:w="847" w:type="dxa"/>
            <w:tcBorders>
              <w:tl2br w:val="nil"/>
              <w:tr2bl w:val="nil"/>
            </w:tcBorders>
            <w:vAlign w:val="center"/>
          </w:tcPr>
          <w:p w14:paraId="7945581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生产能力</w:t>
            </w:r>
          </w:p>
        </w:tc>
        <w:tc>
          <w:tcPr>
            <w:tcW w:w="990" w:type="dxa"/>
            <w:tcBorders>
              <w:tl2br w:val="nil"/>
              <w:tr2bl w:val="nil"/>
            </w:tcBorders>
            <w:vAlign w:val="center"/>
          </w:tcPr>
          <w:p w14:paraId="0C92FB45">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设备安装内容</w:t>
            </w:r>
          </w:p>
        </w:tc>
        <w:tc>
          <w:tcPr>
            <w:tcW w:w="1020" w:type="dxa"/>
            <w:tcBorders>
              <w:tl2br w:val="nil"/>
              <w:tr2bl w:val="nil"/>
            </w:tcBorders>
            <w:vAlign w:val="center"/>
          </w:tcPr>
          <w:p w14:paraId="3BB29B1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合同价格（元）</w:t>
            </w:r>
          </w:p>
        </w:tc>
        <w:tc>
          <w:tcPr>
            <w:tcW w:w="870" w:type="dxa"/>
            <w:tcBorders>
              <w:tl2br w:val="nil"/>
              <w:tr2bl w:val="nil"/>
            </w:tcBorders>
            <w:vAlign w:val="center"/>
          </w:tcPr>
          <w:p w14:paraId="2322010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开工日期</w:t>
            </w:r>
          </w:p>
        </w:tc>
        <w:tc>
          <w:tcPr>
            <w:tcW w:w="795" w:type="dxa"/>
            <w:tcBorders>
              <w:tl2br w:val="nil"/>
              <w:tr2bl w:val="nil"/>
            </w:tcBorders>
            <w:vAlign w:val="center"/>
          </w:tcPr>
          <w:p w14:paraId="65C973E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竣工日期</w:t>
            </w:r>
          </w:p>
        </w:tc>
      </w:tr>
      <w:tr w14:paraId="7CAE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34" w:type="dxa"/>
            <w:tcBorders>
              <w:tl2br w:val="nil"/>
              <w:tr2bl w:val="nil"/>
            </w:tcBorders>
            <w:vAlign w:val="center"/>
          </w:tcPr>
          <w:p w14:paraId="5FDE8167">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977" w:type="dxa"/>
            <w:tcBorders>
              <w:tl2br w:val="nil"/>
              <w:tr2bl w:val="nil"/>
            </w:tcBorders>
            <w:vAlign w:val="center"/>
          </w:tcPr>
          <w:p w14:paraId="0245EC93">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1455" w:type="dxa"/>
            <w:tcBorders>
              <w:tl2br w:val="nil"/>
              <w:tr2bl w:val="nil"/>
            </w:tcBorders>
            <w:vAlign w:val="center"/>
          </w:tcPr>
          <w:p w14:paraId="1271BB1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870" w:type="dxa"/>
            <w:tcBorders>
              <w:tl2br w:val="nil"/>
              <w:tr2bl w:val="nil"/>
            </w:tcBorders>
            <w:vAlign w:val="center"/>
          </w:tcPr>
          <w:p w14:paraId="44BCD5C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930" w:type="dxa"/>
            <w:tcBorders>
              <w:tl2br w:val="nil"/>
              <w:tr2bl w:val="nil"/>
            </w:tcBorders>
            <w:vAlign w:val="center"/>
          </w:tcPr>
          <w:p w14:paraId="0944B084">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847" w:type="dxa"/>
            <w:tcBorders>
              <w:tl2br w:val="nil"/>
              <w:tr2bl w:val="nil"/>
            </w:tcBorders>
            <w:vAlign w:val="center"/>
          </w:tcPr>
          <w:p w14:paraId="5FB6B4CE">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990" w:type="dxa"/>
            <w:tcBorders>
              <w:tl2br w:val="nil"/>
              <w:tr2bl w:val="nil"/>
            </w:tcBorders>
            <w:vAlign w:val="center"/>
          </w:tcPr>
          <w:p w14:paraId="28E316D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1020" w:type="dxa"/>
            <w:tcBorders>
              <w:tl2br w:val="nil"/>
              <w:tr2bl w:val="nil"/>
            </w:tcBorders>
            <w:vAlign w:val="center"/>
          </w:tcPr>
          <w:p w14:paraId="228102FE">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870" w:type="dxa"/>
            <w:tcBorders>
              <w:tl2br w:val="nil"/>
              <w:tr2bl w:val="nil"/>
            </w:tcBorders>
            <w:vAlign w:val="center"/>
          </w:tcPr>
          <w:p w14:paraId="5EB6D723">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795" w:type="dxa"/>
            <w:tcBorders>
              <w:tl2br w:val="nil"/>
              <w:tr2bl w:val="nil"/>
            </w:tcBorders>
            <w:vAlign w:val="center"/>
          </w:tcPr>
          <w:p w14:paraId="016E1522">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r>
      <w:tr w14:paraId="113D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34" w:type="dxa"/>
            <w:tcBorders>
              <w:tl2br w:val="nil"/>
              <w:tr2bl w:val="nil"/>
            </w:tcBorders>
            <w:vAlign w:val="center"/>
          </w:tcPr>
          <w:p w14:paraId="3A62606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977" w:type="dxa"/>
            <w:tcBorders>
              <w:tl2br w:val="nil"/>
              <w:tr2bl w:val="nil"/>
            </w:tcBorders>
            <w:vAlign w:val="center"/>
          </w:tcPr>
          <w:p w14:paraId="4DDFE7B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1455" w:type="dxa"/>
            <w:tcBorders>
              <w:tl2br w:val="nil"/>
              <w:tr2bl w:val="nil"/>
            </w:tcBorders>
            <w:vAlign w:val="center"/>
          </w:tcPr>
          <w:p w14:paraId="4424998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870" w:type="dxa"/>
            <w:tcBorders>
              <w:tl2br w:val="nil"/>
              <w:tr2bl w:val="nil"/>
            </w:tcBorders>
            <w:vAlign w:val="center"/>
          </w:tcPr>
          <w:p w14:paraId="756A718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930" w:type="dxa"/>
            <w:tcBorders>
              <w:tl2br w:val="nil"/>
              <w:tr2bl w:val="nil"/>
            </w:tcBorders>
            <w:vAlign w:val="center"/>
          </w:tcPr>
          <w:p w14:paraId="0B27B11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847" w:type="dxa"/>
            <w:tcBorders>
              <w:tl2br w:val="nil"/>
              <w:tr2bl w:val="nil"/>
            </w:tcBorders>
            <w:vAlign w:val="center"/>
          </w:tcPr>
          <w:p w14:paraId="5F37F8D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990" w:type="dxa"/>
            <w:tcBorders>
              <w:tl2br w:val="nil"/>
              <w:tr2bl w:val="nil"/>
            </w:tcBorders>
            <w:vAlign w:val="center"/>
          </w:tcPr>
          <w:p w14:paraId="6234E0E4">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1020" w:type="dxa"/>
            <w:tcBorders>
              <w:tl2br w:val="nil"/>
              <w:tr2bl w:val="nil"/>
            </w:tcBorders>
            <w:vAlign w:val="center"/>
          </w:tcPr>
          <w:p w14:paraId="4D077BD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870" w:type="dxa"/>
            <w:tcBorders>
              <w:tl2br w:val="nil"/>
              <w:tr2bl w:val="nil"/>
            </w:tcBorders>
            <w:vAlign w:val="center"/>
          </w:tcPr>
          <w:p w14:paraId="2303DC6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795" w:type="dxa"/>
            <w:tcBorders>
              <w:tl2br w:val="nil"/>
              <w:tr2bl w:val="nil"/>
            </w:tcBorders>
            <w:vAlign w:val="center"/>
          </w:tcPr>
          <w:p w14:paraId="4EEF6DC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r>
      <w:tr w14:paraId="49E2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34" w:type="dxa"/>
            <w:tcBorders>
              <w:tl2br w:val="nil"/>
              <w:tr2bl w:val="nil"/>
            </w:tcBorders>
            <w:vAlign w:val="center"/>
          </w:tcPr>
          <w:p w14:paraId="2B5AF13B">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977" w:type="dxa"/>
            <w:tcBorders>
              <w:tl2br w:val="nil"/>
              <w:tr2bl w:val="nil"/>
            </w:tcBorders>
            <w:vAlign w:val="center"/>
          </w:tcPr>
          <w:p w14:paraId="1A62273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1455" w:type="dxa"/>
            <w:tcBorders>
              <w:tl2br w:val="nil"/>
              <w:tr2bl w:val="nil"/>
            </w:tcBorders>
            <w:vAlign w:val="center"/>
          </w:tcPr>
          <w:p w14:paraId="08776C24">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870" w:type="dxa"/>
            <w:tcBorders>
              <w:tl2br w:val="nil"/>
              <w:tr2bl w:val="nil"/>
            </w:tcBorders>
            <w:vAlign w:val="center"/>
          </w:tcPr>
          <w:p w14:paraId="0D370F2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930" w:type="dxa"/>
            <w:tcBorders>
              <w:tl2br w:val="nil"/>
              <w:tr2bl w:val="nil"/>
            </w:tcBorders>
            <w:vAlign w:val="center"/>
          </w:tcPr>
          <w:p w14:paraId="53B50C7E">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847" w:type="dxa"/>
            <w:tcBorders>
              <w:tl2br w:val="nil"/>
              <w:tr2bl w:val="nil"/>
            </w:tcBorders>
            <w:vAlign w:val="center"/>
          </w:tcPr>
          <w:p w14:paraId="67CE6D0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990" w:type="dxa"/>
            <w:tcBorders>
              <w:tl2br w:val="nil"/>
              <w:tr2bl w:val="nil"/>
            </w:tcBorders>
            <w:vAlign w:val="center"/>
          </w:tcPr>
          <w:p w14:paraId="7BAB2AD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1020" w:type="dxa"/>
            <w:tcBorders>
              <w:tl2br w:val="nil"/>
              <w:tr2bl w:val="nil"/>
            </w:tcBorders>
            <w:vAlign w:val="center"/>
          </w:tcPr>
          <w:p w14:paraId="5DB9659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870" w:type="dxa"/>
            <w:tcBorders>
              <w:tl2br w:val="nil"/>
              <w:tr2bl w:val="nil"/>
            </w:tcBorders>
            <w:vAlign w:val="center"/>
          </w:tcPr>
          <w:p w14:paraId="03591E2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c>
          <w:tcPr>
            <w:tcW w:w="795" w:type="dxa"/>
            <w:tcBorders>
              <w:tl2br w:val="nil"/>
              <w:tr2bl w:val="nil"/>
            </w:tcBorders>
            <w:vAlign w:val="center"/>
          </w:tcPr>
          <w:p w14:paraId="73609D5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sz w:val="24"/>
                <w:szCs w:val="24"/>
                <w:highlight w:val="none"/>
                <w14:textFill>
                  <w14:solidFill>
                    <w14:schemeClr w14:val="tx1"/>
                  </w14:solidFill>
                </w14:textFill>
              </w:rPr>
            </w:pPr>
          </w:p>
        </w:tc>
      </w:tr>
    </w:tbl>
    <w:p w14:paraId="5383A9DE">
      <w:pPr>
        <w:spacing w:line="360" w:lineRule="auto"/>
        <w:rPr>
          <w:rFonts w:hint="eastAsia" w:ascii="宋体" w:hAnsi="宋体" w:eastAsia="宋体" w:cs="宋体"/>
          <w:color w:val="000000" w:themeColor="text1"/>
          <w:highlight w:val="none"/>
          <w14:textFill>
            <w14:solidFill>
              <w14:schemeClr w14:val="tx1"/>
            </w14:solidFill>
          </w14:textFill>
        </w:rPr>
        <w:sectPr>
          <w:footerReference r:id="rId5" w:type="default"/>
          <w:pgSz w:w="11905" w:h="16838"/>
          <w:pgMar w:top="1134" w:right="1134" w:bottom="1134" w:left="1134" w:header="720" w:footer="720" w:gutter="0"/>
          <w:cols w:space="720" w:num="1"/>
          <w:docGrid w:type="lines" w:linePitch="331" w:charSpace="0"/>
        </w:sectPr>
      </w:pPr>
    </w:p>
    <w:p w14:paraId="030CB09C">
      <w:pPr>
        <w:spacing w:line="360" w:lineRule="auto"/>
        <w:rPr>
          <w:rFonts w:hint="eastAsia" w:ascii="宋体" w:hAnsi="宋体" w:eastAsia="宋体" w:cs="宋体"/>
          <w:color w:val="000000" w:themeColor="text1"/>
          <w:highlight w:val="none"/>
          <w14:textFill>
            <w14:solidFill>
              <w14:schemeClr w14:val="tx1"/>
            </w14:solidFill>
          </w14:textFill>
        </w:rPr>
      </w:pPr>
    </w:p>
    <w:p w14:paraId="60A31642">
      <w:pPr>
        <w:spacing w:line="440" w:lineRule="exact"/>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附件2：</w:t>
      </w:r>
    </w:p>
    <w:p w14:paraId="5F5612F4">
      <w:pPr>
        <w:spacing w:before="166" w:beforeLines="50" w:after="166" w:afterLines="50" w:line="440" w:lineRule="exact"/>
        <w:jc w:val="center"/>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工程质量保修书（房屋建筑工程）</w:t>
      </w:r>
    </w:p>
    <w:p w14:paraId="3956B600">
      <w:pPr>
        <w:spacing w:line="44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发包人（全称）：</w:t>
      </w:r>
      <w:r>
        <w:rPr>
          <w:rFonts w:hint="eastAsia" w:ascii="宋体" w:hAnsi="宋体" w:eastAsia="宋体" w:cs="宋体"/>
          <w:color w:val="000000" w:themeColor="text1"/>
          <w:w w:val="100"/>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1"/>
          <w:sz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w w:val="100"/>
          <w:highlight w:val="none"/>
          <w:u w:val="single"/>
          <w14:textFill>
            <w14:solidFill>
              <w14:schemeClr w14:val="tx1"/>
            </w14:solidFill>
          </w14:textFill>
        </w:rPr>
        <w:t xml:space="preserve"> </w:t>
      </w:r>
    </w:p>
    <w:p w14:paraId="448BB498">
      <w:pPr>
        <w:spacing w:line="44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承包人（全称）：</w:t>
      </w:r>
      <w:r>
        <w:rPr>
          <w:rFonts w:hint="eastAsia" w:ascii="宋体" w:hAnsi="宋体" w:eastAsia="宋体" w:cs="宋体"/>
          <w:color w:val="000000" w:themeColor="text1"/>
          <w:w w:val="100"/>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w w:val="100"/>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w:t>
      </w:r>
    </w:p>
    <w:p w14:paraId="5EB1DBD1">
      <w:pPr>
        <w:spacing w:line="440" w:lineRule="exact"/>
        <w:rPr>
          <w:rFonts w:hint="eastAsia" w:ascii="宋体" w:hAnsi="宋体" w:eastAsia="宋体" w:cs="宋体"/>
          <w:color w:val="000000" w:themeColor="text1"/>
          <w:highlight w:val="none"/>
          <w14:textFill>
            <w14:solidFill>
              <w14:schemeClr w14:val="tx1"/>
            </w14:solidFill>
          </w14:textFill>
        </w:rPr>
      </w:pPr>
    </w:p>
    <w:p w14:paraId="3437919F">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发包人和承包人根据《中华人民共和国建筑法》和《建设工程质量管理条例》，经协商一致就</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（工程全称）签订工程质量保修书。</w:t>
      </w:r>
    </w:p>
    <w:p w14:paraId="20BA7BF2">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一、工程质量保修范围和内容</w:t>
      </w:r>
    </w:p>
    <w:p w14:paraId="0EFBF303">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承包人在质量保修期内，按照有关法律规定和合同约定，承担工程质量保修责任。</w:t>
      </w:r>
    </w:p>
    <w:p w14:paraId="77BD7DC2">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eastAsia="宋体" w:cs="宋体"/>
          <w:color w:val="000000" w:themeColor="text1"/>
          <w:highlight w:val="none"/>
          <w:u w:val="single"/>
          <w:lang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p w14:paraId="225C2FCB">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二、质量保修期</w:t>
      </w:r>
    </w:p>
    <w:p w14:paraId="10A2E256">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根据《建设工程质量管理条例》及有关规定，工程的质量保修期如下：</w:t>
      </w:r>
    </w:p>
    <w:p w14:paraId="2F7471E1">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1．地基基础工程和主体结构工程为设计文件规定的工程合理使用年限；</w:t>
      </w:r>
    </w:p>
    <w:p w14:paraId="52468D0E">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2．屋面防水工程、有防水要求的卫生间、房间和外墙面的防渗为</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highlight w:val="none"/>
          <w:u w:val="single"/>
          <w:lang w:val="en-US" w:eastAsia="zh-CN"/>
          <w14:textFill>
            <w14:solidFill>
              <w14:schemeClr w14:val="tx1"/>
            </w14:solidFill>
          </w14:textFill>
        </w:rPr>
        <w:t xml:space="preserve"> 5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p>
    <w:p w14:paraId="4646FB7E">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3．装修工程为</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highlight w:val="none"/>
          <w:u w:val="single"/>
          <w:lang w:val="en-US" w:eastAsia="zh-CN"/>
          <w14:textFill>
            <w14:solidFill>
              <w14:schemeClr w14:val="tx1"/>
            </w14:solidFill>
          </w14:textFill>
        </w:rPr>
        <w:t xml:space="preserve"> 2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p>
    <w:p w14:paraId="657426C2">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4．电气管线、给排水管道、设备安装工程为</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highlight w:val="none"/>
          <w:u w:val="single"/>
          <w:lang w:val="en-US" w:eastAsia="zh-CN"/>
          <w14:textFill>
            <w14:solidFill>
              <w14:schemeClr w14:val="tx1"/>
            </w14:solidFill>
          </w14:textFill>
        </w:rPr>
        <w:t xml:space="preserve"> 2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p>
    <w:p w14:paraId="0086E1ED">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5．供热与供冷系统为</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highlight w:val="none"/>
          <w:u w:val="single"/>
          <w:lang w:val="en-US" w:eastAsia="zh-CN"/>
          <w14:textFill>
            <w14:solidFill>
              <w14:schemeClr w14:val="tx1"/>
            </w14:solidFill>
          </w14:textFill>
        </w:rPr>
        <w:t xml:space="preserve"> 2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个采暖期、供冷期；</w:t>
      </w:r>
    </w:p>
    <w:p w14:paraId="0EA76CE6">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6．住宅小区内的给排水设施、道路等配套工程为</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highlight w:val="none"/>
          <w:u w:val="single"/>
          <w:lang w:val="en-US" w:eastAsia="zh-CN"/>
          <w14:textFill>
            <w14:solidFill>
              <w14:schemeClr w14:val="tx1"/>
            </w14:solidFill>
          </w14:textFill>
        </w:rPr>
        <w:t xml:space="preserve"> 2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p>
    <w:p w14:paraId="3E58611B">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7．其他项目保修期限约定如下：</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58388498">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质量保修期自工程竣工验收合格之日起计算。</w:t>
      </w:r>
    </w:p>
    <w:p w14:paraId="627DFE8B">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三、缺陷责任期</w:t>
      </w:r>
    </w:p>
    <w:p w14:paraId="37E50AE7">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工程缺陷责任期为</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w w:val="100"/>
          <w:highlight w:val="none"/>
          <w:u w:val="single"/>
          <w:lang w:val="en-US" w:eastAsia="zh-CN"/>
          <w14:textFill>
            <w14:solidFill>
              <w14:schemeClr w14:val="tx1"/>
            </w14:solidFill>
          </w14:textFill>
        </w:rPr>
        <w:t>24</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个月（最长不超过24个月），缺陷责任期自工程竣工验收合格之日起计算。单位工程先于全部工程进行验收，单位工程缺陷责任期自单位工程验收合格之日起算。</w:t>
      </w:r>
    </w:p>
    <w:p w14:paraId="0111206D">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缺陷责任期</w:t>
      </w:r>
      <w:r>
        <w:rPr>
          <w:rFonts w:hint="eastAsia" w:ascii="宋体" w:hAnsi="宋体" w:eastAsia="宋体" w:cs="宋体"/>
          <w:color w:val="000000" w:themeColor="text1"/>
          <w:highlight w:val="none"/>
          <w:u w:val="single"/>
          <w14:textFill>
            <w14:solidFill>
              <w14:schemeClr w14:val="tx1"/>
            </w14:solidFill>
          </w14:textFill>
        </w:rPr>
        <w:t>满</w:t>
      </w:r>
      <w:r>
        <w:rPr>
          <w:rFonts w:hint="eastAsia" w:ascii="宋体" w:hAnsi="宋体" w:eastAsia="宋体" w:cs="宋体"/>
          <w:color w:val="000000" w:themeColor="text1"/>
          <w:highlight w:val="none"/>
          <w14:textFill>
            <w14:solidFill>
              <w14:schemeClr w14:val="tx1"/>
            </w14:solidFill>
          </w14:textFill>
        </w:rPr>
        <w:t>之日起</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w w:val="100"/>
          <w:highlight w:val="none"/>
          <w:u w:val="single"/>
          <w:lang w:val="en-US" w:eastAsia="zh-CN"/>
          <w14:textFill>
            <w14:solidFill>
              <w14:schemeClr w14:val="tx1"/>
            </w14:solidFill>
          </w14:textFill>
        </w:rPr>
        <w:t>60</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天</w:t>
      </w:r>
      <w:r>
        <w:rPr>
          <w:rFonts w:hint="eastAsia" w:ascii="宋体" w:hAnsi="宋体" w:eastAsia="宋体" w:cs="宋体"/>
          <w:color w:val="000000" w:themeColor="text1"/>
          <w:highlight w:val="none"/>
          <w:u w:val="single"/>
          <w14:textFill>
            <w14:solidFill>
              <w14:schemeClr w14:val="tx1"/>
            </w14:solidFill>
          </w14:textFill>
        </w:rPr>
        <w:t>（按合同约定期限），</w:t>
      </w:r>
      <w:r>
        <w:rPr>
          <w:rFonts w:hint="eastAsia" w:ascii="宋体" w:hAnsi="宋体" w:eastAsia="宋体" w:cs="宋体"/>
          <w:color w:val="000000" w:themeColor="text1"/>
          <w:highlight w:val="none"/>
          <w14:textFill>
            <w14:solidFill>
              <w14:schemeClr w14:val="tx1"/>
            </w14:solidFill>
          </w14:textFill>
        </w:rPr>
        <w:t>发包人应退还剩余的质量保证金。</w:t>
      </w:r>
    </w:p>
    <w:p w14:paraId="6CF0A9F4">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四、质量保修责任</w:t>
      </w:r>
    </w:p>
    <w:p w14:paraId="095F3A83">
      <w:pPr>
        <w:spacing w:line="360" w:lineRule="auto"/>
        <w:ind w:left="105" w:leftChars="50" w:firstLine="430" w:firstLineChars="205"/>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1．属于保修范围、内容的项目，承包人应当在接到保修通知之日起</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sz w:val="21"/>
          <w:highlight w:val="none"/>
          <w:u w:val="single"/>
          <w:lang w:val="en-US" w:eastAsia="zh-CN"/>
          <w14:textFill>
            <w14:solidFill>
              <w14:schemeClr w14:val="tx1"/>
            </w14:solidFill>
          </w14:textFill>
        </w:rPr>
        <w:t>3</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天内派人保修。承包人不在约定期限内派人保修的，发包人可以委托他人修理，修理费用从质量保证金内扣除。</w:t>
      </w:r>
    </w:p>
    <w:p w14:paraId="051220F3">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2．发生紧急事故需抢修的，承包人在接到事故通知后，应当立即到达事故现场抢修。</w:t>
      </w:r>
    </w:p>
    <w:p w14:paraId="595DFBC7">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934D0C6">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4．质量保修完成后，由发包人组织验收。</w:t>
      </w:r>
    </w:p>
    <w:p w14:paraId="7A826B66">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五、保修费用</w:t>
      </w:r>
    </w:p>
    <w:p w14:paraId="72BEE315">
      <w:pPr>
        <w:tabs>
          <w:tab w:val="left" w:pos="7380"/>
        </w:tabs>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保修费用由造成质量缺陷的责任方承担。</w:t>
      </w:r>
    </w:p>
    <w:p w14:paraId="1B97B930">
      <w:pPr>
        <w:spacing w:line="360" w:lineRule="auto"/>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六、双方约定的其他工程质量保修事项：</w:t>
      </w:r>
      <w:r>
        <w:rPr>
          <w:rFonts w:hint="eastAsia" w:ascii="宋体" w:hAnsi="宋体" w:eastAsia="宋体" w:cs="宋体"/>
          <w:color w:val="000000" w:themeColor="text1"/>
          <w:sz w:val="21"/>
          <w:highlight w:val="none"/>
          <w:u w:val="single"/>
          <w:lang w:val="en-US" w:eastAsia="zh-CN"/>
          <w14:textFill>
            <w14:solidFill>
              <w14:schemeClr w14:val="tx1"/>
            </w14:solidFill>
          </w14:textFill>
        </w:rPr>
        <w:t>无</w:t>
      </w:r>
      <w:r>
        <w:rPr>
          <w:rFonts w:hint="eastAsia" w:ascii="宋体" w:hAnsi="宋体" w:eastAsia="宋体" w:cs="宋体"/>
          <w:color w:val="000000" w:themeColor="text1"/>
          <w:highlight w:val="none"/>
          <w14:textFill>
            <w14:solidFill>
              <w14:schemeClr w14:val="tx1"/>
            </w14:solidFill>
          </w14:textFill>
        </w:rPr>
        <w:t>。</w:t>
      </w:r>
    </w:p>
    <w:p w14:paraId="79B96372">
      <w:pPr>
        <w:spacing w:line="360" w:lineRule="auto"/>
        <w:ind w:firstLine="399" w:firstLineChars="19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工程质量保修书由发包人、承包人在工程竣工验收前共同签署，作为施工合同附件，其有效期限至保修期满。</w:t>
      </w:r>
    </w:p>
    <w:p w14:paraId="65080893">
      <w:pPr>
        <w:spacing w:line="360" w:lineRule="auto"/>
        <w:ind w:firstLine="420"/>
        <w:rPr>
          <w:rFonts w:hint="eastAsia" w:ascii="宋体" w:hAnsi="宋体" w:eastAsia="宋体" w:cs="宋体"/>
          <w:color w:val="000000" w:themeColor="text1"/>
          <w:highlight w:val="none"/>
          <w14:textFill>
            <w14:solidFill>
              <w14:schemeClr w14:val="tx1"/>
            </w14:solidFill>
          </w14:textFill>
        </w:rPr>
      </w:pPr>
    </w:p>
    <w:p w14:paraId="361381E7">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发包人（公章）：</w:t>
      </w:r>
      <w:r>
        <w:rPr>
          <w:rFonts w:hint="eastAsia" w:ascii="宋体" w:hAnsi="宋体" w:eastAsia="宋体" w:cs="宋体"/>
          <w:color w:val="000000" w:themeColor="text1"/>
          <w:spacing w:val="-1"/>
          <w:sz w:val="21"/>
          <w:highlight w:val="none"/>
          <w:u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承包人（公章）：</w:t>
      </w:r>
      <w:r>
        <w:rPr>
          <w:rFonts w:hint="eastAsia" w:ascii="宋体" w:hAnsi="宋体" w:eastAsia="宋体" w:cs="宋体"/>
          <w:color w:val="000000" w:themeColor="text1"/>
          <w:highlight w:val="none"/>
          <w:lang w:val="en-US" w:eastAsia="zh-CN"/>
          <w14:textFill>
            <w14:solidFill>
              <w14:schemeClr w14:val="tx1"/>
            </w14:solidFill>
          </w14:textFill>
        </w:rPr>
        <w:t xml:space="preserve"> </w:t>
      </w:r>
    </w:p>
    <w:p w14:paraId="3AA52138">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bCs/>
          <w:color w:val="000000" w:themeColor="text1"/>
          <w:sz w:val="2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  址：</w:t>
      </w:r>
      <w:r>
        <w:rPr>
          <w:rFonts w:hint="eastAsia" w:ascii="宋体" w:hAnsi="宋体" w:eastAsia="宋体" w:cs="宋体"/>
          <w:color w:val="000000" w:themeColor="text1"/>
          <w:spacing w:val="-7"/>
          <w:sz w:val="21"/>
          <w:highlight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地  址：</w:t>
      </w:r>
      <w:r>
        <w:rPr>
          <w:rFonts w:hint="eastAsia" w:ascii="宋体" w:hAnsi="宋体" w:cs="宋体"/>
          <w:color w:val="000000" w:themeColor="text1"/>
          <w:highlight w:val="none"/>
          <w:lang w:val="en-US" w:eastAsia="zh-CN"/>
          <w14:textFill>
            <w14:solidFill>
              <w14:schemeClr w14:val="tx1"/>
            </w14:solidFill>
          </w14:textFill>
        </w:rPr>
        <w:t xml:space="preserve">            </w:t>
      </w:r>
    </w:p>
    <w:p w14:paraId="41F73041">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法定代表人（签字</w:t>
      </w:r>
      <w:r>
        <w:rPr>
          <w:rFonts w:hint="eastAsia" w:ascii="宋体" w:hAnsi="宋体" w:cs="宋体"/>
          <w:color w:val="000000" w:themeColor="text1"/>
          <w:highlight w:val="none"/>
          <w:lang w:val="en-US" w:eastAsia="zh-CN"/>
          <w14:textFill>
            <w14:solidFill>
              <w14:schemeClr w14:val="tx1"/>
            </w14:solidFill>
          </w14:textFill>
        </w:rPr>
        <w:t>或盖章</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法定代表人（签字</w:t>
      </w:r>
      <w:r>
        <w:rPr>
          <w:rFonts w:hint="eastAsia" w:ascii="宋体" w:hAnsi="宋体" w:cs="宋体"/>
          <w:color w:val="000000" w:themeColor="text1"/>
          <w:highlight w:val="none"/>
          <w:lang w:val="en-US" w:eastAsia="zh-CN"/>
          <w14:textFill>
            <w14:solidFill>
              <w14:schemeClr w14:val="tx1"/>
            </w14:solidFill>
          </w14:textFill>
        </w:rPr>
        <w:t>或盖章</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p>
    <w:p w14:paraId="377F759F">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委托代理人（签字）：</w:t>
      </w:r>
      <w:r>
        <w:rPr>
          <w:rFonts w:hint="eastAsia" w:ascii="宋体" w:hAnsi="宋体" w:eastAsia="宋体" w:cs="宋体"/>
          <w:color w:val="000000" w:themeColor="text1"/>
          <w:highlight w:val="none"/>
          <w:u w:val="single"/>
          <w14:textFill>
            <w14:solidFill>
              <w14:schemeClr w14:val="tx1"/>
            </w14:solidFill>
          </w14:textFill>
        </w:rPr>
        <w:t></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委托代理人（签字）：</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p>
    <w:p w14:paraId="0EFCFABC">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color w:val="000000" w:themeColor="text1"/>
          <w:highlight w:val="none"/>
          <w:u w:val="single"/>
          <w:lang w:val="en-US"/>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  话：</w:t>
      </w:r>
      <w:r>
        <w:rPr>
          <w:rFonts w:hint="eastAsia" w:ascii="宋体" w:hAnsi="宋体" w:eastAsia="宋体" w:cs="宋体"/>
          <w:color w:val="000000" w:themeColor="text1"/>
          <w:sz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电  话：</w:t>
      </w:r>
      <w:r>
        <w:rPr>
          <w:rFonts w:hint="eastAsia" w:ascii="宋体" w:hAnsi="宋体" w:eastAsia="宋体" w:cs="宋体"/>
          <w:bCs/>
          <w:color w:val="000000" w:themeColor="text1"/>
          <w:sz w:val="21"/>
          <w:highlight w:val="none"/>
          <w:lang w:val="en-US" w:eastAsia="zh-CN"/>
          <w14:textFill>
            <w14:solidFill>
              <w14:schemeClr w14:val="tx1"/>
            </w14:solidFill>
          </w14:textFill>
        </w:rPr>
        <w:t xml:space="preserve"> </w:t>
      </w:r>
      <w:r>
        <w:rPr>
          <w:rFonts w:hint="eastAsia" w:ascii="宋体" w:hAnsi="宋体" w:eastAsia="宋体" w:cs="宋体"/>
          <w:bCs/>
          <w:color w:val="000000" w:themeColor="text1"/>
          <w:sz w:val="21"/>
          <w:highlight w:val="none"/>
          <w:u w:val="single"/>
          <w:lang w:val="en-US" w:eastAsia="zh-CN"/>
          <w14:textFill>
            <w14:solidFill>
              <w14:schemeClr w14:val="tx1"/>
            </w14:solidFill>
          </w14:textFill>
        </w:rPr>
        <w:t xml:space="preserve">           </w:t>
      </w:r>
      <w:r>
        <w:rPr>
          <w:rFonts w:hint="eastAsia" w:ascii="宋体" w:hAnsi="宋体" w:cs="宋体"/>
          <w:bCs/>
          <w:color w:val="000000" w:themeColor="text1"/>
          <w:sz w:val="21"/>
          <w:highlight w:val="none"/>
          <w:u w:val="single"/>
          <w:lang w:val="en-US" w:eastAsia="zh-CN"/>
          <w14:textFill>
            <w14:solidFill>
              <w14:schemeClr w14:val="tx1"/>
            </w14:solidFill>
          </w14:textFill>
        </w:rPr>
        <w:t xml:space="preserve">      </w:t>
      </w:r>
      <w:r>
        <w:rPr>
          <w:rFonts w:hint="eastAsia" w:ascii="宋体" w:hAnsi="宋体" w:eastAsia="宋体" w:cs="宋体"/>
          <w:bCs/>
          <w:color w:val="000000" w:themeColor="text1"/>
          <w:sz w:val="21"/>
          <w:highlight w:val="none"/>
          <w:u w:val="single"/>
          <w:lang w:val="en-US" w:eastAsia="zh-CN"/>
          <w14:textFill>
            <w14:solidFill>
              <w14:schemeClr w14:val="tx1"/>
            </w14:solidFill>
          </w14:textFill>
        </w:rPr>
        <w:t xml:space="preserve">                  </w:t>
      </w:r>
    </w:p>
    <w:p w14:paraId="1C0B12D1">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传  真：</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传  真：</w:t>
      </w:r>
      <w:r>
        <w:rPr>
          <w:rFonts w:hint="eastAsia" w:ascii="宋体" w:hAnsi="宋体" w:eastAsia="宋体" w:cs="宋体"/>
          <w:bCs/>
          <w:color w:val="000000" w:themeColor="text1"/>
          <w:sz w:val="21"/>
          <w:highlight w:val="none"/>
          <w:lang w:val="en-US" w:eastAsia="zh-CN"/>
          <w14:textFill>
            <w14:solidFill>
              <w14:schemeClr w14:val="tx1"/>
            </w14:solidFill>
          </w14:textFill>
        </w:rPr>
        <w:t xml:space="preserve"> </w:t>
      </w:r>
      <w:r>
        <w:rPr>
          <w:rFonts w:hint="eastAsia" w:ascii="宋体" w:hAnsi="宋体" w:eastAsia="宋体" w:cs="宋体"/>
          <w:bCs/>
          <w:color w:val="000000" w:themeColor="text1"/>
          <w:sz w:val="21"/>
          <w:highlight w:val="none"/>
          <w:u w:val="single"/>
          <w:lang w:val="en-US" w:eastAsia="zh-CN"/>
          <w14:textFill>
            <w14:solidFill>
              <w14:schemeClr w14:val="tx1"/>
            </w14:solidFill>
          </w14:textFill>
        </w:rPr>
        <w:t xml:space="preserve">            </w:t>
      </w:r>
      <w:r>
        <w:rPr>
          <w:rFonts w:hint="eastAsia" w:ascii="宋体" w:hAnsi="宋体" w:cs="宋体"/>
          <w:bCs/>
          <w:color w:val="000000" w:themeColor="text1"/>
          <w:sz w:val="21"/>
          <w:highlight w:val="none"/>
          <w:u w:val="single"/>
          <w:lang w:val="en-US" w:eastAsia="zh-CN"/>
          <w14:textFill>
            <w14:solidFill>
              <w14:schemeClr w14:val="tx1"/>
            </w14:solidFill>
          </w14:textFill>
        </w:rPr>
        <w:t xml:space="preserve">     </w:t>
      </w:r>
      <w:r>
        <w:rPr>
          <w:rFonts w:hint="eastAsia" w:ascii="宋体" w:hAnsi="宋体" w:eastAsia="宋体" w:cs="宋体"/>
          <w:bCs/>
          <w:color w:val="000000" w:themeColor="text1"/>
          <w:sz w:val="21"/>
          <w:highlight w:val="none"/>
          <w:u w:val="single"/>
          <w:lang w:val="en-US" w:eastAsia="zh-CN"/>
          <w14:textFill>
            <w14:solidFill>
              <w14:schemeClr w14:val="tx1"/>
            </w14:solidFill>
          </w14:textFill>
        </w:rPr>
        <w:t xml:space="preserve">                </w:t>
      </w:r>
    </w:p>
    <w:p w14:paraId="60C168D1">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开户银行：</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开户银行：</w:t>
      </w:r>
      <w:r>
        <w:rPr>
          <w:rFonts w:hint="eastAsia" w:ascii="宋体" w:hAnsi="宋体" w:eastAsia="宋体" w:cs="宋体"/>
          <w:color w:val="000000" w:themeColor="text1"/>
          <w:highlight w:val="none"/>
          <w:u w:val="single"/>
          <w14:textFill>
            <w14:solidFill>
              <w14:schemeClr w14:val="tx1"/>
            </w14:solidFill>
          </w14:textFill>
        </w:rPr>
        <w:t></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w:t>
      </w:r>
    </w:p>
    <w:p w14:paraId="629FC41E">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color w:val="000000" w:themeColor="text1"/>
          <w:highlight w:val="none"/>
          <w:u w:val="singl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账  号：</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账  号：</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p>
    <w:p w14:paraId="3A60BF3D">
      <w:pPr>
        <w:keepNext w:val="0"/>
        <w:keepLines w:val="0"/>
        <w:pageBreakBefore w:val="0"/>
        <w:widowControl w:val="0"/>
        <w:kinsoku/>
        <w:wordWrap/>
        <w:overflowPunct/>
        <w:topLinePunct w:val="0"/>
        <w:autoSpaceDE/>
        <w:autoSpaceDN/>
        <w:adjustRightInd/>
        <w:snapToGrid/>
        <w:spacing w:line="360" w:lineRule="auto"/>
        <w:rPr>
          <w:rFonts w:hint="eastAsia" w:ascii="宋体" w:hAnsi="宋体" w:eastAsia="宋体" w:cs="宋体"/>
          <w:bCs/>
          <w:color w:val="000000" w:themeColor="text1"/>
          <w:sz w:val="21"/>
          <w:highlight w:val="none"/>
          <w:lang w:val="en-US" w:eastAsia="zh-CN"/>
          <w14:textFill>
            <w14:solidFill>
              <w14:schemeClr w14:val="tx1"/>
            </w14:solidFill>
          </w14:textFill>
        </w:rPr>
        <w:sectPr>
          <w:pgSz w:w="11905" w:h="16838"/>
          <w:pgMar w:top="1134" w:right="1134" w:bottom="1134" w:left="1134" w:header="720" w:footer="720" w:gutter="0"/>
          <w:cols w:space="720" w:num="1"/>
          <w:docGrid w:type="lines" w:linePitch="331" w:charSpace="0"/>
        </w:sectPr>
      </w:pPr>
      <w:r>
        <w:rPr>
          <w:rFonts w:hint="eastAsia" w:ascii="宋体" w:hAnsi="宋体" w:eastAsia="宋体" w:cs="宋体"/>
          <w:color w:val="000000" w:themeColor="text1"/>
          <w:highlight w:val="none"/>
          <w14:textFill>
            <w14:solidFill>
              <w14:schemeClr w14:val="tx1"/>
            </w14:solidFill>
          </w14:textFill>
        </w:rPr>
        <w:t>邮政编码：</w:t>
      </w:r>
      <w:r>
        <w:rPr>
          <w:rFonts w:hint="eastAsia" w:ascii="宋体" w:hAnsi="宋体" w:eastAsia="宋体" w:cs="宋体"/>
          <w:color w:val="000000" w:themeColor="text1"/>
          <w:highlight w:val="none"/>
          <w:u w:val="single"/>
          <w14:textFill>
            <w14:solidFill>
              <w14:schemeClr w14:val="tx1"/>
            </w14:solidFill>
          </w14:textFill>
        </w:rPr>
        <w:t xml:space="preserve">       </w:t>
      </w:r>
      <w:r>
        <w:rPr>
          <w:rFonts w:hint="eastAsia" w:ascii="宋体" w:hAnsi="宋体" w:eastAsia="宋体" w:cs="宋体"/>
          <w:color w:val="000000" w:themeColor="text1"/>
          <w:highlight w:val="none"/>
          <w14:textFill>
            <w14:solidFill>
              <w14:schemeClr w14:val="tx1"/>
            </w14:solidFill>
          </w14:textFill>
        </w:rPr>
        <w:t xml:space="preserve">          邮政编码：</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bCs/>
          <w:color w:val="000000" w:themeColor="text1"/>
          <w:sz w:val="21"/>
          <w:highlight w:val="none"/>
          <w:u w:val="single"/>
          <w:lang w:val="en-US" w:eastAsia="zh-CN"/>
          <w14:textFill>
            <w14:solidFill>
              <w14:schemeClr w14:val="tx1"/>
            </w14:solidFill>
          </w14:textFill>
        </w:rPr>
        <w:t xml:space="preserve">                         </w:t>
      </w:r>
    </w:p>
    <w:p w14:paraId="201D3ED0">
      <w:pPr>
        <w:spacing w:line="440" w:lineRule="exact"/>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附件3：</w:t>
      </w:r>
    </w:p>
    <w:p w14:paraId="4B2E0B03">
      <w:pPr>
        <w:spacing w:before="166" w:beforeLines="50" w:after="166" w:afterLines="50" w:line="440" w:lineRule="exact"/>
        <w:jc w:val="center"/>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承包人用于本工程施工的机械设备表</w:t>
      </w:r>
    </w:p>
    <w:tbl>
      <w:tblPr>
        <w:tblStyle w:val="53"/>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962"/>
        <w:gridCol w:w="979"/>
      </w:tblGrid>
      <w:tr w14:paraId="0767C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l2br w:val="nil"/>
              <w:tr2bl w:val="nil"/>
            </w:tcBorders>
            <w:vAlign w:val="center"/>
          </w:tcPr>
          <w:p w14:paraId="1B37AB6F">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8"/>
                <w:szCs w:val="30"/>
                <w:highlight w:val="none"/>
                <w:lang w:val="en-US" w:eastAsia="zh-CN"/>
                <w14:textFill>
                  <w14:solidFill>
                    <w14:schemeClr w14:val="tx1"/>
                  </w14:solidFill>
                </w14:textFill>
              </w:rPr>
            </w:pPr>
            <w:r>
              <w:rPr>
                <w:rFonts w:hint="eastAsia" w:ascii="宋体" w:hAnsi="宋体" w:eastAsia="宋体" w:cs="宋体"/>
                <w:color w:val="000000" w:themeColor="text1"/>
                <w:kern w:val="2"/>
                <w:sz w:val="28"/>
                <w:szCs w:val="30"/>
                <w:highlight w:val="none"/>
                <w:lang w:val="en-US" w:eastAsia="zh-CN"/>
                <w14:textFill>
                  <w14:solidFill>
                    <w14:schemeClr w14:val="tx1"/>
                  </w14:solidFill>
                </w14:textFill>
              </w:rPr>
              <w:t>序号</w:t>
            </w:r>
          </w:p>
        </w:tc>
        <w:tc>
          <w:tcPr>
            <w:tcW w:w="1418" w:type="dxa"/>
            <w:tcBorders>
              <w:top w:val="single" w:color="auto" w:sz="12" w:space="0"/>
              <w:bottom w:val="double" w:color="auto" w:sz="6" w:space="0"/>
              <w:tl2br w:val="nil"/>
              <w:tr2bl w:val="nil"/>
            </w:tcBorders>
            <w:vAlign w:val="center"/>
          </w:tcPr>
          <w:p w14:paraId="11861022">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8"/>
                <w:szCs w:val="30"/>
                <w:highlight w:val="none"/>
                <w:lang w:val="en-US" w:eastAsia="zh-CN"/>
                <w14:textFill>
                  <w14:solidFill>
                    <w14:schemeClr w14:val="tx1"/>
                  </w14:solidFill>
                </w14:textFill>
              </w:rPr>
            </w:pPr>
            <w:r>
              <w:rPr>
                <w:rFonts w:hint="eastAsia" w:ascii="宋体" w:hAnsi="宋体" w:eastAsia="宋体" w:cs="宋体"/>
                <w:color w:val="000000" w:themeColor="text1"/>
                <w:kern w:val="2"/>
                <w:sz w:val="28"/>
                <w:szCs w:val="30"/>
                <w:highlight w:val="none"/>
                <w:lang w:val="en-US" w:eastAsia="zh-CN"/>
                <w14:textFill>
                  <w14:solidFill>
                    <w14:schemeClr w14:val="tx1"/>
                  </w14:solidFill>
                </w14:textFill>
              </w:rPr>
              <w:t>机械或设备名称</w:t>
            </w:r>
          </w:p>
        </w:tc>
        <w:tc>
          <w:tcPr>
            <w:tcW w:w="850" w:type="dxa"/>
            <w:tcBorders>
              <w:top w:val="single" w:color="auto" w:sz="12" w:space="0"/>
              <w:bottom w:val="double" w:color="auto" w:sz="6" w:space="0"/>
              <w:tl2br w:val="nil"/>
              <w:tr2bl w:val="nil"/>
            </w:tcBorders>
            <w:vAlign w:val="center"/>
          </w:tcPr>
          <w:p w14:paraId="3F50242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8"/>
                <w:szCs w:val="30"/>
                <w:highlight w:val="none"/>
                <w:lang w:val="en-US" w:eastAsia="zh-CN"/>
                <w14:textFill>
                  <w14:solidFill>
                    <w14:schemeClr w14:val="tx1"/>
                  </w14:solidFill>
                </w14:textFill>
              </w:rPr>
            </w:pPr>
            <w:r>
              <w:rPr>
                <w:rFonts w:hint="eastAsia" w:ascii="宋体" w:hAnsi="宋体" w:eastAsia="宋体" w:cs="宋体"/>
                <w:color w:val="000000" w:themeColor="text1"/>
                <w:kern w:val="2"/>
                <w:sz w:val="28"/>
                <w:szCs w:val="30"/>
                <w:highlight w:val="none"/>
                <w:lang w:val="en-US" w:eastAsia="zh-CN"/>
                <w14:textFill>
                  <w14:solidFill>
                    <w14:schemeClr w14:val="tx1"/>
                  </w14:solidFill>
                </w14:textFill>
              </w:rPr>
              <w:t>规格型号</w:t>
            </w:r>
          </w:p>
        </w:tc>
        <w:tc>
          <w:tcPr>
            <w:tcW w:w="1058" w:type="dxa"/>
            <w:tcBorders>
              <w:top w:val="single" w:color="auto" w:sz="12" w:space="0"/>
              <w:bottom w:val="double" w:color="auto" w:sz="6" w:space="0"/>
              <w:tl2br w:val="nil"/>
              <w:tr2bl w:val="nil"/>
            </w:tcBorders>
            <w:vAlign w:val="center"/>
          </w:tcPr>
          <w:p w14:paraId="12BD9B0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8"/>
                <w:szCs w:val="30"/>
                <w:highlight w:val="none"/>
                <w:lang w:val="en-US" w:eastAsia="zh-CN"/>
                <w14:textFill>
                  <w14:solidFill>
                    <w14:schemeClr w14:val="tx1"/>
                  </w14:solidFill>
                </w14:textFill>
              </w:rPr>
            </w:pPr>
            <w:r>
              <w:rPr>
                <w:rFonts w:hint="eastAsia" w:ascii="宋体" w:hAnsi="宋体" w:eastAsia="宋体" w:cs="宋体"/>
                <w:color w:val="000000" w:themeColor="text1"/>
                <w:kern w:val="2"/>
                <w:sz w:val="28"/>
                <w:szCs w:val="30"/>
                <w:highlight w:val="none"/>
                <w:lang w:val="en-US" w:eastAsia="zh-CN"/>
                <w14:textFill>
                  <w14:solidFill>
                    <w14:schemeClr w14:val="tx1"/>
                  </w14:solidFill>
                </w14:textFill>
              </w:rPr>
              <w:t>数量</w:t>
            </w:r>
          </w:p>
        </w:tc>
        <w:tc>
          <w:tcPr>
            <w:tcW w:w="880" w:type="dxa"/>
            <w:tcBorders>
              <w:top w:val="single" w:color="auto" w:sz="12" w:space="0"/>
              <w:bottom w:val="double" w:color="auto" w:sz="6" w:space="0"/>
              <w:tl2br w:val="nil"/>
              <w:tr2bl w:val="nil"/>
            </w:tcBorders>
            <w:vAlign w:val="center"/>
          </w:tcPr>
          <w:p w14:paraId="1403C657">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8"/>
                <w:szCs w:val="30"/>
                <w:highlight w:val="none"/>
                <w:lang w:val="en-US" w:eastAsia="zh-CN"/>
                <w14:textFill>
                  <w14:solidFill>
                    <w14:schemeClr w14:val="tx1"/>
                  </w14:solidFill>
                </w14:textFill>
              </w:rPr>
            </w:pPr>
            <w:r>
              <w:rPr>
                <w:rFonts w:hint="eastAsia" w:ascii="宋体" w:hAnsi="宋体" w:eastAsia="宋体" w:cs="宋体"/>
                <w:color w:val="000000" w:themeColor="text1"/>
                <w:kern w:val="2"/>
                <w:sz w:val="28"/>
                <w:szCs w:val="30"/>
                <w:highlight w:val="none"/>
                <w:lang w:val="en-US" w:eastAsia="zh-CN"/>
                <w14:textFill>
                  <w14:solidFill>
                    <w14:schemeClr w14:val="tx1"/>
                  </w14:solidFill>
                </w14:textFill>
              </w:rPr>
              <w:t>产地</w:t>
            </w:r>
          </w:p>
        </w:tc>
        <w:tc>
          <w:tcPr>
            <w:tcW w:w="1020" w:type="dxa"/>
            <w:tcBorders>
              <w:top w:val="single" w:color="auto" w:sz="12" w:space="0"/>
              <w:bottom w:val="double" w:color="auto" w:sz="6" w:space="0"/>
              <w:tl2br w:val="nil"/>
              <w:tr2bl w:val="nil"/>
            </w:tcBorders>
            <w:vAlign w:val="center"/>
          </w:tcPr>
          <w:p w14:paraId="4A2DE21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8"/>
                <w:szCs w:val="30"/>
                <w:highlight w:val="none"/>
                <w:lang w:val="en-US" w:eastAsia="zh-CN"/>
                <w14:textFill>
                  <w14:solidFill>
                    <w14:schemeClr w14:val="tx1"/>
                  </w14:solidFill>
                </w14:textFill>
              </w:rPr>
            </w:pPr>
            <w:r>
              <w:rPr>
                <w:rFonts w:hint="eastAsia" w:ascii="宋体" w:hAnsi="宋体" w:eastAsia="宋体" w:cs="宋体"/>
                <w:color w:val="000000" w:themeColor="text1"/>
                <w:kern w:val="2"/>
                <w:sz w:val="28"/>
                <w:szCs w:val="30"/>
                <w:highlight w:val="none"/>
                <w:lang w:val="en-US" w:eastAsia="zh-CN"/>
                <w14:textFill>
                  <w14:solidFill>
                    <w14:schemeClr w14:val="tx1"/>
                  </w14:solidFill>
                </w14:textFill>
              </w:rPr>
              <w:t>制造年份</w:t>
            </w:r>
          </w:p>
        </w:tc>
        <w:tc>
          <w:tcPr>
            <w:tcW w:w="1480" w:type="dxa"/>
            <w:tcBorders>
              <w:top w:val="single" w:color="auto" w:sz="12" w:space="0"/>
              <w:bottom w:val="double" w:color="auto" w:sz="6" w:space="0"/>
              <w:tl2br w:val="nil"/>
              <w:tr2bl w:val="nil"/>
            </w:tcBorders>
            <w:vAlign w:val="center"/>
          </w:tcPr>
          <w:p w14:paraId="77FB39A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8"/>
                <w:szCs w:val="30"/>
                <w:highlight w:val="none"/>
                <w:lang w:val="en-US" w:eastAsia="zh-CN"/>
                <w14:textFill>
                  <w14:solidFill>
                    <w14:schemeClr w14:val="tx1"/>
                  </w14:solidFill>
                </w14:textFill>
              </w:rPr>
            </w:pPr>
            <w:r>
              <w:rPr>
                <w:rFonts w:hint="eastAsia" w:ascii="宋体" w:hAnsi="宋体" w:eastAsia="宋体" w:cs="宋体"/>
                <w:color w:val="000000" w:themeColor="text1"/>
                <w:kern w:val="2"/>
                <w:sz w:val="28"/>
                <w:szCs w:val="30"/>
                <w:highlight w:val="none"/>
                <w:lang w:val="en-US" w:eastAsia="zh-CN"/>
                <w14:textFill>
                  <w14:solidFill>
                    <w14:schemeClr w14:val="tx1"/>
                  </w14:solidFill>
                </w14:textFill>
              </w:rPr>
              <w:t>额定功率(kW)</w:t>
            </w:r>
          </w:p>
        </w:tc>
        <w:tc>
          <w:tcPr>
            <w:tcW w:w="962" w:type="dxa"/>
            <w:tcBorders>
              <w:top w:val="single" w:color="auto" w:sz="12" w:space="0"/>
              <w:bottom w:val="double" w:color="auto" w:sz="6" w:space="0"/>
              <w:tl2br w:val="nil"/>
              <w:tr2bl w:val="nil"/>
            </w:tcBorders>
            <w:vAlign w:val="center"/>
          </w:tcPr>
          <w:p w14:paraId="0D2FC331">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8"/>
                <w:szCs w:val="30"/>
                <w:highlight w:val="none"/>
                <w:lang w:val="en-US" w:eastAsia="zh-CN"/>
                <w14:textFill>
                  <w14:solidFill>
                    <w14:schemeClr w14:val="tx1"/>
                  </w14:solidFill>
                </w14:textFill>
              </w:rPr>
            </w:pPr>
            <w:r>
              <w:rPr>
                <w:rFonts w:hint="eastAsia" w:ascii="宋体" w:hAnsi="宋体" w:eastAsia="宋体" w:cs="宋体"/>
                <w:color w:val="000000" w:themeColor="text1"/>
                <w:kern w:val="2"/>
                <w:sz w:val="28"/>
                <w:szCs w:val="30"/>
                <w:highlight w:val="none"/>
                <w:lang w:val="en-US" w:eastAsia="zh-CN"/>
                <w14:textFill>
                  <w14:solidFill>
                    <w14:schemeClr w14:val="tx1"/>
                  </w14:solidFill>
                </w14:textFill>
              </w:rPr>
              <w:t>生产能力</w:t>
            </w:r>
          </w:p>
        </w:tc>
        <w:tc>
          <w:tcPr>
            <w:tcW w:w="979" w:type="dxa"/>
            <w:tcBorders>
              <w:top w:val="single" w:color="auto" w:sz="12" w:space="0"/>
              <w:bottom w:val="double" w:color="auto" w:sz="6" w:space="0"/>
              <w:tl2br w:val="nil"/>
              <w:tr2bl w:val="nil"/>
            </w:tcBorders>
            <w:vAlign w:val="center"/>
          </w:tcPr>
          <w:p w14:paraId="0207709F">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8"/>
                <w:szCs w:val="30"/>
                <w:highlight w:val="none"/>
                <w:lang w:val="en-US" w:eastAsia="zh-CN"/>
                <w14:textFill>
                  <w14:solidFill>
                    <w14:schemeClr w14:val="tx1"/>
                  </w14:solidFill>
                </w14:textFill>
              </w:rPr>
            </w:pPr>
            <w:r>
              <w:rPr>
                <w:rFonts w:hint="eastAsia" w:ascii="宋体" w:hAnsi="宋体" w:eastAsia="宋体" w:cs="宋体"/>
                <w:color w:val="000000" w:themeColor="text1"/>
                <w:kern w:val="2"/>
                <w:sz w:val="28"/>
                <w:szCs w:val="30"/>
                <w:highlight w:val="none"/>
                <w:lang w:val="en-US" w:eastAsia="zh-CN"/>
                <w14:textFill>
                  <w14:solidFill>
                    <w14:schemeClr w14:val="tx1"/>
                  </w14:solidFill>
                </w14:textFill>
              </w:rPr>
              <w:t>备注</w:t>
            </w:r>
          </w:p>
        </w:tc>
      </w:tr>
      <w:tr w14:paraId="57AE2D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l2br w:val="nil"/>
              <w:tr2bl w:val="nil"/>
            </w:tcBorders>
            <w:vAlign w:val="center"/>
          </w:tcPr>
          <w:p w14:paraId="17F79254">
            <w:pPr>
              <w:pStyle w:val="3"/>
              <w:keepNext/>
              <w:keepLines w:val="0"/>
              <w:suppressLineNumbers w:val="0"/>
              <w:spacing w:before="0" w:beforeAutospacing="0" w:after="0" w:afterAutospacing="0" w:line="440" w:lineRule="exact"/>
              <w:ind w:left="63" w:right="63"/>
              <w:rPr>
                <w:rFonts w:hint="default"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18" w:type="dxa"/>
            <w:tcBorders>
              <w:top w:val="double" w:color="auto" w:sz="6" w:space="0"/>
              <w:bottom w:val="single" w:color="auto" w:sz="6" w:space="0"/>
              <w:tl2br w:val="nil"/>
              <w:tr2bl w:val="nil"/>
            </w:tcBorders>
            <w:vAlign w:val="center"/>
          </w:tcPr>
          <w:p w14:paraId="394EC199">
            <w:pPr>
              <w:pStyle w:val="3"/>
              <w:keepNext/>
              <w:keepLines w:val="0"/>
              <w:suppressLineNumbers w:val="0"/>
              <w:spacing w:before="0" w:beforeAutospacing="0" w:after="0" w:afterAutospacing="0" w:line="440" w:lineRule="exact"/>
              <w:ind w:left="63" w:right="63"/>
              <w:rPr>
                <w:rFonts w:hint="default"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50" w:type="dxa"/>
            <w:tcBorders>
              <w:top w:val="double" w:color="auto" w:sz="6" w:space="0"/>
              <w:bottom w:val="single" w:color="auto" w:sz="6" w:space="0"/>
              <w:tl2br w:val="nil"/>
              <w:tr2bl w:val="nil"/>
            </w:tcBorders>
            <w:vAlign w:val="center"/>
          </w:tcPr>
          <w:p w14:paraId="5F92B273">
            <w:pPr>
              <w:pStyle w:val="3"/>
              <w:keepNext/>
              <w:keepLines w:val="0"/>
              <w:suppressLineNumbers w:val="0"/>
              <w:spacing w:before="0" w:beforeAutospacing="0" w:after="0" w:afterAutospacing="0" w:line="440" w:lineRule="exact"/>
              <w:ind w:left="63" w:right="63"/>
              <w:rPr>
                <w:rFonts w:hint="default"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58" w:type="dxa"/>
            <w:tcBorders>
              <w:top w:val="double" w:color="auto" w:sz="6" w:space="0"/>
              <w:bottom w:val="single" w:color="auto" w:sz="6" w:space="0"/>
              <w:tl2br w:val="nil"/>
              <w:tr2bl w:val="nil"/>
            </w:tcBorders>
            <w:vAlign w:val="center"/>
          </w:tcPr>
          <w:p w14:paraId="10552344">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80" w:type="dxa"/>
            <w:tcBorders>
              <w:top w:val="double" w:color="auto" w:sz="6" w:space="0"/>
              <w:bottom w:val="single" w:color="auto" w:sz="6" w:space="0"/>
              <w:tl2br w:val="nil"/>
              <w:tr2bl w:val="nil"/>
            </w:tcBorders>
            <w:vAlign w:val="center"/>
          </w:tcPr>
          <w:p w14:paraId="21F33AF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20" w:type="dxa"/>
            <w:tcBorders>
              <w:top w:val="double" w:color="auto" w:sz="6" w:space="0"/>
              <w:bottom w:val="single" w:color="auto" w:sz="6" w:space="0"/>
              <w:tl2br w:val="nil"/>
              <w:tr2bl w:val="nil"/>
            </w:tcBorders>
            <w:vAlign w:val="center"/>
          </w:tcPr>
          <w:p w14:paraId="7F32BC0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80" w:type="dxa"/>
            <w:tcBorders>
              <w:top w:val="double" w:color="auto" w:sz="6" w:space="0"/>
              <w:bottom w:val="single" w:color="auto" w:sz="6" w:space="0"/>
              <w:tl2br w:val="nil"/>
              <w:tr2bl w:val="nil"/>
            </w:tcBorders>
            <w:vAlign w:val="center"/>
          </w:tcPr>
          <w:p w14:paraId="0E0F4857">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62" w:type="dxa"/>
            <w:tcBorders>
              <w:top w:val="double" w:color="auto" w:sz="6" w:space="0"/>
              <w:bottom w:val="single" w:color="auto" w:sz="6" w:space="0"/>
              <w:tl2br w:val="nil"/>
              <w:tr2bl w:val="nil"/>
            </w:tcBorders>
            <w:vAlign w:val="center"/>
          </w:tcPr>
          <w:p w14:paraId="5F005B29">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79" w:type="dxa"/>
            <w:tcBorders>
              <w:top w:val="double" w:color="auto" w:sz="6" w:space="0"/>
              <w:bottom w:val="single" w:color="auto" w:sz="6" w:space="0"/>
              <w:tl2br w:val="nil"/>
              <w:tr2bl w:val="nil"/>
            </w:tcBorders>
            <w:vAlign w:val="center"/>
          </w:tcPr>
          <w:p w14:paraId="50A84F8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r>
      <w:tr w14:paraId="28AD4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l2br w:val="nil"/>
              <w:tr2bl w:val="nil"/>
            </w:tcBorders>
            <w:vAlign w:val="center"/>
          </w:tcPr>
          <w:p w14:paraId="565A138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18" w:type="dxa"/>
            <w:tcBorders>
              <w:top w:val="nil"/>
              <w:tl2br w:val="nil"/>
              <w:tr2bl w:val="nil"/>
            </w:tcBorders>
            <w:vAlign w:val="center"/>
          </w:tcPr>
          <w:p w14:paraId="5D12AD92">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50" w:type="dxa"/>
            <w:tcBorders>
              <w:top w:val="nil"/>
              <w:tl2br w:val="nil"/>
              <w:tr2bl w:val="nil"/>
            </w:tcBorders>
            <w:vAlign w:val="center"/>
          </w:tcPr>
          <w:p w14:paraId="1715C8FB">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58" w:type="dxa"/>
            <w:tcBorders>
              <w:top w:val="nil"/>
              <w:tl2br w:val="nil"/>
              <w:tr2bl w:val="nil"/>
            </w:tcBorders>
            <w:vAlign w:val="center"/>
          </w:tcPr>
          <w:p w14:paraId="122E37B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80" w:type="dxa"/>
            <w:tcBorders>
              <w:top w:val="nil"/>
              <w:tl2br w:val="nil"/>
              <w:tr2bl w:val="nil"/>
            </w:tcBorders>
            <w:vAlign w:val="center"/>
          </w:tcPr>
          <w:p w14:paraId="3CE1D5E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20" w:type="dxa"/>
            <w:tcBorders>
              <w:top w:val="nil"/>
              <w:tl2br w:val="nil"/>
              <w:tr2bl w:val="nil"/>
            </w:tcBorders>
            <w:vAlign w:val="center"/>
          </w:tcPr>
          <w:p w14:paraId="5094097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80" w:type="dxa"/>
            <w:tcBorders>
              <w:top w:val="nil"/>
              <w:tl2br w:val="nil"/>
              <w:tr2bl w:val="nil"/>
            </w:tcBorders>
            <w:vAlign w:val="center"/>
          </w:tcPr>
          <w:p w14:paraId="777C8D17">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62" w:type="dxa"/>
            <w:tcBorders>
              <w:top w:val="nil"/>
              <w:tl2br w:val="nil"/>
              <w:tr2bl w:val="nil"/>
            </w:tcBorders>
            <w:vAlign w:val="center"/>
          </w:tcPr>
          <w:p w14:paraId="1E81F059">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79" w:type="dxa"/>
            <w:tcBorders>
              <w:top w:val="nil"/>
              <w:tl2br w:val="nil"/>
              <w:tr2bl w:val="nil"/>
            </w:tcBorders>
            <w:vAlign w:val="center"/>
          </w:tcPr>
          <w:p w14:paraId="67E2E9D9">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r>
      <w:tr w14:paraId="685E0A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vAlign w:val="center"/>
          </w:tcPr>
          <w:p w14:paraId="3891EAFF">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18" w:type="dxa"/>
            <w:tcBorders>
              <w:tl2br w:val="nil"/>
              <w:tr2bl w:val="nil"/>
            </w:tcBorders>
            <w:vAlign w:val="center"/>
          </w:tcPr>
          <w:p w14:paraId="298BB38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50" w:type="dxa"/>
            <w:tcBorders>
              <w:tl2br w:val="nil"/>
              <w:tr2bl w:val="nil"/>
            </w:tcBorders>
            <w:vAlign w:val="center"/>
          </w:tcPr>
          <w:p w14:paraId="7038E5C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58" w:type="dxa"/>
            <w:tcBorders>
              <w:tl2br w:val="nil"/>
              <w:tr2bl w:val="nil"/>
            </w:tcBorders>
            <w:vAlign w:val="center"/>
          </w:tcPr>
          <w:p w14:paraId="10A5F97F">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80" w:type="dxa"/>
            <w:tcBorders>
              <w:tl2br w:val="nil"/>
              <w:tr2bl w:val="nil"/>
            </w:tcBorders>
            <w:vAlign w:val="center"/>
          </w:tcPr>
          <w:p w14:paraId="452B4F55">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20" w:type="dxa"/>
            <w:tcBorders>
              <w:tl2br w:val="nil"/>
              <w:tr2bl w:val="nil"/>
            </w:tcBorders>
            <w:vAlign w:val="center"/>
          </w:tcPr>
          <w:p w14:paraId="29C3F5D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80" w:type="dxa"/>
            <w:tcBorders>
              <w:tl2br w:val="nil"/>
              <w:tr2bl w:val="nil"/>
            </w:tcBorders>
            <w:vAlign w:val="center"/>
          </w:tcPr>
          <w:p w14:paraId="741AFF0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62" w:type="dxa"/>
            <w:tcBorders>
              <w:tl2br w:val="nil"/>
              <w:tr2bl w:val="nil"/>
            </w:tcBorders>
            <w:vAlign w:val="center"/>
          </w:tcPr>
          <w:p w14:paraId="08BB375F">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79" w:type="dxa"/>
            <w:tcBorders>
              <w:tl2br w:val="nil"/>
              <w:tr2bl w:val="nil"/>
            </w:tcBorders>
            <w:vAlign w:val="center"/>
          </w:tcPr>
          <w:p w14:paraId="7EE7F28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r>
      <w:tr w14:paraId="169915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vAlign w:val="center"/>
          </w:tcPr>
          <w:p w14:paraId="5573F997">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18" w:type="dxa"/>
            <w:tcBorders>
              <w:tl2br w:val="nil"/>
              <w:tr2bl w:val="nil"/>
            </w:tcBorders>
            <w:vAlign w:val="center"/>
          </w:tcPr>
          <w:p w14:paraId="2F9A5AA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50" w:type="dxa"/>
            <w:tcBorders>
              <w:tl2br w:val="nil"/>
              <w:tr2bl w:val="nil"/>
            </w:tcBorders>
            <w:vAlign w:val="center"/>
          </w:tcPr>
          <w:p w14:paraId="68CACF22">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58" w:type="dxa"/>
            <w:tcBorders>
              <w:tl2br w:val="nil"/>
              <w:tr2bl w:val="nil"/>
            </w:tcBorders>
            <w:vAlign w:val="center"/>
          </w:tcPr>
          <w:p w14:paraId="240DD88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80" w:type="dxa"/>
            <w:tcBorders>
              <w:tl2br w:val="nil"/>
              <w:tr2bl w:val="nil"/>
            </w:tcBorders>
            <w:vAlign w:val="center"/>
          </w:tcPr>
          <w:p w14:paraId="075AAD0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20" w:type="dxa"/>
            <w:tcBorders>
              <w:tl2br w:val="nil"/>
              <w:tr2bl w:val="nil"/>
            </w:tcBorders>
            <w:vAlign w:val="center"/>
          </w:tcPr>
          <w:p w14:paraId="3DB186C3">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80" w:type="dxa"/>
            <w:tcBorders>
              <w:tl2br w:val="nil"/>
              <w:tr2bl w:val="nil"/>
            </w:tcBorders>
            <w:vAlign w:val="center"/>
          </w:tcPr>
          <w:p w14:paraId="44F3FA0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62" w:type="dxa"/>
            <w:tcBorders>
              <w:tl2br w:val="nil"/>
              <w:tr2bl w:val="nil"/>
            </w:tcBorders>
            <w:vAlign w:val="center"/>
          </w:tcPr>
          <w:p w14:paraId="1DBBFBA4">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79" w:type="dxa"/>
            <w:tcBorders>
              <w:tl2br w:val="nil"/>
              <w:tr2bl w:val="nil"/>
            </w:tcBorders>
            <w:vAlign w:val="center"/>
          </w:tcPr>
          <w:p w14:paraId="1C3AD559">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r>
      <w:tr w14:paraId="104204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vAlign w:val="center"/>
          </w:tcPr>
          <w:p w14:paraId="0BC6A162">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18" w:type="dxa"/>
            <w:tcBorders>
              <w:tl2br w:val="nil"/>
              <w:tr2bl w:val="nil"/>
            </w:tcBorders>
            <w:vAlign w:val="center"/>
          </w:tcPr>
          <w:p w14:paraId="0286018B">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50" w:type="dxa"/>
            <w:tcBorders>
              <w:tl2br w:val="nil"/>
              <w:tr2bl w:val="nil"/>
            </w:tcBorders>
            <w:vAlign w:val="center"/>
          </w:tcPr>
          <w:p w14:paraId="279E12E4">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58" w:type="dxa"/>
            <w:tcBorders>
              <w:tl2br w:val="nil"/>
              <w:tr2bl w:val="nil"/>
            </w:tcBorders>
            <w:vAlign w:val="center"/>
          </w:tcPr>
          <w:p w14:paraId="7B9A522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80" w:type="dxa"/>
            <w:tcBorders>
              <w:tl2br w:val="nil"/>
              <w:tr2bl w:val="nil"/>
            </w:tcBorders>
            <w:vAlign w:val="center"/>
          </w:tcPr>
          <w:p w14:paraId="553396E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20" w:type="dxa"/>
            <w:tcBorders>
              <w:tl2br w:val="nil"/>
              <w:tr2bl w:val="nil"/>
            </w:tcBorders>
            <w:vAlign w:val="center"/>
          </w:tcPr>
          <w:p w14:paraId="26F20F8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80" w:type="dxa"/>
            <w:tcBorders>
              <w:tl2br w:val="nil"/>
              <w:tr2bl w:val="nil"/>
            </w:tcBorders>
            <w:vAlign w:val="center"/>
          </w:tcPr>
          <w:p w14:paraId="179507EE">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62" w:type="dxa"/>
            <w:tcBorders>
              <w:tl2br w:val="nil"/>
              <w:tr2bl w:val="nil"/>
            </w:tcBorders>
            <w:vAlign w:val="center"/>
          </w:tcPr>
          <w:p w14:paraId="1FCEA239">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79" w:type="dxa"/>
            <w:tcBorders>
              <w:tl2br w:val="nil"/>
              <w:tr2bl w:val="nil"/>
            </w:tcBorders>
            <w:vAlign w:val="center"/>
          </w:tcPr>
          <w:p w14:paraId="7C94FDB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r>
      <w:tr w14:paraId="61D15C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vAlign w:val="center"/>
          </w:tcPr>
          <w:p w14:paraId="2835566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18" w:type="dxa"/>
            <w:tcBorders>
              <w:tl2br w:val="nil"/>
              <w:tr2bl w:val="nil"/>
            </w:tcBorders>
            <w:vAlign w:val="center"/>
          </w:tcPr>
          <w:p w14:paraId="0C2F83D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50" w:type="dxa"/>
            <w:tcBorders>
              <w:tl2br w:val="nil"/>
              <w:tr2bl w:val="nil"/>
            </w:tcBorders>
            <w:vAlign w:val="center"/>
          </w:tcPr>
          <w:p w14:paraId="4DDE92E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58" w:type="dxa"/>
            <w:tcBorders>
              <w:tl2br w:val="nil"/>
              <w:tr2bl w:val="nil"/>
            </w:tcBorders>
            <w:vAlign w:val="center"/>
          </w:tcPr>
          <w:p w14:paraId="1525EA1F">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80" w:type="dxa"/>
            <w:tcBorders>
              <w:tl2br w:val="nil"/>
              <w:tr2bl w:val="nil"/>
            </w:tcBorders>
            <w:vAlign w:val="center"/>
          </w:tcPr>
          <w:p w14:paraId="4ECCE42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20" w:type="dxa"/>
            <w:tcBorders>
              <w:tl2br w:val="nil"/>
              <w:tr2bl w:val="nil"/>
            </w:tcBorders>
            <w:vAlign w:val="center"/>
          </w:tcPr>
          <w:p w14:paraId="7582E0F9">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80" w:type="dxa"/>
            <w:tcBorders>
              <w:tl2br w:val="nil"/>
              <w:tr2bl w:val="nil"/>
            </w:tcBorders>
            <w:vAlign w:val="center"/>
          </w:tcPr>
          <w:p w14:paraId="7FAFEAD2">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62" w:type="dxa"/>
            <w:tcBorders>
              <w:tl2br w:val="nil"/>
              <w:tr2bl w:val="nil"/>
            </w:tcBorders>
            <w:vAlign w:val="center"/>
          </w:tcPr>
          <w:p w14:paraId="3511ABB1">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79" w:type="dxa"/>
            <w:tcBorders>
              <w:tl2br w:val="nil"/>
              <w:tr2bl w:val="nil"/>
            </w:tcBorders>
            <w:vAlign w:val="center"/>
          </w:tcPr>
          <w:p w14:paraId="53E122A3">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r>
      <w:tr w14:paraId="51D778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vAlign w:val="center"/>
          </w:tcPr>
          <w:p w14:paraId="7F46788F">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18" w:type="dxa"/>
            <w:tcBorders>
              <w:tl2br w:val="nil"/>
              <w:tr2bl w:val="nil"/>
            </w:tcBorders>
            <w:vAlign w:val="center"/>
          </w:tcPr>
          <w:p w14:paraId="204C6D9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50" w:type="dxa"/>
            <w:tcBorders>
              <w:tl2br w:val="nil"/>
              <w:tr2bl w:val="nil"/>
            </w:tcBorders>
            <w:vAlign w:val="center"/>
          </w:tcPr>
          <w:p w14:paraId="51F1C8B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58" w:type="dxa"/>
            <w:tcBorders>
              <w:tl2br w:val="nil"/>
              <w:tr2bl w:val="nil"/>
            </w:tcBorders>
            <w:vAlign w:val="center"/>
          </w:tcPr>
          <w:p w14:paraId="1532AFF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80" w:type="dxa"/>
            <w:tcBorders>
              <w:tl2br w:val="nil"/>
              <w:tr2bl w:val="nil"/>
            </w:tcBorders>
            <w:vAlign w:val="center"/>
          </w:tcPr>
          <w:p w14:paraId="6E11774F">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20" w:type="dxa"/>
            <w:tcBorders>
              <w:tl2br w:val="nil"/>
              <w:tr2bl w:val="nil"/>
            </w:tcBorders>
            <w:vAlign w:val="center"/>
          </w:tcPr>
          <w:p w14:paraId="373AC541">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80" w:type="dxa"/>
            <w:tcBorders>
              <w:tl2br w:val="nil"/>
              <w:tr2bl w:val="nil"/>
            </w:tcBorders>
            <w:vAlign w:val="center"/>
          </w:tcPr>
          <w:p w14:paraId="1395ECA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62" w:type="dxa"/>
            <w:tcBorders>
              <w:tl2br w:val="nil"/>
              <w:tr2bl w:val="nil"/>
            </w:tcBorders>
            <w:vAlign w:val="center"/>
          </w:tcPr>
          <w:p w14:paraId="31E24C41">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79" w:type="dxa"/>
            <w:tcBorders>
              <w:tl2br w:val="nil"/>
              <w:tr2bl w:val="nil"/>
            </w:tcBorders>
            <w:vAlign w:val="center"/>
          </w:tcPr>
          <w:p w14:paraId="74EAD2FB">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r>
      <w:tr w14:paraId="2A36EB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vAlign w:val="center"/>
          </w:tcPr>
          <w:p w14:paraId="182C3DCE">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18" w:type="dxa"/>
            <w:tcBorders>
              <w:tl2br w:val="nil"/>
              <w:tr2bl w:val="nil"/>
            </w:tcBorders>
            <w:vAlign w:val="center"/>
          </w:tcPr>
          <w:p w14:paraId="751CFE0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50" w:type="dxa"/>
            <w:tcBorders>
              <w:tl2br w:val="nil"/>
              <w:tr2bl w:val="nil"/>
            </w:tcBorders>
            <w:vAlign w:val="center"/>
          </w:tcPr>
          <w:p w14:paraId="393DC47B">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58" w:type="dxa"/>
            <w:tcBorders>
              <w:tl2br w:val="nil"/>
              <w:tr2bl w:val="nil"/>
            </w:tcBorders>
            <w:vAlign w:val="center"/>
          </w:tcPr>
          <w:p w14:paraId="7500679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80" w:type="dxa"/>
            <w:tcBorders>
              <w:tl2br w:val="nil"/>
              <w:tr2bl w:val="nil"/>
            </w:tcBorders>
            <w:vAlign w:val="center"/>
          </w:tcPr>
          <w:p w14:paraId="6EE06EA3">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20" w:type="dxa"/>
            <w:tcBorders>
              <w:tl2br w:val="nil"/>
              <w:tr2bl w:val="nil"/>
            </w:tcBorders>
            <w:vAlign w:val="center"/>
          </w:tcPr>
          <w:p w14:paraId="46BEF983">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80" w:type="dxa"/>
            <w:tcBorders>
              <w:tl2br w:val="nil"/>
              <w:tr2bl w:val="nil"/>
            </w:tcBorders>
            <w:vAlign w:val="center"/>
          </w:tcPr>
          <w:p w14:paraId="05366EE1">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62" w:type="dxa"/>
            <w:tcBorders>
              <w:tl2br w:val="nil"/>
              <w:tr2bl w:val="nil"/>
            </w:tcBorders>
            <w:vAlign w:val="center"/>
          </w:tcPr>
          <w:p w14:paraId="451F80A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79" w:type="dxa"/>
            <w:tcBorders>
              <w:tl2br w:val="nil"/>
              <w:tr2bl w:val="nil"/>
            </w:tcBorders>
            <w:vAlign w:val="center"/>
          </w:tcPr>
          <w:p w14:paraId="2B86F613">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r>
      <w:tr w14:paraId="210C69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31256910">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18" w:type="dxa"/>
            <w:tcBorders>
              <w:tl2br w:val="nil"/>
              <w:tr2bl w:val="nil"/>
            </w:tcBorders>
          </w:tcPr>
          <w:p w14:paraId="512E17F9">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50" w:type="dxa"/>
            <w:tcBorders>
              <w:tl2br w:val="nil"/>
              <w:tr2bl w:val="nil"/>
            </w:tcBorders>
          </w:tcPr>
          <w:p w14:paraId="1873693C">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58" w:type="dxa"/>
            <w:tcBorders>
              <w:tl2br w:val="nil"/>
              <w:tr2bl w:val="nil"/>
            </w:tcBorders>
          </w:tcPr>
          <w:p w14:paraId="14F64335">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80" w:type="dxa"/>
            <w:tcBorders>
              <w:tl2br w:val="nil"/>
              <w:tr2bl w:val="nil"/>
            </w:tcBorders>
          </w:tcPr>
          <w:p w14:paraId="3AD334A6">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20" w:type="dxa"/>
            <w:tcBorders>
              <w:tl2br w:val="nil"/>
              <w:tr2bl w:val="nil"/>
            </w:tcBorders>
          </w:tcPr>
          <w:p w14:paraId="2E0BCA22">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80" w:type="dxa"/>
            <w:tcBorders>
              <w:tl2br w:val="nil"/>
              <w:tr2bl w:val="nil"/>
            </w:tcBorders>
          </w:tcPr>
          <w:p w14:paraId="5498AE94">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62" w:type="dxa"/>
            <w:tcBorders>
              <w:tl2br w:val="nil"/>
              <w:tr2bl w:val="nil"/>
            </w:tcBorders>
          </w:tcPr>
          <w:p w14:paraId="6B49795B">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79" w:type="dxa"/>
            <w:tcBorders>
              <w:tl2br w:val="nil"/>
              <w:tr2bl w:val="nil"/>
            </w:tcBorders>
          </w:tcPr>
          <w:p w14:paraId="72E434C0">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r>
      <w:tr w14:paraId="2BFA9E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vAlign w:val="center"/>
          </w:tcPr>
          <w:p w14:paraId="5FF8E2E9">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18" w:type="dxa"/>
            <w:tcBorders>
              <w:tl2br w:val="nil"/>
              <w:tr2bl w:val="nil"/>
            </w:tcBorders>
            <w:vAlign w:val="center"/>
          </w:tcPr>
          <w:p w14:paraId="25D3EFF3">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50" w:type="dxa"/>
            <w:tcBorders>
              <w:tl2br w:val="nil"/>
              <w:tr2bl w:val="nil"/>
            </w:tcBorders>
            <w:vAlign w:val="center"/>
          </w:tcPr>
          <w:p w14:paraId="74C10CD7">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58" w:type="dxa"/>
            <w:tcBorders>
              <w:tl2br w:val="nil"/>
              <w:tr2bl w:val="nil"/>
            </w:tcBorders>
            <w:vAlign w:val="center"/>
          </w:tcPr>
          <w:p w14:paraId="42B59D7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880" w:type="dxa"/>
            <w:tcBorders>
              <w:tl2br w:val="nil"/>
              <w:tr2bl w:val="nil"/>
            </w:tcBorders>
            <w:vAlign w:val="center"/>
          </w:tcPr>
          <w:p w14:paraId="2F9810A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020" w:type="dxa"/>
            <w:tcBorders>
              <w:tl2br w:val="nil"/>
              <w:tr2bl w:val="nil"/>
            </w:tcBorders>
            <w:vAlign w:val="center"/>
          </w:tcPr>
          <w:p w14:paraId="7A1C3EE4">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1480" w:type="dxa"/>
            <w:tcBorders>
              <w:tl2br w:val="nil"/>
              <w:tr2bl w:val="nil"/>
            </w:tcBorders>
            <w:vAlign w:val="center"/>
          </w:tcPr>
          <w:p w14:paraId="41409B2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62" w:type="dxa"/>
            <w:tcBorders>
              <w:tl2br w:val="nil"/>
              <w:tr2bl w:val="nil"/>
            </w:tcBorders>
            <w:vAlign w:val="center"/>
          </w:tcPr>
          <w:p w14:paraId="1AF6E5F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c>
          <w:tcPr>
            <w:tcW w:w="979" w:type="dxa"/>
            <w:tcBorders>
              <w:tl2br w:val="nil"/>
              <w:tr2bl w:val="nil"/>
            </w:tcBorders>
            <w:vAlign w:val="center"/>
          </w:tcPr>
          <w:p w14:paraId="25C7C6D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30"/>
                <w:szCs w:val="30"/>
                <w:highlight w:val="none"/>
                <w:lang w:val="en-US" w:eastAsia="zh-CN"/>
                <w14:textFill>
                  <w14:solidFill>
                    <w14:schemeClr w14:val="tx1"/>
                  </w14:solidFill>
                </w14:textFill>
              </w:rPr>
            </w:pPr>
          </w:p>
        </w:tc>
      </w:tr>
      <w:tr w14:paraId="168B7C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7A47CFFF">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18" w:type="dxa"/>
            <w:tcBorders>
              <w:tl2br w:val="nil"/>
              <w:tr2bl w:val="nil"/>
            </w:tcBorders>
          </w:tcPr>
          <w:p w14:paraId="65382136">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50" w:type="dxa"/>
            <w:tcBorders>
              <w:tl2br w:val="nil"/>
              <w:tr2bl w:val="nil"/>
            </w:tcBorders>
          </w:tcPr>
          <w:p w14:paraId="336A7FBE">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58" w:type="dxa"/>
            <w:tcBorders>
              <w:tl2br w:val="nil"/>
              <w:tr2bl w:val="nil"/>
            </w:tcBorders>
          </w:tcPr>
          <w:p w14:paraId="3D9633B5">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80" w:type="dxa"/>
            <w:tcBorders>
              <w:tl2br w:val="nil"/>
              <w:tr2bl w:val="nil"/>
            </w:tcBorders>
          </w:tcPr>
          <w:p w14:paraId="26A7CE38">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20" w:type="dxa"/>
            <w:tcBorders>
              <w:tl2br w:val="nil"/>
              <w:tr2bl w:val="nil"/>
            </w:tcBorders>
          </w:tcPr>
          <w:p w14:paraId="56EC3659">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80" w:type="dxa"/>
            <w:tcBorders>
              <w:tl2br w:val="nil"/>
              <w:tr2bl w:val="nil"/>
            </w:tcBorders>
          </w:tcPr>
          <w:p w14:paraId="10B7AF6A">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62" w:type="dxa"/>
            <w:tcBorders>
              <w:tl2br w:val="nil"/>
              <w:tr2bl w:val="nil"/>
            </w:tcBorders>
          </w:tcPr>
          <w:p w14:paraId="0638B00F">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79" w:type="dxa"/>
            <w:tcBorders>
              <w:tl2br w:val="nil"/>
              <w:tr2bl w:val="nil"/>
            </w:tcBorders>
          </w:tcPr>
          <w:p w14:paraId="372ABC54">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r>
      <w:tr w14:paraId="5CA298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33CC792F">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18" w:type="dxa"/>
            <w:tcBorders>
              <w:tl2br w:val="nil"/>
              <w:tr2bl w:val="nil"/>
            </w:tcBorders>
          </w:tcPr>
          <w:p w14:paraId="0B2C3150">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50" w:type="dxa"/>
            <w:tcBorders>
              <w:tl2br w:val="nil"/>
              <w:tr2bl w:val="nil"/>
            </w:tcBorders>
          </w:tcPr>
          <w:p w14:paraId="3A831D84">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58" w:type="dxa"/>
            <w:tcBorders>
              <w:tl2br w:val="nil"/>
              <w:tr2bl w:val="nil"/>
            </w:tcBorders>
          </w:tcPr>
          <w:p w14:paraId="3BE315B7">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80" w:type="dxa"/>
            <w:tcBorders>
              <w:tl2br w:val="nil"/>
              <w:tr2bl w:val="nil"/>
            </w:tcBorders>
          </w:tcPr>
          <w:p w14:paraId="65100565">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20" w:type="dxa"/>
            <w:tcBorders>
              <w:tl2br w:val="nil"/>
              <w:tr2bl w:val="nil"/>
            </w:tcBorders>
          </w:tcPr>
          <w:p w14:paraId="79AFBF61">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80" w:type="dxa"/>
            <w:tcBorders>
              <w:tl2br w:val="nil"/>
              <w:tr2bl w:val="nil"/>
            </w:tcBorders>
          </w:tcPr>
          <w:p w14:paraId="3DB84E49">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62" w:type="dxa"/>
            <w:tcBorders>
              <w:tl2br w:val="nil"/>
              <w:tr2bl w:val="nil"/>
            </w:tcBorders>
          </w:tcPr>
          <w:p w14:paraId="5DEB8AD0">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79" w:type="dxa"/>
            <w:tcBorders>
              <w:tl2br w:val="nil"/>
              <w:tr2bl w:val="nil"/>
            </w:tcBorders>
          </w:tcPr>
          <w:p w14:paraId="56574DDA">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r>
      <w:tr w14:paraId="58FBBB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2E8B4BB0">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18" w:type="dxa"/>
            <w:tcBorders>
              <w:tl2br w:val="nil"/>
              <w:tr2bl w:val="nil"/>
            </w:tcBorders>
          </w:tcPr>
          <w:p w14:paraId="4E712D83">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50" w:type="dxa"/>
            <w:tcBorders>
              <w:tl2br w:val="nil"/>
              <w:tr2bl w:val="nil"/>
            </w:tcBorders>
          </w:tcPr>
          <w:p w14:paraId="556065BA">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58" w:type="dxa"/>
            <w:tcBorders>
              <w:tl2br w:val="nil"/>
              <w:tr2bl w:val="nil"/>
            </w:tcBorders>
          </w:tcPr>
          <w:p w14:paraId="2B3B7018">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80" w:type="dxa"/>
            <w:tcBorders>
              <w:tl2br w:val="nil"/>
              <w:tr2bl w:val="nil"/>
            </w:tcBorders>
          </w:tcPr>
          <w:p w14:paraId="41995BA2">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20" w:type="dxa"/>
            <w:tcBorders>
              <w:tl2br w:val="nil"/>
              <w:tr2bl w:val="nil"/>
            </w:tcBorders>
          </w:tcPr>
          <w:p w14:paraId="40533BD2">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80" w:type="dxa"/>
            <w:tcBorders>
              <w:tl2br w:val="nil"/>
              <w:tr2bl w:val="nil"/>
            </w:tcBorders>
          </w:tcPr>
          <w:p w14:paraId="21BC7EA5">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62" w:type="dxa"/>
            <w:tcBorders>
              <w:tl2br w:val="nil"/>
              <w:tr2bl w:val="nil"/>
            </w:tcBorders>
          </w:tcPr>
          <w:p w14:paraId="3E2135A0">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79" w:type="dxa"/>
            <w:tcBorders>
              <w:tl2br w:val="nil"/>
              <w:tr2bl w:val="nil"/>
            </w:tcBorders>
          </w:tcPr>
          <w:p w14:paraId="7D7A0567">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r>
      <w:tr w14:paraId="1BE4D1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7A31211D">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18" w:type="dxa"/>
            <w:tcBorders>
              <w:tl2br w:val="nil"/>
              <w:tr2bl w:val="nil"/>
            </w:tcBorders>
          </w:tcPr>
          <w:p w14:paraId="19297B32">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50" w:type="dxa"/>
            <w:tcBorders>
              <w:tl2br w:val="nil"/>
              <w:tr2bl w:val="nil"/>
            </w:tcBorders>
          </w:tcPr>
          <w:p w14:paraId="7260C986">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58" w:type="dxa"/>
            <w:tcBorders>
              <w:tl2br w:val="nil"/>
              <w:tr2bl w:val="nil"/>
            </w:tcBorders>
          </w:tcPr>
          <w:p w14:paraId="44D4C6C9">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80" w:type="dxa"/>
            <w:tcBorders>
              <w:tl2br w:val="nil"/>
              <w:tr2bl w:val="nil"/>
            </w:tcBorders>
          </w:tcPr>
          <w:p w14:paraId="0D9E5112">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20" w:type="dxa"/>
            <w:tcBorders>
              <w:tl2br w:val="nil"/>
              <w:tr2bl w:val="nil"/>
            </w:tcBorders>
          </w:tcPr>
          <w:p w14:paraId="621C7CA6">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80" w:type="dxa"/>
            <w:tcBorders>
              <w:tl2br w:val="nil"/>
              <w:tr2bl w:val="nil"/>
            </w:tcBorders>
          </w:tcPr>
          <w:p w14:paraId="5CD6EBA9">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62" w:type="dxa"/>
            <w:tcBorders>
              <w:tl2br w:val="nil"/>
              <w:tr2bl w:val="nil"/>
            </w:tcBorders>
          </w:tcPr>
          <w:p w14:paraId="6E072DF0">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79" w:type="dxa"/>
            <w:tcBorders>
              <w:tl2br w:val="nil"/>
              <w:tr2bl w:val="nil"/>
            </w:tcBorders>
          </w:tcPr>
          <w:p w14:paraId="239467E2">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r>
      <w:tr w14:paraId="2710C8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6AD8325C">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18" w:type="dxa"/>
            <w:tcBorders>
              <w:tl2br w:val="nil"/>
              <w:tr2bl w:val="nil"/>
            </w:tcBorders>
          </w:tcPr>
          <w:p w14:paraId="057C6EE6">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50" w:type="dxa"/>
            <w:tcBorders>
              <w:tl2br w:val="nil"/>
              <w:tr2bl w:val="nil"/>
            </w:tcBorders>
          </w:tcPr>
          <w:p w14:paraId="22A046DC">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58" w:type="dxa"/>
            <w:tcBorders>
              <w:tl2br w:val="nil"/>
              <w:tr2bl w:val="nil"/>
            </w:tcBorders>
          </w:tcPr>
          <w:p w14:paraId="19F21659">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80" w:type="dxa"/>
            <w:tcBorders>
              <w:tl2br w:val="nil"/>
              <w:tr2bl w:val="nil"/>
            </w:tcBorders>
          </w:tcPr>
          <w:p w14:paraId="586BFF27">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20" w:type="dxa"/>
            <w:tcBorders>
              <w:tl2br w:val="nil"/>
              <w:tr2bl w:val="nil"/>
            </w:tcBorders>
          </w:tcPr>
          <w:p w14:paraId="729339EE">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80" w:type="dxa"/>
            <w:tcBorders>
              <w:tl2br w:val="nil"/>
              <w:tr2bl w:val="nil"/>
            </w:tcBorders>
          </w:tcPr>
          <w:p w14:paraId="3B1F8D3D">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62" w:type="dxa"/>
            <w:tcBorders>
              <w:tl2br w:val="nil"/>
              <w:tr2bl w:val="nil"/>
            </w:tcBorders>
          </w:tcPr>
          <w:p w14:paraId="19529995">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79" w:type="dxa"/>
            <w:tcBorders>
              <w:tl2br w:val="nil"/>
              <w:tr2bl w:val="nil"/>
            </w:tcBorders>
          </w:tcPr>
          <w:p w14:paraId="5BA5D73C">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r>
      <w:tr w14:paraId="39A4D8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3B3E7D73">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18" w:type="dxa"/>
            <w:tcBorders>
              <w:tl2br w:val="nil"/>
              <w:tr2bl w:val="nil"/>
            </w:tcBorders>
          </w:tcPr>
          <w:p w14:paraId="2F4F5371">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50" w:type="dxa"/>
            <w:tcBorders>
              <w:tl2br w:val="nil"/>
              <w:tr2bl w:val="nil"/>
            </w:tcBorders>
          </w:tcPr>
          <w:p w14:paraId="29608B03">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58" w:type="dxa"/>
            <w:tcBorders>
              <w:tl2br w:val="nil"/>
              <w:tr2bl w:val="nil"/>
            </w:tcBorders>
          </w:tcPr>
          <w:p w14:paraId="7666CF52">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80" w:type="dxa"/>
            <w:tcBorders>
              <w:tl2br w:val="nil"/>
              <w:tr2bl w:val="nil"/>
            </w:tcBorders>
          </w:tcPr>
          <w:p w14:paraId="51F3F037">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20" w:type="dxa"/>
            <w:tcBorders>
              <w:tl2br w:val="nil"/>
              <w:tr2bl w:val="nil"/>
            </w:tcBorders>
          </w:tcPr>
          <w:p w14:paraId="671C1BF5">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80" w:type="dxa"/>
            <w:tcBorders>
              <w:tl2br w:val="nil"/>
              <w:tr2bl w:val="nil"/>
            </w:tcBorders>
          </w:tcPr>
          <w:p w14:paraId="6E314F76">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62" w:type="dxa"/>
            <w:tcBorders>
              <w:tl2br w:val="nil"/>
              <w:tr2bl w:val="nil"/>
            </w:tcBorders>
          </w:tcPr>
          <w:p w14:paraId="47DB35F2">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79" w:type="dxa"/>
            <w:tcBorders>
              <w:tl2br w:val="nil"/>
              <w:tr2bl w:val="nil"/>
            </w:tcBorders>
          </w:tcPr>
          <w:p w14:paraId="06CD9F26">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r>
      <w:tr w14:paraId="6EE6EB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10AB1E91">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18" w:type="dxa"/>
            <w:tcBorders>
              <w:tl2br w:val="nil"/>
              <w:tr2bl w:val="nil"/>
            </w:tcBorders>
          </w:tcPr>
          <w:p w14:paraId="498BA070">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50" w:type="dxa"/>
            <w:tcBorders>
              <w:tl2br w:val="nil"/>
              <w:tr2bl w:val="nil"/>
            </w:tcBorders>
          </w:tcPr>
          <w:p w14:paraId="25305C6D">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58" w:type="dxa"/>
            <w:tcBorders>
              <w:tl2br w:val="nil"/>
              <w:tr2bl w:val="nil"/>
            </w:tcBorders>
          </w:tcPr>
          <w:p w14:paraId="50AAEB56">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80" w:type="dxa"/>
            <w:tcBorders>
              <w:tl2br w:val="nil"/>
              <w:tr2bl w:val="nil"/>
            </w:tcBorders>
          </w:tcPr>
          <w:p w14:paraId="33B2C596">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20" w:type="dxa"/>
            <w:tcBorders>
              <w:tl2br w:val="nil"/>
              <w:tr2bl w:val="nil"/>
            </w:tcBorders>
          </w:tcPr>
          <w:p w14:paraId="2687D896">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80" w:type="dxa"/>
            <w:tcBorders>
              <w:tl2br w:val="nil"/>
              <w:tr2bl w:val="nil"/>
            </w:tcBorders>
          </w:tcPr>
          <w:p w14:paraId="3BA3678B">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62" w:type="dxa"/>
            <w:tcBorders>
              <w:tl2br w:val="nil"/>
              <w:tr2bl w:val="nil"/>
            </w:tcBorders>
          </w:tcPr>
          <w:p w14:paraId="057502D2">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79" w:type="dxa"/>
            <w:tcBorders>
              <w:tl2br w:val="nil"/>
              <w:tr2bl w:val="nil"/>
            </w:tcBorders>
          </w:tcPr>
          <w:p w14:paraId="538C0C20">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r>
      <w:tr w14:paraId="020D05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37A9BFD0">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18" w:type="dxa"/>
            <w:tcBorders>
              <w:tl2br w:val="nil"/>
              <w:tr2bl w:val="nil"/>
            </w:tcBorders>
          </w:tcPr>
          <w:p w14:paraId="13DC4404">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50" w:type="dxa"/>
            <w:tcBorders>
              <w:tl2br w:val="nil"/>
              <w:tr2bl w:val="nil"/>
            </w:tcBorders>
          </w:tcPr>
          <w:p w14:paraId="4BFEB363">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58" w:type="dxa"/>
            <w:tcBorders>
              <w:tl2br w:val="nil"/>
              <w:tr2bl w:val="nil"/>
            </w:tcBorders>
          </w:tcPr>
          <w:p w14:paraId="33CBA48C">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80" w:type="dxa"/>
            <w:tcBorders>
              <w:tl2br w:val="nil"/>
              <w:tr2bl w:val="nil"/>
            </w:tcBorders>
          </w:tcPr>
          <w:p w14:paraId="3680FA3B">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20" w:type="dxa"/>
            <w:tcBorders>
              <w:tl2br w:val="nil"/>
              <w:tr2bl w:val="nil"/>
            </w:tcBorders>
          </w:tcPr>
          <w:p w14:paraId="2A779DCF">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80" w:type="dxa"/>
            <w:tcBorders>
              <w:tl2br w:val="nil"/>
              <w:tr2bl w:val="nil"/>
            </w:tcBorders>
          </w:tcPr>
          <w:p w14:paraId="67DC5D2A">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62" w:type="dxa"/>
            <w:tcBorders>
              <w:tl2br w:val="nil"/>
              <w:tr2bl w:val="nil"/>
            </w:tcBorders>
          </w:tcPr>
          <w:p w14:paraId="1F54FE79">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79" w:type="dxa"/>
            <w:tcBorders>
              <w:tl2br w:val="nil"/>
              <w:tr2bl w:val="nil"/>
            </w:tcBorders>
          </w:tcPr>
          <w:p w14:paraId="6C968A6A">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r>
      <w:tr w14:paraId="3D41C9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l2br w:val="nil"/>
              <w:tr2bl w:val="nil"/>
            </w:tcBorders>
          </w:tcPr>
          <w:p w14:paraId="2DAF49EE">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18" w:type="dxa"/>
            <w:tcBorders>
              <w:tl2br w:val="nil"/>
              <w:tr2bl w:val="nil"/>
            </w:tcBorders>
          </w:tcPr>
          <w:p w14:paraId="5D83D0D7">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50" w:type="dxa"/>
            <w:tcBorders>
              <w:tl2br w:val="nil"/>
              <w:tr2bl w:val="nil"/>
            </w:tcBorders>
          </w:tcPr>
          <w:p w14:paraId="661E8682">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58" w:type="dxa"/>
            <w:tcBorders>
              <w:tl2br w:val="nil"/>
              <w:tr2bl w:val="nil"/>
            </w:tcBorders>
          </w:tcPr>
          <w:p w14:paraId="7EDD7D72">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880" w:type="dxa"/>
            <w:tcBorders>
              <w:tl2br w:val="nil"/>
              <w:tr2bl w:val="nil"/>
            </w:tcBorders>
          </w:tcPr>
          <w:p w14:paraId="558ABADF">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020" w:type="dxa"/>
            <w:tcBorders>
              <w:tl2br w:val="nil"/>
              <w:tr2bl w:val="nil"/>
            </w:tcBorders>
          </w:tcPr>
          <w:p w14:paraId="16991A6D">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1480" w:type="dxa"/>
            <w:tcBorders>
              <w:tl2br w:val="nil"/>
              <w:tr2bl w:val="nil"/>
            </w:tcBorders>
          </w:tcPr>
          <w:p w14:paraId="545F29E1">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62" w:type="dxa"/>
            <w:tcBorders>
              <w:tl2br w:val="nil"/>
              <w:tr2bl w:val="nil"/>
            </w:tcBorders>
          </w:tcPr>
          <w:p w14:paraId="432570F0">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c>
          <w:tcPr>
            <w:tcW w:w="979" w:type="dxa"/>
            <w:tcBorders>
              <w:tl2br w:val="nil"/>
              <w:tr2bl w:val="nil"/>
            </w:tcBorders>
          </w:tcPr>
          <w:p w14:paraId="1DFB2A00">
            <w:pPr>
              <w:keepNext w:val="0"/>
              <w:keepLines w:val="0"/>
              <w:suppressLineNumbers w:val="0"/>
              <w:spacing w:before="0" w:beforeAutospacing="0" w:after="0" w:afterAutospacing="0"/>
              <w:ind w:left="0" w:right="0"/>
              <w:rPr>
                <w:rFonts w:hint="eastAsia" w:ascii="宋体" w:hAnsi="宋体" w:eastAsia="宋体" w:cs="宋体"/>
                <w:color w:val="000000" w:themeColor="text1"/>
                <w:sz w:val="30"/>
                <w:szCs w:val="30"/>
                <w:highlight w:val="none"/>
                <w14:textFill>
                  <w14:solidFill>
                    <w14:schemeClr w14:val="tx1"/>
                  </w14:solidFill>
                </w14:textFill>
              </w:rPr>
            </w:pPr>
          </w:p>
        </w:tc>
      </w:tr>
    </w:tbl>
    <w:p w14:paraId="641CFFFF">
      <w:pPr>
        <w:rPr>
          <w:rFonts w:hint="eastAsia" w:ascii="宋体" w:hAnsi="宋体" w:eastAsia="宋体" w:cs="宋体"/>
          <w:bCs/>
          <w:color w:val="000000" w:themeColor="text1"/>
          <w:sz w:val="21"/>
          <w:highlight w:val="none"/>
          <w:lang w:val="en-US" w:eastAsia="zh-CN"/>
          <w14:textFill>
            <w14:solidFill>
              <w14:schemeClr w14:val="tx1"/>
            </w14:solidFill>
          </w14:textFill>
        </w:rPr>
        <w:sectPr>
          <w:pgSz w:w="11905" w:h="16838"/>
          <w:pgMar w:top="1134" w:right="1134" w:bottom="1134" w:left="1134" w:header="720" w:footer="720" w:gutter="0"/>
          <w:cols w:space="720" w:num="1"/>
          <w:docGrid w:type="lines" w:linePitch="331" w:charSpace="0"/>
        </w:sectPr>
      </w:pPr>
    </w:p>
    <w:p w14:paraId="0DF07EF2">
      <w:pPr>
        <w:spacing w:line="440" w:lineRule="exact"/>
        <w:jc w:val="left"/>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附件</w:t>
      </w:r>
      <w:r>
        <w:rPr>
          <w:rFonts w:hint="eastAsia" w:ascii="宋体" w:hAnsi="宋体" w:eastAsia="宋体" w:cs="宋体"/>
          <w:color w:val="000000" w:themeColor="text1"/>
          <w:sz w:val="30"/>
          <w:szCs w:val="30"/>
          <w:highlight w:val="none"/>
          <w:lang w:val="en-US" w:eastAsia="zh-CN"/>
          <w14:textFill>
            <w14:solidFill>
              <w14:schemeClr w14:val="tx1"/>
            </w14:solidFill>
          </w14:textFill>
        </w:rPr>
        <w:t>4</w:t>
      </w:r>
      <w:r>
        <w:rPr>
          <w:rFonts w:hint="eastAsia" w:ascii="宋体" w:hAnsi="宋体" w:eastAsia="宋体" w:cs="宋体"/>
          <w:color w:val="000000" w:themeColor="text1"/>
          <w:sz w:val="30"/>
          <w:szCs w:val="30"/>
          <w:highlight w:val="none"/>
          <w14:textFill>
            <w14:solidFill>
              <w14:schemeClr w14:val="tx1"/>
            </w14:solidFill>
          </w14:textFill>
        </w:rPr>
        <w:t>：</w:t>
      </w:r>
    </w:p>
    <w:p w14:paraId="67B5AEFB">
      <w:pPr>
        <w:spacing w:before="166" w:beforeLines="50" w:after="166" w:afterLines="50" w:line="440" w:lineRule="exact"/>
        <w:jc w:val="center"/>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承包人主要施工管理人员表</w:t>
      </w:r>
    </w:p>
    <w:tbl>
      <w:tblPr>
        <w:tblStyle w:val="53"/>
        <w:tblW w:w="97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11"/>
        <w:gridCol w:w="1418"/>
        <w:gridCol w:w="1436"/>
        <w:gridCol w:w="1020"/>
        <w:gridCol w:w="2043"/>
        <w:gridCol w:w="2231"/>
      </w:tblGrid>
      <w:tr w14:paraId="496024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12" w:space="0"/>
              <w:bottom w:val="double" w:color="auto" w:sz="6" w:space="0"/>
              <w:tl2br w:val="nil"/>
              <w:tr2bl w:val="nil"/>
            </w:tcBorders>
            <w:vAlign w:val="center"/>
          </w:tcPr>
          <w:p w14:paraId="28DBB21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名    称</w:t>
            </w:r>
          </w:p>
        </w:tc>
        <w:tc>
          <w:tcPr>
            <w:tcW w:w="1418" w:type="dxa"/>
            <w:tcBorders>
              <w:top w:val="single" w:color="auto" w:sz="12" w:space="0"/>
              <w:bottom w:val="double" w:color="auto" w:sz="6" w:space="0"/>
              <w:tl2br w:val="nil"/>
              <w:tr2bl w:val="nil"/>
            </w:tcBorders>
            <w:vAlign w:val="center"/>
          </w:tcPr>
          <w:p w14:paraId="5A5A24F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姓名</w:t>
            </w:r>
          </w:p>
        </w:tc>
        <w:tc>
          <w:tcPr>
            <w:tcW w:w="1436" w:type="dxa"/>
            <w:tcBorders>
              <w:top w:val="single" w:color="auto" w:sz="12" w:space="0"/>
              <w:bottom w:val="double" w:color="auto" w:sz="6" w:space="0"/>
              <w:tl2br w:val="nil"/>
              <w:tr2bl w:val="nil"/>
            </w:tcBorders>
            <w:vAlign w:val="center"/>
          </w:tcPr>
          <w:p w14:paraId="3DEB8AAF">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职务</w:t>
            </w:r>
          </w:p>
        </w:tc>
        <w:tc>
          <w:tcPr>
            <w:tcW w:w="1020" w:type="dxa"/>
            <w:tcBorders>
              <w:top w:val="single" w:color="auto" w:sz="12" w:space="0"/>
              <w:bottom w:val="double" w:color="auto" w:sz="6" w:space="0"/>
              <w:tl2br w:val="nil"/>
              <w:tr2bl w:val="nil"/>
            </w:tcBorders>
            <w:vAlign w:val="center"/>
          </w:tcPr>
          <w:p w14:paraId="2E4B52C4">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职称</w:t>
            </w:r>
          </w:p>
        </w:tc>
        <w:tc>
          <w:tcPr>
            <w:tcW w:w="2043" w:type="dxa"/>
            <w:tcBorders>
              <w:top w:val="single" w:color="auto" w:sz="12" w:space="0"/>
              <w:bottom w:val="double" w:color="auto" w:sz="6" w:space="0"/>
              <w:tl2br w:val="nil"/>
              <w:tr2bl w:val="nil"/>
            </w:tcBorders>
            <w:vAlign w:val="center"/>
          </w:tcPr>
          <w:p w14:paraId="4DCF67F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主要资历、经验及承担过的项目</w:t>
            </w:r>
          </w:p>
        </w:tc>
        <w:tc>
          <w:tcPr>
            <w:tcW w:w="2231" w:type="dxa"/>
            <w:tcBorders>
              <w:top w:val="single" w:color="auto" w:sz="12" w:space="0"/>
              <w:bottom w:val="double" w:color="auto" w:sz="6" w:space="0"/>
              <w:tl2br w:val="nil"/>
              <w:tr2bl w:val="nil"/>
            </w:tcBorders>
            <w:vAlign w:val="center"/>
          </w:tcPr>
          <w:p w14:paraId="7A42D4D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联系电话</w:t>
            </w:r>
            <w:r>
              <w:rPr>
                <w:rFonts w:hint="eastAsia" w:ascii="宋体" w:hAnsi="宋体" w:cs="宋体"/>
                <w:color w:val="000000" w:themeColor="text1"/>
                <w:kern w:val="2"/>
                <w:sz w:val="24"/>
                <w:szCs w:val="24"/>
                <w:highlight w:val="none"/>
                <w:lang w:val="en-US" w:eastAsia="zh-CN"/>
                <w14:textFill>
                  <w14:solidFill>
                    <w14:schemeClr w14:val="tx1"/>
                  </w14:solidFill>
                </w14:textFill>
              </w:rPr>
              <w:t>（手机号码）</w:t>
            </w:r>
          </w:p>
        </w:tc>
      </w:tr>
      <w:tr w14:paraId="2ACFC5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528" w:type="dxa"/>
            <w:gridSpan w:val="5"/>
            <w:tcBorders>
              <w:top w:val="double" w:color="auto" w:sz="6" w:space="0"/>
              <w:bottom w:val="single" w:color="auto" w:sz="6" w:space="0"/>
              <w:tl2br w:val="nil"/>
              <w:tr2bl w:val="nil"/>
            </w:tcBorders>
            <w:vAlign w:val="center"/>
          </w:tcPr>
          <w:p w14:paraId="4948DA0F">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一、总部人员</w:t>
            </w:r>
          </w:p>
        </w:tc>
        <w:tc>
          <w:tcPr>
            <w:tcW w:w="2231" w:type="dxa"/>
            <w:tcBorders>
              <w:top w:val="double" w:color="auto" w:sz="6" w:space="0"/>
              <w:bottom w:val="single" w:color="auto" w:sz="6" w:space="0"/>
              <w:tl2br w:val="nil"/>
              <w:tr2bl w:val="nil"/>
            </w:tcBorders>
            <w:vAlign w:val="center"/>
          </w:tcPr>
          <w:p w14:paraId="5E3B800F">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r>
      <w:tr w14:paraId="274AB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nil"/>
              <w:bottom w:val="nil"/>
              <w:tl2br w:val="nil"/>
              <w:tr2bl w:val="nil"/>
            </w:tcBorders>
            <w:vAlign w:val="center"/>
          </w:tcPr>
          <w:p w14:paraId="27F5C38F">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项目主管</w:t>
            </w:r>
          </w:p>
        </w:tc>
        <w:tc>
          <w:tcPr>
            <w:tcW w:w="1418" w:type="dxa"/>
            <w:tcBorders>
              <w:top w:val="nil"/>
              <w:tl2br w:val="nil"/>
              <w:tr2bl w:val="nil"/>
            </w:tcBorders>
            <w:vAlign w:val="center"/>
          </w:tcPr>
          <w:p w14:paraId="6EE9CD01">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436" w:type="dxa"/>
            <w:tcBorders>
              <w:top w:val="nil"/>
              <w:tl2br w:val="nil"/>
              <w:tr2bl w:val="nil"/>
            </w:tcBorders>
            <w:vAlign w:val="center"/>
          </w:tcPr>
          <w:p w14:paraId="516A29E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法定代表人</w:t>
            </w:r>
          </w:p>
        </w:tc>
        <w:tc>
          <w:tcPr>
            <w:tcW w:w="1020" w:type="dxa"/>
            <w:tcBorders>
              <w:top w:val="nil"/>
              <w:tl2br w:val="nil"/>
              <w:tr2bl w:val="nil"/>
            </w:tcBorders>
            <w:vAlign w:val="center"/>
          </w:tcPr>
          <w:p w14:paraId="26C022B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043" w:type="dxa"/>
            <w:tcBorders>
              <w:top w:val="nil"/>
              <w:tl2br w:val="nil"/>
              <w:tr2bl w:val="nil"/>
            </w:tcBorders>
            <w:vAlign w:val="center"/>
          </w:tcPr>
          <w:p w14:paraId="748328A2">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top w:val="nil"/>
              <w:tl2br w:val="nil"/>
              <w:tr2bl w:val="nil"/>
            </w:tcBorders>
            <w:vAlign w:val="center"/>
          </w:tcPr>
          <w:p w14:paraId="0E74B7C2">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r>
      <w:tr w14:paraId="5A3B4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nil"/>
              <w:tl2br w:val="nil"/>
              <w:tr2bl w:val="nil"/>
            </w:tcBorders>
            <w:vAlign w:val="center"/>
          </w:tcPr>
          <w:p w14:paraId="0547E8E0">
            <w:pPr>
              <w:pStyle w:val="3"/>
              <w:keepNext/>
              <w:keepLines w:val="0"/>
              <w:suppressLineNumbers w:val="0"/>
              <w:spacing w:before="0" w:beforeAutospacing="0" w:after="0" w:afterAutospacing="0" w:line="440" w:lineRule="exact"/>
              <w:ind w:left="0" w:right="63"/>
              <w:jc w:val="both"/>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418" w:type="dxa"/>
            <w:tcBorders>
              <w:tl2br w:val="nil"/>
              <w:tr2bl w:val="nil"/>
            </w:tcBorders>
            <w:vAlign w:val="center"/>
          </w:tcPr>
          <w:p w14:paraId="0F8335B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436" w:type="dxa"/>
            <w:tcBorders>
              <w:tl2br w:val="nil"/>
              <w:tr2bl w:val="nil"/>
            </w:tcBorders>
            <w:vAlign w:val="center"/>
          </w:tcPr>
          <w:p w14:paraId="73695C6B">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020" w:type="dxa"/>
            <w:tcBorders>
              <w:tl2br w:val="nil"/>
              <w:tr2bl w:val="nil"/>
            </w:tcBorders>
            <w:vAlign w:val="center"/>
          </w:tcPr>
          <w:p w14:paraId="54913E77">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043" w:type="dxa"/>
            <w:tcBorders>
              <w:tl2br w:val="nil"/>
              <w:tr2bl w:val="nil"/>
            </w:tcBorders>
            <w:vAlign w:val="center"/>
          </w:tcPr>
          <w:p w14:paraId="36934371">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tl2br w:val="nil"/>
              <w:tr2bl w:val="nil"/>
            </w:tcBorders>
            <w:vAlign w:val="center"/>
          </w:tcPr>
          <w:p w14:paraId="6F079ECE">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r>
      <w:tr w14:paraId="395B6B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nil"/>
              <w:bottom w:val="nil"/>
              <w:tl2br w:val="nil"/>
              <w:tr2bl w:val="nil"/>
            </w:tcBorders>
            <w:vAlign w:val="center"/>
          </w:tcPr>
          <w:p w14:paraId="362D65FF">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其他人员</w:t>
            </w:r>
          </w:p>
        </w:tc>
        <w:tc>
          <w:tcPr>
            <w:tcW w:w="1418" w:type="dxa"/>
            <w:tcBorders>
              <w:tl2br w:val="nil"/>
              <w:tr2bl w:val="nil"/>
            </w:tcBorders>
            <w:vAlign w:val="center"/>
          </w:tcPr>
          <w:p w14:paraId="5B14B85B">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436" w:type="dxa"/>
            <w:tcBorders>
              <w:tl2br w:val="nil"/>
              <w:tr2bl w:val="nil"/>
            </w:tcBorders>
            <w:vAlign w:val="center"/>
          </w:tcPr>
          <w:p w14:paraId="4289BF2B">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020" w:type="dxa"/>
            <w:tcBorders>
              <w:tl2br w:val="nil"/>
              <w:tr2bl w:val="nil"/>
            </w:tcBorders>
            <w:vAlign w:val="center"/>
          </w:tcPr>
          <w:p w14:paraId="70A77064">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043" w:type="dxa"/>
            <w:tcBorders>
              <w:tl2br w:val="nil"/>
              <w:tr2bl w:val="nil"/>
            </w:tcBorders>
            <w:vAlign w:val="center"/>
          </w:tcPr>
          <w:p w14:paraId="1892EFC1">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tl2br w:val="nil"/>
              <w:tr2bl w:val="nil"/>
            </w:tcBorders>
            <w:vAlign w:val="center"/>
          </w:tcPr>
          <w:p w14:paraId="7CC1C435">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r>
      <w:tr w14:paraId="5F06A7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528" w:type="dxa"/>
            <w:gridSpan w:val="5"/>
            <w:tcBorders>
              <w:top w:val="single" w:color="auto" w:sz="6" w:space="0"/>
              <w:bottom w:val="single" w:color="auto" w:sz="6" w:space="0"/>
              <w:tl2br w:val="nil"/>
              <w:tr2bl w:val="nil"/>
            </w:tcBorders>
            <w:vAlign w:val="center"/>
          </w:tcPr>
          <w:p w14:paraId="4D358729">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二、现场人员</w:t>
            </w:r>
          </w:p>
        </w:tc>
        <w:tc>
          <w:tcPr>
            <w:tcW w:w="2231" w:type="dxa"/>
            <w:tcBorders>
              <w:top w:val="single" w:color="auto" w:sz="6" w:space="0"/>
              <w:bottom w:val="single" w:color="auto" w:sz="6" w:space="0"/>
              <w:tl2br w:val="nil"/>
              <w:tr2bl w:val="nil"/>
            </w:tcBorders>
            <w:vAlign w:val="center"/>
          </w:tcPr>
          <w:p w14:paraId="4D6AF5B1">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r>
      <w:tr w14:paraId="7C4C76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single" w:color="auto" w:sz="6" w:space="0"/>
              <w:tl2br w:val="nil"/>
              <w:tr2bl w:val="nil"/>
            </w:tcBorders>
            <w:vAlign w:val="center"/>
          </w:tcPr>
          <w:p w14:paraId="04260774">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项目经理</w:t>
            </w:r>
          </w:p>
        </w:tc>
        <w:tc>
          <w:tcPr>
            <w:tcW w:w="1418" w:type="dxa"/>
            <w:tcBorders>
              <w:tl2br w:val="nil"/>
              <w:tr2bl w:val="nil"/>
            </w:tcBorders>
            <w:vAlign w:val="center"/>
          </w:tcPr>
          <w:p w14:paraId="76FFF0F0">
            <w:pPr>
              <w:pStyle w:val="3"/>
              <w:keepNext/>
              <w:keepLines w:val="0"/>
              <w:suppressLineNumbers w:val="0"/>
              <w:spacing w:before="0" w:beforeAutospacing="0" w:after="0" w:afterAutospacing="0" w:line="440" w:lineRule="exact"/>
              <w:ind w:left="63" w:leftChars="30" w:right="63" w:rightChars="30"/>
              <w:rPr>
                <w:rFonts w:hint="default"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r>
              <w:rPr>
                <w:rFonts w:hint="eastAsia" w:ascii="宋体" w:hAnsi="宋体" w:cs="宋体"/>
                <w:color w:val="000000" w:themeColor="text1"/>
                <w:sz w:val="24"/>
                <w:szCs w:val="24"/>
                <w:highlight w:val="none"/>
                <w:lang w:val="en-US" w:eastAsia="zh-CN"/>
                <w14:textFill>
                  <w14:solidFill>
                    <w14:schemeClr w14:val="tx1"/>
                  </w14:solidFill>
                </w14:textFill>
              </w:rPr>
              <w:t>XXXX</w:t>
            </w:r>
          </w:p>
        </w:tc>
        <w:tc>
          <w:tcPr>
            <w:tcW w:w="1436" w:type="dxa"/>
            <w:tcBorders>
              <w:tl2br w:val="nil"/>
              <w:tr2bl w:val="nil"/>
            </w:tcBorders>
            <w:vAlign w:val="center"/>
          </w:tcPr>
          <w:p w14:paraId="7E59F1CF">
            <w:pPr>
              <w:pStyle w:val="3"/>
              <w:keepNext/>
              <w:keepLines w:val="0"/>
              <w:suppressLineNumbers w:val="0"/>
              <w:spacing w:before="0" w:beforeAutospacing="0" w:after="0" w:afterAutospacing="0" w:line="440" w:lineRule="exact"/>
              <w:ind w:left="63" w:leftChars="30" w:right="63" w:rightChars="30"/>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项目经理</w:t>
            </w:r>
          </w:p>
        </w:tc>
        <w:tc>
          <w:tcPr>
            <w:tcW w:w="1020" w:type="dxa"/>
            <w:tcBorders>
              <w:tl2br w:val="nil"/>
              <w:tr2bl w:val="nil"/>
            </w:tcBorders>
            <w:vAlign w:val="center"/>
          </w:tcPr>
          <w:p w14:paraId="12000B04">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工程师</w:t>
            </w:r>
          </w:p>
        </w:tc>
        <w:tc>
          <w:tcPr>
            <w:tcW w:w="2043" w:type="dxa"/>
            <w:tcBorders>
              <w:tl2br w:val="nil"/>
              <w:tr2bl w:val="nil"/>
            </w:tcBorders>
            <w:vAlign w:val="center"/>
          </w:tcPr>
          <w:p w14:paraId="021C4C2E">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tl2br w:val="nil"/>
              <w:tr2bl w:val="nil"/>
            </w:tcBorders>
            <w:vAlign w:val="center"/>
          </w:tcPr>
          <w:p w14:paraId="4B6FC40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r>
              <w:rPr>
                <w:rFonts w:hint="eastAsia" w:ascii="宋体" w:hAnsi="宋体" w:cs="宋体"/>
                <w:color w:val="000000" w:themeColor="text1"/>
                <w:sz w:val="24"/>
                <w:szCs w:val="24"/>
                <w:highlight w:val="none"/>
                <w:lang w:val="en-US" w:eastAsia="zh-CN"/>
                <w14:textFill>
                  <w14:solidFill>
                    <w14:schemeClr w14:val="tx1"/>
                  </w14:solidFill>
                </w14:textFill>
              </w:rPr>
              <w:t>XXXX</w:t>
            </w:r>
          </w:p>
        </w:tc>
      </w:tr>
      <w:tr w14:paraId="1546B5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single" w:color="auto" w:sz="6" w:space="0"/>
              <w:tl2br w:val="nil"/>
              <w:tr2bl w:val="nil"/>
            </w:tcBorders>
            <w:vAlign w:val="center"/>
          </w:tcPr>
          <w:p w14:paraId="0571552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项目副经理</w:t>
            </w:r>
          </w:p>
        </w:tc>
        <w:tc>
          <w:tcPr>
            <w:tcW w:w="1418" w:type="dxa"/>
            <w:tcBorders>
              <w:tl2br w:val="nil"/>
              <w:tr2bl w:val="nil"/>
            </w:tcBorders>
            <w:vAlign w:val="center"/>
          </w:tcPr>
          <w:p w14:paraId="5A378589">
            <w:pPr>
              <w:pStyle w:val="3"/>
              <w:keepNext/>
              <w:keepLines w:val="0"/>
              <w:suppressLineNumbers w:val="0"/>
              <w:spacing w:before="0" w:beforeAutospacing="0" w:after="0" w:afterAutospacing="0" w:line="440" w:lineRule="exact"/>
              <w:ind w:left="63" w:leftChars="30" w:right="63" w:rightChars="30"/>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436" w:type="dxa"/>
            <w:tcBorders>
              <w:tl2br w:val="nil"/>
              <w:tr2bl w:val="nil"/>
            </w:tcBorders>
            <w:vAlign w:val="center"/>
          </w:tcPr>
          <w:p w14:paraId="6CE61A8E">
            <w:pPr>
              <w:pStyle w:val="3"/>
              <w:keepNext/>
              <w:keepLines w:val="0"/>
              <w:suppressLineNumbers w:val="0"/>
              <w:spacing w:before="0" w:beforeAutospacing="0" w:after="0" w:afterAutospacing="0" w:line="440" w:lineRule="exact"/>
              <w:ind w:left="63" w:leftChars="30" w:right="63" w:rightChars="30"/>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020" w:type="dxa"/>
            <w:tcBorders>
              <w:tl2br w:val="nil"/>
              <w:tr2bl w:val="nil"/>
            </w:tcBorders>
            <w:vAlign w:val="center"/>
          </w:tcPr>
          <w:p w14:paraId="74EB9CE1">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043" w:type="dxa"/>
            <w:tcBorders>
              <w:tl2br w:val="nil"/>
              <w:tr2bl w:val="nil"/>
            </w:tcBorders>
            <w:vAlign w:val="center"/>
          </w:tcPr>
          <w:p w14:paraId="35472504">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tl2br w:val="nil"/>
              <w:tr2bl w:val="nil"/>
            </w:tcBorders>
            <w:vAlign w:val="center"/>
          </w:tcPr>
          <w:p w14:paraId="59D9485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r>
      <w:tr w14:paraId="3A39C9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single" w:color="auto" w:sz="6" w:space="0"/>
              <w:tl2br w:val="nil"/>
              <w:tr2bl w:val="nil"/>
            </w:tcBorders>
            <w:vAlign w:val="center"/>
          </w:tcPr>
          <w:p w14:paraId="063FC2D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技术负责人</w:t>
            </w:r>
          </w:p>
        </w:tc>
        <w:tc>
          <w:tcPr>
            <w:tcW w:w="1418" w:type="dxa"/>
            <w:tcBorders>
              <w:tl2br w:val="nil"/>
              <w:tr2bl w:val="nil"/>
            </w:tcBorders>
            <w:vAlign w:val="center"/>
          </w:tcPr>
          <w:p w14:paraId="1B32D80E">
            <w:pPr>
              <w:pStyle w:val="3"/>
              <w:keepNext/>
              <w:keepLines w:val="0"/>
              <w:suppressLineNumbers w:val="0"/>
              <w:spacing w:before="0" w:beforeAutospacing="0" w:after="0" w:afterAutospacing="0" w:line="440" w:lineRule="exact"/>
              <w:ind w:left="63" w:leftChars="30" w:right="63" w:rightChars="30"/>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r>
              <w:rPr>
                <w:rFonts w:hint="eastAsia" w:ascii="宋体" w:hAnsi="宋体" w:cs="宋体"/>
                <w:color w:val="000000" w:themeColor="text1"/>
                <w:sz w:val="24"/>
                <w:szCs w:val="24"/>
                <w:highlight w:val="none"/>
                <w:lang w:val="en-US" w:eastAsia="zh-CN"/>
                <w14:textFill>
                  <w14:solidFill>
                    <w14:schemeClr w14:val="tx1"/>
                  </w14:solidFill>
                </w14:textFill>
              </w:rPr>
              <w:t>XXXX</w:t>
            </w:r>
          </w:p>
        </w:tc>
        <w:tc>
          <w:tcPr>
            <w:tcW w:w="1436" w:type="dxa"/>
            <w:tcBorders>
              <w:tl2br w:val="nil"/>
              <w:tr2bl w:val="nil"/>
            </w:tcBorders>
            <w:vAlign w:val="center"/>
          </w:tcPr>
          <w:p w14:paraId="24DE3AAF">
            <w:pPr>
              <w:pStyle w:val="3"/>
              <w:keepNext/>
              <w:keepLines w:val="0"/>
              <w:suppressLineNumbers w:val="0"/>
              <w:spacing w:before="0" w:beforeAutospacing="0" w:after="0" w:afterAutospacing="0" w:line="440" w:lineRule="exact"/>
              <w:ind w:left="63" w:leftChars="30" w:right="63" w:rightChars="30"/>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技术负责人</w:t>
            </w:r>
          </w:p>
        </w:tc>
        <w:tc>
          <w:tcPr>
            <w:tcW w:w="1020" w:type="dxa"/>
            <w:tcBorders>
              <w:tl2br w:val="nil"/>
              <w:tr2bl w:val="nil"/>
            </w:tcBorders>
            <w:vAlign w:val="center"/>
          </w:tcPr>
          <w:p w14:paraId="7549906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工程师</w:t>
            </w:r>
          </w:p>
        </w:tc>
        <w:tc>
          <w:tcPr>
            <w:tcW w:w="2043" w:type="dxa"/>
            <w:tcBorders>
              <w:tl2br w:val="nil"/>
              <w:tr2bl w:val="nil"/>
            </w:tcBorders>
            <w:vAlign w:val="center"/>
          </w:tcPr>
          <w:p w14:paraId="20D9EA8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tl2br w:val="nil"/>
              <w:tr2bl w:val="nil"/>
            </w:tcBorders>
            <w:vAlign w:val="center"/>
          </w:tcPr>
          <w:p w14:paraId="45B501A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r>
              <w:rPr>
                <w:rFonts w:hint="eastAsia" w:ascii="宋体" w:hAnsi="宋体" w:cs="宋体"/>
                <w:color w:val="000000" w:themeColor="text1"/>
                <w:sz w:val="24"/>
                <w:szCs w:val="24"/>
                <w:highlight w:val="none"/>
                <w:lang w:val="en-US" w:eastAsia="zh-CN"/>
                <w14:textFill>
                  <w14:solidFill>
                    <w14:schemeClr w14:val="tx1"/>
                  </w14:solidFill>
                </w14:textFill>
              </w:rPr>
              <w:t>XXXX</w:t>
            </w:r>
          </w:p>
        </w:tc>
      </w:tr>
      <w:tr w14:paraId="552DC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single" w:color="auto" w:sz="6" w:space="0"/>
              <w:tl2br w:val="nil"/>
              <w:tr2bl w:val="nil"/>
            </w:tcBorders>
            <w:vAlign w:val="center"/>
          </w:tcPr>
          <w:p w14:paraId="07351E7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造价管理</w:t>
            </w:r>
          </w:p>
        </w:tc>
        <w:tc>
          <w:tcPr>
            <w:tcW w:w="1418" w:type="dxa"/>
            <w:tcBorders>
              <w:tl2br w:val="nil"/>
              <w:tr2bl w:val="nil"/>
            </w:tcBorders>
            <w:vAlign w:val="center"/>
          </w:tcPr>
          <w:p w14:paraId="07FF94ED">
            <w:pPr>
              <w:pStyle w:val="3"/>
              <w:keepNext/>
              <w:keepLines w:val="0"/>
              <w:suppressLineNumbers w:val="0"/>
              <w:spacing w:before="0" w:beforeAutospacing="0" w:after="0" w:afterAutospacing="0" w:line="440" w:lineRule="exact"/>
              <w:ind w:left="63" w:leftChars="30" w:right="63" w:rightChars="3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r>
              <w:rPr>
                <w:rFonts w:hint="eastAsia" w:ascii="宋体" w:hAnsi="宋体" w:cs="宋体"/>
                <w:color w:val="000000" w:themeColor="text1"/>
                <w:sz w:val="24"/>
                <w:szCs w:val="24"/>
                <w:highlight w:val="none"/>
                <w:lang w:val="en-US" w:eastAsia="zh-CN"/>
                <w14:textFill>
                  <w14:solidFill>
                    <w14:schemeClr w14:val="tx1"/>
                  </w14:solidFill>
                </w14:textFill>
              </w:rPr>
              <w:t>XXXX</w:t>
            </w:r>
          </w:p>
        </w:tc>
        <w:tc>
          <w:tcPr>
            <w:tcW w:w="1436" w:type="dxa"/>
            <w:tcBorders>
              <w:tl2br w:val="nil"/>
              <w:tr2bl w:val="nil"/>
            </w:tcBorders>
            <w:vAlign w:val="center"/>
          </w:tcPr>
          <w:p w14:paraId="0BD2C57F">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造价员</w:t>
            </w:r>
          </w:p>
        </w:tc>
        <w:tc>
          <w:tcPr>
            <w:tcW w:w="1020" w:type="dxa"/>
            <w:tcBorders>
              <w:tl2br w:val="nil"/>
              <w:tr2bl w:val="nil"/>
            </w:tcBorders>
            <w:vAlign w:val="center"/>
          </w:tcPr>
          <w:p w14:paraId="5B5F31E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043" w:type="dxa"/>
            <w:tcBorders>
              <w:tl2br w:val="nil"/>
              <w:tr2bl w:val="nil"/>
            </w:tcBorders>
            <w:vAlign w:val="center"/>
          </w:tcPr>
          <w:p w14:paraId="019F42F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tl2br w:val="nil"/>
              <w:tr2bl w:val="nil"/>
            </w:tcBorders>
            <w:vAlign w:val="center"/>
          </w:tcPr>
          <w:p w14:paraId="7327DD95">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r>
              <w:rPr>
                <w:rFonts w:hint="eastAsia" w:ascii="宋体" w:hAnsi="宋体" w:cs="宋体"/>
                <w:color w:val="000000" w:themeColor="text1"/>
                <w:sz w:val="24"/>
                <w:szCs w:val="24"/>
                <w:highlight w:val="none"/>
                <w:lang w:val="en-US" w:eastAsia="zh-CN"/>
                <w14:textFill>
                  <w14:solidFill>
                    <w14:schemeClr w14:val="tx1"/>
                  </w14:solidFill>
                </w14:textFill>
              </w:rPr>
              <w:t>XXXX</w:t>
            </w:r>
          </w:p>
        </w:tc>
      </w:tr>
      <w:tr w14:paraId="37E996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single" w:color="auto" w:sz="6" w:space="0"/>
              <w:tl2br w:val="nil"/>
              <w:tr2bl w:val="nil"/>
            </w:tcBorders>
            <w:vAlign w:val="center"/>
          </w:tcPr>
          <w:p w14:paraId="1681204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质量管理</w:t>
            </w:r>
          </w:p>
        </w:tc>
        <w:tc>
          <w:tcPr>
            <w:tcW w:w="1418" w:type="dxa"/>
            <w:tcBorders>
              <w:tl2br w:val="nil"/>
              <w:tr2bl w:val="nil"/>
            </w:tcBorders>
            <w:vAlign w:val="center"/>
          </w:tcPr>
          <w:p w14:paraId="149720C8">
            <w:pPr>
              <w:pStyle w:val="3"/>
              <w:keepNext/>
              <w:keepLines w:val="0"/>
              <w:suppressLineNumbers w:val="0"/>
              <w:spacing w:before="0" w:beforeAutospacing="0" w:after="0" w:afterAutospacing="0" w:line="440" w:lineRule="exact"/>
              <w:ind w:left="63" w:leftChars="30" w:right="63" w:rightChars="3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r>
              <w:rPr>
                <w:rFonts w:hint="eastAsia" w:ascii="宋体" w:hAnsi="宋体" w:cs="宋体"/>
                <w:color w:val="000000" w:themeColor="text1"/>
                <w:sz w:val="24"/>
                <w:szCs w:val="24"/>
                <w:highlight w:val="none"/>
                <w:lang w:val="en-US" w:eastAsia="zh-CN"/>
                <w14:textFill>
                  <w14:solidFill>
                    <w14:schemeClr w14:val="tx1"/>
                  </w14:solidFill>
                </w14:textFill>
              </w:rPr>
              <w:t>XXXX</w:t>
            </w:r>
          </w:p>
        </w:tc>
        <w:tc>
          <w:tcPr>
            <w:tcW w:w="1436" w:type="dxa"/>
            <w:tcBorders>
              <w:tl2br w:val="nil"/>
              <w:tr2bl w:val="nil"/>
            </w:tcBorders>
            <w:vAlign w:val="center"/>
          </w:tcPr>
          <w:p w14:paraId="52461F7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质检员</w:t>
            </w:r>
          </w:p>
        </w:tc>
        <w:tc>
          <w:tcPr>
            <w:tcW w:w="1020" w:type="dxa"/>
            <w:tcBorders>
              <w:tl2br w:val="nil"/>
              <w:tr2bl w:val="nil"/>
            </w:tcBorders>
            <w:vAlign w:val="center"/>
          </w:tcPr>
          <w:p w14:paraId="402643BF">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工程师</w:t>
            </w:r>
          </w:p>
        </w:tc>
        <w:tc>
          <w:tcPr>
            <w:tcW w:w="2043" w:type="dxa"/>
            <w:tcBorders>
              <w:tl2br w:val="nil"/>
              <w:tr2bl w:val="nil"/>
            </w:tcBorders>
            <w:vAlign w:val="center"/>
          </w:tcPr>
          <w:p w14:paraId="75C7D917">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tl2br w:val="nil"/>
              <w:tr2bl w:val="nil"/>
            </w:tcBorders>
            <w:vAlign w:val="center"/>
          </w:tcPr>
          <w:p w14:paraId="7C5DF2B4">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r>
              <w:rPr>
                <w:rFonts w:hint="eastAsia" w:ascii="宋体" w:hAnsi="宋体" w:cs="宋体"/>
                <w:color w:val="000000" w:themeColor="text1"/>
                <w:sz w:val="24"/>
                <w:szCs w:val="24"/>
                <w:highlight w:val="none"/>
                <w:lang w:val="en-US" w:eastAsia="zh-CN"/>
                <w14:textFill>
                  <w14:solidFill>
                    <w14:schemeClr w14:val="tx1"/>
                  </w14:solidFill>
                </w14:textFill>
              </w:rPr>
              <w:t>XXXX</w:t>
            </w:r>
          </w:p>
        </w:tc>
      </w:tr>
      <w:tr w14:paraId="34E9FA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single" w:color="auto" w:sz="6" w:space="0"/>
              <w:tl2br w:val="nil"/>
              <w:tr2bl w:val="nil"/>
            </w:tcBorders>
            <w:vAlign w:val="center"/>
          </w:tcPr>
          <w:p w14:paraId="17C1E352">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材料管理</w:t>
            </w:r>
          </w:p>
        </w:tc>
        <w:tc>
          <w:tcPr>
            <w:tcW w:w="1418" w:type="dxa"/>
            <w:tcBorders>
              <w:tl2br w:val="nil"/>
              <w:tr2bl w:val="nil"/>
            </w:tcBorders>
            <w:vAlign w:val="center"/>
          </w:tcPr>
          <w:p w14:paraId="43E74D9B">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r>
              <w:rPr>
                <w:rFonts w:hint="eastAsia" w:ascii="宋体" w:hAnsi="宋体" w:cs="宋体"/>
                <w:color w:val="000000" w:themeColor="text1"/>
                <w:sz w:val="24"/>
                <w:szCs w:val="24"/>
                <w:highlight w:val="none"/>
                <w:lang w:val="en-US" w:eastAsia="zh-CN"/>
                <w14:textFill>
                  <w14:solidFill>
                    <w14:schemeClr w14:val="tx1"/>
                  </w14:solidFill>
                </w14:textFill>
              </w:rPr>
              <w:t>XXXX</w:t>
            </w:r>
          </w:p>
        </w:tc>
        <w:tc>
          <w:tcPr>
            <w:tcW w:w="1436" w:type="dxa"/>
            <w:tcBorders>
              <w:tl2br w:val="nil"/>
              <w:tr2bl w:val="nil"/>
            </w:tcBorders>
            <w:vAlign w:val="center"/>
          </w:tcPr>
          <w:p w14:paraId="6AC163A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材料员</w:t>
            </w:r>
          </w:p>
        </w:tc>
        <w:tc>
          <w:tcPr>
            <w:tcW w:w="1020" w:type="dxa"/>
            <w:tcBorders>
              <w:tl2br w:val="nil"/>
              <w:tr2bl w:val="nil"/>
            </w:tcBorders>
            <w:vAlign w:val="center"/>
          </w:tcPr>
          <w:p w14:paraId="52540D9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043" w:type="dxa"/>
            <w:tcBorders>
              <w:tl2br w:val="nil"/>
              <w:tr2bl w:val="nil"/>
            </w:tcBorders>
            <w:vAlign w:val="center"/>
          </w:tcPr>
          <w:p w14:paraId="4BD27059">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tl2br w:val="nil"/>
              <w:tr2bl w:val="nil"/>
            </w:tcBorders>
            <w:vAlign w:val="center"/>
          </w:tcPr>
          <w:p w14:paraId="60D71B29">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r>
              <w:rPr>
                <w:rFonts w:hint="eastAsia" w:ascii="宋体" w:hAnsi="宋体" w:cs="宋体"/>
                <w:color w:val="000000" w:themeColor="text1"/>
                <w:sz w:val="24"/>
                <w:szCs w:val="24"/>
                <w:highlight w:val="none"/>
                <w:lang w:val="en-US" w:eastAsia="zh-CN"/>
                <w14:textFill>
                  <w14:solidFill>
                    <w14:schemeClr w14:val="tx1"/>
                  </w14:solidFill>
                </w14:textFill>
              </w:rPr>
              <w:t>XXXX</w:t>
            </w:r>
          </w:p>
        </w:tc>
      </w:tr>
      <w:tr w14:paraId="7E402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single" w:color="auto" w:sz="6" w:space="0"/>
              <w:tl2br w:val="nil"/>
              <w:tr2bl w:val="nil"/>
            </w:tcBorders>
            <w:vAlign w:val="center"/>
          </w:tcPr>
          <w:p w14:paraId="4CE0424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计划管理</w:t>
            </w:r>
          </w:p>
        </w:tc>
        <w:tc>
          <w:tcPr>
            <w:tcW w:w="1418" w:type="dxa"/>
            <w:tcBorders>
              <w:tl2br w:val="nil"/>
              <w:tr2bl w:val="nil"/>
            </w:tcBorders>
            <w:vAlign w:val="center"/>
          </w:tcPr>
          <w:p w14:paraId="58E65C09">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436" w:type="dxa"/>
            <w:tcBorders>
              <w:tl2br w:val="nil"/>
              <w:tr2bl w:val="nil"/>
            </w:tcBorders>
            <w:vAlign w:val="center"/>
          </w:tcPr>
          <w:p w14:paraId="4EC07B9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020" w:type="dxa"/>
            <w:tcBorders>
              <w:tl2br w:val="nil"/>
              <w:tr2bl w:val="nil"/>
            </w:tcBorders>
            <w:vAlign w:val="center"/>
          </w:tcPr>
          <w:p w14:paraId="6519516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043" w:type="dxa"/>
            <w:tcBorders>
              <w:tl2br w:val="nil"/>
              <w:tr2bl w:val="nil"/>
            </w:tcBorders>
            <w:vAlign w:val="center"/>
          </w:tcPr>
          <w:p w14:paraId="63CAD04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tl2br w:val="nil"/>
              <w:tr2bl w:val="nil"/>
            </w:tcBorders>
            <w:vAlign w:val="center"/>
          </w:tcPr>
          <w:p w14:paraId="51FDC56B">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r>
      <w:tr w14:paraId="39204D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tcBorders>
              <w:top w:val="single" w:color="auto" w:sz="6" w:space="0"/>
              <w:bottom w:val="single" w:color="auto" w:sz="6" w:space="0"/>
              <w:tl2br w:val="nil"/>
              <w:tr2bl w:val="nil"/>
            </w:tcBorders>
            <w:vAlign w:val="center"/>
          </w:tcPr>
          <w:p w14:paraId="3B547411">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安全管理</w:t>
            </w:r>
          </w:p>
        </w:tc>
        <w:tc>
          <w:tcPr>
            <w:tcW w:w="1418" w:type="dxa"/>
            <w:tcBorders>
              <w:tl2br w:val="nil"/>
              <w:tr2bl w:val="nil"/>
            </w:tcBorders>
            <w:vAlign w:val="center"/>
          </w:tcPr>
          <w:p w14:paraId="47DBEE11">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r>
              <w:rPr>
                <w:rFonts w:hint="eastAsia" w:ascii="宋体" w:hAnsi="宋体" w:cs="宋体"/>
                <w:color w:val="000000" w:themeColor="text1"/>
                <w:sz w:val="24"/>
                <w:szCs w:val="24"/>
                <w:highlight w:val="none"/>
                <w:lang w:val="en-US" w:eastAsia="zh-CN"/>
                <w14:textFill>
                  <w14:solidFill>
                    <w14:schemeClr w14:val="tx1"/>
                  </w14:solidFill>
                </w14:textFill>
              </w:rPr>
              <w:t>XXXX</w:t>
            </w:r>
          </w:p>
        </w:tc>
        <w:tc>
          <w:tcPr>
            <w:tcW w:w="1436" w:type="dxa"/>
            <w:tcBorders>
              <w:tl2br w:val="nil"/>
              <w:tr2bl w:val="nil"/>
            </w:tcBorders>
            <w:vAlign w:val="center"/>
          </w:tcPr>
          <w:p w14:paraId="7824C5C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安全员</w:t>
            </w:r>
          </w:p>
        </w:tc>
        <w:tc>
          <w:tcPr>
            <w:tcW w:w="1020" w:type="dxa"/>
            <w:tcBorders>
              <w:tl2br w:val="nil"/>
              <w:tr2bl w:val="nil"/>
            </w:tcBorders>
            <w:vAlign w:val="center"/>
          </w:tcPr>
          <w:p w14:paraId="49CA88A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043" w:type="dxa"/>
            <w:tcBorders>
              <w:tl2br w:val="nil"/>
              <w:tr2bl w:val="nil"/>
            </w:tcBorders>
            <w:vAlign w:val="center"/>
          </w:tcPr>
          <w:p w14:paraId="17E30C93">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tl2br w:val="nil"/>
              <w:tr2bl w:val="nil"/>
            </w:tcBorders>
            <w:vAlign w:val="center"/>
          </w:tcPr>
          <w:p w14:paraId="2C639475">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r>
              <w:rPr>
                <w:rFonts w:hint="eastAsia" w:ascii="宋体" w:hAnsi="宋体" w:cs="宋体"/>
                <w:color w:val="000000" w:themeColor="text1"/>
                <w:sz w:val="24"/>
                <w:szCs w:val="24"/>
                <w:highlight w:val="none"/>
                <w:lang w:val="en-US" w:eastAsia="zh-CN"/>
                <w14:textFill>
                  <w14:solidFill>
                    <w14:schemeClr w14:val="tx1"/>
                  </w14:solidFill>
                </w14:textFill>
              </w:rPr>
              <w:t>XXXX</w:t>
            </w:r>
          </w:p>
        </w:tc>
      </w:tr>
      <w:tr w14:paraId="34EC59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vMerge w:val="restart"/>
            <w:tcBorders>
              <w:top w:val="single" w:color="auto" w:sz="6" w:space="0"/>
              <w:tl2br w:val="nil"/>
              <w:tr2bl w:val="nil"/>
            </w:tcBorders>
            <w:vAlign w:val="center"/>
          </w:tcPr>
          <w:p w14:paraId="752804A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其他人员</w:t>
            </w:r>
          </w:p>
        </w:tc>
        <w:tc>
          <w:tcPr>
            <w:tcW w:w="1418" w:type="dxa"/>
            <w:tcBorders>
              <w:tl2br w:val="nil"/>
              <w:tr2bl w:val="nil"/>
            </w:tcBorders>
            <w:vAlign w:val="center"/>
          </w:tcPr>
          <w:p w14:paraId="433910C9">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r>
              <w:rPr>
                <w:rFonts w:hint="eastAsia" w:ascii="宋体" w:hAnsi="宋体" w:cs="宋体"/>
                <w:color w:val="000000" w:themeColor="text1"/>
                <w:sz w:val="24"/>
                <w:szCs w:val="24"/>
                <w:highlight w:val="none"/>
                <w:lang w:val="en-US" w:eastAsia="zh-CN"/>
                <w14:textFill>
                  <w14:solidFill>
                    <w14:schemeClr w14:val="tx1"/>
                  </w14:solidFill>
                </w14:textFill>
              </w:rPr>
              <w:t>XXXX</w:t>
            </w:r>
          </w:p>
        </w:tc>
        <w:tc>
          <w:tcPr>
            <w:tcW w:w="1436" w:type="dxa"/>
            <w:tcBorders>
              <w:tl2br w:val="nil"/>
              <w:tr2bl w:val="nil"/>
            </w:tcBorders>
            <w:vAlign w:val="center"/>
          </w:tcPr>
          <w:p w14:paraId="6192E337">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14:textFill>
                  <w14:solidFill>
                    <w14:schemeClr w14:val="tx1"/>
                  </w14:solidFill>
                </w14:textFill>
              </w:rPr>
              <w:t>施工员</w:t>
            </w:r>
          </w:p>
        </w:tc>
        <w:tc>
          <w:tcPr>
            <w:tcW w:w="1020" w:type="dxa"/>
            <w:tcBorders>
              <w:tl2br w:val="nil"/>
              <w:tr2bl w:val="nil"/>
            </w:tcBorders>
            <w:vAlign w:val="center"/>
          </w:tcPr>
          <w:p w14:paraId="44A3A842">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043" w:type="dxa"/>
            <w:tcBorders>
              <w:tl2br w:val="nil"/>
              <w:tr2bl w:val="nil"/>
            </w:tcBorders>
            <w:vAlign w:val="center"/>
          </w:tcPr>
          <w:p w14:paraId="751D4DF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tl2br w:val="nil"/>
              <w:tr2bl w:val="nil"/>
            </w:tcBorders>
            <w:vAlign w:val="center"/>
          </w:tcPr>
          <w:p w14:paraId="7E0BAB9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r>
              <w:rPr>
                <w:rFonts w:hint="eastAsia" w:ascii="宋体" w:hAnsi="宋体" w:cs="宋体"/>
                <w:color w:val="000000" w:themeColor="text1"/>
                <w:sz w:val="24"/>
                <w:szCs w:val="24"/>
                <w:highlight w:val="none"/>
                <w:lang w:val="en-US" w:eastAsia="zh-CN"/>
                <w14:textFill>
                  <w14:solidFill>
                    <w14:schemeClr w14:val="tx1"/>
                  </w14:solidFill>
                </w14:textFill>
              </w:rPr>
              <w:t>XXXX</w:t>
            </w:r>
          </w:p>
        </w:tc>
      </w:tr>
      <w:tr w14:paraId="7DED36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vMerge w:val="continue"/>
            <w:tcBorders>
              <w:tl2br w:val="nil"/>
              <w:tr2bl w:val="nil"/>
            </w:tcBorders>
            <w:vAlign w:val="center"/>
          </w:tcPr>
          <w:p w14:paraId="7810BDF2">
            <w:pPr>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1418" w:type="dxa"/>
            <w:tcBorders>
              <w:bottom w:val="nil"/>
              <w:tl2br w:val="nil"/>
              <w:tr2bl w:val="nil"/>
            </w:tcBorders>
            <w:vAlign w:val="center"/>
          </w:tcPr>
          <w:p w14:paraId="15613E3E">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436" w:type="dxa"/>
            <w:tcBorders>
              <w:bottom w:val="nil"/>
              <w:tl2br w:val="nil"/>
              <w:tr2bl w:val="nil"/>
            </w:tcBorders>
            <w:vAlign w:val="center"/>
          </w:tcPr>
          <w:p w14:paraId="4882465B">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020" w:type="dxa"/>
            <w:tcBorders>
              <w:bottom w:val="nil"/>
              <w:tl2br w:val="nil"/>
              <w:tr2bl w:val="nil"/>
            </w:tcBorders>
            <w:vAlign w:val="center"/>
          </w:tcPr>
          <w:p w14:paraId="30AE0CB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043" w:type="dxa"/>
            <w:tcBorders>
              <w:bottom w:val="nil"/>
              <w:tl2br w:val="nil"/>
              <w:tr2bl w:val="nil"/>
            </w:tcBorders>
            <w:vAlign w:val="center"/>
          </w:tcPr>
          <w:p w14:paraId="10E8F827">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bottom w:val="nil"/>
              <w:tl2br w:val="nil"/>
              <w:tr2bl w:val="nil"/>
            </w:tcBorders>
            <w:vAlign w:val="center"/>
          </w:tcPr>
          <w:p w14:paraId="4E72E5DB">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r>
      <w:tr w14:paraId="6D7E38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vMerge w:val="continue"/>
            <w:tcBorders>
              <w:tl2br w:val="nil"/>
              <w:tr2bl w:val="nil"/>
            </w:tcBorders>
            <w:vAlign w:val="center"/>
          </w:tcPr>
          <w:p w14:paraId="4234C53D">
            <w:pPr>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1418" w:type="dxa"/>
            <w:tcBorders>
              <w:tl2br w:val="nil"/>
              <w:tr2bl w:val="nil"/>
            </w:tcBorders>
            <w:vAlign w:val="center"/>
          </w:tcPr>
          <w:p w14:paraId="239D9A6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436" w:type="dxa"/>
            <w:tcBorders>
              <w:tl2br w:val="nil"/>
              <w:tr2bl w:val="nil"/>
            </w:tcBorders>
            <w:vAlign w:val="center"/>
          </w:tcPr>
          <w:p w14:paraId="71464731">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020" w:type="dxa"/>
            <w:tcBorders>
              <w:tl2br w:val="nil"/>
              <w:tr2bl w:val="nil"/>
            </w:tcBorders>
            <w:vAlign w:val="center"/>
          </w:tcPr>
          <w:p w14:paraId="18377961">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043" w:type="dxa"/>
            <w:tcBorders>
              <w:tl2br w:val="nil"/>
              <w:tr2bl w:val="nil"/>
            </w:tcBorders>
            <w:vAlign w:val="center"/>
          </w:tcPr>
          <w:p w14:paraId="5EF8EB6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tl2br w:val="nil"/>
              <w:tr2bl w:val="nil"/>
            </w:tcBorders>
            <w:vAlign w:val="center"/>
          </w:tcPr>
          <w:p w14:paraId="5664E32E">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r>
      <w:tr w14:paraId="35EEC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vMerge w:val="continue"/>
            <w:tcBorders>
              <w:tl2br w:val="nil"/>
              <w:tr2bl w:val="nil"/>
            </w:tcBorders>
            <w:vAlign w:val="center"/>
          </w:tcPr>
          <w:p w14:paraId="557EE8B2">
            <w:pPr>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1418" w:type="dxa"/>
            <w:tcBorders>
              <w:tl2br w:val="nil"/>
              <w:tr2bl w:val="nil"/>
            </w:tcBorders>
            <w:vAlign w:val="center"/>
          </w:tcPr>
          <w:p w14:paraId="46502049">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436" w:type="dxa"/>
            <w:tcBorders>
              <w:tl2br w:val="nil"/>
              <w:tr2bl w:val="nil"/>
            </w:tcBorders>
            <w:vAlign w:val="center"/>
          </w:tcPr>
          <w:p w14:paraId="0F387A6E">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020" w:type="dxa"/>
            <w:tcBorders>
              <w:tl2br w:val="nil"/>
              <w:tr2bl w:val="nil"/>
            </w:tcBorders>
            <w:vAlign w:val="center"/>
          </w:tcPr>
          <w:p w14:paraId="010684F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043" w:type="dxa"/>
            <w:tcBorders>
              <w:tl2br w:val="nil"/>
              <w:tr2bl w:val="nil"/>
            </w:tcBorders>
            <w:vAlign w:val="center"/>
          </w:tcPr>
          <w:p w14:paraId="106380C2">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tl2br w:val="nil"/>
              <w:tr2bl w:val="nil"/>
            </w:tcBorders>
            <w:vAlign w:val="center"/>
          </w:tcPr>
          <w:p w14:paraId="6A96B496">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r>
      <w:tr w14:paraId="4EF5D2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vMerge w:val="continue"/>
            <w:tcBorders>
              <w:tl2br w:val="nil"/>
              <w:tr2bl w:val="nil"/>
            </w:tcBorders>
            <w:vAlign w:val="center"/>
          </w:tcPr>
          <w:p w14:paraId="4332651A">
            <w:pPr>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1418" w:type="dxa"/>
            <w:tcBorders>
              <w:tl2br w:val="nil"/>
              <w:tr2bl w:val="nil"/>
            </w:tcBorders>
            <w:vAlign w:val="center"/>
          </w:tcPr>
          <w:p w14:paraId="5D20ED19">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436" w:type="dxa"/>
            <w:tcBorders>
              <w:tl2br w:val="nil"/>
              <w:tr2bl w:val="nil"/>
            </w:tcBorders>
            <w:vAlign w:val="center"/>
          </w:tcPr>
          <w:p w14:paraId="483E65EE">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020" w:type="dxa"/>
            <w:tcBorders>
              <w:tl2br w:val="nil"/>
              <w:tr2bl w:val="nil"/>
            </w:tcBorders>
            <w:vAlign w:val="center"/>
          </w:tcPr>
          <w:p w14:paraId="1C662A7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043" w:type="dxa"/>
            <w:tcBorders>
              <w:tl2br w:val="nil"/>
              <w:tr2bl w:val="nil"/>
            </w:tcBorders>
            <w:vAlign w:val="center"/>
          </w:tcPr>
          <w:p w14:paraId="3670AB0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tl2br w:val="nil"/>
              <w:tr2bl w:val="nil"/>
            </w:tcBorders>
            <w:vAlign w:val="center"/>
          </w:tcPr>
          <w:p w14:paraId="1E5563BD">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r>
      <w:tr w14:paraId="5B65AE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vMerge w:val="continue"/>
            <w:tcBorders>
              <w:bottom w:val="single" w:color="auto" w:sz="12" w:space="0"/>
              <w:tl2br w:val="nil"/>
              <w:tr2bl w:val="nil"/>
            </w:tcBorders>
            <w:vAlign w:val="center"/>
          </w:tcPr>
          <w:p w14:paraId="12CDCD59">
            <w:pPr>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1418" w:type="dxa"/>
            <w:tcBorders>
              <w:bottom w:val="single" w:color="auto" w:sz="12" w:space="0"/>
              <w:tl2br w:val="nil"/>
              <w:tr2bl w:val="nil"/>
            </w:tcBorders>
            <w:vAlign w:val="center"/>
          </w:tcPr>
          <w:p w14:paraId="49334D34">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436" w:type="dxa"/>
            <w:tcBorders>
              <w:bottom w:val="single" w:color="auto" w:sz="12" w:space="0"/>
              <w:tl2br w:val="nil"/>
              <w:tr2bl w:val="nil"/>
            </w:tcBorders>
            <w:vAlign w:val="center"/>
          </w:tcPr>
          <w:p w14:paraId="37AD6784">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020" w:type="dxa"/>
            <w:tcBorders>
              <w:bottom w:val="single" w:color="auto" w:sz="12" w:space="0"/>
              <w:tl2br w:val="nil"/>
              <w:tr2bl w:val="nil"/>
            </w:tcBorders>
            <w:vAlign w:val="center"/>
          </w:tcPr>
          <w:p w14:paraId="3DC1B65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043" w:type="dxa"/>
            <w:tcBorders>
              <w:bottom w:val="single" w:color="auto" w:sz="12" w:space="0"/>
              <w:tl2br w:val="nil"/>
              <w:tr2bl w:val="nil"/>
            </w:tcBorders>
            <w:vAlign w:val="center"/>
          </w:tcPr>
          <w:p w14:paraId="23726068">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bottom w:val="single" w:color="auto" w:sz="12" w:space="0"/>
              <w:tl2br w:val="nil"/>
              <w:tr2bl w:val="nil"/>
            </w:tcBorders>
            <w:vAlign w:val="center"/>
          </w:tcPr>
          <w:p w14:paraId="5F48C02C">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r>
      <w:tr w14:paraId="6B1C33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11" w:type="dxa"/>
            <w:vMerge w:val="continue"/>
            <w:tcBorders>
              <w:bottom w:val="single" w:color="auto" w:sz="12" w:space="0"/>
              <w:tl2br w:val="nil"/>
              <w:tr2bl w:val="nil"/>
            </w:tcBorders>
            <w:vAlign w:val="center"/>
          </w:tcPr>
          <w:p w14:paraId="7A8B3536">
            <w:pPr>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1418" w:type="dxa"/>
            <w:tcBorders>
              <w:bottom w:val="single" w:color="auto" w:sz="12" w:space="0"/>
              <w:tl2br w:val="nil"/>
              <w:tr2bl w:val="nil"/>
            </w:tcBorders>
            <w:vAlign w:val="center"/>
          </w:tcPr>
          <w:p w14:paraId="22371ED0">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436" w:type="dxa"/>
            <w:tcBorders>
              <w:bottom w:val="single" w:color="auto" w:sz="12" w:space="0"/>
              <w:tl2br w:val="nil"/>
              <w:tr2bl w:val="nil"/>
            </w:tcBorders>
            <w:vAlign w:val="center"/>
          </w:tcPr>
          <w:p w14:paraId="638ED209">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1020" w:type="dxa"/>
            <w:tcBorders>
              <w:bottom w:val="single" w:color="auto" w:sz="12" w:space="0"/>
              <w:tl2br w:val="nil"/>
              <w:tr2bl w:val="nil"/>
            </w:tcBorders>
            <w:vAlign w:val="center"/>
          </w:tcPr>
          <w:p w14:paraId="0FD5755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043" w:type="dxa"/>
            <w:tcBorders>
              <w:bottom w:val="single" w:color="auto" w:sz="12" w:space="0"/>
              <w:tl2br w:val="nil"/>
              <w:tr2bl w:val="nil"/>
            </w:tcBorders>
            <w:vAlign w:val="center"/>
          </w:tcPr>
          <w:p w14:paraId="404F8B6A">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c>
          <w:tcPr>
            <w:tcW w:w="2231" w:type="dxa"/>
            <w:tcBorders>
              <w:bottom w:val="single" w:color="auto" w:sz="12" w:space="0"/>
              <w:tl2br w:val="nil"/>
              <w:tr2bl w:val="nil"/>
            </w:tcBorders>
            <w:vAlign w:val="center"/>
          </w:tcPr>
          <w:p w14:paraId="3D831734">
            <w:pPr>
              <w:pStyle w:val="3"/>
              <w:keepNext/>
              <w:keepLines w:val="0"/>
              <w:suppressLineNumbers w:val="0"/>
              <w:spacing w:before="0" w:beforeAutospacing="0" w:after="0" w:afterAutospacing="0" w:line="440" w:lineRule="exact"/>
              <w:ind w:left="63" w:right="63"/>
              <w:rPr>
                <w:rFonts w:hint="eastAsia" w:ascii="宋体" w:hAnsi="宋体" w:eastAsia="宋体" w:cs="宋体"/>
                <w:color w:val="000000" w:themeColor="text1"/>
                <w:kern w:val="2"/>
                <w:sz w:val="24"/>
                <w:szCs w:val="24"/>
                <w:highlight w:val="none"/>
                <w:lang w:val="en-US" w:eastAsia="zh-CN"/>
                <w14:textFill>
                  <w14:solidFill>
                    <w14:schemeClr w14:val="tx1"/>
                  </w14:solidFill>
                </w14:textFill>
              </w:rPr>
            </w:pPr>
          </w:p>
        </w:tc>
      </w:tr>
    </w:tbl>
    <w:p w14:paraId="054CB181">
      <w:pPr>
        <w:rPr>
          <w:rFonts w:hint="eastAsia" w:ascii="宋体" w:hAnsi="宋体" w:eastAsia="宋体" w:cs="宋体"/>
          <w:bCs/>
          <w:color w:val="000000" w:themeColor="text1"/>
          <w:sz w:val="21"/>
          <w:highlight w:val="none"/>
          <w:lang w:val="en-US" w:eastAsia="zh-CN"/>
          <w14:textFill>
            <w14:solidFill>
              <w14:schemeClr w14:val="tx1"/>
            </w14:solidFill>
          </w14:textFill>
        </w:rPr>
        <w:sectPr>
          <w:pgSz w:w="11905" w:h="16838"/>
          <w:pgMar w:top="1134" w:right="1134" w:bottom="1134" w:left="1134" w:header="720" w:footer="720" w:gutter="0"/>
          <w:cols w:space="720" w:num="1"/>
          <w:docGrid w:type="lines" w:linePitch="331" w:charSpace="0"/>
        </w:sectPr>
      </w:pPr>
    </w:p>
    <w:p w14:paraId="64ABE35C">
      <w:pPr>
        <w:spacing w:line="440" w:lineRule="exact"/>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附件</w:t>
      </w:r>
      <w:r>
        <w:rPr>
          <w:rFonts w:hint="eastAsia" w:ascii="宋体" w:hAnsi="宋体" w:eastAsia="宋体" w:cs="宋体"/>
          <w:color w:val="000000" w:themeColor="text1"/>
          <w:sz w:val="30"/>
          <w:szCs w:val="30"/>
          <w:highlight w:val="none"/>
          <w:lang w:val="en-US" w:eastAsia="zh-CN"/>
          <w14:textFill>
            <w14:solidFill>
              <w14:schemeClr w14:val="tx1"/>
            </w14:solidFill>
          </w14:textFill>
        </w:rPr>
        <w:t>5</w:t>
      </w:r>
      <w:r>
        <w:rPr>
          <w:rFonts w:hint="eastAsia" w:ascii="宋体" w:hAnsi="宋体" w:eastAsia="宋体" w:cs="宋体"/>
          <w:color w:val="000000" w:themeColor="text1"/>
          <w:sz w:val="30"/>
          <w:szCs w:val="30"/>
          <w:highlight w:val="none"/>
          <w14:textFill>
            <w14:solidFill>
              <w14:schemeClr w14:val="tx1"/>
            </w14:solidFill>
          </w14:textFill>
        </w:rPr>
        <w:t>：</w:t>
      </w:r>
    </w:p>
    <w:p w14:paraId="0845B14C">
      <w:pPr>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施工单位资质证书正本及营业执照正本（彩色扫描）</w:t>
      </w:r>
    </w:p>
    <w:p w14:paraId="3B37AE07">
      <w:pPr>
        <w:jc w:val="center"/>
        <w:rPr>
          <w:rFonts w:hint="eastAsia" w:ascii="宋体" w:hAnsi="宋体" w:eastAsia="宋体" w:cs="宋体"/>
          <w:color w:val="000000" w:themeColor="text1"/>
          <w:sz w:val="28"/>
          <w:szCs w:val="28"/>
          <w:highlight w:val="none"/>
          <w:lang w:eastAsia="zh-CN"/>
          <w14:textFill>
            <w14:solidFill>
              <w14:schemeClr w14:val="tx1"/>
            </w14:solidFill>
          </w14:textFill>
        </w:rPr>
      </w:pPr>
    </w:p>
    <w:p w14:paraId="7E949154">
      <w:pPr>
        <w:jc w:val="center"/>
        <w:rPr>
          <w:rFonts w:hint="eastAsia" w:ascii="宋体" w:hAnsi="宋体" w:eastAsia="宋体" w:cs="宋体"/>
          <w:color w:val="000000" w:themeColor="text1"/>
          <w:sz w:val="28"/>
          <w:szCs w:val="28"/>
          <w:highlight w:val="none"/>
          <w:lang w:val="en-US" w:eastAsia="zh-CN"/>
          <w14:textFill>
            <w14:solidFill>
              <w14:schemeClr w14:val="tx1"/>
            </w14:solidFill>
          </w14:textFill>
        </w:rPr>
        <w:sectPr>
          <w:pgSz w:w="11905" w:h="16838"/>
          <w:pgMar w:top="1134" w:right="1134" w:bottom="1134" w:left="1134" w:header="720" w:footer="720" w:gutter="0"/>
          <w:cols w:space="720" w:num="1"/>
          <w:docGrid w:type="lines" w:linePitch="331" w:charSpace="0"/>
        </w:sectPr>
      </w:pPr>
    </w:p>
    <w:p w14:paraId="544EB991">
      <w:pPr>
        <w:spacing w:line="360" w:lineRule="auto"/>
        <w:rPr>
          <w:rFonts w:ascii="宋体" w:hAnsi="Calibri"/>
          <w:color w:val="000000" w:themeColor="text1"/>
          <w:highlight w:val="none"/>
          <w14:textFill>
            <w14:solidFill>
              <w14:schemeClr w14:val="tx1"/>
            </w14:solidFill>
          </w14:textFill>
        </w:rPr>
      </w:pPr>
      <w:r>
        <w:rPr>
          <w:rFonts w:hint="eastAsia" w:ascii="宋体" w:hAnsi="宋体" w:cs="宋体"/>
          <w:color w:val="000000" w:themeColor="text1"/>
          <w:sz w:val="30"/>
          <w:szCs w:val="30"/>
          <w:highlight w:val="none"/>
          <w:lang w:val="en-US" w:eastAsia="zh-CN"/>
          <w14:textFill>
            <w14:solidFill>
              <w14:schemeClr w14:val="tx1"/>
            </w14:solidFill>
          </w14:textFill>
        </w:rPr>
        <w:t>附件6：中标通知书</w:t>
      </w:r>
    </w:p>
    <w:p w14:paraId="7CA8CCF0">
      <w:pPr>
        <w:spacing w:line="360" w:lineRule="auto"/>
        <w:rPr>
          <w:rFonts w:ascii="宋体" w:hAnsi="Calibri"/>
          <w:color w:val="000000" w:themeColor="text1"/>
          <w:highlight w:val="none"/>
          <w14:textFill>
            <w14:solidFill>
              <w14:schemeClr w14:val="tx1"/>
            </w14:solidFill>
          </w14:textFill>
        </w:rPr>
        <w:sectPr>
          <w:footerReference r:id="rId7" w:type="first"/>
          <w:footerReference r:id="rId6" w:type="default"/>
          <w:pgSz w:w="11905" w:h="16838"/>
          <w:pgMar w:top="1134" w:right="1134" w:bottom="1134" w:left="1134" w:header="720" w:footer="720" w:gutter="0"/>
          <w:cols w:space="720" w:num="1"/>
          <w:docGrid w:type="lines" w:linePitch="331" w:charSpace="0"/>
        </w:sectPr>
      </w:pPr>
    </w:p>
    <w:p w14:paraId="05257F95">
      <w:pPr>
        <w:spacing w:line="360" w:lineRule="auto"/>
        <w:jc w:val="left"/>
        <w:rPr>
          <w:rFonts w:ascii="黑体" w:hAnsi="黑体" w:eastAsia="黑体" w:cs="黑体"/>
          <w:color w:val="000000" w:themeColor="text1"/>
          <w:sz w:val="32"/>
          <w:szCs w:val="32"/>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附件</w:t>
      </w:r>
      <w:r>
        <w:rPr>
          <w:rFonts w:hint="eastAsia" w:eastAsia="仿宋_GB2312" w:cs="仿宋_GB2312"/>
          <w:color w:val="000000" w:themeColor="text1"/>
          <w:sz w:val="30"/>
          <w:szCs w:val="30"/>
          <w:highlight w:val="none"/>
          <w:lang w:val="en-US" w:eastAsia="zh-CN"/>
          <w14:textFill>
            <w14:solidFill>
              <w14:schemeClr w14:val="tx1"/>
            </w14:solidFill>
          </w14:textFill>
        </w:rPr>
        <w:t>7</w:t>
      </w:r>
      <w:r>
        <w:rPr>
          <w:rFonts w:hint="eastAsia" w:eastAsia="仿宋_GB2312" w:cs="仿宋_GB2312"/>
          <w:color w:val="000000" w:themeColor="text1"/>
          <w:sz w:val="30"/>
          <w:szCs w:val="30"/>
          <w:highlight w:val="none"/>
          <w14:textFill>
            <w14:solidFill>
              <w14:schemeClr w14:val="tx1"/>
            </w14:solidFill>
          </w14:textFill>
        </w:rPr>
        <w:t>：</w:t>
      </w:r>
    </w:p>
    <w:p w14:paraId="31A43D02">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p>
    <w:p w14:paraId="2823B794">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预付款保函示范文本</w:t>
      </w:r>
    </w:p>
    <w:p w14:paraId="7AD364C8">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（独立保函）</w:t>
      </w:r>
    </w:p>
    <w:p w14:paraId="627C73BC">
      <w:pPr>
        <w:wordWrap w:val="0"/>
        <w:spacing w:line="360" w:lineRule="auto"/>
        <w:jc w:val="righ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编号： </w:t>
      </w:r>
      <w:r>
        <w:rPr>
          <w:rFonts w:ascii="宋体" w:hAnsi="宋体"/>
          <w:color w:val="000000" w:themeColor="text1"/>
          <w:highlight w:val="none"/>
          <w14:textFill>
            <w14:solidFill>
              <w14:schemeClr w14:val="tx1"/>
            </w14:solidFill>
          </w14:textFill>
        </w:rPr>
        <w:t xml:space="preserve">          </w:t>
      </w:r>
    </w:p>
    <w:p w14:paraId="13823974">
      <w:pPr>
        <w:spacing w:line="360" w:lineRule="auto"/>
        <w:rPr>
          <w:rFonts w:ascii="宋体" w:hAnsi="宋体"/>
          <w:color w:val="000000" w:themeColor="text1"/>
          <w:sz w:val="24"/>
          <w:szCs w:val="24"/>
          <w:highlight w:val="none"/>
          <w14:textFill>
            <w14:solidFill>
              <w14:schemeClr w14:val="tx1"/>
            </w14:solidFill>
          </w14:textFill>
        </w:rPr>
      </w:pPr>
    </w:p>
    <w:p w14:paraId="7088584B">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申请人：</w:t>
      </w:r>
    </w:p>
    <w:p w14:paraId="4A190068">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地址</w:t>
      </w:r>
      <w:r>
        <w:rPr>
          <w:rFonts w:ascii="宋体" w:hAnsi="宋体"/>
          <w:color w:val="000000" w:themeColor="text1"/>
          <w:sz w:val="24"/>
          <w:szCs w:val="24"/>
          <w:highlight w:val="none"/>
          <w14:textFill>
            <w14:solidFill>
              <w14:schemeClr w14:val="tx1"/>
            </w14:solidFill>
          </w14:textFill>
        </w:rPr>
        <w:t>：</w:t>
      </w:r>
    </w:p>
    <w:p w14:paraId="58BC4CAA">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受益人：</w:t>
      </w:r>
    </w:p>
    <w:p w14:paraId="07812C1C">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地址：</w:t>
      </w:r>
    </w:p>
    <w:p w14:paraId="23A54271">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开立人：</w:t>
      </w:r>
    </w:p>
    <w:p w14:paraId="564AAF2E">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地址：</w:t>
      </w:r>
    </w:p>
    <w:p w14:paraId="006D658D">
      <w:pPr>
        <w:spacing w:line="360" w:lineRule="auto"/>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 xml:space="preserve"> </w:t>
      </w:r>
    </w:p>
    <w:p w14:paraId="2633181D">
      <w:pPr>
        <w:spacing w:line="360" w:lineRule="auto"/>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受益人</w:t>
      </w:r>
      <w:r>
        <w:rPr>
          <w:rFonts w:ascii="宋体" w:hAnsi="宋体"/>
          <w:color w:val="000000" w:themeColor="text1"/>
          <w:sz w:val="24"/>
          <w:szCs w:val="24"/>
          <w:highlight w:val="none"/>
          <w14:textFill>
            <w14:solidFill>
              <w14:schemeClr w14:val="tx1"/>
            </w14:solidFill>
          </w14:textFill>
        </w:rPr>
        <w:t xml:space="preserve">名称）： </w:t>
      </w:r>
    </w:p>
    <w:p w14:paraId="30DDB26F">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鉴于</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（以下简称“</w:t>
      </w:r>
      <w:r>
        <w:rPr>
          <w:rFonts w:hint="eastAsia" w:ascii="宋体" w:hAnsi="宋体"/>
          <w:color w:val="000000" w:themeColor="text1"/>
          <w:sz w:val="24"/>
          <w:szCs w:val="24"/>
          <w:highlight w:val="none"/>
          <w14:textFill>
            <w14:solidFill>
              <w14:schemeClr w14:val="tx1"/>
            </w14:solidFill>
          </w14:textFill>
        </w:rPr>
        <w:t>受益人</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与</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（以下简称“</w:t>
      </w:r>
      <w:r>
        <w:rPr>
          <w:rFonts w:hint="eastAsia" w:ascii="宋体" w:hAnsi="宋体"/>
          <w:color w:val="000000" w:themeColor="text1"/>
          <w:sz w:val="24"/>
          <w:szCs w:val="24"/>
          <w:highlight w:val="none"/>
          <w14:textFill>
            <w14:solidFill>
              <w14:schemeClr w14:val="tx1"/>
            </w14:solidFill>
          </w14:textFill>
        </w:rPr>
        <w:t>申请人</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于</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年</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日就</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工程（以下简称“本工程”）施工和有关事项协商一致共同签订</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u w:val="singl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（以下简称“基础合同”），我方（即“开立人”）根据主合同了解到申请人为主合同项下之承包人，受益人为主合同项下之发包人，基于申请人</w:t>
      </w:r>
      <w:r>
        <w:rPr>
          <w:rFonts w:ascii="宋体" w:hAnsi="宋体"/>
          <w:color w:val="000000" w:themeColor="text1"/>
          <w:sz w:val="24"/>
          <w:szCs w:val="24"/>
          <w:highlight w:val="none"/>
          <w14:textFill>
            <w14:solidFill>
              <w14:schemeClr w14:val="tx1"/>
            </w14:solidFill>
          </w14:textFill>
        </w:rPr>
        <w:t>的请求，我方同意就</w:t>
      </w:r>
      <w:r>
        <w:rPr>
          <w:rFonts w:hint="eastAsia" w:ascii="宋体" w:hAnsi="宋体"/>
          <w:color w:val="000000" w:themeColor="text1"/>
          <w:sz w:val="24"/>
          <w:szCs w:val="24"/>
          <w:highlight w:val="none"/>
          <w14:textFill>
            <w14:solidFill>
              <w14:schemeClr w14:val="tx1"/>
            </w14:solidFill>
          </w14:textFill>
        </w:rPr>
        <w:t>申请人按照合同约定正确和合理地为合同目的使用预付款，</w:t>
      </w:r>
      <w:r>
        <w:rPr>
          <w:rFonts w:ascii="宋体" w:hAnsi="宋体"/>
          <w:color w:val="000000" w:themeColor="text1"/>
          <w:sz w:val="24"/>
          <w:szCs w:val="24"/>
          <w:highlight w:val="none"/>
          <w14:textFill>
            <w14:solidFill>
              <w14:schemeClr w14:val="tx1"/>
            </w14:solidFill>
          </w14:textFill>
        </w:rPr>
        <w:t>向贵方提供不可撤销、</w:t>
      </w:r>
      <w:r>
        <w:rPr>
          <w:rFonts w:hint="eastAsia" w:ascii="宋体" w:hAnsi="宋体"/>
          <w:color w:val="000000" w:themeColor="text1"/>
          <w:sz w:val="24"/>
          <w:szCs w:val="24"/>
          <w:highlight w:val="none"/>
          <w14:textFill>
            <w14:solidFill>
              <w14:schemeClr w14:val="tx1"/>
            </w14:solidFill>
          </w14:textFill>
        </w:rPr>
        <w:t>不可转让的见索即付</w:t>
      </w:r>
      <w:r>
        <w:rPr>
          <w:rFonts w:ascii="宋体" w:hAnsi="宋体"/>
          <w:color w:val="000000" w:themeColor="text1"/>
          <w:sz w:val="24"/>
          <w:szCs w:val="24"/>
          <w:highlight w:val="none"/>
          <w14:textFill>
            <w14:solidFill>
              <w14:schemeClr w14:val="tx1"/>
            </w14:solidFill>
          </w14:textFill>
        </w:rPr>
        <w:t>独立</w:t>
      </w:r>
      <w:r>
        <w:rPr>
          <w:rFonts w:hint="eastAsia" w:ascii="宋体" w:hAnsi="宋体"/>
          <w:color w:val="000000" w:themeColor="text1"/>
          <w:sz w:val="24"/>
          <w:szCs w:val="24"/>
          <w:highlight w:val="none"/>
          <w14:textFill>
            <w14:solidFill>
              <w14:schemeClr w14:val="tx1"/>
            </w14:solidFill>
          </w14:textFill>
        </w:rPr>
        <w:t>保函（以下简称“本保函”）</w:t>
      </w:r>
      <w:r>
        <w:rPr>
          <w:rFonts w:ascii="宋体" w:hAnsi="宋体"/>
          <w:color w:val="000000" w:themeColor="text1"/>
          <w:sz w:val="24"/>
          <w:szCs w:val="24"/>
          <w:highlight w:val="none"/>
          <w14:textFill>
            <w14:solidFill>
              <w14:schemeClr w14:val="tx1"/>
            </w14:solidFill>
          </w14:textFill>
        </w:rPr>
        <w:t xml:space="preserve">。 </w:t>
      </w:r>
    </w:p>
    <w:p w14:paraId="297F91D6">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一、本保函担保范围：申请人未按照合同约定正确和合理地为合同目的使用预付款，应当向贵方承担的违约责任和赔偿因此造成的损失、利息、律师费、诉讼费用等实现债权的费用。</w:t>
      </w:r>
    </w:p>
    <w:p w14:paraId="3F14C9C3">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二、本保函担保金额最高不超过</w:t>
      </w:r>
      <w:r>
        <w:rPr>
          <w:rFonts w:ascii="宋体" w:hAnsi="宋体"/>
          <w:color w:val="000000" w:themeColor="text1"/>
          <w:sz w:val="24"/>
          <w:szCs w:val="24"/>
          <w:highlight w:val="none"/>
          <w14:textFill>
            <w14:solidFill>
              <w14:schemeClr w14:val="tx1"/>
            </w14:solidFill>
          </w14:textFill>
        </w:rPr>
        <w:t>人民币（大写）</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元（¥</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 xml:space="preserve">）。 </w:t>
      </w:r>
    </w:p>
    <w:p w14:paraId="679BA845">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三、本保函</w:t>
      </w:r>
      <w:r>
        <w:rPr>
          <w:rFonts w:ascii="宋体" w:hAnsi="宋体"/>
          <w:color w:val="000000" w:themeColor="text1"/>
          <w:sz w:val="24"/>
          <w:szCs w:val="24"/>
          <w:highlight w:val="none"/>
          <w14:textFill>
            <w14:solidFill>
              <w14:schemeClr w14:val="tx1"/>
            </w14:solidFill>
          </w14:textFill>
        </w:rPr>
        <w:t>有效期自</w:t>
      </w:r>
      <w:r>
        <w:rPr>
          <w:rFonts w:hint="eastAsia" w:ascii="宋体" w:hAnsi="宋体"/>
          <w:color w:val="000000" w:themeColor="text1"/>
          <w:sz w:val="24"/>
          <w:szCs w:val="24"/>
          <w:highlight w:val="none"/>
          <w14:textFill>
            <w14:solidFill>
              <w14:schemeClr w14:val="tx1"/>
            </w14:solidFill>
          </w14:textFill>
        </w:rPr>
        <w:t>开立之日起</w:t>
      </w:r>
      <w:r>
        <w:rPr>
          <w:rFonts w:ascii="宋体" w:hAnsi="宋体"/>
          <w:color w:val="000000" w:themeColor="text1"/>
          <w:sz w:val="24"/>
          <w:szCs w:val="24"/>
          <w:highlight w:val="none"/>
          <w14:textFill>
            <w14:solidFill>
              <w14:schemeClr w14:val="tx1"/>
            </w14:solidFill>
          </w14:textFill>
        </w:rPr>
        <w:t>至</w:t>
      </w:r>
      <w:r>
        <w:rPr>
          <w:rFonts w:hint="eastAsia" w:ascii="宋体" w:hAnsi="宋体"/>
          <w:color w:val="000000" w:themeColor="text1"/>
          <w:sz w:val="24"/>
          <w:szCs w:val="24"/>
          <w:highlight w:val="none"/>
          <w14:textFill>
            <w14:solidFill>
              <w14:schemeClr w14:val="tx1"/>
            </w14:solidFill>
          </w14:textFill>
        </w:rPr>
        <w:t>发包人全额扣回预付款后</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日</w:t>
      </w:r>
      <w:r>
        <w:rPr>
          <w:rFonts w:hint="eastAsia" w:ascii="宋体" w:hAnsi="宋体"/>
          <w:color w:val="000000" w:themeColor="text1"/>
          <w:sz w:val="24"/>
          <w:szCs w:val="24"/>
          <w:highlight w:val="none"/>
          <w14:textFill>
            <w14:solidFill>
              <w14:schemeClr w14:val="tx1"/>
            </w14:solidFill>
          </w14:textFill>
        </w:rPr>
        <w:t>止，最迟不超过</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年</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p>
    <w:p w14:paraId="66909312">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四、我方承诺，在收到受益人发来的书面付款通知后的</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日内无条件支付，前述书面付款通知即为付款要求之单据，且应满足以下要求：</w:t>
      </w:r>
    </w:p>
    <w:p w14:paraId="1BC30178">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（1）付款通知到达的日期在本保函的有效期内；</w:t>
      </w:r>
    </w:p>
    <w:p w14:paraId="05F38161">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（2）载明要求支付的金额；</w:t>
      </w:r>
    </w:p>
    <w:p w14:paraId="360E72D3">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（3）载明申请人违反合同义务的条款和内容；</w:t>
      </w:r>
    </w:p>
    <w:p w14:paraId="73028904">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（4）声明不存在合同文件约定或我国法律规定免除申请人或开立人支付责任的情形；</w:t>
      </w:r>
    </w:p>
    <w:p w14:paraId="155C5C69">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（5）付款通知应在本保函有效期内到达的地址是：</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w:t>
      </w:r>
    </w:p>
    <w:p w14:paraId="09579A17">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受益人发出的书面付款通知应由其为鉴明受益人法定代表人（负责人）或授权代理人签字并加盖公章。</w:t>
      </w:r>
    </w:p>
    <w:p w14:paraId="24C325C6">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五、</w:t>
      </w:r>
      <w:r>
        <w:rPr>
          <w:rFonts w:ascii="宋体" w:hAnsi="宋体"/>
          <w:color w:val="000000" w:themeColor="text1"/>
          <w:sz w:val="24"/>
          <w:szCs w:val="24"/>
          <w:highlight w:val="none"/>
          <w14:textFill>
            <w14:solidFill>
              <w14:schemeClr w14:val="tx1"/>
            </w14:solidFill>
          </w14:textFill>
        </w:rPr>
        <w:t>本保函项下的权利不得转让，不得设定担保。贵方未经我方书面同意转 让本保函或其项下任何权利，</w:t>
      </w:r>
      <w:r>
        <w:rPr>
          <w:rFonts w:hint="eastAsia" w:ascii="宋体" w:hAnsi="宋体"/>
          <w:color w:val="000000" w:themeColor="text1"/>
          <w:sz w:val="24"/>
          <w:szCs w:val="24"/>
          <w:highlight w:val="none"/>
          <w14:textFill>
            <w14:solidFill>
              <w14:schemeClr w14:val="tx1"/>
            </w14:solidFill>
          </w14:textFill>
        </w:rPr>
        <w:t>对我方不发生法律效力</w:t>
      </w:r>
      <w:r>
        <w:rPr>
          <w:rFonts w:ascii="宋体" w:hAnsi="宋体"/>
          <w:color w:val="000000" w:themeColor="text1"/>
          <w:sz w:val="24"/>
          <w:szCs w:val="24"/>
          <w:highlight w:val="none"/>
          <w14:textFill>
            <w14:solidFill>
              <w14:schemeClr w14:val="tx1"/>
            </w14:solidFill>
          </w14:textFill>
        </w:rPr>
        <w:t xml:space="preserve">。 </w:t>
      </w:r>
    </w:p>
    <w:p w14:paraId="4549790C">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六、与</w:t>
      </w:r>
      <w:r>
        <w:rPr>
          <w:rFonts w:ascii="宋体" w:hAnsi="宋体"/>
          <w:color w:val="000000" w:themeColor="text1"/>
          <w:sz w:val="24"/>
          <w:szCs w:val="24"/>
          <w:highlight w:val="none"/>
          <w14:textFill>
            <w14:solidFill>
              <w14:schemeClr w14:val="tx1"/>
            </w14:solidFill>
          </w14:textFill>
        </w:rPr>
        <w:t>本保函</w:t>
      </w:r>
      <w:r>
        <w:rPr>
          <w:rFonts w:hint="eastAsia" w:ascii="宋体" w:hAnsi="宋体"/>
          <w:color w:val="000000" w:themeColor="text1"/>
          <w:sz w:val="24"/>
          <w:szCs w:val="24"/>
          <w:highlight w:val="none"/>
          <w14:textFill>
            <w14:solidFill>
              <w14:schemeClr w14:val="tx1"/>
            </w14:solidFill>
          </w14:textFill>
        </w:rPr>
        <w:t>有关</w:t>
      </w:r>
      <w:r>
        <w:rPr>
          <w:rFonts w:ascii="宋体" w:hAnsi="宋体"/>
          <w:color w:val="000000" w:themeColor="text1"/>
          <w:sz w:val="24"/>
          <w:szCs w:val="24"/>
          <w:highlight w:val="none"/>
          <w14:textFill>
            <w14:solidFill>
              <w14:schemeClr w14:val="tx1"/>
            </w14:solidFill>
          </w14:textFill>
        </w:rPr>
        <w:t>的</w:t>
      </w:r>
      <w:r>
        <w:rPr>
          <w:rFonts w:hint="eastAsia" w:ascii="宋体" w:hAnsi="宋体"/>
          <w:color w:val="000000" w:themeColor="text1"/>
          <w:sz w:val="24"/>
          <w:szCs w:val="24"/>
          <w:highlight w:val="none"/>
          <w14:textFill>
            <w14:solidFill>
              <w14:schemeClr w14:val="tx1"/>
            </w14:solidFill>
          </w14:textFill>
        </w:rPr>
        <w:t>基础</w:t>
      </w:r>
      <w:r>
        <w:rPr>
          <w:rFonts w:ascii="宋体" w:hAnsi="宋体"/>
          <w:color w:val="000000" w:themeColor="text1"/>
          <w:sz w:val="24"/>
          <w:szCs w:val="24"/>
          <w:highlight w:val="none"/>
          <w14:textFill>
            <w14:solidFill>
              <w14:schemeClr w14:val="tx1"/>
            </w14:solidFill>
          </w14:textFill>
        </w:rPr>
        <w:t xml:space="preserve">合同不成立、不生效、无效、被撤销、被解除，不影响本保函的独立有效。 </w:t>
      </w:r>
    </w:p>
    <w:p w14:paraId="67D5EA40">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七、</w:t>
      </w:r>
      <w:r>
        <w:rPr>
          <w:rFonts w:ascii="宋体" w:hAnsi="宋体"/>
          <w:color w:val="000000" w:themeColor="text1"/>
          <w:sz w:val="24"/>
          <w:szCs w:val="24"/>
          <w:highlight w:val="none"/>
          <w14:textFill>
            <w14:solidFill>
              <w14:schemeClr w14:val="tx1"/>
            </w14:solidFill>
          </w14:textFill>
        </w:rPr>
        <w:t>贵方应在本保函到期后的七日内将本保函正本退回我方注销，但是不论贵方是否按此要求将本保函正本退回我方，我方在本保函项下的义务和责任均在保函</w:t>
      </w:r>
      <w:r>
        <w:rPr>
          <w:rFonts w:hint="eastAsia" w:ascii="宋体" w:hAnsi="宋体"/>
          <w:color w:val="000000" w:themeColor="text1"/>
          <w:sz w:val="24"/>
          <w:szCs w:val="24"/>
          <w:highlight w:val="none"/>
          <w14:textFill>
            <w14:solidFill>
              <w14:schemeClr w14:val="tx1"/>
            </w14:solidFill>
          </w14:textFill>
        </w:rPr>
        <w:t>有效期</w:t>
      </w:r>
      <w:r>
        <w:rPr>
          <w:rFonts w:ascii="宋体" w:hAnsi="宋体"/>
          <w:color w:val="000000" w:themeColor="text1"/>
          <w:sz w:val="24"/>
          <w:szCs w:val="24"/>
          <w:highlight w:val="none"/>
          <w14:textFill>
            <w14:solidFill>
              <w14:schemeClr w14:val="tx1"/>
            </w14:solidFill>
          </w14:textFill>
        </w:rPr>
        <w:t xml:space="preserve">到期后自动消灭。 </w:t>
      </w:r>
    </w:p>
    <w:p w14:paraId="5EDFF64C">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八、</w:t>
      </w:r>
      <w:r>
        <w:rPr>
          <w:rFonts w:ascii="宋体" w:hAnsi="宋体"/>
          <w:color w:val="000000" w:themeColor="text1"/>
          <w:sz w:val="24"/>
          <w:szCs w:val="24"/>
          <w:highlight w:val="none"/>
          <w14:textFill>
            <w14:solidFill>
              <w14:schemeClr w14:val="tx1"/>
            </w14:solidFill>
          </w14:textFill>
        </w:rPr>
        <w:t>本保函</w:t>
      </w:r>
      <w:r>
        <w:rPr>
          <w:rFonts w:hint="eastAsia" w:ascii="宋体" w:hAnsi="宋体"/>
          <w:color w:val="000000" w:themeColor="text1"/>
          <w:sz w:val="24"/>
          <w:szCs w:val="24"/>
          <w:highlight w:val="none"/>
          <w14:textFill>
            <w14:solidFill>
              <w14:schemeClr w14:val="tx1"/>
            </w14:solidFill>
          </w14:textFill>
        </w:rPr>
        <w:t>适用的法律为中华人民共和国法律，争议裁判管辖地为中华人民共和国</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 xml:space="preserve">。 </w:t>
      </w:r>
    </w:p>
    <w:p w14:paraId="05337BFD">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九、</w:t>
      </w:r>
      <w:r>
        <w:rPr>
          <w:rFonts w:ascii="宋体" w:hAnsi="宋体"/>
          <w:color w:val="000000" w:themeColor="text1"/>
          <w:sz w:val="24"/>
          <w:szCs w:val="24"/>
          <w:highlight w:val="none"/>
          <w14:textFill>
            <w14:solidFill>
              <w14:schemeClr w14:val="tx1"/>
            </w14:solidFill>
          </w14:textFill>
        </w:rPr>
        <w:t>本保函自我方法定代表人</w:t>
      </w:r>
      <w:r>
        <w:rPr>
          <w:rFonts w:hint="eastAsia" w:ascii="宋体" w:hAnsi="宋体"/>
          <w:color w:val="000000" w:themeColor="text1"/>
          <w:sz w:val="24"/>
          <w:szCs w:val="24"/>
          <w:highlight w:val="none"/>
          <w14:textFill>
            <w14:solidFill>
              <w14:schemeClr w14:val="tx1"/>
            </w14:solidFill>
          </w14:textFill>
        </w:rPr>
        <w:t>或授权代表</w:t>
      </w:r>
      <w:r>
        <w:rPr>
          <w:rFonts w:ascii="宋体" w:hAnsi="宋体"/>
          <w:color w:val="000000" w:themeColor="text1"/>
          <w:sz w:val="24"/>
          <w:szCs w:val="24"/>
          <w:highlight w:val="none"/>
          <w14:textFill>
            <w14:solidFill>
              <w14:schemeClr w14:val="tx1"/>
            </w14:solidFill>
          </w14:textFill>
        </w:rPr>
        <w:t>签字</w:t>
      </w:r>
      <w:r>
        <w:rPr>
          <w:rFonts w:hint="eastAsia" w:ascii="宋体" w:hAnsi="宋体"/>
          <w:color w:val="000000" w:themeColor="text1"/>
          <w:sz w:val="24"/>
          <w:szCs w:val="24"/>
          <w:highlight w:val="none"/>
          <w14:textFill>
            <w14:solidFill>
              <w14:schemeClr w14:val="tx1"/>
            </w14:solidFill>
          </w14:textFill>
        </w:rPr>
        <w:t>并</w:t>
      </w:r>
      <w:r>
        <w:rPr>
          <w:rFonts w:ascii="宋体" w:hAnsi="宋体"/>
          <w:color w:val="000000" w:themeColor="text1"/>
          <w:sz w:val="24"/>
          <w:szCs w:val="24"/>
          <w:highlight w:val="none"/>
          <w14:textFill>
            <w14:solidFill>
              <w14:schemeClr w14:val="tx1"/>
            </w14:solidFill>
          </w14:textFill>
        </w:rPr>
        <w:t xml:space="preserve">加盖公章之日起生效。 </w:t>
      </w:r>
    </w:p>
    <w:p w14:paraId="0A63811C">
      <w:pPr>
        <w:spacing w:line="360" w:lineRule="auto"/>
        <w:ind w:firstLine="480" w:firstLineChars="200"/>
        <w:rPr>
          <w:rFonts w:ascii="宋体" w:hAnsi="宋体"/>
          <w:color w:val="000000" w:themeColor="text1"/>
          <w:sz w:val="24"/>
          <w:szCs w:val="24"/>
          <w:highlight w:val="none"/>
          <w14:textFill>
            <w14:solidFill>
              <w14:schemeClr w14:val="tx1"/>
            </w14:solidFill>
          </w14:textFill>
        </w:rPr>
      </w:pPr>
    </w:p>
    <w:p w14:paraId="7A2EB3AD">
      <w:pPr>
        <w:spacing w:line="360" w:lineRule="auto"/>
        <w:ind w:firstLine="480" w:firstLineChars="200"/>
        <w:rPr>
          <w:rFonts w:ascii="宋体" w:hAnsi="宋体"/>
          <w:color w:val="000000" w:themeColor="text1"/>
          <w:sz w:val="24"/>
          <w:szCs w:val="24"/>
          <w:highlight w:val="none"/>
          <w14:textFill>
            <w14:solidFill>
              <w14:schemeClr w14:val="tx1"/>
            </w14:solidFill>
          </w14:textFill>
        </w:rPr>
      </w:pPr>
    </w:p>
    <w:p w14:paraId="29949BE6">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 立 人</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公</w:t>
      </w:r>
      <w:r>
        <w:rPr>
          <w:rFonts w:ascii="宋体" w:hAnsi="宋体"/>
          <w:color w:val="000000" w:themeColor="text1"/>
          <w:sz w:val="24"/>
          <w:szCs w:val="24"/>
          <w:highlight w:val="none"/>
          <w14:textFill>
            <w14:solidFill>
              <w14:schemeClr w14:val="tx1"/>
            </w14:solidFill>
          </w14:textFill>
        </w:rPr>
        <w:t xml:space="preserve">章） </w:t>
      </w:r>
    </w:p>
    <w:p w14:paraId="46E477BE">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法定代表人（或授权代表）：</w:t>
      </w:r>
      <w:r>
        <w:rPr>
          <w:rFonts w:ascii="宋体" w:hAnsi="宋体"/>
          <w:color w:val="000000" w:themeColor="text1"/>
          <w:sz w:val="24"/>
          <w:szCs w:val="24"/>
          <w:highlight w:val="none"/>
          <w14:textFill>
            <w14:solidFill>
              <w14:schemeClr w14:val="tx1"/>
            </w14:solidFill>
          </w14:textFill>
        </w:rPr>
        <w:t xml:space="preserve">               （签字） </w:t>
      </w:r>
    </w:p>
    <w:p w14:paraId="2097DD4F">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w:t>
      </w:r>
      <w:r>
        <w:rPr>
          <w:rFonts w:ascii="宋体" w:hAnsi="宋体"/>
          <w:color w:val="000000" w:themeColor="text1"/>
          <w:sz w:val="24"/>
          <w:szCs w:val="24"/>
          <w:highlight w:val="none"/>
          <w14:textFill>
            <w14:solidFill>
              <w14:schemeClr w14:val="tx1"/>
            </w14:solidFill>
          </w14:textFill>
        </w:rPr>
        <w:t xml:space="preserve">    址：                                       </w:t>
      </w:r>
    </w:p>
    <w:p w14:paraId="4132E454">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邮政编码：</w:t>
      </w:r>
      <w:r>
        <w:rPr>
          <w:rFonts w:ascii="宋体" w:hAnsi="宋体"/>
          <w:color w:val="000000" w:themeColor="text1"/>
          <w:sz w:val="24"/>
          <w:szCs w:val="24"/>
          <w:highlight w:val="none"/>
          <w14:textFill>
            <w14:solidFill>
              <w14:schemeClr w14:val="tx1"/>
            </w14:solidFill>
          </w14:textFill>
        </w:rPr>
        <w:t xml:space="preserve">                 </w:t>
      </w:r>
    </w:p>
    <w:p w14:paraId="7189605D">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w:t>
      </w:r>
      <w:r>
        <w:rPr>
          <w:rFonts w:ascii="宋体" w:hAnsi="宋体"/>
          <w:color w:val="000000" w:themeColor="text1"/>
          <w:sz w:val="24"/>
          <w:szCs w:val="24"/>
          <w:highlight w:val="none"/>
          <w14:textFill>
            <w14:solidFill>
              <w14:schemeClr w14:val="tx1"/>
            </w14:solidFill>
          </w14:textFill>
        </w:rPr>
        <w:t xml:space="preserve">    话：                 </w:t>
      </w:r>
    </w:p>
    <w:p w14:paraId="0611BC7E">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传</w:t>
      </w:r>
      <w:r>
        <w:rPr>
          <w:rFonts w:ascii="宋体" w:hAnsi="宋体"/>
          <w:color w:val="000000" w:themeColor="text1"/>
          <w:sz w:val="24"/>
          <w:szCs w:val="24"/>
          <w:highlight w:val="none"/>
          <w14:textFill>
            <w14:solidFill>
              <w14:schemeClr w14:val="tx1"/>
            </w14:solidFill>
          </w14:textFill>
        </w:rPr>
        <w:t xml:space="preserve">    真：                 </w:t>
      </w:r>
    </w:p>
    <w:p w14:paraId="5ADC52D9">
      <w:pPr>
        <w:rPr>
          <w:color w:val="000000" w:themeColor="text1"/>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开立时间：</w:t>
      </w:r>
      <w:r>
        <w:rPr>
          <w:rFonts w:ascii="宋体" w:hAnsi="宋体"/>
          <w:color w:val="000000" w:themeColor="text1"/>
          <w:sz w:val="24"/>
          <w:szCs w:val="24"/>
          <w:highlight w:val="none"/>
          <w14:textFill>
            <w14:solidFill>
              <w14:schemeClr w14:val="tx1"/>
            </w14:solidFill>
          </w14:textFill>
        </w:rPr>
        <w:t xml:space="preserve">      年      月        日</w:t>
      </w:r>
    </w:p>
    <w:p w14:paraId="732C4A4A">
      <w:pPr>
        <w:spacing w:line="360" w:lineRule="auto"/>
        <w:jc w:val="center"/>
        <w:rPr>
          <w:rFonts w:ascii="宋体" w:hAnsi="宋体"/>
          <w:b/>
          <w:bCs/>
          <w:color w:val="000000" w:themeColor="text1"/>
          <w:sz w:val="32"/>
          <w:szCs w:val="32"/>
          <w:highlight w:val="none"/>
          <w14:textFill>
            <w14:solidFill>
              <w14:schemeClr w14:val="tx1"/>
            </w14:solidFill>
          </w14:textFill>
        </w:rPr>
      </w:pPr>
    </w:p>
    <w:p w14:paraId="2AFB9A98">
      <w:pPr>
        <w:spacing w:line="360" w:lineRule="auto"/>
        <w:jc w:val="left"/>
        <w:rPr>
          <w:rFonts w:hint="eastAsia" w:ascii="黑体" w:hAnsi="黑体" w:eastAsia="黑体" w:cs="黑体"/>
          <w:b/>
          <w:bCs/>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br w:type="page"/>
      </w:r>
      <w:r>
        <w:rPr>
          <w:rFonts w:hint="eastAsia" w:ascii="黑体" w:hAnsi="黑体" w:eastAsia="黑体" w:cs="黑体"/>
          <w:color w:val="000000" w:themeColor="text1"/>
          <w:sz w:val="32"/>
          <w:szCs w:val="32"/>
          <w:highlight w:val="none"/>
          <w14:textFill>
            <w14:solidFill>
              <w14:schemeClr w14:val="tx1"/>
            </w14:solidFill>
          </w14:textFill>
        </w:rPr>
        <w:t>附件</w:t>
      </w:r>
      <w:r>
        <w:rPr>
          <w:rFonts w:hint="eastAsia" w:ascii="黑体" w:hAnsi="黑体" w:eastAsia="黑体" w:cs="黑体"/>
          <w:color w:val="000000" w:themeColor="text1"/>
          <w:sz w:val="32"/>
          <w:szCs w:val="32"/>
          <w:highlight w:val="none"/>
          <w:lang w:val="en-US" w:eastAsia="zh-CN"/>
          <w14:textFill>
            <w14:solidFill>
              <w14:schemeClr w14:val="tx1"/>
            </w14:solidFill>
          </w14:textFill>
        </w:rPr>
        <w:t>7</w:t>
      </w:r>
    </w:p>
    <w:p w14:paraId="639D6C19">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p>
    <w:p w14:paraId="21BFBE4B">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预付款保函示范文本</w:t>
      </w:r>
    </w:p>
    <w:p w14:paraId="12035C3A">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（非独立保函）</w:t>
      </w:r>
    </w:p>
    <w:p w14:paraId="067E1044">
      <w:pPr>
        <w:wordWrap w:val="0"/>
        <w:spacing w:line="360" w:lineRule="auto"/>
        <w:jc w:val="righ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编号： </w:t>
      </w:r>
      <w:r>
        <w:rPr>
          <w:rFonts w:ascii="宋体" w:hAnsi="宋体"/>
          <w:color w:val="000000" w:themeColor="text1"/>
          <w:highlight w:val="none"/>
          <w14:textFill>
            <w14:solidFill>
              <w14:schemeClr w14:val="tx1"/>
            </w14:solidFill>
          </w14:textFill>
        </w:rPr>
        <w:t xml:space="preserve">          </w:t>
      </w:r>
    </w:p>
    <w:p w14:paraId="4BACEB8A">
      <w:pPr>
        <w:spacing w:line="360" w:lineRule="auto"/>
        <w:rPr>
          <w:rFonts w:ascii="宋体" w:hAnsi="宋体"/>
          <w:color w:val="000000" w:themeColor="text1"/>
          <w:sz w:val="24"/>
          <w:szCs w:val="24"/>
          <w:highlight w:val="none"/>
          <w14:textFill>
            <w14:solidFill>
              <w14:schemeClr w14:val="tx1"/>
            </w14:solidFill>
          </w14:textFill>
        </w:rPr>
      </w:pPr>
    </w:p>
    <w:p w14:paraId="3BB43591">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担保权人/发包人：</w:t>
      </w:r>
    </w:p>
    <w:p w14:paraId="5C245C8F">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地址</w:t>
      </w:r>
      <w:r>
        <w:rPr>
          <w:rFonts w:ascii="宋体" w:hAnsi="宋体"/>
          <w:color w:val="000000" w:themeColor="text1"/>
          <w:sz w:val="24"/>
          <w:szCs w:val="24"/>
          <w:highlight w:val="none"/>
          <w14:textFill>
            <w14:solidFill>
              <w14:schemeClr w14:val="tx1"/>
            </w14:solidFill>
          </w14:textFill>
        </w:rPr>
        <w:t>：</w:t>
      </w:r>
    </w:p>
    <w:p w14:paraId="0EC87FDA">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承包人：</w:t>
      </w:r>
      <w:r>
        <w:rPr>
          <w:rFonts w:ascii="宋体" w:hAnsi="宋体"/>
          <w:color w:val="000000" w:themeColor="text1"/>
          <w:sz w:val="24"/>
          <w:szCs w:val="24"/>
          <w:highlight w:val="none"/>
          <w14:textFill>
            <w14:solidFill>
              <w14:schemeClr w14:val="tx1"/>
            </w14:solidFill>
          </w14:textFill>
        </w:rPr>
        <w:t xml:space="preserve"> </w:t>
      </w:r>
    </w:p>
    <w:p w14:paraId="4940DDB3">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地址：</w:t>
      </w:r>
    </w:p>
    <w:p w14:paraId="6CD3E174">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保证人：</w:t>
      </w:r>
    </w:p>
    <w:p w14:paraId="0A07C31A">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地址：</w:t>
      </w:r>
    </w:p>
    <w:p w14:paraId="471331B3">
      <w:pPr>
        <w:spacing w:line="360" w:lineRule="auto"/>
        <w:rPr>
          <w:rFonts w:ascii="宋体" w:hAnsi="宋体"/>
          <w:color w:val="000000" w:themeColor="text1"/>
          <w:sz w:val="24"/>
          <w:szCs w:val="24"/>
          <w:highlight w:val="none"/>
          <w14:textFill>
            <w14:solidFill>
              <w14:schemeClr w14:val="tx1"/>
            </w14:solidFill>
          </w14:textFill>
        </w:rPr>
      </w:pPr>
    </w:p>
    <w:p w14:paraId="42144F1D">
      <w:pPr>
        <w:spacing w:line="360" w:lineRule="auto"/>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发包人</w:t>
      </w:r>
      <w:r>
        <w:rPr>
          <w:rFonts w:ascii="宋体" w:hAnsi="宋体"/>
          <w:color w:val="000000" w:themeColor="text1"/>
          <w:sz w:val="24"/>
          <w:szCs w:val="24"/>
          <w:highlight w:val="none"/>
          <w14:textFill>
            <w14:solidFill>
              <w14:schemeClr w14:val="tx1"/>
            </w14:solidFill>
          </w14:textFill>
        </w:rPr>
        <w:t xml:space="preserve">名称）： </w:t>
      </w:r>
    </w:p>
    <w:p w14:paraId="187C3A82">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鉴于</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（以下简称“</w:t>
      </w:r>
      <w:r>
        <w:rPr>
          <w:rFonts w:hint="eastAsia" w:ascii="宋体" w:hAnsi="宋体"/>
          <w:color w:val="000000" w:themeColor="text1"/>
          <w:sz w:val="24"/>
          <w:szCs w:val="24"/>
          <w:highlight w:val="none"/>
          <w14:textFill>
            <w14:solidFill>
              <w14:schemeClr w14:val="tx1"/>
            </w14:solidFill>
          </w14:textFill>
        </w:rPr>
        <w:t>发包人</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与</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（以下简称“</w:t>
      </w:r>
      <w:r>
        <w:rPr>
          <w:rFonts w:hint="eastAsia" w:ascii="宋体" w:hAnsi="宋体"/>
          <w:color w:val="000000" w:themeColor="text1"/>
          <w:sz w:val="24"/>
          <w:szCs w:val="24"/>
          <w:highlight w:val="none"/>
          <w14:textFill>
            <w14:solidFill>
              <w14:schemeClr w14:val="tx1"/>
            </w14:solidFill>
          </w14:textFill>
        </w:rPr>
        <w:t>承包人</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于</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年</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日就</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工程（以下简称“本工程”）施工和有关事项协商一致共同签订</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u w:val="singl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（以下简称“主合同”），我方即保证人基于承包人</w:t>
      </w:r>
      <w:r>
        <w:rPr>
          <w:rFonts w:ascii="宋体" w:hAnsi="宋体"/>
          <w:color w:val="000000" w:themeColor="text1"/>
          <w:sz w:val="24"/>
          <w:szCs w:val="24"/>
          <w:highlight w:val="none"/>
          <w14:textFill>
            <w14:solidFill>
              <w14:schemeClr w14:val="tx1"/>
            </w14:solidFill>
          </w14:textFill>
        </w:rPr>
        <w:t>的请求，同意就</w:t>
      </w:r>
      <w:r>
        <w:rPr>
          <w:rFonts w:hint="eastAsia" w:ascii="宋体" w:hAnsi="宋体"/>
          <w:color w:val="000000" w:themeColor="text1"/>
          <w:sz w:val="24"/>
          <w:szCs w:val="24"/>
          <w:highlight w:val="none"/>
          <w14:textFill>
            <w14:solidFill>
              <w14:schemeClr w14:val="tx1"/>
            </w14:solidFill>
          </w14:textFill>
        </w:rPr>
        <w:t>承包人按照合同约定正确和合理地为合同目的使用预付款，不将预付款挪作他用，</w:t>
      </w:r>
      <w:r>
        <w:rPr>
          <w:rFonts w:ascii="宋体" w:hAnsi="宋体"/>
          <w:color w:val="000000" w:themeColor="text1"/>
          <w:sz w:val="24"/>
          <w:szCs w:val="24"/>
          <w:highlight w:val="none"/>
          <w14:textFill>
            <w14:solidFill>
              <w14:schemeClr w14:val="tx1"/>
            </w14:solidFill>
          </w14:textFill>
        </w:rPr>
        <w:t>向贵方提供</w:t>
      </w:r>
      <w:r>
        <w:rPr>
          <w:rFonts w:hint="eastAsia" w:ascii="宋体" w:hAnsi="宋体"/>
          <w:color w:val="000000" w:themeColor="text1"/>
          <w:sz w:val="24"/>
          <w:szCs w:val="24"/>
          <w:highlight w:val="none"/>
          <w14:textFill>
            <w14:solidFill>
              <w14:schemeClr w14:val="tx1"/>
            </w14:solidFill>
          </w14:textFill>
        </w:rPr>
        <w:t>如下保证担保（以下简称“本保证担保”）</w:t>
      </w:r>
      <w:r>
        <w:rPr>
          <w:rFonts w:ascii="宋体" w:hAnsi="宋体"/>
          <w:color w:val="000000" w:themeColor="text1"/>
          <w:sz w:val="24"/>
          <w:szCs w:val="24"/>
          <w:highlight w:val="none"/>
          <w14:textFill>
            <w14:solidFill>
              <w14:schemeClr w14:val="tx1"/>
            </w14:solidFill>
          </w14:textFill>
        </w:rPr>
        <w:t xml:space="preserve">。 </w:t>
      </w:r>
    </w:p>
    <w:p w14:paraId="3A5C5FE1">
      <w:pPr>
        <w:spacing w:line="360" w:lineRule="auto"/>
        <w:ind w:firstLine="482" w:firstLineChars="200"/>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一、保证担保的范围及保证担保金额</w:t>
      </w:r>
    </w:p>
    <w:p w14:paraId="2567A955">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保证担保范围：申请人未按照合同约定正确和合理地为合同目的使用预付款，应当向贵方承担的违约责任和赔偿因此造成的损失、利息、律师费、诉讼费用等实现债权的费用。</w:t>
      </w:r>
    </w:p>
    <w:p w14:paraId="1AF898FF">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保证担保金额最高不超过</w:t>
      </w:r>
      <w:r>
        <w:rPr>
          <w:rFonts w:ascii="宋体" w:hAnsi="宋体"/>
          <w:color w:val="000000" w:themeColor="text1"/>
          <w:sz w:val="24"/>
          <w:szCs w:val="24"/>
          <w:highlight w:val="none"/>
          <w14:textFill>
            <w14:solidFill>
              <w14:schemeClr w14:val="tx1"/>
            </w14:solidFill>
          </w14:textFill>
        </w:rPr>
        <w:t>人民币（大写）</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元（¥</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 xml:space="preserve">）。 </w:t>
      </w:r>
    </w:p>
    <w:p w14:paraId="7375684B">
      <w:pPr>
        <w:spacing w:line="360" w:lineRule="auto"/>
        <w:ind w:firstLine="482" w:firstLineChars="200"/>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二、保证担保的方式及保证期间</w:t>
      </w:r>
      <w:r>
        <w:rPr>
          <w:rFonts w:ascii="宋体" w:hAnsi="宋体"/>
          <w:b/>
          <w:bCs/>
          <w:color w:val="000000" w:themeColor="text1"/>
          <w:sz w:val="24"/>
          <w:szCs w:val="24"/>
          <w:highlight w:val="none"/>
          <w14:textFill>
            <w14:solidFill>
              <w14:schemeClr w14:val="tx1"/>
            </w14:solidFill>
          </w14:textFill>
        </w:rPr>
        <w:t xml:space="preserve"> </w:t>
      </w:r>
    </w:p>
    <w:p w14:paraId="28B9C4C3">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1.保证担保方式：连带责任保证。</w:t>
      </w:r>
    </w:p>
    <w:p w14:paraId="0C093A31">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保证期间：</w:t>
      </w:r>
      <w:r>
        <w:rPr>
          <w:rFonts w:ascii="宋体" w:hAnsi="宋体"/>
          <w:color w:val="000000" w:themeColor="text1"/>
          <w:sz w:val="24"/>
          <w:szCs w:val="24"/>
          <w:highlight w:val="none"/>
          <w14:textFill>
            <w14:solidFill>
              <w14:schemeClr w14:val="tx1"/>
            </w14:solidFill>
          </w14:textFill>
        </w:rPr>
        <w:t>自</w:t>
      </w:r>
      <w:r>
        <w:rPr>
          <w:rFonts w:hint="eastAsia" w:ascii="宋体" w:hAnsi="宋体"/>
          <w:color w:val="000000" w:themeColor="text1"/>
          <w:sz w:val="24"/>
          <w:szCs w:val="24"/>
          <w:highlight w:val="none"/>
          <w14:textFill>
            <w14:solidFill>
              <w14:schemeClr w14:val="tx1"/>
            </w14:solidFill>
          </w14:textFill>
        </w:rPr>
        <w:t>出具之日起</w:t>
      </w:r>
      <w:r>
        <w:rPr>
          <w:rFonts w:ascii="宋体" w:hAnsi="宋体"/>
          <w:color w:val="000000" w:themeColor="text1"/>
          <w:sz w:val="24"/>
          <w:szCs w:val="24"/>
          <w:highlight w:val="none"/>
          <w14:textFill>
            <w14:solidFill>
              <w14:schemeClr w14:val="tx1"/>
            </w14:solidFill>
          </w14:textFill>
        </w:rPr>
        <w:t>至</w:t>
      </w:r>
      <w:r>
        <w:rPr>
          <w:rFonts w:hint="eastAsia" w:ascii="宋体" w:hAnsi="宋体"/>
          <w:color w:val="000000" w:themeColor="text1"/>
          <w:sz w:val="24"/>
          <w:szCs w:val="24"/>
          <w:highlight w:val="none"/>
          <w14:textFill>
            <w14:solidFill>
              <w14:schemeClr w14:val="tx1"/>
            </w14:solidFill>
          </w14:textFill>
        </w:rPr>
        <w:t>发包人全额扣回预付款后</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日</w:t>
      </w:r>
      <w:r>
        <w:rPr>
          <w:rFonts w:hint="eastAsia" w:ascii="宋体" w:hAnsi="宋体"/>
          <w:color w:val="000000" w:themeColor="text1"/>
          <w:sz w:val="24"/>
          <w:szCs w:val="24"/>
          <w:highlight w:val="none"/>
          <w14:textFill>
            <w14:solidFill>
              <w14:schemeClr w14:val="tx1"/>
            </w14:solidFill>
          </w14:textFill>
        </w:rPr>
        <w:t>止，最迟不超过</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年</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r>
        <w:rPr>
          <w:rFonts w:ascii="宋体" w:hAnsi="宋体"/>
          <w:color w:val="000000" w:themeColor="text1"/>
          <w:sz w:val="24"/>
          <w:szCs w:val="24"/>
          <w:highlight w:val="none"/>
          <w14:textFill>
            <w14:solidFill>
              <w14:schemeClr w14:val="tx1"/>
            </w14:solidFill>
          </w14:textFill>
        </w:rPr>
        <w:t xml:space="preserve">。 </w:t>
      </w:r>
    </w:p>
    <w:p w14:paraId="7A65FB22">
      <w:pPr>
        <w:spacing w:line="360" w:lineRule="auto"/>
        <w:ind w:firstLine="482" w:firstLineChars="200"/>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三、承担保证担保责任的形式</w:t>
      </w:r>
    </w:p>
    <w:p w14:paraId="1272A273">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发生应承担保证责任情形的，我方在保证金额内向贵方支付，并赔偿因此给贵方造成的损失，以及利息和律师费、诉讼费用等实现债权的费用。</w:t>
      </w:r>
    </w:p>
    <w:p w14:paraId="1EF591B1">
      <w:pPr>
        <w:spacing w:line="360" w:lineRule="auto"/>
        <w:ind w:firstLine="482" w:firstLineChars="200"/>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四、代偿的安排</w:t>
      </w:r>
      <w:r>
        <w:rPr>
          <w:rFonts w:ascii="宋体" w:hAnsi="宋体"/>
          <w:b/>
          <w:bCs/>
          <w:color w:val="000000" w:themeColor="text1"/>
          <w:sz w:val="24"/>
          <w:szCs w:val="24"/>
          <w:highlight w:val="none"/>
          <w14:textFill>
            <w14:solidFill>
              <w14:schemeClr w14:val="tx1"/>
            </w14:solidFill>
          </w14:textFill>
        </w:rPr>
        <w:t xml:space="preserve"> </w:t>
      </w:r>
    </w:p>
    <w:p w14:paraId="430FFF7A">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7B89D43B">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2.我方收到贵方的书面索赔通知及相应证明材料后，在</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工作日内进行核定后按照本保函的承诺承担保证责任。</w:t>
      </w:r>
    </w:p>
    <w:p w14:paraId="202D885F">
      <w:pPr>
        <w:spacing w:line="360" w:lineRule="auto"/>
        <w:ind w:firstLine="482" w:firstLineChars="200"/>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五、保证担保责任的解除</w:t>
      </w:r>
      <w:r>
        <w:rPr>
          <w:rFonts w:ascii="宋体" w:hAnsi="宋体"/>
          <w:b/>
          <w:bCs/>
          <w:color w:val="000000" w:themeColor="text1"/>
          <w:sz w:val="24"/>
          <w:szCs w:val="24"/>
          <w:highlight w:val="none"/>
          <w14:textFill>
            <w14:solidFill>
              <w14:schemeClr w14:val="tx1"/>
            </w14:solidFill>
          </w14:textFill>
        </w:rPr>
        <w:t xml:space="preserve"> </w:t>
      </w:r>
    </w:p>
    <w:p w14:paraId="32C447E9">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r>
        <w:rPr>
          <w:rFonts w:ascii="宋体" w:hAnsi="宋体"/>
          <w:color w:val="000000" w:themeColor="text1"/>
          <w:sz w:val="24"/>
          <w:szCs w:val="24"/>
          <w:highlight w:val="none"/>
          <w14:textFill>
            <w14:solidFill>
              <w14:schemeClr w14:val="tx1"/>
            </w14:solidFill>
          </w14:textFill>
        </w:rPr>
        <w:t xml:space="preserve">保证期间届满贵方未向我方书面主张保证责任的，自保证期间届满次日起，我方解除保证责任。 </w:t>
      </w:r>
    </w:p>
    <w:p w14:paraId="6A78CFF7">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r>
        <w:rPr>
          <w:rFonts w:ascii="宋体" w:hAnsi="宋体"/>
          <w:color w:val="000000" w:themeColor="text1"/>
          <w:sz w:val="24"/>
          <w:szCs w:val="24"/>
          <w:highlight w:val="none"/>
          <w14:textFill>
            <w14:solidFill>
              <w14:schemeClr w14:val="tx1"/>
            </w14:solidFill>
          </w14:textFill>
        </w:rPr>
        <w:t>我方按照本</w:t>
      </w:r>
      <w:r>
        <w:rPr>
          <w:rFonts w:hint="eastAsia" w:ascii="宋体" w:hAnsi="宋体"/>
          <w:color w:val="000000" w:themeColor="text1"/>
          <w:sz w:val="24"/>
          <w:szCs w:val="24"/>
          <w:highlight w:val="none"/>
          <w14:textFill>
            <w14:solidFill>
              <w14:schemeClr w14:val="tx1"/>
            </w14:solidFill>
          </w14:textFill>
        </w:rPr>
        <w:t>保证担保</w:t>
      </w:r>
      <w:r>
        <w:rPr>
          <w:rFonts w:ascii="宋体" w:hAnsi="宋体"/>
          <w:color w:val="000000" w:themeColor="text1"/>
          <w:sz w:val="24"/>
          <w:szCs w:val="24"/>
          <w:highlight w:val="none"/>
          <w14:textFill>
            <w14:solidFill>
              <w14:schemeClr w14:val="tx1"/>
            </w14:solidFill>
          </w14:textFill>
        </w:rPr>
        <w:t>向贵方履行了</w:t>
      </w:r>
      <w:r>
        <w:rPr>
          <w:rFonts w:hint="eastAsia" w:ascii="宋体" w:hAnsi="宋体"/>
          <w:color w:val="000000" w:themeColor="text1"/>
          <w:sz w:val="24"/>
          <w:szCs w:val="24"/>
          <w:highlight w:val="none"/>
          <w14:textFill>
            <w14:solidFill>
              <w14:schemeClr w14:val="tx1"/>
            </w14:solidFill>
          </w14:textFill>
        </w:rPr>
        <w:t>保证担保责任</w:t>
      </w:r>
      <w:r>
        <w:rPr>
          <w:rFonts w:ascii="宋体" w:hAnsi="宋体"/>
          <w:color w:val="000000" w:themeColor="text1"/>
          <w:sz w:val="24"/>
          <w:szCs w:val="24"/>
          <w:highlight w:val="none"/>
          <w14:textFill>
            <w14:solidFill>
              <w14:schemeClr w14:val="tx1"/>
            </w14:solidFill>
          </w14:textFill>
        </w:rPr>
        <w:t>后，自我方向贵方支付</w:t>
      </w:r>
      <w:r>
        <w:rPr>
          <w:rFonts w:hint="eastAsia" w:ascii="宋体" w:hAnsi="宋体"/>
          <w:color w:val="000000" w:themeColor="text1"/>
          <w:sz w:val="24"/>
          <w:szCs w:val="24"/>
          <w:highlight w:val="none"/>
          <w14:textFill>
            <w14:solidFill>
              <w14:schemeClr w14:val="tx1"/>
            </w14:solidFill>
          </w14:textFill>
        </w:rPr>
        <w:t>的金额达到最高保证担保金额</w:t>
      </w:r>
      <w:r>
        <w:rPr>
          <w:rFonts w:ascii="宋体" w:hAnsi="宋体"/>
          <w:color w:val="000000" w:themeColor="text1"/>
          <w:sz w:val="24"/>
          <w:szCs w:val="24"/>
          <w:highlight w:val="none"/>
          <w14:textFill>
            <w14:solidFill>
              <w14:schemeClr w14:val="tx1"/>
            </w14:solidFill>
          </w14:textFill>
        </w:rPr>
        <w:t>之日起，</w:t>
      </w:r>
      <w:r>
        <w:rPr>
          <w:rFonts w:hint="eastAsia" w:ascii="宋体" w:hAnsi="宋体"/>
          <w:color w:val="000000" w:themeColor="text1"/>
          <w:sz w:val="24"/>
          <w:szCs w:val="24"/>
          <w:highlight w:val="none"/>
          <w14:textFill>
            <w14:solidFill>
              <w14:schemeClr w14:val="tx1"/>
            </w14:solidFill>
          </w14:textFill>
        </w:rPr>
        <w:t>保证担保责任</w:t>
      </w:r>
      <w:r>
        <w:rPr>
          <w:rFonts w:ascii="宋体" w:hAnsi="宋体"/>
          <w:color w:val="000000" w:themeColor="text1"/>
          <w:sz w:val="24"/>
          <w:szCs w:val="24"/>
          <w:highlight w:val="none"/>
          <w14:textFill>
            <w14:solidFill>
              <w14:schemeClr w14:val="tx1"/>
            </w14:solidFill>
          </w14:textFill>
        </w:rPr>
        <w:t xml:space="preserve">解除。 </w:t>
      </w:r>
    </w:p>
    <w:p w14:paraId="16430F79">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r>
        <w:rPr>
          <w:rFonts w:ascii="宋体" w:hAnsi="宋体"/>
          <w:color w:val="000000" w:themeColor="text1"/>
          <w:sz w:val="24"/>
          <w:szCs w:val="24"/>
          <w:highlight w:val="none"/>
          <w14:textFill>
            <w14:solidFill>
              <w14:schemeClr w14:val="tx1"/>
            </w14:solidFill>
          </w14:textFill>
        </w:rPr>
        <w:t>按照法律法规的规定应解除我方保证</w:t>
      </w:r>
      <w:r>
        <w:rPr>
          <w:rFonts w:hint="eastAsia" w:ascii="宋体" w:hAnsi="宋体"/>
          <w:color w:val="000000" w:themeColor="text1"/>
          <w:sz w:val="24"/>
          <w:szCs w:val="24"/>
          <w:highlight w:val="none"/>
          <w14:textFill>
            <w14:solidFill>
              <w14:schemeClr w14:val="tx1"/>
            </w14:solidFill>
          </w14:textFill>
        </w:rPr>
        <w:t>担保</w:t>
      </w:r>
      <w:r>
        <w:rPr>
          <w:rFonts w:ascii="宋体" w:hAnsi="宋体"/>
          <w:color w:val="000000" w:themeColor="text1"/>
          <w:sz w:val="24"/>
          <w:szCs w:val="24"/>
          <w:highlight w:val="none"/>
          <w14:textFill>
            <w14:solidFill>
              <w14:schemeClr w14:val="tx1"/>
            </w14:solidFill>
          </w14:textFill>
        </w:rPr>
        <w:t>责任的其它情形的，我方在本保证担保项下的保证</w:t>
      </w:r>
      <w:r>
        <w:rPr>
          <w:rFonts w:hint="eastAsia" w:ascii="宋体" w:hAnsi="宋体"/>
          <w:color w:val="000000" w:themeColor="text1"/>
          <w:sz w:val="24"/>
          <w:szCs w:val="24"/>
          <w:highlight w:val="none"/>
          <w14:textFill>
            <w14:solidFill>
              <w14:schemeClr w14:val="tx1"/>
            </w14:solidFill>
          </w14:textFill>
        </w:rPr>
        <w:t>担保</w:t>
      </w:r>
      <w:r>
        <w:rPr>
          <w:rFonts w:ascii="宋体" w:hAnsi="宋体"/>
          <w:color w:val="000000" w:themeColor="text1"/>
          <w:sz w:val="24"/>
          <w:szCs w:val="24"/>
          <w:highlight w:val="none"/>
          <w14:textFill>
            <w14:solidFill>
              <w14:schemeClr w14:val="tx1"/>
            </w14:solidFill>
          </w14:textFill>
        </w:rPr>
        <w:t xml:space="preserve">责任亦解除。 </w:t>
      </w:r>
    </w:p>
    <w:p w14:paraId="4D96D91D">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4.我方解除保证责任后，贵方应按上述约定，自我方保证担保责任解除之日起七</w:t>
      </w:r>
      <w:r>
        <w:rPr>
          <w:rFonts w:ascii="宋体" w:hAnsi="宋体"/>
          <w:color w:val="000000" w:themeColor="text1"/>
          <w:sz w:val="24"/>
          <w:szCs w:val="24"/>
          <w:highlight w:val="none"/>
          <w14:textFill>
            <w14:solidFill>
              <w14:schemeClr w14:val="tx1"/>
            </w14:solidFill>
          </w14:textFill>
        </w:rPr>
        <w:t>日内，将本保证担保原件返还我方。但是不论贵方是否按此要求将本保证担保</w:t>
      </w:r>
      <w:r>
        <w:rPr>
          <w:rFonts w:hint="eastAsia" w:ascii="宋体" w:hAnsi="宋体"/>
          <w:color w:val="000000" w:themeColor="text1"/>
          <w:sz w:val="24"/>
          <w:szCs w:val="24"/>
          <w:highlight w:val="none"/>
          <w14:textFill>
            <w14:solidFill>
              <w14:schemeClr w14:val="tx1"/>
            </w14:solidFill>
          </w14:textFill>
        </w:rPr>
        <w:t>原件</w:t>
      </w:r>
      <w:r>
        <w:rPr>
          <w:rFonts w:ascii="宋体" w:hAnsi="宋体"/>
          <w:color w:val="000000" w:themeColor="text1"/>
          <w:sz w:val="24"/>
          <w:szCs w:val="24"/>
          <w:highlight w:val="none"/>
          <w14:textFill>
            <w14:solidFill>
              <w14:schemeClr w14:val="tx1"/>
            </w14:solidFill>
          </w14:textFill>
        </w:rPr>
        <w:t>退回我方，我方在本保证担保项下的义务和责任均</w:t>
      </w:r>
      <w:r>
        <w:rPr>
          <w:rFonts w:hint="eastAsia" w:ascii="宋体" w:hAnsi="宋体"/>
          <w:color w:val="000000" w:themeColor="text1"/>
          <w:sz w:val="24"/>
          <w:szCs w:val="24"/>
          <w:highlight w:val="none"/>
          <w14:textFill>
            <w14:solidFill>
              <w14:schemeClr w14:val="tx1"/>
            </w14:solidFill>
          </w14:textFill>
        </w:rPr>
        <w:t>自保证担保责任解除之日</w:t>
      </w:r>
      <w:r>
        <w:rPr>
          <w:rFonts w:ascii="宋体" w:hAnsi="宋体"/>
          <w:color w:val="000000" w:themeColor="text1"/>
          <w:sz w:val="24"/>
          <w:szCs w:val="24"/>
          <w:highlight w:val="none"/>
          <w14:textFill>
            <w14:solidFill>
              <w14:schemeClr w14:val="tx1"/>
            </w14:solidFill>
          </w14:textFill>
        </w:rPr>
        <w:t>自动消灭。</w:t>
      </w:r>
    </w:p>
    <w:p w14:paraId="05C05715">
      <w:pPr>
        <w:spacing w:line="360" w:lineRule="auto"/>
        <w:ind w:firstLine="482" w:firstLineChars="200"/>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六、免责条款</w:t>
      </w:r>
      <w:r>
        <w:rPr>
          <w:rFonts w:ascii="宋体" w:hAnsi="宋体"/>
          <w:b/>
          <w:bCs/>
          <w:color w:val="000000" w:themeColor="text1"/>
          <w:sz w:val="24"/>
          <w:szCs w:val="24"/>
          <w:highlight w:val="none"/>
          <w14:textFill>
            <w14:solidFill>
              <w14:schemeClr w14:val="tx1"/>
            </w14:solidFill>
          </w14:textFill>
        </w:rPr>
        <w:t xml:space="preserve"> </w:t>
      </w:r>
    </w:p>
    <w:p w14:paraId="7CE78A96">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r>
        <w:rPr>
          <w:rFonts w:ascii="宋体" w:hAnsi="宋体"/>
          <w:color w:val="000000" w:themeColor="text1"/>
          <w:sz w:val="24"/>
          <w:szCs w:val="24"/>
          <w:highlight w:val="none"/>
          <w14:textFill>
            <w14:solidFill>
              <w14:schemeClr w14:val="tx1"/>
            </w14:solidFill>
          </w14:textFill>
        </w:rPr>
        <w:t>因贵方</w:t>
      </w:r>
      <w:r>
        <w:rPr>
          <w:rFonts w:hint="eastAsia" w:ascii="宋体" w:hAnsi="宋体"/>
          <w:color w:val="000000" w:themeColor="text1"/>
          <w:sz w:val="24"/>
          <w:szCs w:val="24"/>
          <w:highlight w:val="none"/>
          <w14:textFill>
            <w14:solidFill>
              <w14:schemeClr w14:val="tx1"/>
            </w14:solidFill>
          </w14:textFill>
        </w:rPr>
        <w:t>原因</w:t>
      </w:r>
      <w:r>
        <w:rPr>
          <w:rFonts w:ascii="宋体" w:hAnsi="宋体"/>
          <w:color w:val="000000" w:themeColor="text1"/>
          <w:sz w:val="24"/>
          <w:szCs w:val="24"/>
          <w:highlight w:val="none"/>
          <w14:textFill>
            <w14:solidFill>
              <w14:schemeClr w14:val="tx1"/>
            </w14:solidFill>
          </w14:textFill>
        </w:rPr>
        <w:t>致使</w:t>
      </w:r>
      <w:r>
        <w:rPr>
          <w:rFonts w:hint="eastAsia" w:ascii="宋体" w:hAnsi="宋体"/>
          <w:color w:val="000000" w:themeColor="text1"/>
          <w:sz w:val="24"/>
          <w:szCs w:val="24"/>
          <w:highlight w:val="none"/>
          <w14:textFill>
            <w14:solidFill>
              <w14:schemeClr w14:val="tx1"/>
            </w14:solidFill>
          </w14:textFill>
        </w:rPr>
        <w:t>发生应承担保证责任情形的</w:t>
      </w:r>
      <w:r>
        <w:rPr>
          <w:rFonts w:ascii="宋体" w:hAnsi="宋体"/>
          <w:color w:val="000000" w:themeColor="text1"/>
          <w:sz w:val="24"/>
          <w:szCs w:val="24"/>
          <w:highlight w:val="none"/>
          <w14:textFill>
            <w14:solidFill>
              <w14:schemeClr w14:val="tx1"/>
            </w14:solidFill>
          </w14:textFill>
        </w:rPr>
        <w:t>，我方不承担保证</w:t>
      </w:r>
      <w:r>
        <w:rPr>
          <w:rFonts w:hint="eastAsia" w:ascii="宋体" w:hAnsi="宋体"/>
          <w:color w:val="000000" w:themeColor="text1"/>
          <w:sz w:val="24"/>
          <w:szCs w:val="24"/>
          <w:highlight w:val="none"/>
          <w14:textFill>
            <w14:solidFill>
              <w14:schemeClr w14:val="tx1"/>
            </w14:solidFill>
          </w14:textFill>
        </w:rPr>
        <w:t>担保</w:t>
      </w:r>
      <w:r>
        <w:rPr>
          <w:rFonts w:ascii="宋体" w:hAnsi="宋体"/>
          <w:color w:val="000000" w:themeColor="text1"/>
          <w:sz w:val="24"/>
          <w:szCs w:val="24"/>
          <w:highlight w:val="none"/>
          <w14:textFill>
            <w14:solidFill>
              <w14:schemeClr w14:val="tx1"/>
            </w14:solidFill>
          </w14:textFill>
        </w:rPr>
        <w:t xml:space="preserve">责任。 </w:t>
      </w:r>
    </w:p>
    <w:p w14:paraId="2155E558">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r>
        <w:rPr>
          <w:rFonts w:ascii="宋体" w:hAnsi="宋体"/>
          <w:color w:val="000000" w:themeColor="text1"/>
          <w:sz w:val="24"/>
          <w:szCs w:val="24"/>
          <w:highlight w:val="none"/>
          <w14:textFill>
            <w14:solidFill>
              <w14:schemeClr w14:val="tx1"/>
            </w14:solidFill>
          </w14:textFill>
        </w:rPr>
        <w:t>依照法律规定或贵方与</w:t>
      </w:r>
      <w:r>
        <w:rPr>
          <w:rFonts w:hint="eastAsia" w:ascii="宋体" w:hAnsi="宋体"/>
          <w:color w:val="000000" w:themeColor="text1"/>
          <w:sz w:val="24"/>
          <w:szCs w:val="24"/>
          <w:highlight w:val="none"/>
          <w14:textFill>
            <w14:solidFill>
              <w14:schemeClr w14:val="tx1"/>
            </w14:solidFill>
          </w14:textFill>
        </w:rPr>
        <w:t>承包</w:t>
      </w:r>
      <w:r>
        <w:rPr>
          <w:rFonts w:ascii="宋体" w:hAnsi="宋体"/>
          <w:color w:val="000000" w:themeColor="text1"/>
          <w:sz w:val="24"/>
          <w:szCs w:val="24"/>
          <w:highlight w:val="none"/>
          <w14:textFill>
            <w14:solidFill>
              <w14:schemeClr w14:val="tx1"/>
            </w14:solidFill>
          </w14:textFill>
        </w:rPr>
        <w:t>人的另行约定，免除</w:t>
      </w:r>
      <w:r>
        <w:rPr>
          <w:rFonts w:hint="eastAsia" w:ascii="宋体" w:hAnsi="宋体"/>
          <w:color w:val="000000" w:themeColor="text1"/>
          <w:sz w:val="24"/>
          <w:szCs w:val="24"/>
          <w:highlight w:val="none"/>
          <w14:textFill>
            <w14:solidFill>
              <w14:schemeClr w14:val="tx1"/>
            </w14:solidFill>
          </w14:textFill>
        </w:rPr>
        <w:t>承包</w:t>
      </w:r>
      <w:r>
        <w:rPr>
          <w:rFonts w:ascii="宋体" w:hAnsi="宋体"/>
          <w:color w:val="000000" w:themeColor="text1"/>
          <w:sz w:val="24"/>
          <w:szCs w:val="24"/>
          <w:highlight w:val="none"/>
          <w14:textFill>
            <w14:solidFill>
              <w14:schemeClr w14:val="tx1"/>
            </w14:solidFill>
          </w14:textFill>
        </w:rPr>
        <w:t>人部分或全部义务的，我方亦免除其相应的保证</w:t>
      </w:r>
      <w:r>
        <w:rPr>
          <w:rFonts w:hint="eastAsia" w:ascii="宋体" w:hAnsi="宋体"/>
          <w:color w:val="000000" w:themeColor="text1"/>
          <w:sz w:val="24"/>
          <w:szCs w:val="24"/>
          <w:highlight w:val="none"/>
          <w14:textFill>
            <w14:solidFill>
              <w14:schemeClr w14:val="tx1"/>
            </w14:solidFill>
          </w14:textFill>
        </w:rPr>
        <w:t>担保</w:t>
      </w:r>
      <w:r>
        <w:rPr>
          <w:rFonts w:ascii="宋体" w:hAnsi="宋体"/>
          <w:color w:val="000000" w:themeColor="text1"/>
          <w:sz w:val="24"/>
          <w:szCs w:val="24"/>
          <w:highlight w:val="none"/>
          <w14:textFill>
            <w14:solidFill>
              <w14:schemeClr w14:val="tx1"/>
            </w14:solidFill>
          </w14:textFill>
        </w:rPr>
        <w:t xml:space="preserve">责任。 </w:t>
      </w:r>
    </w:p>
    <w:p w14:paraId="72607DFB">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r>
        <w:rPr>
          <w:rFonts w:ascii="宋体" w:hAnsi="宋体"/>
          <w:color w:val="000000" w:themeColor="text1"/>
          <w:sz w:val="24"/>
          <w:szCs w:val="24"/>
          <w:highlight w:val="none"/>
          <w14:textFill>
            <w14:solidFill>
              <w14:schemeClr w14:val="tx1"/>
            </w14:solidFill>
          </w14:textFill>
        </w:rPr>
        <w:t>因不可抗力造成</w:t>
      </w:r>
      <w:r>
        <w:rPr>
          <w:rFonts w:hint="eastAsia" w:ascii="宋体" w:hAnsi="宋体"/>
          <w:color w:val="000000" w:themeColor="text1"/>
          <w:sz w:val="24"/>
          <w:szCs w:val="24"/>
          <w:highlight w:val="none"/>
          <w14:textFill>
            <w14:solidFill>
              <w14:schemeClr w14:val="tx1"/>
            </w14:solidFill>
          </w14:textFill>
        </w:rPr>
        <w:t>发生应承担保证责任情形的</w:t>
      </w:r>
      <w:r>
        <w:rPr>
          <w:rFonts w:ascii="宋体" w:hAnsi="宋体"/>
          <w:color w:val="000000" w:themeColor="text1"/>
          <w:sz w:val="24"/>
          <w:szCs w:val="24"/>
          <w:highlight w:val="none"/>
          <w14:textFill>
            <w14:solidFill>
              <w14:schemeClr w14:val="tx1"/>
            </w14:solidFill>
          </w14:textFill>
        </w:rPr>
        <w:t>，我方不承担保证</w:t>
      </w:r>
      <w:r>
        <w:rPr>
          <w:rFonts w:hint="eastAsia" w:ascii="宋体" w:hAnsi="宋体"/>
          <w:color w:val="000000" w:themeColor="text1"/>
          <w:sz w:val="24"/>
          <w:szCs w:val="24"/>
          <w:highlight w:val="none"/>
          <w14:textFill>
            <w14:solidFill>
              <w14:schemeClr w14:val="tx1"/>
            </w14:solidFill>
          </w14:textFill>
        </w:rPr>
        <w:t>担保</w:t>
      </w:r>
      <w:r>
        <w:rPr>
          <w:rFonts w:ascii="宋体" w:hAnsi="宋体"/>
          <w:color w:val="000000" w:themeColor="text1"/>
          <w:sz w:val="24"/>
          <w:szCs w:val="24"/>
          <w:highlight w:val="none"/>
          <w14:textFill>
            <w14:solidFill>
              <w14:schemeClr w14:val="tx1"/>
            </w14:solidFill>
          </w14:textFill>
        </w:rPr>
        <w:t>责任。</w:t>
      </w:r>
    </w:p>
    <w:p w14:paraId="7CD44551">
      <w:pPr>
        <w:spacing w:line="360" w:lineRule="auto"/>
        <w:ind w:firstLine="482" w:firstLineChars="200"/>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七、其他</w:t>
      </w:r>
    </w:p>
    <w:p w14:paraId="05E4206E">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r>
        <w:rPr>
          <w:rFonts w:ascii="宋体" w:hAnsi="宋体"/>
          <w:color w:val="000000" w:themeColor="text1"/>
          <w:sz w:val="24"/>
          <w:szCs w:val="24"/>
          <w:highlight w:val="none"/>
          <w14:textFill>
            <w14:solidFill>
              <w14:schemeClr w14:val="tx1"/>
            </w14:solidFill>
          </w14:textFill>
        </w:rPr>
        <w:t>本保证担保项下的权利不得转让，不得设定担保。贵方未经我方书面同意转让本保证担保或其项下任何权利，</w:t>
      </w:r>
      <w:r>
        <w:rPr>
          <w:rFonts w:hint="eastAsia" w:ascii="宋体" w:hAnsi="宋体"/>
          <w:color w:val="000000" w:themeColor="text1"/>
          <w:sz w:val="24"/>
          <w:szCs w:val="24"/>
          <w:highlight w:val="none"/>
          <w14:textFill>
            <w14:solidFill>
              <w14:schemeClr w14:val="tx1"/>
            </w14:solidFill>
          </w14:textFill>
        </w:rPr>
        <w:t>对我方不发生法律效力</w:t>
      </w:r>
      <w:r>
        <w:rPr>
          <w:rFonts w:ascii="宋体" w:hAnsi="宋体"/>
          <w:color w:val="000000" w:themeColor="text1"/>
          <w:sz w:val="24"/>
          <w:szCs w:val="24"/>
          <w:highlight w:val="none"/>
          <w14:textFill>
            <w14:solidFill>
              <w14:schemeClr w14:val="tx1"/>
            </w14:solidFill>
          </w14:textFill>
        </w:rPr>
        <w:t xml:space="preserve">。 </w:t>
      </w:r>
    </w:p>
    <w:p w14:paraId="7252D4E5">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r>
        <w:rPr>
          <w:rFonts w:ascii="宋体" w:hAnsi="宋体"/>
          <w:color w:val="000000" w:themeColor="text1"/>
          <w:sz w:val="24"/>
          <w:szCs w:val="24"/>
          <w:highlight w:val="none"/>
          <w14:textFill>
            <w14:solidFill>
              <w14:schemeClr w14:val="tx1"/>
            </w14:solidFill>
          </w14:textFill>
        </w:rPr>
        <w:t>.本</w:t>
      </w:r>
      <w:r>
        <w:rPr>
          <w:rFonts w:hint="eastAsia" w:ascii="宋体" w:hAnsi="宋体"/>
          <w:color w:val="000000" w:themeColor="text1"/>
          <w:sz w:val="24"/>
          <w:szCs w:val="24"/>
          <w:highlight w:val="none"/>
          <w14:textFill>
            <w14:solidFill>
              <w14:schemeClr w14:val="tx1"/>
            </w14:solidFill>
          </w14:textFill>
        </w:rPr>
        <w:t>保证担保适用的法律为中华人民共和国法律，争议裁判管辖地为中华人民共和国</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 xml:space="preserve"> </w:t>
      </w:r>
    </w:p>
    <w:p w14:paraId="2D0D3CE0">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r>
        <w:rPr>
          <w:rFonts w:ascii="宋体" w:hAnsi="宋体"/>
          <w:color w:val="000000" w:themeColor="text1"/>
          <w:sz w:val="24"/>
          <w:szCs w:val="24"/>
          <w:highlight w:val="none"/>
          <w14:textFill>
            <w14:solidFill>
              <w14:schemeClr w14:val="tx1"/>
            </w14:solidFill>
          </w14:textFill>
        </w:rPr>
        <w:t>.本</w:t>
      </w:r>
      <w:r>
        <w:rPr>
          <w:rFonts w:hint="eastAsia" w:ascii="宋体" w:hAnsi="宋体"/>
          <w:color w:val="000000" w:themeColor="text1"/>
          <w:sz w:val="24"/>
          <w:szCs w:val="24"/>
          <w:highlight w:val="none"/>
          <w14:textFill>
            <w14:solidFill>
              <w14:schemeClr w14:val="tx1"/>
            </w14:solidFill>
          </w14:textFill>
        </w:rPr>
        <w:t>保证担保</w:t>
      </w:r>
      <w:r>
        <w:rPr>
          <w:rFonts w:ascii="宋体" w:hAnsi="宋体"/>
          <w:color w:val="000000" w:themeColor="text1"/>
          <w:sz w:val="24"/>
          <w:szCs w:val="24"/>
          <w:highlight w:val="none"/>
          <w14:textFill>
            <w14:solidFill>
              <w14:schemeClr w14:val="tx1"/>
            </w14:solidFill>
          </w14:textFill>
        </w:rPr>
        <w:t>自我方法定代表</w:t>
      </w:r>
      <w:r>
        <w:rPr>
          <w:rFonts w:hint="eastAsia" w:ascii="宋体" w:hAnsi="宋体"/>
          <w:color w:val="000000" w:themeColor="text1"/>
          <w:sz w:val="24"/>
          <w:szCs w:val="24"/>
          <w:highlight w:val="none"/>
          <w14:textFill>
            <w14:solidFill>
              <w14:schemeClr w14:val="tx1"/>
            </w14:solidFill>
          </w14:textFill>
        </w:rPr>
        <w:t>人或授权代表</w:t>
      </w:r>
      <w:r>
        <w:rPr>
          <w:rFonts w:ascii="宋体" w:hAnsi="宋体"/>
          <w:color w:val="000000" w:themeColor="text1"/>
          <w:sz w:val="24"/>
          <w:szCs w:val="24"/>
          <w:highlight w:val="none"/>
          <w14:textFill>
            <w14:solidFill>
              <w14:schemeClr w14:val="tx1"/>
            </w14:solidFill>
          </w14:textFill>
        </w:rPr>
        <w:t>签字</w:t>
      </w:r>
      <w:r>
        <w:rPr>
          <w:rFonts w:hint="eastAsia" w:ascii="宋体" w:hAnsi="宋体"/>
          <w:color w:val="000000" w:themeColor="text1"/>
          <w:sz w:val="24"/>
          <w:szCs w:val="24"/>
          <w:highlight w:val="none"/>
          <w14:textFill>
            <w14:solidFill>
              <w14:schemeClr w14:val="tx1"/>
            </w14:solidFill>
          </w14:textFill>
        </w:rPr>
        <w:t>并</w:t>
      </w:r>
      <w:r>
        <w:rPr>
          <w:rFonts w:ascii="宋体" w:hAnsi="宋体"/>
          <w:color w:val="000000" w:themeColor="text1"/>
          <w:sz w:val="24"/>
          <w:szCs w:val="24"/>
          <w:highlight w:val="none"/>
          <w14:textFill>
            <w14:solidFill>
              <w14:schemeClr w14:val="tx1"/>
            </w14:solidFill>
          </w14:textFill>
        </w:rPr>
        <w:t xml:space="preserve">加盖公章之日起生效。 </w:t>
      </w:r>
    </w:p>
    <w:p w14:paraId="737A7D2D">
      <w:pPr>
        <w:spacing w:line="360" w:lineRule="auto"/>
        <w:ind w:firstLine="480" w:firstLineChars="200"/>
        <w:rPr>
          <w:rFonts w:ascii="宋体" w:hAnsi="宋体"/>
          <w:color w:val="000000" w:themeColor="text1"/>
          <w:sz w:val="24"/>
          <w:szCs w:val="24"/>
          <w:highlight w:val="none"/>
          <w14:textFill>
            <w14:solidFill>
              <w14:schemeClr w14:val="tx1"/>
            </w14:solidFill>
          </w14:textFill>
        </w:rPr>
      </w:pPr>
    </w:p>
    <w:p w14:paraId="7FDC2FBA">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保 证 人</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（公</w:t>
      </w:r>
      <w:r>
        <w:rPr>
          <w:rFonts w:ascii="宋体" w:hAnsi="宋体"/>
          <w:color w:val="000000" w:themeColor="text1"/>
          <w:sz w:val="24"/>
          <w:szCs w:val="24"/>
          <w:highlight w:val="none"/>
          <w14:textFill>
            <w14:solidFill>
              <w14:schemeClr w14:val="tx1"/>
            </w14:solidFill>
          </w14:textFill>
        </w:rPr>
        <w:t xml:space="preserve">章） </w:t>
      </w:r>
    </w:p>
    <w:p w14:paraId="0BB80BE7">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法定代表人（或授权代表）：</w:t>
      </w:r>
      <w:r>
        <w:rPr>
          <w:rFonts w:ascii="宋体" w:hAnsi="宋体"/>
          <w:color w:val="000000" w:themeColor="text1"/>
          <w:sz w:val="24"/>
          <w:szCs w:val="24"/>
          <w:highlight w:val="none"/>
          <w14:textFill>
            <w14:solidFill>
              <w14:schemeClr w14:val="tx1"/>
            </w14:solidFill>
          </w14:textFill>
        </w:rPr>
        <w:t xml:space="preserve">               （签字） </w:t>
      </w:r>
    </w:p>
    <w:p w14:paraId="39D92406">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w:t>
      </w:r>
      <w:r>
        <w:rPr>
          <w:rFonts w:ascii="宋体" w:hAnsi="宋体"/>
          <w:color w:val="000000" w:themeColor="text1"/>
          <w:sz w:val="24"/>
          <w:szCs w:val="24"/>
          <w:highlight w:val="none"/>
          <w14:textFill>
            <w14:solidFill>
              <w14:schemeClr w14:val="tx1"/>
            </w14:solidFill>
          </w14:textFill>
        </w:rPr>
        <w:t xml:space="preserve">    址：                                       </w:t>
      </w:r>
    </w:p>
    <w:p w14:paraId="6E7CB84B">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邮政编码：</w:t>
      </w:r>
      <w:r>
        <w:rPr>
          <w:rFonts w:ascii="宋体" w:hAnsi="宋体"/>
          <w:color w:val="000000" w:themeColor="text1"/>
          <w:sz w:val="24"/>
          <w:szCs w:val="24"/>
          <w:highlight w:val="none"/>
          <w14:textFill>
            <w14:solidFill>
              <w14:schemeClr w14:val="tx1"/>
            </w14:solidFill>
          </w14:textFill>
        </w:rPr>
        <w:t xml:space="preserve">                 </w:t>
      </w:r>
    </w:p>
    <w:p w14:paraId="6B228C4C">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w:t>
      </w:r>
      <w:r>
        <w:rPr>
          <w:rFonts w:ascii="宋体" w:hAnsi="宋体"/>
          <w:color w:val="000000" w:themeColor="text1"/>
          <w:sz w:val="24"/>
          <w:szCs w:val="24"/>
          <w:highlight w:val="none"/>
          <w14:textFill>
            <w14:solidFill>
              <w14:schemeClr w14:val="tx1"/>
            </w14:solidFill>
          </w14:textFill>
        </w:rPr>
        <w:t xml:space="preserve">    话：                 </w:t>
      </w:r>
    </w:p>
    <w:p w14:paraId="02C122F2">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传</w:t>
      </w:r>
      <w:r>
        <w:rPr>
          <w:rFonts w:ascii="宋体" w:hAnsi="宋体"/>
          <w:color w:val="000000" w:themeColor="text1"/>
          <w:sz w:val="24"/>
          <w:szCs w:val="24"/>
          <w:highlight w:val="none"/>
          <w14:textFill>
            <w14:solidFill>
              <w14:schemeClr w14:val="tx1"/>
            </w14:solidFill>
          </w14:textFill>
        </w:rPr>
        <w:t xml:space="preserve">    真：                 </w:t>
      </w:r>
    </w:p>
    <w:p w14:paraId="30D2AC99">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时 </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间：</w:t>
      </w:r>
      <w:r>
        <w:rPr>
          <w:rFonts w:ascii="宋体" w:hAnsi="宋体"/>
          <w:color w:val="000000" w:themeColor="text1"/>
          <w:sz w:val="24"/>
          <w:szCs w:val="24"/>
          <w:highlight w:val="none"/>
          <w14:textFill>
            <w14:solidFill>
              <w14:schemeClr w14:val="tx1"/>
            </w14:solidFill>
          </w14:textFill>
        </w:rPr>
        <w:t xml:space="preserve">      年      月        日</w:t>
      </w:r>
    </w:p>
    <w:p w14:paraId="3993149A">
      <w:pPr>
        <w:rPr>
          <w:color w:val="000000" w:themeColor="text1"/>
          <w:highlight w:val="none"/>
          <w14:textFill>
            <w14:solidFill>
              <w14:schemeClr w14:val="tx1"/>
            </w14:solidFill>
          </w14:textFill>
        </w:rPr>
      </w:pPr>
    </w:p>
    <w:p w14:paraId="72FBAFF9">
      <w:pPr>
        <w:spacing w:line="360" w:lineRule="auto"/>
        <w:jc w:val="center"/>
        <w:rPr>
          <w:rFonts w:hint="eastAsia" w:ascii="宋体" w:hAnsi="宋体"/>
          <w:b/>
          <w:bCs/>
          <w:color w:val="000000" w:themeColor="text1"/>
          <w:sz w:val="32"/>
          <w:szCs w:val="32"/>
          <w:highlight w:val="none"/>
          <w14:textFill>
            <w14:solidFill>
              <w14:schemeClr w14:val="tx1"/>
            </w14:solidFill>
          </w14:textFill>
        </w:rPr>
      </w:pPr>
    </w:p>
    <w:p w14:paraId="4F8055F4">
      <w:pPr>
        <w:spacing w:line="440" w:lineRule="exact"/>
        <w:rPr>
          <w:rFonts w:eastAsia="黑体"/>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br w:type="page"/>
      </w:r>
      <w:r>
        <w:rPr>
          <w:rFonts w:hint="eastAsia" w:eastAsia="仿宋_GB2312" w:cs="仿宋_GB2312"/>
          <w:color w:val="000000" w:themeColor="text1"/>
          <w:sz w:val="30"/>
          <w:szCs w:val="30"/>
          <w:highlight w:val="none"/>
          <w14:textFill>
            <w14:solidFill>
              <w14:schemeClr w14:val="tx1"/>
            </w14:solidFill>
          </w14:textFill>
        </w:rPr>
        <w:t>附件</w:t>
      </w:r>
      <w:r>
        <w:rPr>
          <w:rFonts w:hint="eastAsia" w:eastAsia="仿宋_GB2312" w:cs="仿宋_GB2312"/>
          <w:color w:val="000000" w:themeColor="text1"/>
          <w:sz w:val="30"/>
          <w:szCs w:val="30"/>
          <w:highlight w:val="none"/>
          <w:lang w:val="en-US" w:eastAsia="zh-CN"/>
          <w14:textFill>
            <w14:solidFill>
              <w14:schemeClr w14:val="tx1"/>
            </w14:solidFill>
          </w14:textFill>
        </w:rPr>
        <w:t>8</w:t>
      </w:r>
      <w:r>
        <w:rPr>
          <w:rFonts w:hint="eastAsia" w:eastAsia="仿宋_GB2312" w:cs="仿宋_GB2312"/>
          <w:color w:val="000000" w:themeColor="text1"/>
          <w:sz w:val="30"/>
          <w:szCs w:val="30"/>
          <w:highlight w:val="none"/>
          <w14:textFill>
            <w14:solidFill>
              <w14:schemeClr w14:val="tx1"/>
            </w14:solidFill>
          </w14:textFill>
        </w:rPr>
        <w:t>：</w:t>
      </w:r>
    </w:p>
    <w:p w14:paraId="1D747E1B">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p>
    <w:p w14:paraId="289E0EF4">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支付保函示范文本</w:t>
      </w:r>
    </w:p>
    <w:p w14:paraId="5C6C0BEE">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（独立保函）</w:t>
      </w:r>
    </w:p>
    <w:p w14:paraId="12C8B628">
      <w:pPr>
        <w:wordWrap w:val="0"/>
        <w:spacing w:line="360" w:lineRule="auto"/>
        <w:jc w:val="righ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编号： </w:t>
      </w:r>
      <w:r>
        <w:rPr>
          <w:rFonts w:ascii="宋体" w:hAnsi="宋体"/>
          <w:color w:val="000000" w:themeColor="text1"/>
          <w:highlight w:val="none"/>
          <w14:textFill>
            <w14:solidFill>
              <w14:schemeClr w14:val="tx1"/>
            </w14:solidFill>
          </w14:textFill>
        </w:rPr>
        <w:t xml:space="preserve">          </w:t>
      </w:r>
    </w:p>
    <w:p w14:paraId="362C571B">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申请人：</w:t>
      </w:r>
    </w:p>
    <w:p w14:paraId="107EF25D">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地址</w:t>
      </w:r>
      <w:r>
        <w:rPr>
          <w:rFonts w:ascii="宋体" w:hAnsi="宋体"/>
          <w:color w:val="000000" w:themeColor="text1"/>
          <w:sz w:val="24"/>
          <w:szCs w:val="24"/>
          <w:highlight w:val="none"/>
          <w14:textFill>
            <w14:solidFill>
              <w14:schemeClr w14:val="tx1"/>
            </w14:solidFill>
          </w14:textFill>
        </w:rPr>
        <w:t>：</w:t>
      </w:r>
    </w:p>
    <w:p w14:paraId="250C23E3">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受益人：</w:t>
      </w:r>
    </w:p>
    <w:p w14:paraId="066777A4">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地址：</w:t>
      </w:r>
    </w:p>
    <w:p w14:paraId="7320ED3C">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开立人：</w:t>
      </w:r>
    </w:p>
    <w:p w14:paraId="2BE4B46E">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地址：</w:t>
      </w:r>
    </w:p>
    <w:p w14:paraId="36D954D2">
      <w:pPr>
        <w:spacing w:line="360" w:lineRule="auto"/>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 xml:space="preserve"> </w:t>
      </w:r>
    </w:p>
    <w:p w14:paraId="38975CAA">
      <w:pPr>
        <w:spacing w:line="360" w:lineRule="auto"/>
        <w:rPr>
          <w:rFonts w:ascii="宋体" w:hAnsi="宋体"/>
          <w:color w:val="000000" w:themeColor="text1"/>
          <w:sz w:val="24"/>
          <w:szCs w:val="24"/>
          <w:highlight w:val="none"/>
          <w14:textFill>
            <w14:solidFill>
              <w14:schemeClr w14:val="tx1"/>
            </w14:solidFill>
          </w14:textFill>
        </w:rPr>
      </w:pPr>
      <w:bookmarkStart w:id="1707" w:name="_Hlk40355074"/>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受益人</w:t>
      </w:r>
      <w:r>
        <w:rPr>
          <w:rFonts w:ascii="宋体" w:hAnsi="宋体"/>
          <w:color w:val="000000" w:themeColor="text1"/>
          <w:sz w:val="24"/>
          <w:szCs w:val="24"/>
          <w:highlight w:val="none"/>
          <w14:textFill>
            <w14:solidFill>
              <w14:schemeClr w14:val="tx1"/>
            </w14:solidFill>
          </w14:textFill>
        </w:rPr>
        <w:t xml:space="preserve">名称）： </w:t>
      </w:r>
    </w:p>
    <w:bookmarkEnd w:id="1707"/>
    <w:p w14:paraId="076FEFF7">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鉴于</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（以下简称“</w:t>
      </w:r>
      <w:r>
        <w:rPr>
          <w:rFonts w:hint="eastAsia" w:ascii="宋体" w:hAnsi="宋体"/>
          <w:color w:val="000000" w:themeColor="text1"/>
          <w:sz w:val="24"/>
          <w:szCs w:val="24"/>
          <w:highlight w:val="none"/>
          <w14:textFill>
            <w14:solidFill>
              <w14:schemeClr w14:val="tx1"/>
            </w14:solidFill>
          </w14:textFill>
        </w:rPr>
        <w:t>受益人</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与</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（以下简称“</w:t>
      </w:r>
      <w:r>
        <w:rPr>
          <w:rFonts w:hint="eastAsia" w:ascii="宋体" w:hAnsi="宋体"/>
          <w:color w:val="000000" w:themeColor="text1"/>
          <w:sz w:val="24"/>
          <w:szCs w:val="24"/>
          <w:highlight w:val="none"/>
          <w14:textFill>
            <w14:solidFill>
              <w14:schemeClr w14:val="tx1"/>
            </w14:solidFill>
          </w14:textFill>
        </w:rPr>
        <w:t>申请人</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于</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年</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日就</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工程（以下简称“本工程”）施工和有关事项协商一致共同签订</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u w:val="singl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（以下简称基础合同”），我方（即“开立人”）根据基础合同了解到申请人为基础合同项下之发包人，受益人为基础合同项下之承包人，基于申请人</w:t>
      </w:r>
      <w:r>
        <w:rPr>
          <w:rFonts w:ascii="宋体" w:hAnsi="宋体"/>
          <w:color w:val="000000" w:themeColor="text1"/>
          <w:sz w:val="24"/>
          <w:szCs w:val="24"/>
          <w:highlight w:val="none"/>
          <w14:textFill>
            <w14:solidFill>
              <w14:schemeClr w14:val="tx1"/>
            </w14:solidFill>
          </w14:textFill>
        </w:rPr>
        <w:t>的请求，我方同意就</w:t>
      </w:r>
      <w:r>
        <w:rPr>
          <w:rFonts w:hint="eastAsia" w:ascii="宋体" w:hAnsi="宋体"/>
          <w:color w:val="000000" w:themeColor="text1"/>
          <w:sz w:val="24"/>
          <w:szCs w:val="24"/>
          <w:highlight w:val="none"/>
          <w14:textFill>
            <w14:solidFill>
              <w14:schemeClr w14:val="tx1"/>
            </w14:solidFill>
          </w14:textFill>
        </w:rPr>
        <w:t>申请人</w:t>
      </w:r>
      <w:r>
        <w:rPr>
          <w:rFonts w:ascii="宋体" w:hAnsi="宋体"/>
          <w:color w:val="000000" w:themeColor="text1"/>
          <w:sz w:val="24"/>
          <w:szCs w:val="24"/>
          <w:highlight w:val="none"/>
          <w14:textFill>
            <w14:solidFill>
              <w14:schemeClr w14:val="tx1"/>
            </w14:solidFill>
          </w14:textFill>
        </w:rPr>
        <w:t>履行</w:t>
      </w:r>
      <w:r>
        <w:rPr>
          <w:rFonts w:hint="eastAsia" w:ascii="宋体" w:hAnsi="宋体"/>
          <w:color w:val="000000" w:themeColor="text1"/>
          <w:sz w:val="24"/>
          <w:szCs w:val="24"/>
          <w:highlight w:val="none"/>
          <w14:textFill>
            <w14:solidFill>
              <w14:schemeClr w14:val="tx1"/>
            </w14:solidFill>
          </w14:textFill>
        </w:rPr>
        <w:t>与贵方签订的基础合同</w:t>
      </w:r>
      <w:r>
        <w:rPr>
          <w:rFonts w:ascii="宋体" w:hAnsi="宋体"/>
          <w:color w:val="000000" w:themeColor="text1"/>
          <w:sz w:val="24"/>
          <w:szCs w:val="24"/>
          <w:highlight w:val="none"/>
          <w14:textFill>
            <w14:solidFill>
              <w14:schemeClr w14:val="tx1"/>
            </w14:solidFill>
          </w14:textFill>
        </w:rPr>
        <w:t>项下的</w:t>
      </w:r>
      <w:r>
        <w:rPr>
          <w:rFonts w:hint="eastAsia" w:ascii="宋体" w:hAnsi="宋体"/>
          <w:color w:val="000000" w:themeColor="text1"/>
          <w:sz w:val="24"/>
          <w:szCs w:val="24"/>
          <w:highlight w:val="none"/>
          <w14:textFill>
            <w14:solidFill>
              <w14:schemeClr w14:val="tx1"/>
            </w14:solidFill>
          </w14:textFill>
        </w:rPr>
        <w:t>工程款（指基础合同约定的除</w:t>
      </w:r>
      <w:r>
        <w:rPr>
          <w:rFonts w:hint="eastAsia" w:ascii="宋体" w:hAnsi="宋体"/>
          <w:color w:val="000000" w:themeColor="text1"/>
          <w:sz w:val="24"/>
          <w:szCs w:val="24"/>
          <w:highlight w:val="none"/>
          <w:lang w:eastAsia="zh-CN"/>
          <w14:textFill>
            <w14:solidFill>
              <w14:schemeClr w14:val="tx1"/>
            </w14:solidFill>
          </w14:textFill>
        </w:rPr>
        <w:t>工程质量保证金</w:t>
      </w:r>
      <w:r>
        <w:rPr>
          <w:rFonts w:hint="eastAsia" w:ascii="宋体" w:hAnsi="宋体"/>
          <w:color w:val="000000" w:themeColor="text1"/>
          <w:sz w:val="24"/>
          <w:szCs w:val="24"/>
          <w:highlight w:val="none"/>
          <w14:textFill>
            <w14:solidFill>
              <w14:schemeClr w14:val="tx1"/>
            </w14:solidFill>
          </w14:textFill>
        </w:rPr>
        <w:t>以外的工程款）付款</w:t>
      </w:r>
      <w:r>
        <w:rPr>
          <w:rFonts w:ascii="宋体" w:hAnsi="宋体"/>
          <w:color w:val="000000" w:themeColor="text1"/>
          <w:sz w:val="24"/>
          <w:szCs w:val="24"/>
          <w:highlight w:val="none"/>
          <w14:textFill>
            <w14:solidFill>
              <w14:schemeClr w14:val="tx1"/>
            </w14:solidFill>
          </w14:textFill>
        </w:rPr>
        <w:t>义务</w:t>
      </w:r>
      <w:r>
        <w:rPr>
          <w:rFonts w:hint="eastAsia" w:ascii="宋体" w:hAnsi="宋体"/>
          <w:color w:val="000000" w:themeColor="text1"/>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向贵方提供不可撤销、</w:t>
      </w:r>
      <w:r>
        <w:rPr>
          <w:rFonts w:hint="eastAsia" w:ascii="宋体" w:hAnsi="宋体"/>
          <w:color w:val="000000" w:themeColor="text1"/>
          <w:sz w:val="24"/>
          <w:szCs w:val="24"/>
          <w:highlight w:val="none"/>
          <w14:textFill>
            <w14:solidFill>
              <w14:schemeClr w14:val="tx1"/>
            </w14:solidFill>
          </w14:textFill>
        </w:rPr>
        <w:t>不可转让的见索即付</w:t>
      </w:r>
      <w:r>
        <w:rPr>
          <w:rFonts w:ascii="宋体" w:hAnsi="宋体"/>
          <w:color w:val="000000" w:themeColor="text1"/>
          <w:sz w:val="24"/>
          <w:szCs w:val="24"/>
          <w:highlight w:val="none"/>
          <w14:textFill>
            <w14:solidFill>
              <w14:schemeClr w14:val="tx1"/>
            </w14:solidFill>
          </w14:textFill>
        </w:rPr>
        <w:t>独立</w:t>
      </w:r>
      <w:r>
        <w:rPr>
          <w:rFonts w:hint="eastAsia" w:ascii="宋体" w:hAnsi="宋体"/>
          <w:color w:val="000000" w:themeColor="text1"/>
          <w:sz w:val="24"/>
          <w:szCs w:val="24"/>
          <w:highlight w:val="none"/>
          <w14:textFill>
            <w14:solidFill>
              <w14:schemeClr w14:val="tx1"/>
            </w14:solidFill>
          </w14:textFill>
        </w:rPr>
        <w:t>保函（以下简称“本保函”）</w:t>
      </w:r>
      <w:r>
        <w:rPr>
          <w:rFonts w:ascii="宋体" w:hAnsi="宋体"/>
          <w:color w:val="000000" w:themeColor="text1"/>
          <w:sz w:val="24"/>
          <w:szCs w:val="24"/>
          <w:highlight w:val="none"/>
          <w14:textFill>
            <w14:solidFill>
              <w14:schemeClr w14:val="tx1"/>
            </w14:solidFill>
          </w14:textFill>
        </w:rPr>
        <w:t xml:space="preserve">。 </w:t>
      </w:r>
    </w:p>
    <w:p w14:paraId="2F5EC555">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一、本保函担保范围：申请人未履行基础合同约定的工程款支付义务，应当向贵方承担的违约责任和赔偿因此造成的损失、利息、律师费、诉讼费用等实现债权的费用。</w:t>
      </w:r>
    </w:p>
    <w:p w14:paraId="238875FE">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二、本保函担保金额最高不超过</w:t>
      </w:r>
      <w:r>
        <w:rPr>
          <w:rFonts w:ascii="宋体" w:hAnsi="宋体"/>
          <w:color w:val="000000" w:themeColor="text1"/>
          <w:sz w:val="24"/>
          <w:szCs w:val="24"/>
          <w:highlight w:val="none"/>
          <w14:textFill>
            <w14:solidFill>
              <w14:schemeClr w14:val="tx1"/>
            </w14:solidFill>
          </w14:textFill>
        </w:rPr>
        <w:t>人民币（大写）</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元（¥</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 xml:space="preserve">）。 </w:t>
      </w:r>
    </w:p>
    <w:p w14:paraId="34846006">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三、本保函</w:t>
      </w:r>
      <w:r>
        <w:rPr>
          <w:rFonts w:ascii="宋体" w:hAnsi="宋体"/>
          <w:color w:val="000000" w:themeColor="text1"/>
          <w:sz w:val="24"/>
          <w:szCs w:val="24"/>
          <w:highlight w:val="none"/>
          <w14:textFill>
            <w14:solidFill>
              <w14:schemeClr w14:val="tx1"/>
            </w14:solidFill>
          </w14:textFill>
        </w:rPr>
        <w:t>有效期自</w:t>
      </w:r>
      <w:r>
        <w:rPr>
          <w:rFonts w:hint="eastAsia" w:ascii="宋体" w:hAnsi="宋体"/>
          <w:color w:val="000000" w:themeColor="text1"/>
          <w:sz w:val="24"/>
          <w:szCs w:val="24"/>
          <w:highlight w:val="none"/>
          <w14:textFill>
            <w14:solidFill>
              <w14:schemeClr w14:val="tx1"/>
            </w14:solidFill>
          </w14:textFill>
        </w:rPr>
        <w:t>开立之日起</w:t>
      </w:r>
      <w:r>
        <w:rPr>
          <w:rFonts w:ascii="宋体" w:hAnsi="宋体"/>
          <w:color w:val="000000" w:themeColor="text1"/>
          <w:sz w:val="24"/>
          <w:szCs w:val="24"/>
          <w:highlight w:val="none"/>
          <w14:textFill>
            <w14:solidFill>
              <w14:schemeClr w14:val="tx1"/>
            </w14:solidFill>
          </w14:textFill>
        </w:rPr>
        <w:t>至</w:t>
      </w:r>
      <w:r>
        <w:rPr>
          <w:rFonts w:hint="eastAsia" w:ascii="宋体" w:hAnsi="宋体"/>
          <w:color w:val="000000" w:themeColor="text1"/>
          <w:sz w:val="24"/>
          <w:szCs w:val="24"/>
          <w:highlight w:val="none"/>
          <w14:textFill>
            <w14:solidFill>
              <w14:schemeClr w14:val="tx1"/>
            </w14:solidFill>
          </w14:textFill>
        </w:rPr>
        <w:t>基础合同约定的除</w:t>
      </w:r>
      <w:r>
        <w:rPr>
          <w:rFonts w:hint="eastAsia" w:ascii="宋体" w:hAnsi="宋体"/>
          <w:color w:val="000000" w:themeColor="text1"/>
          <w:sz w:val="24"/>
          <w:szCs w:val="24"/>
          <w:highlight w:val="none"/>
          <w:lang w:eastAsia="zh-CN"/>
          <w14:textFill>
            <w14:solidFill>
              <w14:schemeClr w14:val="tx1"/>
            </w14:solidFill>
          </w14:textFill>
        </w:rPr>
        <w:t>工程质量保证金</w:t>
      </w:r>
      <w:r>
        <w:rPr>
          <w:rFonts w:hint="eastAsia" w:ascii="宋体" w:hAnsi="宋体"/>
          <w:color w:val="000000" w:themeColor="text1"/>
          <w:sz w:val="24"/>
          <w:szCs w:val="24"/>
          <w:highlight w:val="none"/>
          <w14:textFill>
            <w14:solidFill>
              <w14:schemeClr w14:val="tx1"/>
            </w14:solidFill>
          </w14:textFill>
        </w:rPr>
        <w:t>以外的全部工程结算款项支付之日后</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日</w:t>
      </w:r>
      <w:r>
        <w:rPr>
          <w:rFonts w:hint="eastAsia" w:ascii="宋体" w:hAnsi="宋体"/>
          <w:color w:val="000000" w:themeColor="text1"/>
          <w:sz w:val="24"/>
          <w:szCs w:val="24"/>
          <w:highlight w:val="none"/>
          <w14:textFill>
            <w14:solidFill>
              <w14:schemeClr w14:val="tx1"/>
            </w14:solidFill>
          </w14:textFill>
        </w:rPr>
        <w:t>止，最迟不超过</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年</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r>
        <w:rPr>
          <w:rFonts w:ascii="宋体" w:hAnsi="宋体"/>
          <w:color w:val="000000" w:themeColor="text1"/>
          <w:sz w:val="24"/>
          <w:szCs w:val="24"/>
          <w:highlight w:val="none"/>
          <w14:textFill>
            <w14:solidFill>
              <w14:schemeClr w14:val="tx1"/>
            </w14:solidFill>
          </w14:textFill>
        </w:rPr>
        <w:t xml:space="preserve">。 </w:t>
      </w:r>
    </w:p>
    <w:p w14:paraId="0050C3EA">
      <w:pPr>
        <w:spacing w:line="360" w:lineRule="auto"/>
        <w:ind w:firstLine="48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四、我方承诺，在收到受益人发来的书面付款通知后的</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日内无条件支付，前述书面付款通知即为付款要求之单据，且应满足以下要求：</w:t>
      </w:r>
    </w:p>
    <w:p w14:paraId="0408DE51">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（1）付款通知到达的日期在本保函的有效期内；</w:t>
      </w:r>
    </w:p>
    <w:p w14:paraId="0173189C">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（2）载明要求支付的金额；</w:t>
      </w:r>
    </w:p>
    <w:p w14:paraId="30A33C60">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（3）载明申请人违反合同义务的条款和内容；</w:t>
      </w:r>
    </w:p>
    <w:p w14:paraId="1B15AFA2">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（4）声明不存在合同文件约定或我国法律规定免除申请人或开立人支付责任的情形；</w:t>
      </w:r>
    </w:p>
    <w:p w14:paraId="11CACED0">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（5）付款通知应在本保函有效期内到达的地址是：</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w:t>
      </w:r>
    </w:p>
    <w:p w14:paraId="1CCD732D">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受益人发出的书面付款通知应由其为鉴明受益人法定代表人（负责人）或授权代理人签字并加盖公章。</w:t>
      </w:r>
    </w:p>
    <w:p w14:paraId="02F92107">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五、</w:t>
      </w:r>
      <w:r>
        <w:rPr>
          <w:rFonts w:ascii="宋体" w:hAnsi="宋体"/>
          <w:color w:val="000000" w:themeColor="text1"/>
          <w:sz w:val="24"/>
          <w:szCs w:val="24"/>
          <w:highlight w:val="none"/>
          <w14:textFill>
            <w14:solidFill>
              <w14:schemeClr w14:val="tx1"/>
            </w14:solidFill>
          </w14:textFill>
        </w:rPr>
        <w:t>本保函项下的权利不得转让，不得设定担保。贵方未经我方书面同意转 让本保函或其项下任何权利，</w:t>
      </w:r>
      <w:r>
        <w:rPr>
          <w:rFonts w:hint="eastAsia" w:ascii="宋体" w:hAnsi="宋体"/>
          <w:color w:val="000000" w:themeColor="text1"/>
          <w:sz w:val="24"/>
          <w:szCs w:val="24"/>
          <w:highlight w:val="none"/>
          <w14:textFill>
            <w14:solidFill>
              <w14:schemeClr w14:val="tx1"/>
            </w14:solidFill>
          </w14:textFill>
        </w:rPr>
        <w:t>对我方不发生法律效力</w:t>
      </w:r>
      <w:r>
        <w:rPr>
          <w:rFonts w:ascii="宋体" w:hAnsi="宋体"/>
          <w:color w:val="000000" w:themeColor="text1"/>
          <w:sz w:val="24"/>
          <w:szCs w:val="24"/>
          <w:highlight w:val="none"/>
          <w14:textFill>
            <w14:solidFill>
              <w14:schemeClr w14:val="tx1"/>
            </w14:solidFill>
          </w14:textFill>
        </w:rPr>
        <w:t xml:space="preserve">。 </w:t>
      </w:r>
    </w:p>
    <w:p w14:paraId="489EF902">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六、与</w:t>
      </w:r>
      <w:r>
        <w:rPr>
          <w:rFonts w:ascii="宋体" w:hAnsi="宋体"/>
          <w:color w:val="000000" w:themeColor="text1"/>
          <w:sz w:val="24"/>
          <w:szCs w:val="24"/>
          <w:highlight w:val="none"/>
          <w14:textFill>
            <w14:solidFill>
              <w14:schemeClr w14:val="tx1"/>
            </w14:solidFill>
          </w14:textFill>
        </w:rPr>
        <w:t>本保函</w:t>
      </w:r>
      <w:r>
        <w:rPr>
          <w:rFonts w:hint="eastAsia" w:ascii="宋体" w:hAnsi="宋体"/>
          <w:color w:val="000000" w:themeColor="text1"/>
          <w:sz w:val="24"/>
          <w:szCs w:val="24"/>
          <w:highlight w:val="none"/>
          <w14:textFill>
            <w14:solidFill>
              <w14:schemeClr w14:val="tx1"/>
            </w14:solidFill>
          </w14:textFill>
        </w:rPr>
        <w:t>有关</w:t>
      </w:r>
      <w:r>
        <w:rPr>
          <w:rFonts w:ascii="宋体" w:hAnsi="宋体"/>
          <w:color w:val="000000" w:themeColor="text1"/>
          <w:sz w:val="24"/>
          <w:szCs w:val="24"/>
          <w:highlight w:val="none"/>
          <w14:textFill>
            <w14:solidFill>
              <w14:schemeClr w14:val="tx1"/>
            </w14:solidFill>
          </w14:textFill>
        </w:rPr>
        <w:t>的基础</w:t>
      </w:r>
      <w:r>
        <w:rPr>
          <w:rFonts w:hint="eastAsia" w:ascii="宋体" w:hAnsi="宋体"/>
          <w:color w:val="000000" w:themeColor="text1"/>
          <w:sz w:val="24"/>
          <w:szCs w:val="24"/>
          <w:highlight w:val="none"/>
          <w14:textFill>
            <w14:solidFill>
              <w14:schemeClr w14:val="tx1"/>
            </w14:solidFill>
          </w14:textFill>
        </w:rPr>
        <w:t>合同</w:t>
      </w:r>
      <w:r>
        <w:rPr>
          <w:rFonts w:ascii="宋体" w:hAnsi="宋体"/>
          <w:color w:val="000000" w:themeColor="text1"/>
          <w:sz w:val="24"/>
          <w:szCs w:val="24"/>
          <w:highlight w:val="none"/>
          <w14:textFill>
            <w14:solidFill>
              <w14:schemeClr w14:val="tx1"/>
            </w14:solidFill>
          </w14:textFill>
        </w:rPr>
        <w:t xml:space="preserve">不成立、不生效、无效、被撤销、被解除，不影响本保函的独立有效。 </w:t>
      </w:r>
    </w:p>
    <w:p w14:paraId="31B74562">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七、</w:t>
      </w:r>
      <w:r>
        <w:rPr>
          <w:rFonts w:ascii="宋体" w:hAnsi="宋体"/>
          <w:color w:val="000000" w:themeColor="text1"/>
          <w:sz w:val="24"/>
          <w:szCs w:val="24"/>
          <w:highlight w:val="none"/>
          <w14:textFill>
            <w14:solidFill>
              <w14:schemeClr w14:val="tx1"/>
            </w14:solidFill>
          </w14:textFill>
        </w:rPr>
        <w:t>贵方应在本保函到期后的七日内将本保函正本退回我方注销，但是不论贵方是否按此要求将本保函正本退回我方，我方在本保函项下的义务和责任均在保函</w:t>
      </w:r>
      <w:r>
        <w:rPr>
          <w:rFonts w:hint="eastAsia" w:ascii="宋体" w:hAnsi="宋体"/>
          <w:color w:val="000000" w:themeColor="text1"/>
          <w:sz w:val="24"/>
          <w:szCs w:val="24"/>
          <w:highlight w:val="none"/>
          <w14:textFill>
            <w14:solidFill>
              <w14:schemeClr w14:val="tx1"/>
            </w14:solidFill>
          </w14:textFill>
        </w:rPr>
        <w:t>有效期</w:t>
      </w:r>
      <w:r>
        <w:rPr>
          <w:rFonts w:ascii="宋体" w:hAnsi="宋体"/>
          <w:color w:val="000000" w:themeColor="text1"/>
          <w:sz w:val="24"/>
          <w:szCs w:val="24"/>
          <w:highlight w:val="none"/>
          <w14:textFill>
            <w14:solidFill>
              <w14:schemeClr w14:val="tx1"/>
            </w14:solidFill>
          </w14:textFill>
        </w:rPr>
        <w:t xml:space="preserve">到期后自动消灭。 </w:t>
      </w:r>
    </w:p>
    <w:p w14:paraId="08A9AA56">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八、</w:t>
      </w:r>
      <w:r>
        <w:rPr>
          <w:rFonts w:ascii="宋体" w:hAnsi="宋体"/>
          <w:color w:val="000000" w:themeColor="text1"/>
          <w:sz w:val="24"/>
          <w:szCs w:val="24"/>
          <w:highlight w:val="none"/>
          <w14:textFill>
            <w14:solidFill>
              <w14:schemeClr w14:val="tx1"/>
            </w14:solidFill>
          </w14:textFill>
        </w:rPr>
        <w:t>本保函</w:t>
      </w:r>
      <w:r>
        <w:rPr>
          <w:rFonts w:hint="eastAsia" w:ascii="宋体" w:hAnsi="宋体"/>
          <w:color w:val="000000" w:themeColor="text1"/>
          <w:sz w:val="24"/>
          <w:szCs w:val="24"/>
          <w:highlight w:val="none"/>
          <w14:textFill>
            <w14:solidFill>
              <w14:schemeClr w14:val="tx1"/>
            </w14:solidFill>
          </w14:textFill>
        </w:rPr>
        <w:t>适用的法律为中华人民共和国法律，争议裁判管辖地为中华人民共和国</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 xml:space="preserve">。 </w:t>
      </w:r>
    </w:p>
    <w:p w14:paraId="3A6A8ECA">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九、</w:t>
      </w:r>
      <w:r>
        <w:rPr>
          <w:rFonts w:ascii="宋体" w:hAnsi="宋体"/>
          <w:color w:val="000000" w:themeColor="text1"/>
          <w:sz w:val="24"/>
          <w:szCs w:val="24"/>
          <w:highlight w:val="none"/>
          <w14:textFill>
            <w14:solidFill>
              <w14:schemeClr w14:val="tx1"/>
            </w14:solidFill>
          </w14:textFill>
        </w:rPr>
        <w:t>本保函自我方法定代表人</w:t>
      </w:r>
      <w:bookmarkStart w:id="1708" w:name="_Hlk58487855"/>
      <w:r>
        <w:rPr>
          <w:rFonts w:hint="eastAsia" w:ascii="宋体" w:hAnsi="宋体"/>
          <w:color w:val="000000" w:themeColor="text1"/>
          <w:sz w:val="24"/>
          <w:szCs w:val="24"/>
          <w:highlight w:val="none"/>
          <w14:textFill>
            <w14:solidFill>
              <w14:schemeClr w14:val="tx1"/>
            </w14:solidFill>
          </w14:textFill>
        </w:rPr>
        <w:t>或授权代表</w:t>
      </w:r>
      <w:bookmarkEnd w:id="1708"/>
      <w:r>
        <w:rPr>
          <w:rFonts w:ascii="宋体" w:hAnsi="宋体"/>
          <w:color w:val="000000" w:themeColor="text1"/>
          <w:sz w:val="24"/>
          <w:szCs w:val="24"/>
          <w:highlight w:val="none"/>
          <w14:textFill>
            <w14:solidFill>
              <w14:schemeClr w14:val="tx1"/>
            </w14:solidFill>
          </w14:textFill>
        </w:rPr>
        <w:t>签字</w:t>
      </w:r>
      <w:r>
        <w:rPr>
          <w:rFonts w:hint="eastAsia" w:ascii="宋体" w:hAnsi="宋体"/>
          <w:color w:val="000000" w:themeColor="text1"/>
          <w:sz w:val="24"/>
          <w:szCs w:val="24"/>
          <w:highlight w:val="none"/>
          <w14:textFill>
            <w14:solidFill>
              <w14:schemeClr w14:val="tx1"/>
            </w14:solidFill>
          </w14:textFill>
        </w:rPr>
        <w:t>并</w:t>
      </w:r>
      <w:r>
        <w:rPr>
          <w:rFonts w:ascii="宋体" w:hAnsi="宋体"/>
          <w:color w:val="000000" w:themeColor="text1"/>
          <w:sz w:val="24"/>
          <w:szCs w:val="24"/>
          <w:highlight w:val="none"/>
          <w14:textFill>
            <w14:solidFill>
              <w14:schemeClr w14:val="tx1"/>
            </w14:solidFill>
          </w14:textFill>
        </w:rPr>
        <w:t xml:space="preserve">加盖公章之日起生效。 </w:t>
      </w:r>
    </w:p>
    <w:p w14:paraId="6C530E53">
      <w:pPr>
        <w:spacing w:line="360" w:lineRule="auto"/>
        <w:ind w:firstLine="480" w:firstLineChars="200"/>
        <w:rPr>
          <w:rFonts w:ascii="宋体" w:hAnsi="宋体"/>
          <w:color w:val="000000" w:themeColor="text1"/>
          <w:sz w:val="24"/>
          <w:szCs w:val="24"/>
          <w:highlight w:val="none"/>
          <w14:textFill>
            <w14:solidFill>
              <w14:schemeClr w14:val="tx1"/>
            </w14:solidFill>
          </w14:textFill>
        </w:rPr>
      </w:pPr>
    </w:p>
    <w:p w14:paraId="2E6DB9B8">
      <w:pPr>
        <w:spacing w:line="360" w:lineRule="auto"/>
        <w:ind w:firstLine="480" w:firstLineChars="200"/>
        <w:rPr>
          <w:rFonts w:ascii="宋体" w:hAnsi="宋体"/>
          <w:color w:val="000000" w:themeColor="text1"/>
          <w:sz w:val="24"/>
          <w:szCs w:val="24"/>
          <w:highlight w:val="none"/>
          <w14:textFill>
            <w14:solidFill>
              <w14:schemeClr w14:val="tx1"/>
            </w14:solidFill>
          </w14:textFill>
        </w:rPr>
      </w:pPr>
    </w:p>
    <w:p w14:paraId="13C2819C">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 立 人</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公</w:t>
      </w:r>
      <w:r>
        <w:rPr>
          <w:rFonts w:ascii="宋体" w:hAnsi="宋体"/>
          <w:color w:val="000000" w:themeColor="text1"/>
          <w:sz w:val="24"/>
          <w:szCs w:val="24"/>
          <w:highlight w:val="none"/>
          <w14:textFill>
            <w14:solidFill>
              <w14:schemeClr w14:val="tx1"/>
            </w14:solidFill>
          </w14:textFill>
        </w:rPr>
        <w:t xml:space="preserve">章） </w:t>
      </w:r>
    </w:p>
    <w:p w14:paraId="0F0DF45F">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法定代表人（或授权代表）：</w:t>
      </w:r>
      <w:r>
        <w:rPr>
          <w:rFonts w:ascii="宋体" w:hAnsi="宋体"/>
          <w:color w:val="000000" w:themeColor="text1"/>
          <w:sz w:val="24"/>
          <w:szCs w:val="24"/>
          <w:highlight w:val="none"/>
          <w14:textFill>
            <w14:solidFill>
              <w14:schemeClr w14:val="tx1"/>
            </w14:solidFill>
          </w14:textFill>
        </w:rPr>
        <w:t xml:space="preserve">               （签字） </w:t>
      </w:r>
    </w:p>
    <w:p w14:paraId="2D105521">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w:t>
      </w:r>
      <w:r>
        <w:rPr>
          <w:rFonts w:ascii="宋体" w:hAnsi="宋体"/>
          <w:color w:val="000000" w:themeColor="text1"/>
          <w:sz w:val="24"/>
          <w:szCs w:val="24"/>
          <w:highlight w:val="none"/>
          <w14:textFill>
            <w14:solidFill>
              <w14:schemeClr w14:val="tx1"/>
            </w14:solidFill>
          </w14:textFill>
        </w:rPr>
        <w:t xml:space="preserve">    址：                                       </w:t>
      </w:r>
    </w:p>
    <w:p w14:paraId="38169D37">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邮政编码：</w:t>
      </w:r>
      <w:r>
        <w:rPr>
          <w:rFonts w:ascii="宋体" w:hAnsi="宋体"/>
          <w:color w:val="000000" w:themeColor="text1"/>
          <w:sz w:val="24"/>
          <w:szCs w:val="24"/>
          <w:highlight w:val="none"/>
          <w14:textFill>
            <w14:solidFill>
              <w14:schemeClr w14:val="tx1"/>
            </w14:solidFill>
          </w14:textFill>
        </w:rPr>
        <w:t xml:space="preserve">                 </w:t>
      </w:r>
    </w:p>
    <w:p w14:paraId="2D75A7FD">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w:t>
      </w:r>
      <w:r>
        <w:rPr>
          <w:rFonts w:ascii="宋体" w:hAnsi="宋体"/>
          <w:color w:val="000000" w:themeColor="text1"/>
          <w:sz w:val="24"/>
          <w:szCs w:val="24"/>
          <w:highlight w:val="none"/>
          <w14:textFill>
            <w14:solidFill>
              <w14:schemeClr w14:val="tx1"/>
            </w14:solidFill>
          </w14:textFill>
        </w:rPr>
        <w:t xml:space="preserve">    话：                 </w:t>
      </w:r>
    </w:p>
    <w:p w14:paraId="220D6C0B">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传</w:t>
      </w:r>
      <w:r>
        <w:rPr>
          <w:rFonts w:ascii="宋体" w:hAnsi="宋体"/>
          <w:color w:val="000000" w:themeColor="text1"/>
          <w:sz w:val="24"/>
          <w:szCs w:val="24"/>
          <w:highlight w:val="none"/>
          <w14:textFill>
            <w14:solidFill>
              <w14:schemeClr w14:val="tx1"/>
            </w14:solidFill>
          </w14:textFill>
        </w:rPr>
        <w:t xml:space="preserve">    真：                 </w:t>
      </w:r>
    </w:p>
    <w:p w14:paraId="22EB8AE5">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开立时间：</w:t>
      </w:r>
      <w:r>
        <w:rPr>
          <w:rFonts w:ascii="宋体" w:hAnsi="宋体"/>
          <w:color w:val="000000" w:themeColor="text1"/>
          <w:sz w:val="24"/>
          <w:szCs w:val="24"/>
          <w:highlight w:val="none"/>
          <w14:textFill>
            <w14:solidFill>
              <w14:schemeClr w14:val="tx1"/>
            </w14:solidFill>
          </w14:textFill>
        </w:rPr>
        <w:t xml:space="preserve">      年      月        日</w:t>
      </w:r>
    </w:p>
    <w:p w14:paraId="21CC5266">
      <w:pPr>
        <w:spacing w:line="360" w:lineRule="auto"/>
        <w:ind w:firstLine="480" w:firstLineChars="200"/>
        <w:rPr>
          <w:rFonts w:ascii="宋体" w:hAnsi="宋体"/>
          <w:color w:val="000000" w:themeColor="text1"/>
          <w:sz w:val="24"/>
          <w:szCs w:val="24"/>
          <w:highlight w:val="none"/>
          <w14:textFill>
            <w14:solidFill>
              <w14:schemeClr w14:val="tx1"/>
            </w14:solidFill>
          </w14:textFill>
        </w:rPr>
      </w:pPr>
    </w:p>
    <w:p w14:paraId="0179AA97">
      <w:pPr>
        <w:spacing w:line="360" w:lineRule="auto"/>
        <w:jc w:val="left"/>
        <w:rPr>
          <w:rFonts w:hint="eastAsia" w:ascii="黑体" w:hAnsi="黑体" w:eastAsia="黑体" w:cs="黑体"/>
          <w:b/>
          <w:bCs/>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br w:type="page"/>
      </w:r>
      <w:r>
        <w:rPr>
          <w:rFonts w:hint="eastAsia" w:ascii="黑体" w:hAnsi="黑体" w:eastAsia="黑体" w:cs="黑体"/>
          <w:color w:val="000000" w:themeColor="text1"/>
          <w:sz w:val="32"/>
          <w:szCs w:val="32"/>
          <w:highlight w:val="none"/>
          <w14:textFill>
            <w14:solidFill>
              <w14:schemeClr w14:val="tx1"/>
            </w14:solidFill>
          </w14:textFill>
        </w:rPr>
        <w:t>附件</w:t>
      </w:r>
      <w:r>
        <w:rPr>
          <w:rFonts w:hint="eastAsia" w:ascii="黑体" w:hAnsi="黑体" w:eastAsia="黑体" w:cs="黑体"/>
          <w:color w:val="000000" w:themeColor="text1"/>
          <w:sz w:val="32"/>
          <w:szCs w:val="32"/>
          <w:highlight w:val="none"/>
          <w:lang w:val="en-US" w:eastAsia="zh-CN"/>
          <w14:textFill>
            <w14:solidFill>
              <w14:schemeClr w14:val="tx1"/>
            </w14:solidFill>
          </w14:textFill>
        </w:rPr>
        <w:t>8</w:t>
      </w:r>
      <w:r>
        <w:rPr>
          <w:rFonts w:hint="eastAsia" w:ascii="黑体" w:hAnsi="黑体" w:eastAsia="黑体" w:cs="黑体"/>
          <w:color w:val="000000" w:themeColor="text1"/>
          <w:sz w:val="32"/>
          <w:szCs w:val="32"/>
          <w:highlight w:val="none"/>
          <w14:textFill>
            <w14:solidFill>
              <w14:schemeClr w14:val="tx1"/>
            </w14:solidFill>
          </w14:textFill>
        </w:rPr>
        <w:t>：</w:t>
      </w:r>
    </w:p>
    <w:p w14:paraId="29F72EFA">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p>
    <w:p w14:paraId="36859B97">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支付保函示范文本</w:t>
      </w:r>
    </w:p>
    <w:p w14:paraId="7C810B15">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（非独立保函）</w:t>
      </w:r>
    </w:p>
    <w:p w14:paraId="641A4F34">
      <w:pPr>
        <w:wordWrap w:val="0"/>
        <w:spacing w:line="360" w:lineRule="auto"/>
        <w:jc w:val="righ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编号： </w:t>
      </w:r>
      <w:r>
        <w:rPr>
          <w:rFonts w:ascii="宋体" w:hAnsi="宋体"/>
          <w:color w:val="000000" w:themeColor="text1"/>
          <w:highlight w:val="none"/>
          <w14:textFill>
            <w14:solidFill>
              <w14:schemeClr w14:val="tx1"/>
            </w14:solidFill>
          </w14:textFill>
        </w:rPr>
        <w:t xml:space="preserve">     </w:t>
      </w:r>
    </w:p>
    <w:p w14:paraId="35FE6853">
      <w:pPr>
        <w:wordWrap w:val="0"/>
        <w:spacing w:line="360" w:lineRule="auto"/>
        <w:jc w:val="right"/>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     </w:t>
      </w:r>
    </w:p>
    <w:p w14:paraId="760CCA9A">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发包人：</w:t>
      </w:r>
    </w:p>
    <w:p w14:paraId="346351AC">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地址</w:t>
      </w:r>
      <w:r>
        <w:rPr>
          <w:rFonts w:ascii="宋体" w:hAnsi="宋体"/>
          <w:color w:val="000000" w:themeColor="text1"/>
          <w:sz w:val="24"/>
          <w:szCs w:val="24"/>
          <w:highlight w:val="none"/>
          <w14:textFill>
            <w14:solidFill>
              <w14:schemeClr w14:val="tx1"/>
            </w14:solidFill>
          </w14:textFill>
        </w:rPr>
        <w:t>：</w:t>
      </w:r>
    </w:p>
    <w:p w14:paraId="6FEC85B8">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担保权人/承包人：</w:t>
      </w:r>
      <w:r>
        <w:rPr>
          <w:rFonts w:ascii="宋体" w:hAnsi="宋体"/>
          <w:color w:val="000000" w:themeColor="text1"/>
          <w:sz w:val="24"/>
          <w:szCs w:val="24"/>
          <w:highlight w:val="none"/>
          <w14:textFill>
            <w14:solidFill>
              <w14:schemeClr w14:val="tx1"/>
            </w14:solidFill>
          </w14:textFill>
        </w:rPr>
        <w:t xml:space="preserve"> </w:t>
      </w:r>
    </w:p>
    <w:p w14:paraId="4DDBFD47">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地址：</w:t>
      </w:r>
    </w:p>
    <w:p w14:paraId="2F56CE7F">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保证人：</w:t>
      </w:r>
    </w:p>
    <w:p w14:paraId="174AEC6A">
      <w:pPr>
        <w:spacing w:line="360" w:lineRule="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地址：</w:t>
      </w:r>
    </w:p>
    <w:p w14:paraId="63BEDC01">
      <w:pPr>
        <w:spacing w:line="360" w:lineRule="auto"/>
        <w:rPr>
          <w:rFonts w:ascii="宋体" w:hAnsi="宋体"/>
          <w:color w:val="000000" w:themeColor="text1"/>
          <w:sz w:val="24"/>
          <w:szCs w:val="24"/>
          <w:highlight w:val="none"/>
          <w14:textFill>
            <w14:solidFill>
              <w14:schemeClr w14:val="tx1"/>
            </w14:solidFill>
          </w14:textFill>
        </w:rPr>
      </w:pPr>
    </w:p>
    <w:p w14:paraId="44CE4E01">
      <w:pPr>
        <w:spacing w:line="360" w:lineRule="auto"/>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承包人</w:t>
      </w:r>
      <w:r>
        <w:rPr>
          <w:rFonts w:ascii="宋体" w:hAnsi="宋体"/>
          <w:color w:val="000000" w:themeColor="text1"/>
          <w:sz w:val="24"/>
          <w:szCs w:val="24"/>
          <w:highlight w:val="none"/>
          <w14:textFill>
            <w14:solidFill>
              <w14:schemeClr w14:val="tx1"/>
            </w14:solidFill>
          </w14:textFill>
        </w:rPr>
        <w:t xml:space="preserve">名称）： </w:t>
      </w:r>
    </w:p>
    <w:p w14:paraId="758F22EC">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鉴于</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（以下简称“</w:t>
      </w:r>
      <w:r>
        <w:rPr>
          <w:rFonts w:hint="eastAsia" w:ascii="宋体" w:hAnsi="宋体"/>
          <w:color w:val="000000" w:themeColor="text1"/>
          <w:sz w:val="24"/>
          <w:szCs w:val="24"/>
          <w:highlight w:val="none"/>
          <w14:textFill>
            <w14:solidFill>
              <w14:schemeClr w14:val="tx1"/>
            </w14:solidFill>
          </w14:textFill>
        </w:rPr>
        <w:t>发包人</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与</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（以下简称“</w:t>
      </w:r>
      <w:r>
        <w:rPr>
          <w:rFonts w:hint="eastAsia" w:ascii="宋体" w:hAnsi="宋体"/>
          <w:color w:val="000000" w:themeColor="text1"/>
          <w:sz w:val="24"/>
          <w:szCs w:val="24"/>
          <w:highlight w:val="none"/>
          <w14:textFill>
            <w14:solidFill>
              <w14:schemeClr w14:val="tx1"/>
            </w14:solidFill>
          </w14:textFill>
        </w:rPr>
        <w:t>承包人</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于</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年</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日就</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工程（以下简称“本工程”）施工和有关事项协商一致共同签订</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u w:val="singl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（以下简称“主合同”），我方即保证人基于发包人</w:t>
      </w:r>
      <w:r>
        <w:rPr>
          <w:rFonts w:ascii="宋体" w:hAnsi="宋体"/>
          <w:color w:val="000000" w:themeColor="text1"/>
          <w:sz w:val="24"/>
          <w:szCs w:val="24"/>
          <w:highlight w:val="none"/>
          <w14:textFill>
            <w14:solidFill>
              <w14:schemeClr w14:val="tx1"/>
            </w14:solidFill>
          </w14:textFill>
        </w:rPr>
        <w:t>的请求，同意就</w:t>
      </w:r>
      <w:r>
        <w:rPr>
          <w:rFonts w:hint="eastAsia" w:ascii="宋体" w:hAnsi="宋体"/>
          <w:color w:val="000000" w:themeColor="text1"/>
          <w:sz w:val="24"/>
          <w:szCs w:val="24"/>
          <w:highlight w:val="none"/>
          <w14:textFill>
            <w14:solidFill>
              <w14:schemeClr w14:val="tx1"/>
            </w14:solidFill>
          </w14:textFill>
        </w:rPr>
        <w:t>发包人</w:t>
      </w:r>
      <w:r>
        <w:rPr>
          <w:rFonts w:ascii="宋体" w:hAnsi="宋体"/>
          <w:color w:val="000000" w:themeColor="text1"/>
          <w:sz w:val="24"/>
          <w:szCs w:val="24"/>
          <w:highlight w:val="none"/>
          <w14:textFill>
            <w14:solidFill>
              <w14:schemeClr w14:val="tx1"/>
            </w14:solidFill>
          </w14:textFill>
        </w:rPr>
        <w:t>履行</w:t>
      </w:r>
      <w:r>
        <w:rPr>
          <w:rFonts w:hint="eastAsia" w:ascii="宋体" w:hAnsi="宋体"/>
          <w:color w:val="000000" w:themeColor="text1"/>
          <w:sz w:val="24"/>
          <w:szCs w:val="24"/>
          <w:highlight w:val="none"/>
          <w14:textFill>
            <w14:solidFill>
              <w14:schemeClr w14:val="tx1"/>
            </w14:solidFill>
          </w14:textFill>
        </w:rPr>
        <w:t>与贵方签订的主合同</w:t>
      </w:r>
      <w:r>
        <w:rPr>
          <w:rFonts w:ascii="宋体" w:hAnsi="宋体"/>
          <w:color w:val="000000" w:themeColor="text1"/>
          <w:sz w:val="24"/>
          <w:szCs w:val="24"/>
          <w:highlight w:val="none"/>
          <w14:textFill>
            <w14:solidFill>
              <w14:schemeClr w14:val="tx1"/>
            </w14:solidFill>
          </w14:textFill>
        </w:rPr>
        <w:t>项下的</w:t>
      </w:r>
      <w:r>
        <w:rPr>
          <w:rFonts w:hint="eastAsia" w:ascii="宋体" w:hAnsi="宋体"/>
          <w:color w:val="000000" w:themeColor="text1"/>
          <w:sz w:val="24"/>
          <w:szCs w:val="24"/>
          <w:highlight w:val="none"/>
          <w14:textFill>
            <w14:solidFill>
              <w14:schemeClr w14:val="tx1"/>
            </w14:solidFill>
          </w14:textFill>
        </w:rPr>
        <w:t>工程款（指主合同约定的除</w:t>
      </w:r>
      <w:r>
        <w:rPr>
          <w:rFonts w:hint="eastAsia" w:ascii="宋体" w:hAnsi="宋体"/>
          <w:color w:val="000000" w:themeColor="text1"/>
          <w:sz w:val="24"/>
          <w:szCs w:val="24"/>
          <w:highlight w:val="none"/>
          <w:lang w:eastAsia="zh-CN"/>
          <w14:textFill>
            <w14:solidFill>
              <w14:schemeClr w14:val="tx1"/>
            </w14:solidFill>
          </w14:textFill>
        </w:rPr>
        <w:t>工程质量保证金</w:t>
      </w:r>
      <w:r>
        <w:rPr>
          <w:rFonts w:hint="eastAsia" w:ascii="宋体" w:hAnsi="宋体"/>
          <w:color w:val="000000" w:themeColor="text1"/>
          <w:sz w:val="24"/>
          <w:szCs w:val="24"/>
          <w:highlight w:val="none"/>
          <w14:textFill>
            <w14:solidFill>
              <w14:schemeClr w14:val="tx1"/>
            </w14:solidFill>
          </w14:textFill>
        </w:rPr>
        <w:t>以外的全部工程结算款项）付款</w:t>
      </w:r>
      <w:r>
        <w:rPr>
          <w:rFonts w:ascii="宋体" w:hAnsi="宋体"/>
          <w:color w:val="000000" w:themeColor="text1"/>
          <w:sz w:val="24"/>
          <w:szCs w:val="24"/>
          <w:highlight w:val="none"/>
          <w14:textFill>
            <w14:solidFill>
              <w14:schemeClr w14:val="tx1"/>
            </w14:solidFill>
          </w14:textFill>
        </w:rPr>
        <w:t>义务</w:t>
      </w:r>
      <w:r>
        <w:rPr>
          <w:rFonts w:hint="eastAsia" w:ascii="宋体" w:hAnsi="宋体"/>
          <w:color w:val="000000" w:themeColor="text1"/>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向贵方提供</w:t>
      </w:r>
      <w:r>
        <w:rPr>
          <w:rFonts w:hint="eastAsia" w:ascii="宋体" w:hAnsi="宋体"/>
          <w:color w:val="000000" w:themeColor="text1"/>
          <w:sz w:val="24"/>
          <w:szCs w:val="24"/>
          <w:highlight w:val="none"/>
          <w14:textFill>
            <w14:solidFill>
              <w14:schemeClr w14:val="tx1"/>
            </w14:solidFill>
          </w14:textFill>
        </w:rPr>
        <w:t>如下保证担保（以下简称“本保证担保”）</w:t>
      </w:r>
      <w:r>
        <w:rPr>
          <w:rFonts w:ascii="宋体" w:hAnsi="宋体"/>
          <w:color w:val="000000" w:themeColor="text1"/>
          <w:sz w:val="24"/>
          <w:szCs w:val="24"/>
          <w:highlight w:val="none"/>
          <w14:textFill>
            <w14:solidFill>
              <w14:schemeClr w14:val="tx1"/>
            </w14:solidFill>
          </w14:textFill>
        </w:rPr>
        <w:t xml:space="preserve">。 </w:t>
      </w:r>
    </w:p>
    <w:p w14:paraId="55828F07">
      <w:pPr>
        <w:spacing w:line="360" w:lineRule="auto"/>
        <w:ind w:firstLine="482" w:firstLineChars="200"/>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一、保证担保的范围及保证担保金额</w:t>
      </w:r>
    </w:p>
    <w:p w14:paraId="39AF012A">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保证担保范围：申请人未履行主合同约定的工程款支付义务，应当向贵方承担的违约责任和赔偿因此造成的损失、利息、律师费、诉讼费用等实现债权的费用。</w:t>
      </w:r>
    </w:p>
    <w:p w14:paraId="081D37F0">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保证担保金额最高不超过</w:t>
      </w:r>
      <w:r>
        <w:rPr>
          <w:rFonts w:ascii="宋体" w:hAnsi="宋体"/>
          <w:color w:val="000000" w:themeColor="text1"/>
          <w:sz w:val="24"/>
          <w:szCs w:val="24"/>
          <w:highlight w:val="none"/>
          <w14:textFill>
            <w14:solidFill>
              <w14:schemeClr w14:val="tx1"/>
            </w14:solidFill>
          </w14:textFill>
        </w:rPr>
        <w:t>人民币（大写）</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元（¥</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 xml:space="preserve">）。 </w:t>
      </w:r>
    </w:p>
    <w:p w14:paraId="1F861040">
      <w:pPr>
        <w:spacing w:line="360" w:lineRule="auto"/>
        <w:ind w:firstLine="482" w:firstLineChars="200"/>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二、保证担保的方式及保证期间</w:t>
      </w:r>
      <w:r>
        <w:rPr>
          <w:rFonts w:ascii="宋体" w:hAnsi="宋体"/>
          <w:b/>
          <w:bCs/>
          <w:color w:val="000000" w:themeColor="text1"/>
          <w:sz w:val="24"/>
          <w:szCs w:val="24"/>
          <w:highlight w:val="none"/>
          <w14:textFill>
            <w14:solidFill>
              <w14:schemeClr w14:val="tx1"/>
            </w14:solidFill>
          </w14:textFill>
        </w:rPr>
        <w:t xml:space="preserve"> </w:t>
      </w:r>
    </w:p>
    <w:p w14:paraId="0BF58779">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1.保证担保方式：连带责任保证。</w:t>
      </w:r>
    </w:p>
    <w:p w14:paraId="5366BE43">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保证期间：</w:t>
      </w:r>
      <w:r>
        <w:rPr>
          <w:rFonts w:ascii="宋体" w:hAnsi="宋体"/>
          <w:color w:val="000000" w:themeColor="text1"/>
          <w:sz w:val="24"/>
          <w:szCs w:val="24"/>
          <w:highlight w:val="none"/>
          <w14:textFill>
            <w14:solidFill>
              <w14:schemeClr w14:val="tx1"/>
            </w14:solidFill>
          </w14:textFill>
        </w:rPr>
        <w:t>自</w:t>
      </w:r>
      <w:r>
        <w:rPr>
          <w:rFonts w:hint="eastAsia" w:ascii="宋体" w:hAnsi="宋体"/>
          <w:color w:val="000000" w:themeColor="text1"/>
          <w:sz w:val="24"/>
          <w:szCs w:val="24"/>
          <w:highlight w:val="none"/>
          <w14:textFill>
            <w14:solidFill>
              <w14:schemeClr w14:val="tx1"/>
            </w14:solidFill>
          </w14:textFill>
        </w:rPr>
        <w:t>出具之日起</w:t>
      </w:r>
      <w:r>
        <w:rPr>
          <w:rFonts w:ascii="宋体" w:hAnsi="宋体"/>
          <w:color w:val="000000" w:themeColor="text1"/>
          <w:sz w:val="24"/>
          <w:szCs w:val="24"/>
          <w:highlight w:val="none"/>
          <w14:textFill>
            <w14:solidFill>
              <w14:schemeClr w14:val="tx1"/>
            </w14:solidFill>
          </w14:textFill>
        </w:rPr>
        <w:t>至</w:t>
      </w:r>
      <w:r>
        <w:rPr>
          <w:rFonts w:hint="eastAsia" w:ascii="宋体" w:hAnsi="宋体"/>
          <w:color w:val="000000" w:themeColor="text1"/>
          <w:sz w:val="24"/>
          <w:szCs w:val="24"/>
          <w:highlight w:val="none"/>
          <w14:textFill>
            <w14:solidFill>
              <w14:schemeClr w14:val="tx1"/>
            </w14:solidFill>
          </w14:textFill>
        </w:rPr>
        <w:t>主合同约定的除</w:t>
      </w:r>
      <w:r>
        <w:rPr>
          <w:rFonts w:hint="eastAsia" w:ascii="宋体" w:hAnsi="宋体"/>
          <w:color w:val="000000" w:themeColor="text1"/>
          <w:sz w:val="24"/>
          <w:szCs w:val="24"/>
          <w:highlight w:val="none"/>
          <w:lang w:eastAsia="zh-CN"/>
          <w14:textFill>
            <w14:solidFill>
              <w14:schemeClr w14:val="tx1"/>
            </w14:solidFill>
          </w14:textFill>
        </w:rPr>
        <w:t>工程质量保证金</w:t>
      </w:r>
      <w:r>
        <w:rPr>
          <w:rFonts w:hint="eastAsia" w:ascii="宋体" w:hAnsi="宋体"/>
          <w:color w:val="000000" w:themeColor="text1"/>
          <w:sz w:val="24"/>
          <w:szCs w:val="24"/>
          <w:highlight w:val="none"/>
          <w14:textFill>
            <w14:solidFill>
              <w14:schemeClr w14:val="tx1"/>
            </w14:solidFill>
          </w14:textFill>
        </w:rPr>
        <w:t>以外的工程款支付之日后</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日</w:t>
      </w:r>
      <w:r>
        <w:rPr>
          <w:rFonts w:hint="eastAsia" w:ascii="宋体" w:hAnsi="宋体"/>
          <w:color w:val="000000" w:themeColor="text1"/>
          <w:sz w:val="24"/>
          <w:szCs w:val="24"/>
          <w:highlight w:val="none"/>
          <w14:textFill>
            <w14:solidFill>
              <w14:schemeClr w14:val="tx1"/>
            </w14:solidFill>
          </w14:textFill>
        </w:rPr>
        <w:t>止，最迟不超过</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年</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r>
        <w:rPr>
          <w:rFonts w:ascii="宋体" w:hAnsi="宋体"/>
          <w:color w:val="000000" w:themeColor="text1"/>
          <w:sz w:val="24"/>
          <w:szCs w:val="24"/>
          <w:highlight w:val="none"/>
          <w14:textFill>
            <w14:solidFill>
              <w14:schemeClr w14:val="tx1"/>
            </w14:solidFill>
          </w14:textFill>
        </w:rPr>
        <w:t xml:space="preserve">。 </w:t>
      </w:r>
    </w:p>
    <w:p w14:paraId="6CBFAA1A">
      <w:pPr>
        <w:spacing w:line="360" w:lineRule="auto"/>
        <w:ind w:firstLine="482" w:firstLineChars="200"/>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三、承担保证担保责任的形式</w:t>
      </w:r>
    </w:p>
    <w:p w14:paraId="2ADD2026">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发包人未按合同约定向贵方支付主合同项下工程款的，由我方在保证金额内代为支付，并赔偿因此给贵方造成的损失，以及利息和律师费、诉讼费用等实现债权的费用。</w:t>
      </w:r>
    </w:p>
    <w:p w14:paraId="5417EC2A">
      <w:pPr>
        <w:spacing w:line="360" w:lineRule="auto"/>
        <w:ind w:firstLine="482" w:firstLineChars="200"/>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四、代偿的安排</w:t>
      </w:r>
      <w:r>
        <w:rPr>
          <w:rFonts w:ascii="宋体" w:hAnsi="宋体"/>
          <w:b/>
          <w:bCs/>
          <w:color w:val="000000" w:themeColor="text1"/>
          <w:sz w:val="24"/>
          <w:szCs w:val="24"/>
          <w:highlight w:val="none"/>
          <w14:textFill>
            <w14:solidFill>
              <w14:schemeClr w14:val="tx1"/>
            </w14:solidFill>
          </w14:textFill>
        </w:rPr>
        <w:t xml:space="preserve"> </w:t>
      </w:r>
    </w:p>
    <w:p w14:paraId="0DFA81E1">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1.贵方要求我方承担保证责任的，应向我方发出书面索赔通知及发包人未支付主合同约定工程款的证明材料。索赔通知应写明要求索赔的金额，支付款项应到达的帐号。</w:t>
      </w:r>
    </w:p>
    <w:p w14:paraId="29092795">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66F8217F">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3.我方收到贵方的书面索赔通知及相应证明材料后，在</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工作日内进行核定后按照本保函的承诺承担保证责任。</w:t>
      </w:r>
    </w:p>
    <w:p w14:paraId="0D4E7C45">
      <w:pPr>
        <w:spacing w:line="360" w:lineRule="auto"/>
        <w:ind w:firstLine="482" w:firstLineChars="200"/>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五、保证担保责任的解除</w:t>
      </w:r>
      <w:r>
        <w:rPr>
          <w:rFonts w:ascii="宋体" w:hAnsi="宋体"/>
          <w:b/>
          <w:bCs/>
          <w:color w:val="000000" w:themeColor="text1"/>
          <w:sz w:val="24"/>
          <w:szCs w:val="24"/>
          <w:highlight w:val="none"/>
          <w14:textFill>
            <w14:solidFill>
              <w14:schemeClr w14:val="tx1"/>
            </w14:solidFill>
          </w14:textFill>
        </w:rPr>
        <w:t xml:space="preserve"> </w:t>
      </w:r>
    </w:p>
    <w:p w14:paraId="710AB34A">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r>
        <w:rPr>
          <w:rFonts w:ascii="宋体" w:hAnsi="宋体"/>
          <w:color w:val="000000" w:themeColor="text1"/>
          <w:sz w:val="24"/>
          <w:szCs w:val="24"/>
          <w:highlight w:val="none"/>
          <w14:textFill>
            <w14:solidFill>
              <w14:schemeClr w14:val="tx1"/>
            </w14:solidFill>
          </w14:textFill>
        </w:rPr>
        <w:t xml:space="preserve">保证期间届满贵方未向我方书面主张保证责任的，自保证期间届满次日起，我方解除保证责任。 </w:t>
      </w:r>
    </w:p>
    <w:p w14:paraId="0F8BDC68">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r>
        <w:rPr>
          <w:rFonts w:ascii="宋体" w:hAnsi="宋体"/>
          <w:color w:val="000000" w:themeColor="text1"/>
          <w:sz w:val="24"/>
          <w:szCs w:val="24"/>
          <w:highlight w:val="none"/>
          <w14:textFill>
            <w14:solidFill>
              <w14:schemeClr w14:val="tx1"/>
            </w14:solidFill>
          </w14:textFill>
        </w:rPr>
        <w:t>我方按照本</w:t>
      </w:r>
      <w:r>
        <w:rPr>
          <w:rFonts w:hint="eastAsia" w:ascii="宋体" w:hAnsi="宋体"/>
          <w:color w:val="000000" w:themeColor="text1"/>
          <w:sz w:val="24"/>
          <w:szCs w:val="24"/>
          <w:highlight w:val="none"/>
          <w14:textFill>
            <w14:solidFill>
              <w14:schemeClr w14:val="tx1"/>
            </w14:solidFill>
          </w14:textFill>
        </w:rPr>
        <w:t>保证担保</w:t>
      </w:r>
      <w:r>
        <w:rPr>
          <w:rFonts w:ascii="宋体" w:hAnsi="宋体"/>
          <w:color w:val="000000" w:themeColor="text1"/>
          <w:sz w:val="24"/>
          <w:szCs w:val="24"/>
          <w:highlight w:val="none"/>
          <w14:textFill>
            <w14:solidFill>
              <w14:schemeClr w14:val="tx1"/>
            </w14:solidFill>
          </w14:textFill>
        </w:rPr>
        <w:t>向贵方履行了</w:t>
      </w:r>
      <w:r>
        <w:rPr>
          <w:rFonts w:hint="eastAsia" w:ascii="宋体" w:hAnsi="宋体"/>
          <w:color w:val="000000" w:themeColor="text1"/>
          <w:sz w:val="24"/>
          <w:szCs w:val="24"/>
          <w:highlight w:val="none"/>
          <w14:textFill>
            <w14:solidFill>
              <w14:schemeClr w14:val="tx1"/>
            </w14:solidFill>
          </w14:textFill>
        </w:rPr>
        <w:t>保证担保责任</w:t>
      </w:r>
      <w:r>
        <w:rPr>
          <w:rFonts w:ascii="宋体" w:hAnsi="宋体"/>
          <w:color w:val="000000" w:themeColor="text1"/>
          <w:sz w:val="24"/>
          <w:szCs w:val="24"/>
          <w:highlight w:val="none"/>
          <w14:textFill>
            <w14:solidFill>
              <w14:schemeClr w14:val="tx1"/>
            </w14:solidFill>
          </w14:textFill>
        </w:rPr>
        <w:t>后，自我方向贵方支付</w:t>
      </w:r>
      <w:r>
        <w:rPr>
          <w:rFonts w:hint="eastAsia" w:ascii="宋体" w:hAnsi="宋体"/>
          <w:color w:val="000000" w:themeColor="text1"/>
          <w:sz w:val="24"/>
          <w:szCs w:val="24"/>
          <w:highlight w:val="none"/>
          <w14:textFill>
            <w14:solidFill>
              <w14:schemeClr w14:val="tx1"/>
            </w14:solidFill>
          </w14:textFill>
        </w:rPr>
        <w:t>的金额达到最高保证担保金额</w:t>
      </w:r>
      <w:r>
        <w:rPr>
          <w:rFonts w:ascii="宋体" w:hAnsi="宋体"/>
          <w:color w:val="000000" w:themeColor="text1"/>
          <w:sz w:val="24"/>
          <w:szCs w:val="24"/>
          <w:highlight w:val="none"/>
          <w14:textFill>
            <w14:solidFill>
              <w14:schemeClr w14:val="tx1"/>
            </w14:solidFill>
          </w14:textFill>
        </w:rPr>
        <w:t>之日起，</w:t>
      </w:r>
      <w:r>
        <w:rPr>
          <w:rFonts w:hint="eastAsia" w:ascii="宋体" w:hAnsi="宋体"/>
          <w:color w:val="000000" w:themeColor="text1"/>
          <w:sz w:val="24"/>
          <w:szCs w:val="24"/>
          <w:highlight w:val="none"/>
          <w14:textFill>
            <w14:solidFill>
              <w14:schemeClr w14:val="tx1"/>
            </w14:solidFill>
          </w14:textFill>
        </w:rPr>
        <w:t>保证担保责任</w:t>
      </w:r>
      <w:r>
        <w:rPr>
          <w:rFonts w:ascii="宋体" w:hAnsi="宋体"/>
          <w:color w:val="000000" w:themeColor="text1"/>
          <w:sz w:val="24"/>
          <w:szCs w:val="24"/>
          <w:highlight w:val="none"/>
          <w14:textFill>
            <w14:solidFill>
              <w14:schemeClr w14:val="tx1"/>
            </w14:solidFill>
          </w14:textFill>
        </w:rPr>
        <w:t xml:space="preserve">解除。 </w:t>
      </w:r>
    </w:p>
    <w:p w14:paraId="1C2D09AA">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r>
        <w:rPr>
          <w:rFonts w:ascii="宋体" w:hAnsi="宋体"/>
          <w:color w:val="000000" w:themeColor="text1"/>
          <w:sz w:val="24"/>
          <w:szCs w:val="24"/>
          <w:highlight w:val="none"/>
          <w14:textFill>
            <w14:solidFill>
              <w14:schemeClr w14:val="tx1"/>
            </w14:solidFill>
          </w14:textFill>
        </w:rPr>
        <w:t>按照法律法规的规定应解除我方保证</w:t>
      </w:r>
      <w:r>
        <w:rPr>
          <w:rFonts w:hint="eastAsia" w:ascii="宋体" w:hAnsi="宋体"/>
          <w:color w:val="000000" w:themeColor="text1"/>
          <w:sz w:val="24"/>
          <w:szCs w:val="24"/>
          <w:highlight w:val="none"/>
          <w14:textFill>
            <w14:solidFill>
              <w14:schemeClr w14:val="tx1"/>
            </w14:solidFill>
          </w14:textFill>
        </w:rPr>
        <w:t>担保</w:t>
      </w:r>
      <w:r>
        <w:rPr>
          <w:rFonts w:ascii="宋体" w:hAnsi="宋体"/>
          <w:color w:val="000000" w:themeColor="text1"/>
          <w:sz w:val="24"/>
          <w:szCs w:val="24"/>
          <w:highlight w:val="none"/>
          <w14:textFill>
            <w14:solidFill>
              <w14:schemeClr w14:val="tx1"/>
            </w14:solidFill>
          </w14:textFill>
        </w:rPr>
        <w:t>责任的其它情形的，我方在本保证担保项下的保证</w:t>
      </w:r>
      <w:r>
        <w:rPr>
          <w:rFonts w:hint="eastAsia" w:ascii="宋体" w:hAnsi="宋体"/>
          <w:color w:val="000000" w:themeColor="text1"/>
          <w:sz w:val="24"/>
          <w:szCs w:val="24"/>
          <w:highlight w:val="none"/>
          <w14:textFill>
            <w14:solidFill>
              <w14:schemeClr w14:val="tx1"/>
            </w14:solidFill>
          </w14:textFill>
        </w:rPr>
        <w:t>担保</w:t>
      </w:r>
      <w:r>
        <w:rPr>
          <w:rFonts w:ascii="宋体" w:hAnsi="宋体"/>
          <w:color w:val="000000" w:themeColor="text1"/>
          <w:sz w:val="24"/>
          <w:szCs w:val="24"/>
          <w:highlight w:val="none"/>
          <w14:textFill>
            <w14:solidFill>
              <w14:schemeClr w14:val="tx1"/>
            </w14:solidFill>
          </w14:textFill>
        </w:rPr>
        <w:t xml:space="preserve">责任亦解除。 </w:t>
      </w:r>
    </w:p>
    <w:p w14:paraId="0BADC096">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4.我方解除保证责任后，贵方应按上述约定，自我方保证担保责任解除之日起七</w:t>
      </w:r>
      <w:r>
        <w:rPr>
          <w:rFonts w:ascii="宋体" w:hAnsi="宋体"/>
          <w:color w:val="000000" w:themeColor="text1"/>
          <w:sz w:val="24"/>
          <w:szCs w:val="24"/>
          <w:highlight w:val="none"/>
          <w14:textFill>
            <w14:solidFill>
              <w14:schemeClr w14:val="tx1"/>
            </w14:solidFill>
          </w14:textFill>
        </w:rPr>
        <w:t>日内，将本保证担保原件返还我方。但是不论贵方是否按此要求将本保证担保</w:t>
      </w:r>
      <w:r>
        <w:rPr>
          <w:rFonts w:hint="eastAsia" w:ascii="宋体" w:hAnsi="宋体"/>
          <w:color w:val="000000" w:themeColor="text1"/>
          <w:sz w:val="24"/>
          <w:szCs w:val="24"/>
          <w:highlight w:val="none"/>
          <w14:textFill>
            <w14:solidFill>
              <w14:schemeClr w14:val="tx1"/>
            </w14:solidFill>
          </w14:textFill>
        </w:rPr>
        <w:t>原件</w:t>
      </w:r>
      <w:r>
        <w:rPr>
          <w:rFonts w:ascii="宋体" w:hAnsi="宋体"/>
          <w:color w:val="000000" w:themeColor="text1"/>
          <w:sz w:val="24"/>
          <w:szCs w:val="24"/>
          <w:highlight w:val="none"/>
          <w14:textFill>
            <w14:solidFill>
              <w14:schemeClr w14:val="tx1"/>
            </w14:solidFill>
          </w14:textFill>
        </w:rPr>
        <w:t>退回我方，我方在本保证担保项下的义务和责任均</w:t>
      </w:r>
      <w:r>
        <w:rPr>
          <w:rFonts w:hint="eastAsia" w:ascii="宋体" w:hAnsi="宋体"/>
          <w:color w:val="000000" w:themeColor="text1"/>
          <w:sz w:val="24"/>
          <w:szCs w:val="24"/>
          <w:highlight w:val="none"/>
          <w14:textFill>
            <w14:solidFill>
              <w14:schemeClr w14:val="tx1"/>
            </w14:solidFill>
          </w14:textFill>
        </w:rPr>
        <w:t>自保证担保责任解除之日</w:t>
      </w:r>
      <w:r>
        <w:rPr>
          <w:rFonts w:ascii="宋体" w:hAnsi="宋体"/>
          <w:color w:val="000000" w:themeColor="text1"/>
          <w:sz w:val="24"/>
          <w:szCs w:val="24"/>
          <w:highlight w:val="none"/>
          <w14:textFill>
            <w14:solidFill>
              <w14:schemeClr w14:val="tx1"/>
            </w14:solidFill>
          </w14:textFill>
        </w:rPr>
        <w:t>自动消灭。</w:t>
      </w:r>
    </w:p>
    <w:p w14:paraId="38B996E5">
      <w:pPr>
        <w:spacing w:line="360" w:lineRule="auto"/>
        <w:ind w:firstLine="482" w:firstLineChars="200"/>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六、免责条款</w:t>
      </w:r>
      <w:r>
        <w:rPr>
          <w:rFonts w:ascii="宋体" w:hAnsi="宋体"/>
          <w:b/>
          <w:bCs/>
          <w:color w:val="000000" w:themeColor="text1"/>
          <w:sz w:val="24"/>
          <w:szCs w:val="24"/>
          <w:highlight w:val="none"/>
          <w14:textFill>
            <w14:solidFill>
              <w14:schemeClr w14:val="tx1"/>
            </w14:solidFill>
          </w14:textFill>
        </w:rPr>
        <w:t xml:space="preserve"> </w:t>
      </w:r>
    </w:p>
    <w:p w14:paraId="7698D9B0">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r>
        <w:rPr>
          <w:rFonts w:ascii="宋体" w:hAnsi="宋体"/>
          <w:color w:val="000000" w:themeColor="text1"/>
          <w:sz w:val="24"/>
          <w:szCs w:val="24"/>
          <w:highlight w:val="none"/>
          <w14:textFill>
            <w14:solidFill>
              <w14:schemeClr w14:val="tx1"/>
            </w14:solidFill>
          </w14:textFill>
        </w:rPr>
        <w:t>因贵方</w:t>
      </w:r>
      <w:r>
        <w:rPr>
          <w:rFonts w:hint="eastAsia" w:ascii="宋体" w:hAnsi="宋体"/>
          <w:color w:val="000000" w:themeColor="text1"/>
          <w:sz w:val="24"/>
          <w:szCs w:val="24"/>
          <w:highlight w:val="none"/>
          <w14:textFill>
            <w14:solidFill>
              <w14:schemeClr w14:val="tx1"/>
            </w14:solidFill>
          </w14:textFill>
        </w:rPr>
        <w:t>原因</w:t>
      </w:r>
      <w:r>
        <w:rPr>
          <w:rFonts w:ascii="宋体" w:hAnsi="宋体"/>
          <w:color w:val="000000" w:themeColor="text1"/>
          <w:sz w:val="24"/>
          <w:szCs w:val="24"/>
          <w:highlight w:val="none"/>
          <w14:textFill>
            <w14:solidFill>
              <w14:schemeClr w14:val="tx1"/>
            </w14:solidFill>
          </w14:textFill>
        </w:rPr>
        <w:t>致使</w:t>
      </w:r>
      <w:r>
        <w:rPr>
          <w:rFonts w:hint="eastAsia" w:ascii="宋体" w:hAnsi="宋体"/>
          <w:color w:val="000000" w:themeColor="text1"/>
          <w:sz w:val="24"/>
          <w:szCs w:val="24"/>
          <w:highlight w:val="none"/>
          <w14:textFill>
            <w14:solidFill>
              <w14:schemeClr w14:val="tx1"/>
            </w14:solidFill>
          </w14:textFill>
        </w:rPr>
        <w:t>发包人未履行主合同项下工程款付款义务的</w:t>
      </w:r>
      <w:r>
        <w:rPr>
          <w:rFonts w:ascii="宋体" w:hAnsi="宋体"/>
          <w:color w:val="000000" w:themeColor="text1"/>
          <w:sz w:val="24"/>
          <w:szCs w:val="24"/>
          <w:highlight w:val="none"/>
          <w14:textFill>
            <w14:solidFill>
              <w14:schemeClr w14:val="tx1"/>
            </w14:solidFill>
          </w14:textFill>
        </w:rPr>
        <w:t>，我方不承担保证</w:t>
      </w:r>
      <w:r>
        <w:rPr>
          <w:rFonts w:hint="eastAsia" w:ascii="宋体" w:hAnsi="宋体"/>
          <w:color w:val="000000" w:themeColor="text1"/>
          <w:sz w:val="24"/>
          <w:szCs w:val="24"/>
          <w:highlight w:val="none"/>
          <w14:textFill>
            <w14:solidFill>
              <w14:schemeClr w14:val="tx1"/>
            </w14:solidFill>
          </w14:textFill>
        </w:rPr>
        <w:t>担保</w:t>
      </w:r>
      <w:r>
        <w:rPr>
          <w:rFonts w:ascii="宋体" w:hAnsi="宋体"/>
          <w:color w:val="000000" w:themeColor="text1"/>
          <w:sz w:val="24"/>
          <w:szCs w:val="24"/>
          <w:highlight w:val="none"/>
          <w14:textFill>
            <w14:solidFill>
              <w14:schemeClr w14:val="tx1"/>
            </w14:solidFill>
          </w14:textFill>
        </w:rPr>
        <w:t xml:space="preserve">责任。 </w:t>
      </w:r>
    </w:p>
    <w:p w14:paraId="49F36A28">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r>
        <w:rPr>
          <w:rFonts w:ascii="宋体" w:hAnsi="宋体"/>
          <w:color w:val="000000" w:themeColor="text1"/>
          <w:sz w:val="24"/>
          <w:szCs w:val="24"/>
          <w:highlight w:val="none"/>
          <w14:textFill>
            <w14:solidFill>
              <w14:schemeClr w14:val="tx1"/>
            </w14:solidFill>
          </w14:textFill>
        </w:rPr>
        <w:t>依照法律规定或贵方与</w:t>
      </w:r>
      <w:r>
        <w:rPr>
          <w:rFonts w:hint="eastAsia" w:ascii="宋体" w:hAnsi="宋体"/>
          <w:color w:val="000000" w:themeColor="text1"/>
          <w:sz w:val="24"/>
          <w:szCs w:val="24"/>
          <w:highlight w:val="none"/>
          <w14:textFill>
            <w14:solidFill>
              <w14:schemeClr w14:val="tx1"/>
            </w14:solidFill>
          </w14:textFill>
        </w:rPr>
        <w:t>发包</w:t>
      </w:r>
      <w:r>
        <w:rPr>
          <w:rFonts w:ascii="宋体" w:hAnsi="宋体"/>
          <w:color w:val="000000" w:themeColor="text1"/>
          <w:sz w:val="24"/>
          <w:szCs w:val="24"/>
          <w:highlight w:val="none"/>
          <w14:textFill>
            <w14:solidFill>
              <w14:schemeClr w14:val="tx1"/>
            </w14:solidFill>
          </w14:textFill>
        </w:rPr>
        <w:t>人的另行约定，免除</w:t>
      </w:r>
      <w:r>
        <w:rPr>
          <w:rFonts w:hint="eastAsia" w:ascii="宋体" w:hAnsi="宋体"/>
          <w:color w:val="000000" w:themeColor="text1"/>
          <w:sz w:val="24"/>
          <w:szCs w:val="24"/>
          <w:highlight w:val="none"/>
          <w14:textFill>
            <w14:solidFill>
              <w14:schemeClr w14:val="tx1"/>
            </w14:solidFill>
          </w14:textFill>
        </w:rPr>
        <w:t>发包</w:t>
      </w:r>
      <w:r>
        <w:rPr>
          <w:rFonts w:ascii="宋体" w:hAnsi="宋体"/>
          <w:color w:val="000000" w:themeColor="text1"/>
          <w:sz w:val="24"/>
          <w:szCs w:val="24"/>
          <w:highlight w:val="none"/>
          <w14:textFill>
            <w14:solidFill>
              <w14:schemeClr w14:val="tx1"/>
            </w14:solidFill>
          </w14:textFill>
        </w:rPr>
        <w:t>人部分或全部义务的，我方亦免除其相应的保证</w:t>
      </w:r>
      <w:r>
        <w:rPr>
          <w:rFonts w:hint="eastAsia" w:ascii="宋体" w:hAnsi="宋体"/>
          <w:color w:val="000000" w:themeColor="text1"/>
          <w:sz w:val="24"/>
          <w:szCs w:val="24"/>
          <w:highlight w:val="none"/>
          <w14:textFill>
            <w14:solidFill>
              <w14:schemeClr w14:val="tx1"/>
            </w14:solidFill>
          </w14:textFill>
        </w:rPr>
        <w:t>担保</w:t>
      </w:r>
      <w:r>
        <w:rPr>
          <w:rFonts w:ascii="宋体" w:hAnsi="宋体"/>
          <w:color w:val="000000" w:themeColor="text1"/>
          <w:sz w:val="24"/>
          <w:szCs w:val="24"/>
          <w:highlight w:val="none"/>
          <w14:textFill>
            <w14:solidFill>
              <w14:schemeClr w14:val="tx1"/>
            </w14:solidFill>
          </w14:textFill>
        </w:rPr>
        <w:t xml:space="preserve">责任。 </w:t>
      </w:r>
    </w:p>
    <w:p w14:paraId="79D15C03">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r>
        <w:rPr>
          <w:rFonts w:ascii="宋体" w:hAnsi="宋体"/>
          <w:color w:val="000000" w:themeColor="text1"/>
          <w:sz w:val="24"/>
          <w:szCs w:val="24"/>
          <w:highlight w:val="none"/>
          <w14:textFill>
            <w14:solidFill>
              <w14:schemeClr w14:val="tx1"/>
            </w14:solidFill>
          </w14:textFill>
        </w:rPr>
        <w:t>因不可抗力造成</w:t>
      </w:r>
      <w:r>
        <w:rPr>
          <w:rFonts w:hint="eastAsia" w:ascii="宋体" w:hAnsi="宋体"/>
          <w:color w:val="000000" w:themeColor="text1"/>
          <w:sz w:val="24"/>
          <w:szCs w:val="24"/>
          <w:highlight w:val="none"/>
          <w14:textFill>
            <w14:solidFill>
              <w14:schemeClr w14:val="tx1"/>
            </w14:solidFill>
          </w14:textFill>
        </w:rPr>
        <w:t>发包</w:t>
      </w:r>
      <w:r>
        <w:rPr>
          <w:rFonts w:ascii="宋体" w:hAnsi="宋体"/>
          <w:color w:val="000000" w:themeColor="text1"/>
          <w:sz w:val="24"/>
          <w:szCs w:val="24"/>
          <w:highlight w:val="none"/>
          <w14:textFill>
            <w14:solidFill>
              <w14:schemeClr w14:val="tx1"/>
            </w14:solidFill>
          </w14:textFill>
        </w:rPr>
        <w:t>人</w:t>
      </w:r>
      <w:r>
        <w:rPr>
          <w:rFonts w:hint="eastAsia" w:ascii="宋体" w:hAnsi="宋体"/>
          <w:color w:val="000000" w:themeColor="text1"/>
          <w:sz w:val="24"/>
          <w:szCs w:val="24"/>
          <w:highlight w:val="none"/>
          <w14:textFill>
            <w14:solidFill>
              <w14:schemeClr w14:val="tx1"/>
            </w14:solidFill>
          </w14:textFill>
        </w:rPr>
        <w:t>未履行主合同项下工程款付款义务的</w:t>
      </w:r>
      <w:r>
        <w:rPr>
          <w:rFonts w:ascii="宋体" w:hAnsi="宋体"/>
          <w:color w:val="000000" w:themeColor="text1"/>
          <w:sz w:val="24"/>
          <w:szCs w:val="24"/>
          <w:highlight w:val="none"/>
          <w14:textFill>
            <w14:solidFill>
              <w14:schemeClr w14:val="tx1"/>
            </w14:solidFill>
          </w14:textFill>
        </w:rPr>
        <w:t>，我方不承担保证</w:t>
      </w:r>
      <w:r>
        <w:rPr>
          <w:rFonts w:hint="eastAsia" w:ascii="宋体" w:hAnsi="宋体"/>
          <w:color w:val="000000" w:themeColor="text1"/>
          <w:sz w:val="24"/>
          <w:szCs w:val="24"/>
          <w:highlight w:val="none"/>
          <w14:textFill>
            <w14:solidFill>
              <w14:schemeClr w14:val="tx1"/>
            </w14:solidFill>
          </w14:textFill>
        </w:rPr>
        <w:t>担保</w:t>
      </w:r>
      <w:r>
        <w:rPr>
          <w:rFonts w:ascii="宋体" w:hAnsi="宋体"/>
          <w:color w:val="000000" w:themeColor="text1"/>
          <w:sz w:val="24"/>
          <w:szCs w:val="24"/>
          <w:highlight w:val="none"/>
          <w14:textFill>
            <w14:solidFill>
              <w14:schemeClr w14:val="tx1"/>
            </w14:solidFill>
          </w14:textFill>
        </w:rPr>
        <w:t>责任。</w:t>
      </w:r>
    </w:p>
    <w:p w14:paraId="0343EF90">
      <w:pPr>
        <w:spacing w:line="360" w:lineRule="auto"/>
        <w:ind w:firstLine="482" w:firstLineChars="200"/>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七、其他</w:t>
      </w:r>
    </w:p>
    <w:p w14:paraId="5B73E238">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r>
        <w:rPr>
          <w:rFonts w:ascii="宋体" w:hAnsi="宋体"/>
          <w:color w:val="000000" w:themeColor="text1"/>
          <w:sz w:val="24"/>
          <w:szCs w:val="24"/>
          <w:highlight w:val="none"/>
          <w14:textFill>
            <w14:solidFill>
              <w14:schemeClr w14:val="tx1"/>
            </w14:solidFill>
          </w14:textFill>
        </w:rPr>
        <w:t>本保证担保项下的权利不得转让，不得设定担保。贵方未经我方书面同意转让本保证担保或其项下任何权利，</w:t>
      </w:r>
      <w:r>
        <w:rPr>
          <w:rFonts w:hint="eastAsia" w:ascii="宋体" w:hAnsi="宋体"/>
          <w:color w:val="000000" w:themeColor="text1"/>
          <w:sz w:val="24"/>
          <w:szCs w:val="24"/>
          <w:highlight w:val="none"/>
          <w14:textFill>
            <w14:solidFill>
              <w14:schemeClr w14:val="tx1"/>
            </w14:solidFill>
          </w14:textFill>
        </w:rPr>
        <w:t>对我方不发生法律效力</w:t>
      </w:r>
      <w:r>
        <w:rPr>
          <w:rFonts w:ascii="宋体" w:hAnsi="宋体"/>
          <w:color w:val="000000" w:themeColor="text1"/>
          <w:sz w:val="24"/>
          <w:szCs w:val="24"/>
          <w:highlight w:val="none"/>
          <w14:textFill>
            <w14:solidFill>
              <w14:schemeClr w14:val="tx1"/>
            </w14:solidFill>
          </w14:textFill>
        </w:rPr>
        <w:t xml:space="preserve">。 </w:t>
      </w:r>
    </w:p>
    <w:p w14:paraId="56CE50F4">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r>
        <w:rPr>
          <w:rFonts w:ascii="宋体" w:hAnsi="宋体"/>
          <w:color w:val="000000" w:themeColor="text1"/>
          <w:sz w:val="24"/>
          <w:szCs w:val="24"/>
          <w:highlight w:val="none"/>
          <w14:textFill>
            <w14:solidFill>
              <w14:schemeClr w14:val="tx1"/>
            </w14:solidFill>
          </w14:textFill>
        </w:rPr>
        <w:t>.本</w:t>
      </w:r>
      <w:r>
        <w:rPr>
          <w:rFonts w:hint="eastAsia" w:ascii="宋体" w:hAnsi="宋体"/>
          <w:color w:val="000000" w:themeColor="text1"/>
          <w:sz w:val="24"/>
          <w:szCs w:val="24"/>
          <w:highlight w:val="none"/>
          <w14:textFill>
            <w14:solidFill>
              <w14:schemeClr w14:val="tx1"/>
            </w14:solidFill>
          </w14:textFill>
        </w:rPr>
        <w:t>保证担保适用的法律为中华人民共和国法律，争议裁判管辖地为中华人民共和国</w:t>
      </w:r>
      <w:r>
        <w:rPr>
          <w:rFonts w:hint="eastAsia"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 xml:space="preserve"> </w:t>
      </w:r>
    </w:p>
    <w:p w14:paraId="4D74A762">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r>
        <w:rPr>
          <w:rFonts w:ascii="宋体" w:hAnsi="宋体"/>
          <w:color w:val="000000" w:themeColor="text1"/>
          <w:sz w:val="24"/>
          <w:szCs w:val="24"/>
          <w:highlight w:val="none"/>
          <w14:textFill>
            <w14:solidFill>
              <w14:schemeClr w14:val="tx1"/>
            </w14:solidFill>
          </w14:textFill>
        </w:rPr>
        <w:t>.本</w:t>
      </w:r>
      <w:r>
        <w:rPr>
          <w:rFonts w:hint="eastAsia" w:ascii="宋体" w:hAnsi="宋体"/>
          <w:color w:val="000000" w:themeColor="text1"/>
          <w:sz w:val="24"/>
          <w:szCs w:val="24"/>
          <w:highlight w:val="none"/>
          <w14:textFill>
            <w14:solidFill>
              <w14:schemeClr w14:val="tx1"/>
            </w14:solidFill>
          </w14:textFill>
        </w:rPr>
        <w:t>保证担保</w:t>
      </w:r>
      <w:r>
        <w:rPr>
          <w:rFonts w:ascii="宋体" w:hAnsi="宋体"/>
          <w:color w:val="000000" w:themeColor="text1"/>
          <w:sz w:val="24"/>
          <w:szCs w:val="24"/>
          <w:highlight w:val="none"/>
          <w14:textFill>
            <w14:solidFill>
              <w14:schemeClr w14:val="tx1"/>
            </w14:solidFill>
          </w14:textFill>
        </w:rPr>
        <w:t>自我方法定代表</w:t>
      </w:r>
      <w:r>
        <w:rPr>
          <w:rFonts w:hint="eastAsia" w:ascii="宋体" w:hAnsi="宋体"/>
          <w:color w:val="000000" w:themeColor="text1"/>
          <w:sz w:val="24"/>
          <w:szCs w:val="24"/>
          <w:highlight w:val="none"/>
          <w14:textFill>
            <w14:solidFill>
              <w14:schemeClr w14:val="tx1"/>
            </w14:solidFill>
          </w14:textFill>
        </w:rPr>
        <w:t>人或授权代表</w:t>
      </w:r>
      <w:r>
        <w:rPr>
          <w:rFonts w:ascii="宋体" w:hAnsi="宋体"/>
          <w:color w:val="000000" w:themeColor="text1"/>
          <w:sz w:val="24"/>
          <w:szCs w:val="24"/>
          <w:highlight w:val="none"/>
          <w14:textFill>
            <w14:solidFill>
              <w14:schemeClr w14:val="tx1"/>
            </w14:solidFill>
          </w14:textFill>
        </w:rPr>
        <w:t>签字</w:t>
      </w:r>
      <w:r>
        <w:rPr>
          <w:rFonts w:hint="eastAsia" w:ascii="宋体" w:hAnsi="宋体"/>
          <w:color w:val="000000" w:themeColor="text1"/>
          <w:sz w:val="24"/>
          <w:szCs w:val="24"/>
          <w:highlight w:val="none"/>
          <w14:textFill>
            <w14:solidFill>
              <w14:schemeClr w14:val="tx1"/>
            </w14:solidFill>
          </w14:textFill>
        </w:rPr>
        <w:t>并</w:t>
      </w:r>
      <w:r>
        <w:rPr>
          <w:rFonts w:ascii="宋体" w:hAnsi="宋体"/>
          <w:color w:val="000000" w:themeColor="text1"/>
          <w:sz w:val="24"/>
          <w:szCs w:val="24"/>
          <w:highlight w:val="none"/>
          <w14:textFill>
            <w14:solidFill>
              <w14:schemeClr w14:val="tx1"/>
            </w14:solidFill>
          </w14:textFill>
        </w:rPr>
        <w:t xml:space="preserve">加盖公章之日起生效。 </w:t>
      </w:r>
    </w:p>
    <w:p w14:paraId="4EC2D007">
      <w:pPr>
        <w:spacing w:line="360" w:lineRule="auto"/>
        <w:ind w:firstLine="480" w:firstLineChars="200"/>
        <w:rPr>
          <w:rFonts w:ascii="宋体" w:hAnsi="宋体"/>
          <w:color w:val="000000" w:themeColor="text1"/>
          <w:sz w:val="24"/>
          <w:szCs w:val="24"/>
          <w:highlight w:val="none"/>
          <w14:textFill>
            <w14:solidFill>
              <w14:schemeClr w14:val="tx1"/>
            </w14:solidFill>
          </w14:textFill>
        </w:rPr>
      </w:pPr>
    </w:p>
    <w:p w14:paraId="207957BC">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保 证 人</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（公</w:t>
      </w:r>
      <w:r>
        <w:rPr>
          <w:rFonts w:ascii="宋体" w:hAnsi="宋体"/>
          <w:color w:val="000000" w:themeColor="text1"/>
          <w:sz w:val="24"/>
          <w:szCs w:val="24"/>
          <w:highlight w:val="none"/>
          <w14:textFill>
            <w14:solidFill>
              <w14:schemeClr w14:val="tx1"/>
            </w14:solidFill>
          </w14:textFill>
        </w:rPr>
        <w:t xml:space="preserve">章） </w:t>
      </w:r>
    </w:p>
    <w:p w14:paraId="6CC9CBD2">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法定代表人（或授权代表）：</w:t>
      </w:r>
      <w:r>
        <w:rPr>
          <w:rFonts w:ascii="宋体" w:hAnsi="宋体"/>
          <w:color w:val="000000" w:themeColor="text1"/>
          <w:sz w:val="24"/>
          <w:szCs w:val="24"/>
          <w:highlight w:val="none"/>
          <w14:textFill>
            <w14:solidFill>
              <w14:schemeClr w14:val="tx1"/>
            </w14:solidFill>
          </w14:textFill>
        </w:rPr>
        <w:t xml:space="preserve">               （签字） </w:t>
      </w:r>
    </w:p>
    <w:p w14:paraId="4FBAB9BE">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w:t>
      </w:r>
      <w:r>
        <w:rPr>
          <w:rFonts w:ascii="宋体" w:hAnsi="宋体"/>
          <w:color w:val="000000" w:themeColor="text1"/>
          <w:sz w:val="24"/>
          <w:szCs w:val="24"/>
          <w:highlight w:val="none"/>
          <w14:textFill>
            <w14:solidFill>
              <w14:schemeClr w14:val="tx1"/>
            </w14:solidFill>
          </w14:textFill>
        </w:rPr>
        <w:t xml:space="preserve">    址：                                       </w:t>
      </w:r>
    </w:p>
    <w:p w14:paraId="32E89D02">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邮政编码：</w:t>
      </w:r>
      <w:r>
        <w:rPr>
          <w:rFonts w:ascii="宋体" w:hAnsi="宋体"/>
          <w:color w:val="000000" w:themeColor="text1"/>
          <w:sz w:val="24"/>
          <w:szCs w:val="24"/>
          <w:highlight w:val="none"/>
          <w14:textFill>
            <w14:solidFill>
              <w14:schemeClr w14:val="tx1"/>
            </w14:solidFill>
          </w14:textFill>
        </w:rPr>
        <w:t xml:space="preserve">                 </w:t>
      </w:r>
    </w:p>
    <w:p w14:paraId="5962208F">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w:t>
      </w:r>
      <w:r>
        <w:rPr>
          <w:rFonts w:ascii="宋体" w:hAnsi="宋体"/>
          <w:color w:val="000000" w:themeColor="text1"/>
          <w:sz w:val="24"/>
          <w:szCs w:val="24"/>
          <w:highlight w:val="none"/>
          <w14:textFill>
            <w14:solidFill>
              <w14:schemeClr w14:val="tx1"/>
            </w14:solidFill>
          </w14:textFill>
        </w:rPr>
        <w:t xml:space="preserve">    话：                 </w:t>
      </w:r>
    </w:p>
    <w:p w14:paraId="3091D9CD">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传</w:t>
      </w:r>
      <w:r>
        <w:rPr>
          <w:rFonts w:ascii="宋体" w:hAnsi="宋体"/>
          <w:color w:val="000000" w:themeColor="text1"/>
          <w:sz w:val="24"/>
          <w:szCs w:val="24"/>
          <w:highlight w:val="none"/>
          <w14:textFill>
            <w14:solidFill>
              <w14:schemeClr w14:val="tx1"/>
            </w14:solidFill>
          </w14:textFill>
        </w:rPr>
        <w:t xml:space="preserve">    真：                 </w:t>
      </w:r>
    </w:p>
    <w:p w14:paraId="4ACB13BD">
      <w:pPr>
        <w:spacing w:line="360" w:lineRule="auto"/>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时 </w:t>
      </w:r>
      <w:r>
        <w:rPr>
          <w:rFonts w:ascii="宋体" w:hAnsi="宋体"/>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间：</w:t>
      </w:r>
      <w:r>
        <w:rPr>
          <w:rFonts w:ascii="宋体" w:hAnsi="宋体"/>
          <w:color w:val="000000" w:themeColor="text1"/>
          <w:sz w:val="24"/>
          <w:szCs w:val="24"/>
          <w:highlight w:val="none"/>
          <w14:textFill>
            <w14:solidFill>
              <w14:schemeClr w14:val="tx1"/>
            </w14:solidFill>
          </w14:textFill>
        </w:rPr>
        <w:t xml:space="preserve">      年      月        日</w:t>
      </w:r>
    </w:p>
    <w:p w14:paraId="2ED48F56">
      <w:pPr>
        <w:rPr>
          <w:color w:val="000000" w:themeColor="text1"/>
          <w:highlight w:val="none"/>
          <w14:textFill>
            <w14:solidFill>
              <w14:schemeClr w14:val="tx1"/>
            </w14:solidFill>
          </w14:textFill>
        </w:rPr>
      </w:pPr>
    </w:p>
    <w:p w14:paraId="128BB61E">
      <w:pPr>
        <w:spacing w:line="360" w:lineRule="auto"/>
        <w:ind w:firstLine="480" w:firstLineChars="200"/>
        <w:rPr>
          <w:rFonts w:ascii="宋体" w:hAnsi="宋体"/>
          <w:color w:val="000000" w:themeColor="text1"/>
          <w:sz w:val="24"/>
          <w:szCs w:val="24"/>
          <w:highlight w:val="none"/>
          <w14:textFill>
            <w14:solidFill>
              <w14:schemeClr w14:val="tx1"/>
            </w14:solidFill>
          </w14:textFill>
        </w:rPr>
      </w:pPr>
    </w:p>
    <w:p w14:paraId="3D94A610">
      <w:pPr>
        <w:spacing w:line="360" w:lineRule="auto"/>
        <w:ind w:firstLine="420" w:firstLineChars="200"/>
        <w:rPr>
          <w:rFonts w:hint="eastAsia"/>
          <w:color w:val="000000" w:themeColor="text1"/>
          <w:highlight w:val="none"/>
          <w14:textFill>
            <w14:solidFill>
              <w14:schemeClr w14:val="tx1"/>
            </w14:solidFill>
          </w14:textFill>
        </w:rPr>
      </w:pPr>
    </w:p>
    <w:p w14:paraId="1EFD4197">
      <w:pPr>
        <w:jc w:val="left"/>
        <w:rPr>
          <w:rFonts w:eastAsia="仿宋_GB2312"/>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 xml:space="preserve"> </w:t>
      </w:r>
    </w:p>
    <w:p w14:paraId="256981B9">
      <w:pPr>
        <w:jc w:val="left"/>
        <w:rPr>
          <w:rFonts w:hint="eastAsia" w:hAnsi="宋体" w:cs="宋体"/>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br w:type="page"/>
      </w:r>
      <w:r>
        <w:rPr>
          <w:rFonts w:hint="eastAsia" w:hAnsi="宋体" w:cs="宋体"/>
          <w:color w:val="000000" w:themeColor="text1"/>
          <w:sz w:val="30"/>
          <w:szCs w:val="30"/>
          <w:highlight w:val="none"/>
          <w14:textFill>
            <w14:solidFill>
              <w14:schemeClr w14:val="tx1"/>
            </w14:solidFill>
          </w14:textFill>
        </w:rPr>
        <w:t>附件</w:t>
      </w:r>
      <w:r>
        <w:rPr>
          <w:rFonts w:hint="eastAsia" w:hAnsi="宋体" w:cs="宋体"/>
          <w:color w:val="000000" w:themeColor="text1"/>
          <w:sz w:val="30"/>
          <w:szCs w:val="30"/>
          <w:highlight w:val="none"/>
          <w:lang w:val="en-US" w:eastAsia="zh-CN"/>
          <w14:textFill>
            <w14:solidFill>
              <w14:schemeClr w14:val="tx1"/>
            </w14:solidFill>
          </w14:textFill>
        </w:rPr>
        <w:t>9</w:t>
      </w:r>
      <w:r>
        <w:rPr>
          <w:rFonts w:hint="eastAsia" w:hAnsi="宋体" w:cs="宋体"/>
          <w:color w:val="000000" w:themeColor="text1"/>
          <w:sz w:val="30"/>
          <w:szCs w:val="30"/>
          <w:highlight w:val="none"/>
          <w14:textFill>
            <w14:solidFill>
              <w14:schemeClr w14:val="tx1"/>
            </w14:solidFill>
          </w14:textFill>
        </w:rPr>
        <w:t>：</w:t>
      </w:r>
    </w:p>
    <w:p w14:paraId="1E00A4C0">
      <w:pPr>
        <w:jc w:val="center"/>
        <w:rPr>
          <w:rFonts w:hint="eastAsia"/>
          <w:b/>
          <w:color w:val="000000" w:themeColor="text1"/>
          <w:sz w:val="36"/>
          <w:szCs w:val="36"/>
          <w:highlight w:val="none"/>
          <w14:textFill>
            <w14:solidFill>
              <w14:schemeClr w14:val="tx1"/>
            </w14:solidFill>
          </w14:textFill>
        </w:rPr>
      </w:pPr>
      <w:r>
        <w:rPr>
          <w:rFonts w:hint="eastAsia"/>
          <w:b/>
          <w:color w:val="000000" w:themeColor="text1"/>
          <w:sz w:val="36"/>
          <w:szCs w:val="36"/>
          <w:highlight w:val="none"/>
          <w14:textFill>
            <w14:solidFill>
              <w14:schemeClr w14:val="tx1"/>
            </w14:solidFill>
          </w14:textFill>
        </w:rPr>
        <w:t>预付款支付申请（核准）表</w:t>
      </w:r>
    </w:p>
    <w:p w14:paraId="5F19A5A0">
      <w:pP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工程名称：                                             编号：</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4697"/>
      </w:tblGrid>
      <w:tr w14:paraId="5C7D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185" w:type="dxa"/>
            <w:gridSpan w:val="2"/>
            <w:tcBorders>
              <w:tl2br w:val="nil"/>
              <w:tr2bl w:val="nil"/>
            </w:tcBorders>
          </w:tcPr>
          <w:p w14:paraId="3B50AE18">
            <w:pPr>
              <w:keepNext w:val="0"/>
              <w:keepLines w:val="0"/>
              <w:suppressLineNumbers w:val="0"/>
              <w:spacing w:before="0" w:beforeAutospacing="0" w:after="0" w:afterAutospacing="0" w:line="480" w:lineRule="exact"/>
              <w:ind w:left="525" w:leftChars="149" w:right="0" w:hanging="212" w:hangingChars="101"/>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致：</w:t>
            </w:r>
            <w:r>
              <w:rPr>
                <w:rFonts w:hint="eastAsia"/>
                <w:color w:val="000000" w:themeColor="text1"/>
                <w:highlight w:val="none"/>
                <w:u w:val="single"/>
                <w14:textFill>
                  <w14:solidFill>
                    <w14:schemeClr w14:val="tx1"/>
                  </w14:solidFill>
                </w14:textFill>
              </w:rPr>
              <w:t xml:space="preserve">                                   （发包人全称）</w:t>
            </w:r>
          </w:p>
          <w:p w14:paraId="75BB98E6">
            <w:pPr>
              <w:keepNext w:val="0"/>
              <w:keepLines w:val="0"/>
              <w:suppressLineNumbers w:val="0"/>
              <w:spacing w:before="0" w:beforeAutospacing="0" w:after="0" w:afterAutospacing="0" w:line="400" w:lineRule="exact"/>
              <w:ind w:left="-4" w:leftChars="-2" w:right="0" w:firstLine="315" w:firstLineChars="15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我方根据施工合同的约定，现申请支付工程预付款额为(大写)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元，(小写)</w:t>
            </w:r>
          </w:p>
          <w:p w14:paraId="68136CDB">
            <w:pPr>
              <w:keepNext w:val="0"/>
              <w:keepLines w:val="0"/>
              <w:suppressLineNumbers w:val="0"/>
              <w:spacing w:before="0" w:beforeAutospacing="0" w:after="0" w:afterAutospacing="0" w:line="40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元，请予核准。</w:t>
            </w:r>
          </w:p>
          <w:tbl>
            <w:tblPr>
              <w:tblStyle w:val="53"/>
              <w:tblpPr w:leftFromText="180" w:rightFromText="180" w:vertAnchor="page" w:horzAnchor="margin" w:tblpXSpec="left"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14:paraId="5318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l2br w:val="nil"/>
                    <w:tr2bl w:val="nil"/>
                  </w:tcBorders>
                  <w:vAlign w:val="center"/>
                </w:tcPr>
                <w:p w14:paraId="3923301A">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3340" w:type="dxa"/>
                  <w:tcBorders>
                    <w:tl2br w:val="nil"/>
                    <w:tr2bl w:val="nil"/>
                  </w:tcBorders>
                  <w:vAlign w:val="center"/>
                </w:tcPr>
                <w:p w14:paraId="125B07D6">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名      称</w:t>
                  </w:r>
                </w:p>
              </w:tc>
              <w:tc>
                <w:tcPr>
                  <w:tcW w:w="1764" w:type="dxa"/>
                  <w:tcBorders>
                    <w:tl2br w:val="nil"/>
                    <w:tr2bl w:val="nil"/>
                  </w:tcBorders>
                  <w:vAlign w:val="center"/>
                </w:tcPr>
                <w:p w14:paraId="39D0A9F8">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申请金额（元）</w:t>
                  </w:r>
                </w:p>
              </w:tc>
              <w:tc>
                <w:tcPr>
                  <w:tcW w:w="2240" w:type="dxa"/>
                  <w:tcBorders>
                    <w:tl2br w:val="nil"/>
                    <w:tr2bl w:val="nil"/>
                  </w:tcBorders>
                  <w:vAlign w:val="center"/>
                </w:tcPr>
                <w:p w14:paraId="6336E672">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复核金额（元）</w:t>
                  </w:r>
                </w:p>
              </w:tc>
              <w:tc>
                <w:tcPr>
                  <w:tcW w:w="1080" w:type="dxa"/>
                  <w:tcBorders>
                    <w:tl2br w:val="nil"/>
                    <w:tr2bl w:val="nil"/>
                  </w:tcBorders>
                  <w:vAlign w:val="center"/>
                </w:tcPr>
                <w:p w14:paraId="2111AC40">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w:t>
                  </w:r>
                </w:p>
              </w:tc>
            </w:tr>
            <w:tr w14:paraId="2E74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1A21353C">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3340" w:type="dxa"/>
                  <w:tcBorders>
                    <w:tl2br w:val="nil"/>
                    <w:tr2bl w:val="nil"/>
                  </w:tcBorders>
                </w:tcPr>
                <w:p w14:paraId="25A9A63F">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已签约合同价款金额</w:t>
                  </w:r>
                </w:p>
              </w:tc>
              <w:tc>
                <w:tcPr>
                  <w:tcW w:w="1764" w:type="dxa"/>
                  <w:tcBorders>
                    <w:tl2br w:val="nil"/>
                    <w:tr2bl w:val="nil"/>
                  </w:tcBorders>
                </w:tcPr>
                <w:p w14:paraId="172525B8">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2240" w:type="dxa"/>
                  <w:tcBorders>
                    <w:tl2br w:val="nil"/>
                    <w:tr2bl w:val="nil"/>
                  </w:tcBorders>
                </w:tcPr>
                <w:p w14:paraId="67C2EEC1">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080" w:type="dxa"/>
                  <w:tcBorders>
                    <w:tl2br w:val="nil"/>
                    <w:tr2bl w:val="nil"/>
                  </w:tcBorders>
                </w:tcPr>
                <w:p w14:paraId="39EF7D32">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5A29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02B24B7B">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3340" w:type="dxa"/>
                  <w:tcBorders>
                    <w:tl2br w:val="nil"/>
                    <w:tr2bl w:val="nil"/>
                  </w:tcBorders>
                </w:tcPr>
                <w:p w14:paraId="478DD428">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其中：安全文明施工费</w:t>
                  </w:r>
                </w:p>
              </w:tc>
              <w:tc>
                <w:tcPr>
                  <w:tcW w:w="1764" w:type="dxa"/>
                  <w:tcBorders>
                    <w:tl2br w:val="nil"/>
                    <w:tr2bl w:val="nil"/>
                  </w:tcBorders>
                </w:tcPr>
                <w:p w14:paraId="087910AB">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2240" w:type="dxa"/>
                  <w:tcBorders>
                    <w:tl2br w:val="nil"/>
                    <w:tr2bl w:val="nil"/>
                  </w:tcBorders>
                </w:tcPr>
                <w:p w14:paraId="5726A572">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080" w:type="dxa"/>
                  <w:tcBorders>
                    <w:tl2br w:val="nil"/>
                    <w:tr2bl w:val="nil"/>
                  </w:tcBorders>
                </w:tcPr>
                <w:p w14:paraId="5B24F287">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16FE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7130C244">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p>
              </w:tc>
              <w:tc>
                <w:tcPr>
                  <w:tcW w:w="3340" w:type="dxa"/>
                  <w:tcBorders>
                    <w:tl2br w:val="nil"/>
                    <w:tr2bl w:val="nil"/>
                  </w:tcBorders>
                </w:tcPr>
                <w:p w14:paraId="6D89FD98">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应支付的预付款</w:t>
                  </w:r>
                </w:p>
              </w:tc>
              <w:tc>
                <w:tcPr>
                  <w:tcW w:w="1764" w:type="dxa"/>
                  <w:tcBorders>
                    <w:tl2br w:val="nil"/>
                    <w:tr2bl w:val="nil"/>
                  </w:tcBorders>
                </w:tcPr>
                <w:p w14:paraId="70EFA43A">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2240" w:type="dxa"/>
                  <w:tcBorders>
                    <w:tl2br w:val="nil"/>
                    <w:tr2bl w:val="nil"/>
                  </w:tcBorders>
                </w:tcPr>
                <w:p w14:paraId="13FDE5D4">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080" w:type="dxa"/>
                  <w:tcBorders>
                    <w:tl2br w:val="nil"/>
                    <w:tr2bl w:val="nil"/>
                  </w:tcBorders>
                </w:tcPr>
                <w:p w14:paraId="3E65580B">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4F23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21074DED">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p>
              </w:tc>
              <w:tc>
                <w:tcPr>
                  <w:tcW w:w="3340" w:type="dxa"/>
                  <w:tcBorders>
                    <w:tl2br w:val="nil"/>
                    <w:tr2bl w:val="nil"/>
                  </w:tcBorders>
                </w:tcPr>
                <w:p w14:paraId="1F73734B">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应支付的安全文明施工费预付款</w:t>
                  </w:r>
                </w:p>
              </w:tc>
              <w:tc>
                <w:tcPr>
                  <w:tcW w:w="1764" w:type="dxa"/>
                  <w:tcBorders>
                    <w:tl2br w:val="nil"/>
                    <w:tr2bl w:val="nil"/>
                  </w:tcBorders>
                </w:tcPr>
                <w:p w14:paraId="4B5390C6">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2240" w:type="dxa"/>
                  <w:tcBorders>
                    <w:tl2br w:val="nil"/>
                    <w:tr2bl w:val="nil"/>
                  </w:tcBorders>
                </w:tcPr>
                <w:p w14:paraId="2B87251A">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080" w:type="dxa"/>
                  <w:tcBorders>
                    <w:tl2br w:val="nil"/>
                    <w:tr2bl w:val="nil"/>
                  </w:tcBorders>
                </w:tcPr>
                <w:p w14:paraId="7E8F2F92">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1B47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072F6A93">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p>
              </w:tc>
              <w:tc>
                <w:tcPr>
                  <w:tcW w:w="3340" w:type="dxa"/>
                  <w:tcBorders>
                    <w:tl2br w:val="nil"/>
                    <w:tr2bl w:val="nil"/>
                  </w:tcBorders>
                </w:tcPr>
                <w:p w14:paraId="78960D75">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合计应支付的预付款</w:t>
                  </w:r>
                </w:p>
              </w:tc>
              <w:tc>
                <w:tcPr>
                  <w:tcW w:w="1764" w:type="dxa"/>
                  <w:tcBorders>
                    <w:tl2br w:val="nil"/>
                    <w:tr2bl w:val="nil"/>
                  </w:tcBorders>
                </w:tcPr>
                <w:p w14:paraId="2C914406">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2240" w:type="dxa"/>
                  <w:tcBorders>
                    <w:tl2br w:val="nil"/>
                    <w:tr2bl w:val="nil"/>
                  </w:tcBorders>
                </w:tcPr>
                <w:p w14:paraId="59428AA3">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080" w:type="dxa"/>
                  <w:tcBorders>
                    <w:tl2br w:val="nil"/>
                    <w:tr2bl w:val="nil"/>
                  </w:tcBorders>
                </w:tcPr>
                <w:p w14:paraId="5C97EA77">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2DE3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7FA4FCD2">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p>
              </w:tc>
              <w:tc>
                <w:tcPr>
                  <w:tcW w:w="3340" w:type="dxa"/>
                  <w:tcBorders>
                    <w:tl2br w:val="nil"/>
                    <w:tr2bl w:val="nil"/>
                  </w:tcBorders>
                </w:tcPr>
                <w:p w14:paraId="0ECC5CA7">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764" w:type="dxa"/>
                  <w:tcBorders>
                    <w:tl2br w:val="nil"/>
                    <w:tr2bl w:val="nil"/>
                  </w:tcBorders>
                </w:tcPr>
                <w:p w14:paraId="6AA16414">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2240" w:type="dxa"/>
                  <w:tcBorders>
                    <w:tl2br w:val="nil"/>
                    <w:tr2bl w:val="nil"/>
                  </w:tcBorders>
                </w:tcPr>
                <w:p w14:paraId="7FCE8DDD">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080" w:type="dxa"/>
                  <w:tcBorders>
                    <w:tl2br w:val="nil"/>
                    <w:tr2bl w:val="nil"/>
                  </w:tcBorders>
                </w:tcPr>
                <w:p w14:paraId="17846E9E">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bl>
          <w:p w14:paraId="4ACFFAFA">
            <w:pPr>
              <w:keepNext w:val="0"/>
              <w:keepLines w:val="0"/>
              <w:suppressLineNumbers w:val="0"/>
              <w:wordWrap w:val="0"/>
              <w:spacing w:before="0" w:beforeAutospacing="0" w:after="0" w:afterAutospacing="0" w:line="400" w:lineRule="exact"/>
              <w:ind w:left="0" w:right="420"/>
              <w:rPr>
                <w:rFonts w:hint="eastAsia"/>
                <w:color w:val="000000" w:themeColor="text1"/>
                <w:highlight w:val="none"/>
                <w14:textFill>
                  <w14:solidFill>
                    <w14:schemeClr w14:val="tx1"/>
                  </w14:solidFill>
                </w14:textFill>
              </w:rPr>
            </w:pPr>
          </w:p>
          <w:p w14:paraId="2E52C430">
            <w:pPr>
              <w:keepNext w:val="0"/>
              <w:keepLines w:val="0"/>
              <w:suppressLineNumbers w:val="0"/>
              <w:wordWrap w:val="0"/>
              <w:spacing w:before="0" w:beforeAutospacing="0" w:after="0" w:afterAutospacing="0" w:line="400" w:lineRule="exact"/>
              <w:ind w:left="0" w:right="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承包人（章）             </w:t>
            </w:r>
          </w:p>
          <w:p w14:paraId="09D9FAEF">
            <w:pPr>
              <w:keepNext w:val="0"/>
              <w:keepLines w:val="0"/>
              <w:suppressLineNumbers w:val="0"/>
              <w:spacing w:before="0" w:beforeAutospacing="0" w:after="0" w:afterAutospacing="0" w:line="400" w:lineRule="exact"/>
              <w:ind w:left="0" w:right="420" w:firstLine="435"/>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造价人员</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承包人代表</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      期</w:t>
            </w:r>
            <w:r>
              <w:rPr>
                <w:rFonts w:hint="eastAsia"/>
                <w:color w:val="000000" w:themeColor="text1"/>
                <w:highlight w:val="none"/>
                <w:u w:val="single"/>
                <w14:textFill>
                  <w14:solidFill>
                    <w14:schemeClr w14:val="tx1"/>
                  </w14:solidFill>
                </w14:textFill>
              </w:rPr>
              <w:t xml:space="preserve">               </w:t>
            </w:r>
          </w:p>
        </w:tc>
      </w:tr>
      <w:tr w14:paraId="437B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488" w:type="dxa"/>
            <w:tcBorders>
              <w:tl2br w:val="nil"/>
              <w:tr2bl w:val="nil"/>
            </w:tcBorders>
          </w:tcPr>
          <w:p w14:paraId="5503C75A">
            <w:pPr>
              <w:keepNext w:val="0"/>
              <w:keepLines w:val="0"/>
              <w:suppressLineNumbers w:val="0"/>
              <w:spacing w:before="0" w:beforeAutospacing="0" w:after="0" w:afterAutospacing="0" w:line="36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复核意见：</w:t>
            </w:r>
          </w:p>
          <w:p w14:paraId="421FEC36">
            <w:pPr>
              <w:keepNext w:val="0"/>
              <w:keepLines w:val="0"/>
              <w:suppressLineNumbers w:val="0"/>
              <w:spacing w:before="0" w:beforeAutospacing="0" w:after="0" w:afterAutospacing="0" w:line="360" w:lineRule="exact"/>
              <w:ind w:left="0" w:right="0" w:firstLine="31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□与合同约定不相符，修改意见见附件。</w:t>
            </w:r>
          </w:p>
          <w:p w14:paraId="0C4DF489">
            <w:pPr>
              <w:keepNext w:val="0"/>
              <w:keepLines w:val="0"/>
              <w:suppressLineNumbers w:val="0"/>
              <w:spacing w:before="0" w:beforeAutospacing="0" w:after="0" w:afterAutospacing="0" w:line="360" w:lineRule="exact"/>
              <w:ind w:left="0" w:right="0" w:firstLine="31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□与合同约定相符，具体金额由造价工程师复核。</w:t>
            </w:r>
          </w:p>
          <w:p w14:paraId="7BD7F869">
            <w:pPr>
              <w:keepNext w:val="0"/>
              <w:keepLines w:val="0"/>
              <w:suppressLineNumbers w:val="0"/>
              <w:spacing w:before="0" w:beforeAutospacing="0" w:after="0" w:afterAutospacing="0" w:line="360" w:lineRule="exact"/>
              <w:ind w:left="0" w:right="0" w:firstLine="435"/>
              <w:jc w:val="right"/>
              <w:rPr>
                <w:rFonts w:hint="eastAsia"/>
                <w:color w:val="000000" w:themeColor="text1"/>
                <w:highlight w:val="none"/>
                <w14:textFill>
                  <w14:solidFill>
                    <w14:schemeClr w14:val="tx1"/>
                  </w14:solidFill>
                </w14:textFill>
              </w:rPr>
            </w:pPr>
          </w:p>
          <w:p w14:paraId="6068A81C">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监理工程师</w:t>
            </w:r>
            <w:r>
              <w:rPr>
                <w:rFonts w:hint="eastAsia"/>
                <w:color w:val="000000" w:themeColor="text1"/>
                <w:highlight w:val="none"/>
                <w:u w:val="single"/>
                <w14:textFill>
                  <w14:solidFill>
                    <w14:schemeClr w14:val="tx1"/>
                  </w14:solidFill>
                </w14:textFill>
              </w:rPr>
              <w:t xml:space="preserve">           </w:t>
            </w:r>
          </w:p>
          <w:p w14:paraId="218A1CBA">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日      期</w:t>
            </w:r>
            <w:r>
              <w:rPr>
                <w:rFonts w:hint="eastAsia"/>
                <w:color w:val="000000" w:themeColor="text1"/>
                <w:highlight w:val="none"/>
                <w:u w:val="single"/>
                <w14:textFill>
                  <w14:solidFill>
                    <w14:schemeClr w14:val="tx1"/>
                  </w14:solidFill>
                </w14:textFill>
              </w:rPr>
              <w:t xml:space="preserve">           </w:t>
            </w:r>
          </w:p>
        </w:tc>
        <w:tc>
          <w:tcPr>
            <w:tcW w:w="4697" w:type="dxa"/>
            <w:tcBorders>
              <w:tl2br w:val="nil"/>
              <w:tr2bl w:val="nil"/>
            </w:tcBorders>
          </w:tcPr>
          <w:p w14:paraId="5CAE5A4A">
            <w:pPr>
              <w:keepNext w:val="0"/>
              <w:keepLines w:val="0"/>
              <w:suppressLineNumbers w:val="0"/>
              <w:spacing w:before="0" w:beforeAutospacing="0" w:after="0" w:afterAutospacing="0" w:line="36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复核意见：</w:t>
            </w:r>
          </w:p>
          <w:p w14:paraId="1065B4E8">
            <w:pPr>
              <w:keepNext w:val="0"/>
              <w:keepLines w:val="0"/>
              <w:suppressLineNumbers w:val="0"/>
              <w:spacing w:before="0" w:beforeAutospacing="0" w:after="0" w:afterAutospacing="0" w:line="360" w:lineRule="exact"/>
              <w:ind w:left="0" w:right="0" w:firstLine="435"/>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你方提出的支付申请经复核，应支付预付款金额为(大写)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元，（小写）</w:t>
            </w:r>
          </w:p>
          <w:p w14:paraId="27E16768">
            <w:pPr>
              <w:keepNext w:val="0"/>
              <w:keepLines w:val="0"/>
              <w:suppressLineNumbers w:val="0"/>
              <w:spacing w:before="0" w:beforeAutospacing="0" w:after="0" w:afterAutospacing="0" w:line="36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元。</w:t>
            </w:r>
          </w:p>
          <w:p w14:paraId="46015919">
            <w:pPr>
              <w:keepNext w:val="0"/>
              <w:keepLines w:val="0"/>
              <w:suppressLineNumbers w:val="0"/>
              <w:spacing w:before="0" w:beforeAutospacing="0" w:after="0" w:afterAutospacing="0" w:line="360" w:lineRule="exact"/>
              <w:ind w:left="0" w:right="0"/>
              <w:rPr>
                <w:rFonts w:hint="eastAsia"/>
                <w:color w:val="000000" w:themeColor="text1"/>
                <w:highlight w:val="none"/>
                <w:u w:val="single"/>
                <w14:textFill>
                  <w14:solidFill>
                    <w14:schemeClr w14:val="tx1"/>
                  </w14:solidFill>
                </w14:textFill>
              </w:rPr>
            </w:pPr>
          </w:p>
          <w:p w14:paraId="5EEC4A50">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造价工程师</w:t>
            </w:r>
            <w:r>
              <w:rPr>
                <w:rFonts w:hint="eastAsia"/>
                <w:color w:val="000000" w:themeColor="text1"/>
                <w:highlight w:val="none"/>
                <w:u w:val="single"/>
                <w14:textFill>
                  <w14:solidFill>
                    <w14:schemeClr w14:val="tx1"/>
                  </w14:solidFill>
                </w14:textFill>
              </w:rPr>
              <w:t xml:space="preserve">           </w:t>
            </w:r>
          </w:p>
          <w:p w14:paraId="57AF7001">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日      期</w:t>
            </w:r>
            <w:r>
              <w:rPr>
                <w:rFonts w:hint="eastAsia"/>
                <w:color w:val="000000" w:themeColor="text1"/>
                <w:highlight w:val="none"/>
                <w:u w:val="single"/>
                <w14:textFill>
                  <w14:solidFill>
                    <w14:schemeClr w14:val="tx1"/>
                  </w14:solidFill>
                </w14:textFill>
              </w:rPr>
              <w:t xml:space="preserve">           </w:t>
            </w:r>
          </w:p>
        </w:tc>
      </w:tr>
      <w:tr w14:paraId="3BF68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185" w:type="dxa"/>
            <w:gridSpan w:val="2"/>
            <w:tcBorders>
              <w:tl2br w:val="nil"/>
              <w:tr2bl w:val="nil"/>
            </w:tcBorders>
          </w:tcPr>
          <w:p w14:paraId="6F4194C5">
            <w:pPr>
              <w:keepNext w:val="0"/>
              <w:keepLines w:val="0"/>
              <w:suppressLineNumbers w:val="0"/>
              <w:spacing w:before="0" w:beforeAutospacing="0" w:after="0" w:afterAutospacing="0" w:line="40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审核意见：</w:t>
            </w:r>
          </w:p>
          <w:p w14:paraId="354A78A3">
            <w:pPr>
              <w:keepNext w:val="0"/>
              <w:keepLines w:val="0"/>
              <w:suppressLineNumbers w:val="0"/>
              <w:spacing w:before="0" w:beforeAutospacing="0" w:after="0" w:afterAutospacing="0" w:line="400" w:lineRule="exact"/>
              <w:ind w:left="0" w:right="0" w:firstLine="435"/>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□不同意。</w:t>
            </w:r>
          </w:p>
          <w:p w14:paraId="61B3A1BA">
            <w:pPr>
              <w:keepNext w:val="0"/>
              <w:keepLines w:val="0"/>
              <w:suppressLineNumbers w:val="0"/>
              <w:spacing w:before="0" w:beforeAutospacing="0" w:after="0" w:afterAutospacing="0" w:line="400" w:lineRule="exact"/>
              <w:ind w:left="0" w:right="0"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□同意，支付时间为本表签发后的15天内。</w:t>
            </w:r>
          </w:p>
          <w:p w14:paraId="0DA387FD">
            <w:pPr>
              <w:keepNext w:val="0"/>
              <w:keepLines w:val="0"/>
              <w:suppressLineNumbers w:val="0"/>
              <w:wordWrap w:val="0"/>
              <w:spacing w:before="0" w:beforeAutospacing="0" w:after="0" w:afterAutospacing="0" w:line="400" w:lineRule="exact"/>
              <w:ind w:left="0" w:right="0" w:firstLine="420" w:firstLineChars="200"/>
              <w:jc w:val="righ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发包人（章）           </w:t>
            </w:r>
          </w:p>
          <w:p w14:paraId="2A8938B9">
            <w:pPr>
              <w:keepNext w:val="0"/>
              <w:keepLines w:val="0"/>
              <w:suppressLineNumbers w:val="0"/>
              <w:wordWrap w:val="0"/>
              <w:spacing w:before="0" w:beforeAutospacing="0" w:after="0" w:afterAutospacing="0" w:line="400" w:lineRule="exact"/>
              <w:ind w:left="0" w:right="0" w:firstLine="420" w:firstLineChars="200"/>
              <w:jc w:val="right"/>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发包人代表</w:t>
            </w:r>
            <w:r>
              <w:rPr>
                <w:rFonts w:hint="eastAsia"/>
                <w:color w:val="000000" w:themeColor="text1"/>
                <w:highlight w:val="none"/>
                <w:u w:val="single"/>
                <w14:textFill>
                  <w14:solidFill>
                    <w14:schemeClr w14:val="tx1"/>
                  </w14:solidFill>
                </w14:textFill>
              </w:rPr>
              <w:t xml:space="preserve">             </w:t>
            </w:r>
          </w:p>
          <w:p w14:paraId="07F928B5">
            <w:pPr>
              <w:keepNext w:val="0"/>
              <w:keepLines w:val="0"/>
              <w:suppressLineNumbers w:val="0"/>
              <w:wordWrap w:val="0"/>
              <w:spacing w:before="0" w:beforeAutospacing="0" w:after="0" w:afterAutospacing="0" w:line="400" w:lineRule="exact"/>
              <w:ind w:left="0" w:right="0" w:firstLine="420" w:firstLineChars="200"/>
              <w:jc w:val="right"/>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日      期</w:t>
            </w:r>
            <w:r>
              <w:rPr>
                <w:rFonts w:hint="eastAsia"/>
                <w:color w:val="000000" w:themeColor="text1"/>
                <w:highlight w:val="none"/>
                <w:u w:val="single"/>
                <w14:textFill>
                  <w14:solidFill>
                    <w14:schemeClr w14:val="tx1"/>
                  </w14:solidFill>
                </w14:textFill>
              </w:rPr>
              <w:t xml:space="preserve">             </w:t>
            </w:r>
          </w:p>
        </w:tc>
      </w:tr>
    </w:tbl>
    <w:p w14:paraId="1373C9BF">
      <w:pPr>
        <w:spacing w:before="166" w:beforeLines="50"/>
        <w:ind w:firstLine="360" w:firstLineChars="200"/>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注：1.在选择栏中的“□”内作标识“√”。 </w:t>
      </w:r>
    </w:p>
    <w:p w14:paraId="7B4F7062">
      <w:pPr>
        <w:spacing w:before="166" w:beforeLines="50"/>
        <w:ind w:left="720" w:hanging="720" w:hangingChars="400"/>
        <w:rPr>
          <w:rFonts w:hint="eastAsia" w:eastAsia="仿宋_GB2312"/>
          <w:color w:val="000000" w:themeColor="text1"/>
          <w:sz w:val="30"/>
          <w:szCs w:val="30"/>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    </w:t>
      </w:r>
      <w:r>
        <w:rPr>
          <w:color w:val="000000" w:themeColor="text1"/>
          <w:sz w:val="18"/>
          <w:szCs w:val="18"/>
          <w:highlight w:val="none"/>
          <w14:textFill>
            <w14:solidFill>
              <w14:schemeClr w14:val="tx1"/>
            </w14:solidFill>
          </w14:textFill>
        </w:rPr>
        <w:t xml:space="preserve">  </w:t>
      </w:r>
      <w:r>
        <w:rPr>
          <w:rFonts w:hint="eastAsia"/>
          <w:color w:val="000000" w:themeColor="text1"/>
          <w:sz w:val="18"/>
          <w:szCs w:val="18"/>
          <w:highlight w:val="none"/>
          <w14:textFill>
            <w14:solidFill>
              <w14:schemeClr w14:val="tx1"/>
            </w14:solidFill>
          </w14:textFill>
        </w:rPr>
        <w:t xml:space="preserve">  2.本表一式四份，由承包人填报，发包人、监理人、造价咨询人、承包人各存一份。</w:t>
      </w:r>
    </w:p>
    <w:p w14:paraId="1AD853BD">
      <w:pPr>
        <w:spacing w:before="166" w:beforeLines="50"/>
        <w:ind w:left="1200" w:hanging="1200" w:hangingChars="400"/>
        <w:rPr>
          <w:rFonts w:hint="eastAsia" w:eastAsia="仿宋_GB2312"/>
          <w:color w:val="000000" w:themeColor="text1"/>
          <w:sz w:val="30"/>
          <w:szCs w:val="30"/>
          <w:highlight w:val="none"/>
          <w14:textFill>
            <w14:solidFill>
              <w14:schemeClr w14:val="tx1"/>
            </w14:solidFill>
          </w14:textFill>
        </w:rPr>
      </w:pPr>
      <w:r>
        <w:rPr>
          <w:rFonts w:hint="eastAsia" w:eastAsia="仿宋_GB2312"/>
          <w:color w:val="000000" w:themeColor="text1"/>
          <w:sz w:val="30"/>
          <w:szCs w:val="30"/>
          <w:highlight w:val="none"/>
          <w14:textFill>
            <w14:solidFill>
              <w14:schemeClr w14:val="tx1"/>
            </w14:solidFill>
          </w14:textFill>
        </w:rPr>
        <w:t>附件1</w:t>
      </w:r>
      <w:r>
        <w:rPr>
          <w:rFonts w:hint="eastAsia" w:eastAsia="仿宋_GB2312"/>
          <w:color w:val="000000" w:themeColor="text1"/>
          <w:sz w:val="30"/>
          <w:szCs w:val="30"/>
          <w:highlight w:val="none"/>
          <w:lang w:val="en-US" w:eastAsia="zh-CN"/>
          <w14:textFill>
            <w14:solidFill>
              <w14:schemeClr w14:val="tx1"/>
            </w14:solidFill>
          </w14:textFill>
        </w:rPr>
        <w:t>0</w:t>
      </w:r>
      <w:r>
        <w:rPr>
          <w:rFonts w:hint="eastAsia" w:eastAsia="仿宋_GB2312"/>
          <w:color w:val="000000" w:themeColor="text1"/>
          <w:sz w:val="30"/>
          <w:szCs w:val="30"/>
          <w:highlight w:val="none"/>
          <w14:textFill>
            <w14:solidFill>
              <w14:schemeClr w14:val="tx1"/>
            </w14:solidFill>
          </w14:textFill>
        </w:rPr>
        <w:t>：</w:t>
      </w:r>
    </w:p>
    <w:p w14:paraId="0DA0EF29">
      <w:pPr>
        <w:jc w:val="center"/>
        <w:rPr>
          <w:rFonts w:hint="eastAsia"/>
          <w:b/>
          <w:color w:val="000000" w:themeColor="text1"/>
          <w:sz w:val="36"/>
          <w:szCs w:val="36"/>
          <w:highlight w:val="none"/>
          <w14:textFill>
            <w14:solidFill>
              <w14:schemeClr w14:val="tx1"/>
            </w14:solidFill>
          </w14:textFill>
        </w:rPr>
      </w:pPr>
      <w:r>
        <w:rPr>
          <w:rFonts w:hint="eastAsia"/>
          <w:b/>
          <w:color w:val="000000" w:themeColor="text1"/>
          <w:sz w:val="36"/>
          <w:szCs w:val="36"/>
          <w:highlight w:val="none"/>
          <w14:textFill>
            <w14:solidFill>
              <w14:schemeClr w14:val="tx1"/>
            </w14:solidFill>
          </w14:textFill>
        </w:rPr>
        <w:t>进度款支付申请（核准）表</w:t>
      </w:r>
    </w:p>
    <w:p w14:paraId="3A982798">
      <w:pP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工程名称：                                             编号：</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3F91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Borders>
              <w:tl2br w:val="nil"/>
              <w:tr2bl w:val="nil"/>
            </w:tcBorders>
          </w:tcPr>
          <w:p w14:paraId="516E73D1">
            <w:pPr>
              <w:keepNext w:val="0"/>
              <w:keepLines w:val="0"/>
              <w:suppressLineNumbers w:val="0"/>
              <w:spacing w:before="0" w:beforeAutospacing="0" w:after="0" w:afterAutospacing="0" w:line="480" w:lineRule="exact"/>
              <w:ind w:left="525" w:leftChars="149" w:right="0" w:hanging="212" w:hangingChars="101"/>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致：</w:t>
            </w:r>
            <w:r>
              <w:rPr>
                <w:rFonts w:hint="eastAsia"/>
                <w:color w:val="000000" w:themeColor="text1"/>
                <w:highlight w:val="none"/>
                <w:u w:val="single"/>
                <w14:textFill>
                  <w14:solidFill>
                    <w14:schemeClr w14:val="tx1"/>
                  </w14:solidFill>
                </w14:textFill>
              </w:rPr>
              <w:t xml:space="preserve">                                   （发包人全称）</w:t>
            </w:r>
          </w:p>
          <w:p w14:paraId="52A577C1">
            <w:pPr>
              <w:keepNext w:val="0"/>
              <w:keepLines w:val="0"/>
              <w:suppressLineNumbers w:val="0"/>
              <w:spacing w:before="0" w:beforeAutospacing="0" w:after="0" w:afterAutospacing="0" w:line="400" w:lineRule="exact"/>
              <w:ind w:left="-4" w:leftChars="-2" w:right="0" w:firstLine="315" w:firstLineChars="15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我方于</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至</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期间已完成了</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工作，根据施工合同的约定，现申请支付本期的合同款额为(大写)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元，(小写)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元，请予核准。</w:t>
            </w:r>
          </w:p>
          <w:tbl>
            <w:tblPr>
              <w:tblStyle w:val="53"/>
              <w:tblpPr w:leftFromText="180" w:rightFromText="180" w:vertAnchor="page" w:horzAnchor="margin" w:tblpXSpec="left"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340"/>
              <w:gridCol w:w="1440"/>
              <w:gridCol w:w="1260"/>
              <w:gridCol w:w="931"/>
            </w:tblGrid>
            <w:tr w14:paraId="7889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l2br w:val="nil"/>
                    <w:tr2bl w:val="nil"/>
                  </w:tcBorders>
                  <w:vAlign w:val="center"/>
                </w:tcPr>
                <w:p w14:paraId="2EC90A3B">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3340" w:type="dxa"/>
                  <w:tcBorders>
                    <w:tl2br w:val="nil"/>
                    <w:tr2bl w:val="nil"/>
                  </w:tcBorders>
                  <w:vAlign w:val="center"/>
                </w:tcPr>
                <w:p w14:paraId="5A5B43C1">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名      称</w:t>
                  </w:r>
                </w:p>
              </w:tc>
              <w:tc>
                <w:tcPr>
                  <w:tcW w:w="1340" w:type="dxa"/>
                  <w:tcBorders>
                    <w:tl2br w:val="nil"/>
                    <w:tr2bl w:val="nil"/>
                  </w:tcBorders>
                  <w:vAlign w:val="center"/>
                </w:tcPr>
                <w:p w14:paraId="29B5CE57">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实际金额（元）</w:t>
                  </w:r>
                </w:p>
              </w:tc>
              <w:tc>
                <w:tcPr>
                  <w:tcW w:w="1440" w:type="dxa"/>
                  <w:tcBorders>
                    <w:tl2br w:val="nil"/>
                    <w:tr2bl w:val="nil"/>
                  </w:tcBorders>
                  <w:vAlign w:val="center"/>
                </w:tcPr>
                <w:p w14:paraId="562D843B">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申请金额（元）</w:t>
                  </w:r>
                </w:p>
              </w:tc>
              <w:tc>
                <w:tcPr>
                  <w:tcW w:w="1260" w:type="dxa"/>
                  <w:tcBorders>
                    <w:tl2br w:val="nil"/>
                    <w:tr2bl w:val="nil"/>
                  </w:tcBorders>
                  <w:vAlign w:val="center"/>
                </w:tcPr>
                <w:p w14:paraId="78E8C2FD">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复核金额（元）</w:t>
                  </w:r>
                </w:p>
              </w:tc>
              <w:tc>
                <w:tcPr>
                  <w:tcW w:w="931" w:type="dxa"/>
                  <w:tcBorders>
                    <w:tl2br w:val="nil"/>
                    <w:tr2bl w:val="nil"/>
                  </w:tcBorders>
                  <w:vAlign w:val="center"/>
                </w:tcPr>
                <w:p w14:paraId="59C9F121">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w:t>
                  </w:r>
                </w:p>
              </w:tc>
            </w:tr>
            <w:tr w14:paraId="4039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1DDC0BE5">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3340" w:type="dxa"/>
                  <w:tcBorders>
                    <w:tl2br w:val="nil"/>
                    <w:tr2bl w:val="nil"/>
                  </w:tcBorders>
                </w:tcPr>
                <w:p w14:paraId="2BF28383">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累计已完成的工程价款</w:t>
                  </w:r>
                </w:p>
              </w:tc>
              <w:tc>
                <w:tcPr>
                  <w:tcW w:w="1340" w:type="dxa"/>
                  <w:tcBorders>
                    <w:tl2br w:val="nil"/>
                    <w:tr2bl w:val="nil"/>
                  </w:tcBorders>
                </w:tcPr>
                <w:p w14:paraId="20F8D967">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440" w:type="dxa"/>
                  <w:tcBorders>
                    <w:tl2br w:val="nil"/>
                    <w:tr2bl w:val="nil"/>
                  </w:tcBorders>
                </w:tcPr>
                <w:p w14:paraId="3707D743">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260" w:type="dxa"/>
                  <w:tcBorders>
                    <w:tl2br w:val="nil"/>
                    <w:tr2bl w:val="nil"/>
                  </w:tcBorders>
                </w:tcPr>
                <w:p w14:paraId="5B6878BC">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931" w:type="dxa"/>
                  <w:tcBorders>
                    <w:tl2br w:val="nil"/>
                    <w:tr2bl w:val="nil"/>
                  </w:tcBorders>
                </w:tcPr>
                <w:p w14:paraId="4B5D7082">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055A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5E407E7F">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p>
              </w:tc>
              <w:tc>
                <w:tcPr>
                  <w:tcW w:w="3340" w:type="dxa"/>
                  <w:tcBorders>
                    <w:tl2br w:val="nil"/>
                    <w:tr2bl w:val="nil"/>
                  </w:tcBorders>
                </w:tcPr>
                <w:p w14:paraId="6CDD565E">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其中：人工费</w:t>
                  </w:r>
                </w:p>
              </w:tc>
              <w:tc>
                <w:tcPr>
                  <w:tcW w:w="1340" w:type="dxa"/>
                  <w:tcBorders>
                    <w:tl2br w:val="nil"/>
                    <w:tr2bl w:val="nil"/>
                  </w:tcBorders>
                </w:tcPr>
                <w:p w14:paraId="67E49139">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440" w:type="dxa"/>
                  <w:tcBorders>
                    <w:tl2br w:val="nil"/>
                    <w:tr2bl w:val="nil"/>
                  </w:tcBorders>
                </w:tcPr>
                <w:p w14:paraId="7A8FDC62">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260" w:type="dxa"/>
                  <w:tcBorders>
                    <w:tl2br w:val="nil"/>
                    <w:tr2bl w:val="nil"/>
                  </w:tcBorders>
                </w:tcPr>
                <w:p w14:paraId="7D75A6D7">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931" w:type="dxa"/>
                  <w:tcBorders>
                    <w:tl2br w:val="nil"/>
                    <w:tr2bl w:val="nil"/>
                  </w:tcBorders>
                </w:tcPr>
                <w:p w14:paraId="532769AC">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1139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2D37D69E">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3340" w:type="dxa"/>
                  <w:tcBorders>
                    <w:tl2br w:val="nil"/>
                    <w:tr2bl w:val="nil"/>
                  </w:tcBorders>
                </w:tcPr>
                <w:p w14:paraId="7EAF07E0">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累计已实际支付的工程价款</w:t>
                  </w:r>
                </w:p>
              </w:tc>
              <w:tc>
                <w:tcPr>
                  <w:tcW w:w="1340" w:type="dxa"/>
                  <w:tcBorders>
                    <w:tl2br w:val="nil"/>
                    <w:tr2bl w:val="nil"/>
                  </w:tcBorders>
                </w:tcPr>
                <w:p w14:paraId="5DC6C6DC">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440" w:type="dxa"/>
                  <w:tcBorders>
                    <w:tl2br w:val="nil"/>
                    <w:tr2bl w:val="nil"/>
                  </w:tcBorders>
                </w:tcPr>
                <w:p w14:paraId="08CE4F53">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260" w:type="dxa"/>
                  <w:tcBorders>
                    <w:tl2br w:val="nil"/>
                    <w:tr2bl w:val="nil"/>
                  </w:tcBorders>
                </w:tcPr>
                <w:p w14:paraId="07B309F3">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931" w:type="dxa"/>
                  <w:tcBorders>
                    <w:tl2br w:val="nil"/>
                    <w:tr2bl w:val="nil"/>
                  </w:tcBorders>
                </w:tcPr>
                <w:p w14:paraId="76F45EA8">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099D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6FBC81FC">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p>
              </w:tc>
              <w:tc>
                <w:tcPr>
                  <w:tcW w:w="3340" w:type="dxa"/>
                  <w:tcBorders>
                    <w:tl2br w:val="nil"/>
                    <w:tr2bl w:val="nil"/>
                  </w:tcBorders>
                </w:tcPr>
                <w:p w14:paraId="1703673C">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其中：人工费</w:t>
                  </w:r>
                </w:p>
              </w:tc>
              <w:tc>
                <w:tcPr>
                  <w:tcW w:w="1340" w:type="dxa"/>
                  <w:tcBorders>
                    <w:tl2br w:val="nil"/>
                    <w:tr2bl w:val="nil"/>
                  </w:tcBorders>
                </w:tcPr>
                <w:p w14:paraId="564792AD">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440" w:type="dxa"/>
                  <w:tcBorders>
                    <w:tl2br w:val="nil"/>
                    <w:tr2bl w:val="nil"/>
                  </w:tcBorders>
                </w:tcPr>
                <w:p w14:paraId="57D24E80">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260" w:type="dxa"/>
                  <w:tcBorders>
                    <w:tl2br w:val="nil"/>
                    <w:tr2bl w:val="nil"/>
                  </w:tcBorders>
                </w:tcPr>
                <w:p w14:paraId="6EBE8783">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931" w:type="dxa"/>
                  <w:tcBorders>
                    <w:tl2br w:val="nil"/>
                    <w:tr2bl w:val="nil"/>
                  </w:tcBorders>
                </w:tcPr>
                <w:p w14:paraId="5A35B3FC">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651B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7E4ECFA2">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p>
              </w:tc>
              <w:tc>
                <w:tcPr>
                  <w:tcW w:w="3340" w:type="dxa"/>
                  <w:tcBorders>
                    <w:tl2br w:val="nil"/>
                    <w:tr2bl w:val="nil"/>
                  </w:tcBorders>
                </w:tcPr>
                <w:p w14:paraId="779BB5CA">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本周期已完成的工程价款</w:t>
                  </w:r>
                </w:p>
              </w:tc>
              <w:tc>
                <w:tcPr>
                  <w:tcW w:w="1340" w:type="dxa"/>
                  <w:tcBorders>
                    <w:tl2br w:val="nil"/>
                    <w:tr2bl w:val="nil"/>
                  </w:tcBorders>
                </w:tcPr>
                <w:p w14:paraId="0877180B">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440" w:type="dxa"/>
                  <w:tcBorders>
                    <w:tl2br w:val="nil"/>
                    <w:tr2bl w:val="nil"/>
                  </w:tcBorders>
                </w:tcPr>
                <w:p w14:paraId="6E8AF80C">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260" w:type="dxa"/>
                  <w:tcBorders>
                    <w:tl2br w:val="nil"/>
                    <w:tr2bl w:val="nil"/>
                  </w:tcBorders>
                </w:tcPr>
                <w:p w14:paraId="71BBCDC3">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931" w:type="dxa"/>
                  <w:tcBorders>
                    <w:tl2br w:val="nil"/>
                    <w:tr2bl w:val="nil"/>
                  </w:tcBorders>
                </w:tcPr>
                <w:p w14:paraId="798FB628">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22ABE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53A3A94B">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p>
              </w:tc>
              <w:tc>
                <w:tcPr>
                  <w:tcW w:w="3340" w:type="dxa"/>
                  <w:tcBorders>
                    <w:tl2br w:val="nil"/>
                    <w:tr2bl w:val="nil"/>
                  </w:tcBorders>
                </w:tcPr>
                <w:p w14:paraId="71897429">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其中：人工费</w:t>
                  </w:r>
                </w:p>
              </w:tc>
              <w:tc>
                <w:tcPr>
                  <w:tcW w:w="1340" w:type="dxa"/>
                  <w:tcBorders>
                    <w:tl2br w:val="nil"/>
                    <w:tr2bl w:val="nil"/>
                  </w:tcBorders>
                </w:tcPr>
                <w:p w14:paraId="568E287B">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440" w:type="dxa"/>
                  <w:tcBorders>
                    <w:tl2br w:val="nil"/>
                    <w:tr2bl w:val="nil"/>
                  </w:tcBorders>
                </w:tcPr>
                <w:p w14:paraId="420174BF">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260" w:type="dxa"/>
                  <w:tcBorders>
                    <w:tl2br w:val="nil"/>
                    <w:tr2bl w:val="nil"/>
                  </w:tcBorders>
                </w:tcPr>
                <w:p w14:paraId="262FEC64">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931" w:type="dxa"/>
                  <w:tcBorders>
                    <w:tl2br w:val="nil"/>
                    <w:tr2bl w:val="nil"/>
                  </w:tcBorders>
                </w:tcPr>
                <w:p w14:paraId="139E122B">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4710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4E00113F">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p>
              </w:tc>
              <w:tc>
                <w:tcPr>
                  <w:tcW w:w="3340" w:type="dxa"/>
                  <w:tcBorders>
                    <w:tl2br w:val="nil"/>
                    <w:tr2bl w:val="nil"/>
                  </w:tcBorders>
                </w:tcPr>
                <w:p w14:paraId="4B3680FB">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本周期应扣减的金额</w:t>
                  </w:r>
                </w:p>
              </w:tc>
              <w:tc>
                <w:tcPr>
                  <w:tcW w:w="1340" w:type="dxa"/>
                  <w:tcBorders>
                    <w:tl2br w:val="nil"/>
                    <w:tr2bl w:val="nil"/>
                  </w:tcBorders>
                </w:tcPr>
                <w:p w14:paraId="6AF22D67">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440" w:type="dxa"/>
                  <w:tcBorders>
                    <w:tl2br w:val="nil"/>
                    <w:tr2bl w:val="nil"/>
                  </w:tcBorders>
                </w:tcPr>
                <w:p w14:paraId="0B7CB3F1">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260" w:type="dxa"/>
                  <w:tcBorders>
                    <w:tl2br w:val="nil"/>
                    <w:tr2bl w:val="nil"/>
                  </w:tcBorders>
                </w:tcPr>
                <w:p w14:paraId="6739170F">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931" w:type="dxa"/>
                  <w:tcBorders>
                    <w:tl2br w:val="nil"/>
                    <w:tr2bl w:val="nil"/>
                  </w:tcBorders>
                </w:tcPr>
                <w:p w14:paraId="0A6C05BC">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46BB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198B27DA">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w:t>
                  </w:r>
                </w:p>
              </w:tc>
              <w:tc>
                <w:tcPr>
                  <w:tcW w:w="3340" w:type="dxa"/>
                  <w:tcBorders>
                    <w:tl2br w:val="nil"/>
                    <w:tr2bl w:val="nil"/>
                  </w:tcBorders>
                </w:tcPr>
                <w:p w14:paraId="49301A3F">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本周期实际应抵扣的预付款</w:t>
                  </w:r>
                </w:p>
              </w:tc>
              <w:tc>
                <w:tcPr>
                  <w:tcW w:w="1340" w:type="dxa"/>
                  <w:tcBorders>
                    <w:tl2br w:val="nil"/>
                    <w:tr2bl w:val="nil"/>
                  </w:tcBorders>
                </w:tcPr>
                <w:p w14:paraId="07F57876">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440" w:type="dxa"/>
                  <w:tcBorders>
                    <w:tl2br w:val="nil"/>
                    <w:tr2bl w:val="nil"/>
                  </w:tcBorders>
                </w:tcPr>
                <w:p w14:paraId="723B5E87">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260" w:type="dxa"/>
                  <w:tcBorders>
                    <w:tl2br w:val="nil"/>
                    <w:tr2bl w:val="nil"/>
                  </w:tcBorders>
                </w:tcPr>
                <w:p w14:paraId="2EFB3EC7">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931" w:type="dxa"/>
                  <w:tcBorders>
                    <w:tl2br w:val="nil"/>
                    <w:tr2bl w:val="nil"/>
                  </w:tcBorders>
                </w:tcPr>
                <w:p w14:paraId="11D3B888">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0D6F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5C95C450">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w:t>
                  </w:r>
                </w:p>
              </w:tc>
              <w:tc>
                <w:tcPr>
                  <w:tcW w:w="3340" w:type="dxa"/>
                  <w:tcBorders>
                    <w:tl2br w:val="nil"/>
                    <w:tr2bl w:val="nil"/>
                  </w:tcBorders>
                </w:tcPr>
                <w:p w14:paraId="70CE80D1">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本周期应扣减的金额</w:t>
                  </w:r>
                </w:p>
              </w:tc>
              <w:tc>
                <w:tcPr>
                  <w:tcW w:w="1340" w:type="dxa"/>
                  <w:tcBorders>
                    <w:tl2br w:val="nil"/>
                    <w:tr2bl w:val="nil"/>
                  </w:tcBorders>
                </w:tcPr>
                <w:p w14:paraId="5E4A80C8">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440" w:type="dxa"/>
                  <w:tcBorders>
                    <w:tl2br w:val="nil"/>
                    <w:tr2bl w:val="nil"/>
                  </w:tcBorders>
                </w:tcPr>
                <w:p w14:paraId="2F01D8C5">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260" w:type="dxa"/>
                  <w:tcBorders>
                    <w:tl2br w:val="nil"/>
                    <w:tr2bl w:val="nil"/>
                  </w:tcBorders>
                </w:tcPr>
                <w:p w14:paraId="0606B0A5">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931" w:type="dxa"/>
                  <w:tcBorders>
                    <w:tl2br w:val="nil"/>
                    <w:tr2bl w:val="nil"/>
                  </w:tcBorders>
                </w:tcPr>
                <w:p w14:paraId="2C8B6524">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5802C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41E22216">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p>
              </w:tc>
              <w:tc>
                <w:tcPr>
                  <w:tcW w:w="3340" w:type="dxa"/>
                  <w:tcBorders>
                    <w:tl2br w:val="nil"/>
                    <w:tr2bl w:val="nil"/>
                  </w:tcBorders>
                </w:tcPr>
                <w:p w14:paraId="24650E69">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本周期应支付的合同价款</w:t>
                  </w:r>
                </w:p>
              </w:tc>
              <w:tc>
                <w:tcPr>
                  <w:tcW w:w="1340" w:type="dxa"/>
                  <w:tcBorders>
                    <w:tl2br w:val="nil"/>
                    <w:tr2bl w:val="nil"/>
                  </w:tcBorders>
                </w:tcPr>
                <w:p w14:paraId="05F9B6BF">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440" w:type="dxa"/>
                  <w:tcBorders>
                    <w:tl2br w:val="nil"/>
                    <w:tr2bl w:val="nil"/>
                  </w:tcBorders>
                </w:tcPr>
                <w:p w14:paraId="1D88A21F">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260" w:type="dxa"/>
                  <w:tcBorders>
                    <w:tl2br w:val="nil"/>
                    <w:tr2bl w:val="nil"/>
                  </w:tcBorders>
                </w:tcPr>
                <w:p w14:paraId="556D9ED2">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931" w:type="dxa"/>
                  <w:tcBorders>
                    <w:tl2br w:val="nil"/>
                    <w:tr2bl w:val="nil"/>
                  </w:tcBorders>
                </w:tcPr>
                <w:p w14:paraId="3ABFD87E">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12FF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007D7804">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p>
              </w:tc>
              <w:tc>
                <w:tcPr>
                  <w:tcW w:w="3340" w:type="dxa"/>
                  <w:tcBorders>
                    <w:tl2br w:val="nil"/>
                    <w:tr2bl w:val="nil"/>
                  </w:tcBorders>
                </w:tcPr>
                <w:p w14:paraId="5018696E">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其中：人工费</w:t>
                  </w:r>
                </w:p>
              </w:tc>
              <w:tc>
                <w:tcPr>
                  <w:tcW w:w="1340" w:type="dxa"/>
                  <w:tcBorders>
                    <w:tl2br w:val="nil"/>
                    <w:tr2bl w:val="nil"/>
                  </w:tcBorders>
                </w:tcPr>
                <w:p w14:paraId="39FCFECF">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440" w:type="dxa"/>
                  <w:tcBorders>
                    <w:tl2br w:val="nil"/>
                    <w:tr2bl w:val="nil"/>
                  </w:tcBorders>
                </w:tcPr>
                <w:p w14:paraId="269B8FB0">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260" w:type="dxa"/>
                  <w:tcBorders>
                    <w:tl2br w:val="nil"/>
                    <w:tr2bl w:val="nil"/>
                  </w:tcBorders>
                </w:tcPr>
                <w:p w14:paraId="5CE18340">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931" w:type="dxa"/>
                  <w:tcBorders>
                    <w:tl2br w:val="nil"/>
                    <w:tr2bl w:val="nil"/>
                  </w:tcBorders>
                </w:tcPr>
                <w:p w14:paraId="1571C7F3">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bl>
          <w:p w14:paraId="45ADC350">
            <w:pPr>
              <w:keepNext w:val="0"/>
              <w:keepLines w:val="0"/>
              <w:suppressLineNumbers w:val="0"/>
              <w:wordWrap w:val="0"/>
              <w:spacing w:before="0" w:beforeAutospacing="0" w:after="0" w:afterAutospacing="0" w:line="400" w:lineRule="exact"/>
              <w:ind w:left="0" w:right="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附：上述3、4详见附件清单。</w:t>
            </w:r>
          </w:p>
          <w:p w14:paraId="4BE7E2F8">
            <w:pPr>
              <w:keepNext w:val="0"/>
              <w:keepLines w:val="0"/>
              <w:suppressLineNumbers w:val="0"/>
              <w:wordWrap w:val="0"/>
              <w:spacing w:before="0" w:beforeAutospacing="0" w:after="0" w:afterAutospacing="0" w:line="400" w:lineRule="exact"/>
              <w:ind w:left="0" w:right="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承包人（章）             </w:t>
            </w:r>
          </w:p>
          <w:p w14:paraId="341896F9">
            <w:pPr>
              <w:keepNext w:val="0"/>
              <w:keepLines w:val="0"/>
              <w:suppressLineNumbers w:val="0"/>
              <w:spacing w:before="0" w:beforeAutospacing="0" w:after="0" w:afterAutospacing="0" w:line="400" w:lineRule="exact"/>
              <w:ind w:left="0" w:right="420" w:firstLine="435"/>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造价人员</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承包人代表</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      期</w:t>
            </w:r>
            <w:r>
              <w:rPr>
                <w:rFonts w:hint="eastAsia"/>
                <w:color w:val="000000" w:themeColor="text1"/>
                <w:highlight w:val="none"/>
                <w:u w:val="single"/>
                <w14:textFill>
                  <w14:solidFill>
                    <w14:schemeClr w14:val="tx1"/>
                  </w14:solidFill>
                </w14:textFill>
              </w:rPr>
              <w:t xml:space="preserve">               </w:t>
            </w:r>
          </w:p>
        </w:tc>
      </w:tr>
      <w:tr w14:paraId="5F375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tcBorders>
              <w:tl2br w:val="nil"/>
              <w:tr2bl w:val="nil"/>
            </w:tcBorders>
          </w:tcPr>
          <w:p w14:paraId="36944DB8">
            <w:pPr>
              <w:keepNext w:val="0"/>
              <w:keepLines w:val="0"/>
              <w:suppressLineNumbers w:val="0"/>
              <w:spacing w:before="0" w:beforeAutospacing="0" w:after="0" w:afterAutospacing="0" w:line="36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复核意见：</w:t>
            </w:r>
          </w:p>
          <w:p w14:paraId="43687203">
            <w:pPr>
              <w:keepNext w:val="0"/>
              <w:keepLines w:val="0"/>
              <w:suppressLineNumbers w:val="0"/>
              <w:spacing w:before="0" w:beforeAutospacing="0" w:after="0" w:afterAutospacing="0" w:line="360" w:lineRule="exact"/>
              <w:ind w:left="0" w:right="0" w:firstLine="31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□与实际施工情况不相符，修改意见见附件。</w:t>
            </w:r>
          </w:p>
          <w:p w14:paraId="11B8EF54">
            <w:pPr>
              <w:keepNext w:val="0"/>
              <w:keepLines w:val="0"/>
              <w:suppressLineNumbers w:val="0"/>
              <w:spacing w:before="0" w:beforeAutospacing="0" w:after="0" w:afterAutospacing="0" w:line="360" w:lineRule="exact"/>
              <w:ind w:left="0" w:right="0" w:firstLine="31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□与实际施工情况相符，具体金额由造价工程师复核。</w:t>
            </w:r>
          </w:p>
          <w:p w14:paraId="4D539EB0">
            <w:pPr>
              <w:keepNext w:val="0"/>
              <w:keepLines w:val="0"/>
              <w:suppressLineNumbers w:val="0"/>
              <w:spacing w:before="0" w:beforeAutospacing="0" w:after="0" w:afterAutospacing="0" w:line="360" w:lineRule="exact"/>
              <w:ind w:left="0" w:right="0" w:firstLine="435"/>
              <w:jc w:val="right"/>
              <w:rPr>
                <w:rFonts w:hint="eastAsia"/>
                <w:color w:val="000000" w:themeColor="text1"/>
                <w:highlight w:val="none"/>
                <w14:textFill>
                  <w14:solidFill>
                    <w14:schemeClr w14:val="tx1"/>
                  </w14:solidFill>
                </w14:textFill>
              </w:rPr>
            </w:pPr>
          </w:p>
          <w:p w14:paraId="5CE3154B">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监理工程师</w:t>
            </w:r>
            <w:r>
              <w:rPr>
                <w:rFonts w:hint="eastAsia"/>
                <w:color w:val="000000" w:themeColor="text1"/>
                <w:highlight w:val="none"/>
                <w:u w:val="single"/>
                <w14:textFill>
                  <w14:solidFill>
                    <w14:schemeClr w14:val="tx1"/>
                  </w14:solidFill>
                </w14:textFill>
              </w:rPr>
              <w:t xml:space="preserve">           </w:t>
            </w:r>
          </w:p>
          <w:p w14:paraId="6BD87DE3">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日      期</w:t>
            </w:r>
            <w:r>
              <w:rPr>
                <w:rFonts w:hint="eastAsia"/>
                <w:color w:val="000000" w:themeColor="text1"/>
                <w:highlight w:val="none"/>
                <w:u w:val="single"/>
                <w14:textFill>
                  <w14:solidFill>
                    <w14:schemeClr w14:val="tx1"/>
                  </w14:solidFill>
                </w14:textFill>
              </w:rPr>
              <w:t xml:space="preserve">           </w:t>
            </w:r>
          </w:p>
        </w:tc>
        <w:tc>
          <w:tcPr>
            <w:tcW w:w="4552" w:type="dxa"/>
            <w:tcBorders>
              <w:tl2br w:val="nil"/>
              <w:tr2bl w:val="nil"/>
            </w:tcBorders>
          </w:tcPr>
          <w:p w14:paraId="1BE08E97">
            <w:pPr>
              <w:keepNext w:val="0"/>
              <w:keepLines w:val="0"/>
              <w:suppressLineNumbers w:val="0"/>
              <w:spacing w:before="0" w:beforeAutospacing="0" w:after="0" w:afterAutospacing="0" w:line="36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复核意见：</w:t>
            </w:r>
          </w:p>
          <w:p w14:paraId="3C164FDD">
            <w:pPr>
              <w:keepNext w:val="0"/>
              <w:keepLines w:val="0"/>
              <w:suppressLineNumbers w:val="0"/>
              <w:spacing w:before="0" w:beforeAutospacing="0" w:after="0" w:afterAutospacing="0" w:line="360" w:lineRule="exact"/>
              <w:ind w:left="0" w:right="0" w:firstLine="435"/>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你方提出的支付申请经复核，本周期已完成工程价款为(大写)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元，（小写）</w:t>
            </w:r>
          </w:p>
          <w:p w14:paraId="3F983DDE">
            <w:pPr>
              <w:keepNext w:val="0"/>
              <w:keepLines w:val="0"/>
              <w:suppressLineNumbers w:val="0"/>
              <w:spacing w:before="0" w:beforeAutospacing="0" w:after="0" w:afterAutospacing="0" w:line="36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元，本期间应支付金额为（大写）</w:t>
            </w:r>
          </w:p>
          <w:p w14:paraId="05E0133A">
            <w:pPr>
              <w:keepNext w:val="0"/>
              <w:keepLines w:val="0"/>
              <w:suppressLineNumbers w:val="0"/>
              <w:spacing w:before="0" w:beforeAutospacing="0" w:after="0" w:afterAutospacing="0" w:line="360" w:lineRule="exact"/>
              <w:ind w:left="0" w:right="0"/>
              <w:rPr>
                <w:rFonts w:hint="eastAsia"/>
                <w:color w:val="000000" w:themeColor="text1"/>
                <w:highlight w:val="none"/>
                <w:u w:val="singl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元，（小写）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w:t>
            </w:r>
          </w:p>
          <w:p w14:paraId="71242A64">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造价工程师</w:t>
            </w:r>
            <w:r>
              <w:rPr>
                <w:rFonts w:hint="eastAsia"/>
                <w:color w:val="000000" w:themeColor="text1"/>
                <w:highlight w:val="none"/>
                <w:u w:val="single"/>
                <w14:textFill>
                  <w14:solidFill>
                    <w14:schemeClr w14:val="tx1"/>
                  </w14:solidFill>
                </w14:textFill>
              </w:rPr>
              <w:t xml:space="preserve">           </w:t>
            </w:r>
          </w:p>
          <w:p w14:paraId="0113689A">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日      期</w:t>
            </w:r>
            <w:r>
              <w:rPr>
                <w:rFonts w:hint="eastAsia"/>
                <w:color w:val="000000" w:themeColor="text1"/>
                <w:highlight w:val="none"/>
                <w:u w:val="single"/>
                <w14:textFill>
                  <w14:solidFill>
                    <w14:schemeClr w14:val="tx1"/>
                  </w14:solidFill>
                </w14:textFill>
              </w:rPr>
              <w:t xml:space="preserve">           </w:t>
            </w:r>
          </w:p>
        </w:tc>
      </w:tr>
      <w:tr w14:paraId="7C6A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Borders>
              <w:tl2br w:val="nil"/>
              <w:tr2bl w:val="nil"/>
            </w:tcBorders>
          </w:tcPr>
          <w:p w14:paraId="10A7A81F">
            <w:pPr>
              <w:keepNext w:val="0"/>
              <w:keepLines w:val="0"/>
              <w:suppressLineNumbers w:val="0"/>
              <w:spacing w:before="0" w:beforeAutospacing="0" w:after="0" w:afterAutospacing="0" w:line="40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审核意见：</w:t>
            </w:r>
          </w:p>
          <w:p w14:paraId="45E52FE9">
            <w:pPr>
              <w:keepNext w:val="0"/>
              <w:keepLines w:val="0"/>
              <w:suppressLineNumbers w:val="0"/>
              <w:spacing w:before="0" w:beforeAutospacing="0" w:after="0" w:afterAutospacing="0" w:line="400" w:lineRule="exact"/>
              <w:ind w:left="0" w:right="0" w:firstLine="435"/>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□不同意。</w:t>
            </w:r>
          </w:p>
          <w:p w14:paraId="3A317CDC">
            <w:pPr>
              <w:keepNext w:val="0"/>
              <w:keepLines w:val="0"/>
              <w:suppressLineNumbers w:val="0"/>
              <w:spacing w:before="0" w:beforeAutospacing="0" w:after="0" w:afterAutospacing="0" w:line="400" w:lineRule="exact"/>
              <w:ind w:left="0" w:right="0"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□同意，支付时间为本表签发后的15天内。</w:t>
            </w:r>
          </w:p>
          <w:p w14:paraId="4ECE1FC6">
            <w:pPr>
              <w:keepNext w:val="0"/>
              <w:keepLines w:val="0"/>
              <w:suppressLineNumbers w:val="0"/>
              <w:wordWrap w:val="0"/>
              <w:spacing w:before="0" w:beforeAutospacing="0" w:after="0" w:afterAutospacing="0" w:line="400" w:lineRule="exact"/>
              <w:ind w:left="0" w:right="0" w:firstLine="420" w:firstLineChars="200"/>
              <w:jc w:val="righ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发包人（章）           </w:t>
            </w:r>
          </w:p>
          <w:p w14:paraId="7693CF91">
            <w:pPr>
              <w:keepNext w:val="0"/>
              <w:keepLines w:val="0"/>
              <w:suppressLineNumbers w:val="0"/>
              <w:wordWrap w:val="0"/>
              <w:spacing w:before="0" w:beforeAutospacing="0" w:after="0" w:afterAutospacing="0" w:line="400" w:lineRule="exact"/>
              <w:ind w:left="0" w:right="0" w:firstLine="420" w:firstLineChars="200"/>
              <w:jc w:val="right"/>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发包人代表</w:t>
            </w:r>
            <w:r>
              <w:rPr>
                <w:rFonts w:hint="eastAsia"/>
                <w:color w:val="000000" w:themeColor="text1"/>
                <w:highlight w:val="none"/>
                <w:u w:val="single"/>
                <w14:textFill>
                  <w14:solidFill>
                    <w14:schemeClr w14:val="tx1"/>
                  </w14:solidFill>
                </w14:textFill>
              </w:rPr>
              <w:t xml:space="preserve">             </w:t>
            </w:r>
          </w:p>
          <w:p w14:paraId="22DDFE9C">
            <w:pPr>
              <w:keepNext w:val="0"/>
              <w:keepLines w:val="0"/>
              <w:suppressLineNumbers w:val="0"/>
              <w:wordWrap w:val="0"/>
              <w:spacing w:before="0" w:beforeAutospacing="0" w:after="0" w:afterAutospacing="0" w:line="400" w:lineRule="exact"/>
              <w:ind w:left="0" w:right="0" w:firstLine="420" w:firstLineChars="200"/>
              <w:jc w:val="right"/>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日      期</w:t>
            </w:r>
            <w:r>
              <w:rPr>
                <w:rFonts w:hint="eastAsia"/>
                <w:color w:val="000000" w:themeColor="text1"/>
                <w:highlight w:val="none"/>
                <w:u w:val="single"/>
                <w14:textFill>
                  <w14:solidFill>
                    <w14:schemeClr w14:val="tx1"/>
                  </w14:solidFill>
                </w14:textFill>
              </w:rPr>
              <w:t xml:space="preserve">             </w:t>
            </w:r>
          </w:p>
        </w:tc>
      </w:tr>
    </w:tbl>
    <w:p w14:paraId="543807CC">
      <w:pPr>
        <w:spacing w:before="166" w:beforeLines="50"/>
        <w:ind w:firstLine="360" w:firstLineChars="200"/>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注：1.在选择栏中的“□”内作标识“√”。 </w:t>
      </w:r>
    </w:p>
    <w:p w14:paraId="36ABF2CD">
      <w:pPr>
        <w:spacing w:before="166" w:beforeLines="50"/>
        <w:ind w:left="720" w:hanging="720" w:hangingChars="400"/>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    </w:t>
      </w:r>
      <w:r>
        <w:rPr>
          <w:color w:val="000000" w:themeColor="text1"/>
          <w:sz w:val="18"/>
          <w:szCs w:val="18"/>
          <w:highlight w:val="none"/>
          <w14:textFill>
            <w14:solidFill>
              <w14:schemeClr w14:val="tx1"/>
            </w14:solidFill>
          </w14:textFill>
        </w:rPr>
        <w:t xml:space="preserve">  </w:t>
      </w:r>
      <w:r>
        <w:rPr>
          <w:rFonts w:hint="eastAsia"/>
          <w:color w:val="000000" w:themeColor="text1"/>
          <w:sz w:val="18"/>
          <w:szCs w:val="18"/>
          <w:highlight w:val="none"/>
          <w14:textFill>
            <w14:solidFill>
              <w14:schemeClr w14:val="tx1"/>
            </w14:solidFill>
          </w14:textFill>
        </w:rPr>
        <w:t xml:space="preserve">  2.本表一式四份，由承包人填报，发包人、监理人、造价咨询人、承包人各存一份。</w:t>
      </w:r>
    </w:p>
    <w:p w14:paraId="06B3DBDE">
      <w:pPr>
        <w:spacing w:before="166" w:beforeLines="50"/>
        <w:ind w:left="840" w:hanging="840" w:hangingChars="400"/>
        <w:rPr>
          <w:rFonts w:hint="eastAsia" w:ascii="宋体"/>
          <w:color w:val="000000" w:themeColor="text1"/>
          <w:highlight w:val="none"/>
          <w14:textFill>
            <w14:solidFill>
              <w14:schemeClr w14:val="tx1"/>
            </w14:solidFill>
          </w14:textFill>
        </w:rPr>
      </w:pPr>
    </w:p>
    <w:p w14:paraId="1A5E8CF1">
      <w:pPr>
        <w:jc w:val="left"/>
        <w:rPr>
          <w:rFonts w:hint="eastAsia" w:eastAsia="宋体"/>
          <w:color w:val="000000" w:themeColor="text1"/>
          <w:sz w:val="30"/>
          <w:szCs w:val="30"/>
          <w:highlight w:val="none"/>
          <w:lang w:val="en-US" w:eastAsia="zh-CN"/>
          <w14:textFill>
            <w14:solidFill>
              <w14:schemeClr w14:val="tx1"/>
            </w14:solidFill>
          </w14:textFill>
        </w:rPr>
      </w:pPr>
      <w:r>
        <w:rPr>
          <w:rFonts w:hint="eastAsia"/>
          <w:color w:val="000000" w:themeColor="text1"/>
          <w:sz w:val="30"/>
          <w:szCs w:val="30"/>
          <w:highlight w:val="none"/>
          <w14:textFill>
            <w14:solidFill>
              <w14:schemeClr w14:val="tx1"/>
            </w14:solidFill>
          </w14:textFill>
        </w:rPr>
        <w:t>附件1</w:t>
      </w:r>
      <w:r>
        <w:rPr>
          <w:rFonts w:hint="eastAsia"/>
          <w:color w:val="000000" w:themeColor="text1"/>
          <w:sz w:val="30"/>
          <w:szCs w:val="30"/>
          <w:highlight w:val="none"/>
          <w:lang w:val="en-US" w:eastAsia="zh-CN"/>
          <w14:textFill>
            <w14:solidFill>
              <w14:schemeClr w14:val="tx1"/>
            </w14:solidFill>
          </w14:textFill>
        </w:rPr>
        <w:t>1：</w:t>
      </w:r>
    </w:p>
    <w:p w14:paraId="1A60B661">
      <w:pPr>
        <w:jc w:val="center"/>
        <w:rPr>
          <w:rFonts w:hint="eastAsia"/>
          <w:b/>
          <w:color w:val="000000" w:themeColor="text1"/>
          <w:sz w:val="36"/>
          <w:szCs w:val="36"/>
          <w:highlight w:val="none"/>
          <w14:textFill>
            <w14:solidFill>
              <w14:schemeClr w14:val="tx1"/>
            </w14:solidFill>
          </w14:textFill>
        </w:rPr>
      </w:pPr>
      <w:r>
        <w:rPr>
          <w:rFonts w:hint="eastAsia"/>
          <w:b/>
          <w:color w:val="000000" w:themeColor="text1"/>
          <w:sz w:val="36"/>
          <w:szCs w:val="36"/>
          <w:highlight w:val="none"/>
          <w14:textFill>
            <w14:solidFill>
              <w14:schemeClr w14:val="tx1"/>
            </w14:solidFill>
          </w14:textFill>
        </w:rPr>
        <w:t>竣工结算款支付申请（核准）表</w:t>
      </w:r>
    </w:p>
    <w:p w14:paraId="3F657353">
      <w:pP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工程名称：                                              编号：</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34A6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072" w:type="dxa"/>
            <w:gridSpan w:val="2"/>
            <w:tcBorders>
              <w:tl2br w:val="nil"/>
              <w:tr2bl w:val="nil"/>
            </w:tcBorders>
          </w:tcPr>
          <w:p w14:paraId="0D1F9413">
            <w:pPr>
              <w:keepNext w:val="0"/>
              <w:keepLines w:val="0"/>
              <w:suppressLineNumbers w:val="0"/>
              <w:spacing w:before="0" w:beforeAutospacing="0" w:after="0" w:afterAutospacing="0" w:line="480" w:lineRule="exact"/>
              <w:ind w:left="525" w:leftChars="149" w:right="0" w:hanging="212" w:hangingChars="101"/>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致：</w:t>
            </w:r>
            <w:r>
              <w:rPr>
                <w:rFonts w:hint="eastAsia"/>
                <w:color w:val="000000" w:themeColor="text1"/>
                <w:highlight w:val="none"/>
                <w:u w:val="single"/>
                <w14:textFill>
                  <w14:solidFill>
                    <w14:schemeClr w14:val="tx1"/>
                  </w14:solidFill>
                </w14:textFill>
              </w:rPr>
              <w:t xml:space="preserve">                                   （发包人全称）</w:t>
            </w:r>
          </w:p>
          <w:p w14:paraId="49C907B9">
            <w:pPr>
              <w:keepNext w:val="0"/>
              <w:keepLines w:val="0"/>
              <w:suppressLineNumbers w:val="0"/>
              <w:spacing w:before="0" w:beforeAutospacing="0" w:after="0" w:afterAutospacing="0" w:line="400" w:lineRule="exact"/>
              <w:ind w:left="-4" w:leftChars="-2" w:right="0" w:firstLine="315" w:firstLineChars="15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我方于</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至</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期间已完成了合同约定的工作，根据施工合同的约定，现申请支付竣工结算的工程款额为(大写)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元，(小写)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元，请予核准。</w:t>
            </w:r>
          </w:p>
          <w:tbl>
            <w:tblPr>
              <w:tblStyle w:val="53"/>
              <w:tblpPr w:leftFromText="180" w:rightFromText="180" w:vertAnchor="page" w:horzAnchor="margin" w:tblpXSpec="left"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4BF7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l2br w:val="nil"/>
                    <w:tr2bl w:val="nil"/>
                  </w:tcBorders>
                  <w:vAlign w:val="center"/>
                </w:tcPr>
                <w:p w14:paraId="731B89B0">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3420" w:type="dxa"/>
                  <w:tcBorders>
                    <w:tl2br w:val="nil"/>
                    <w:tr2bl w:val="nil"/>
                  </w:tcBorders>
                  <w:vAlign w:val="center"/>
                </w:tcPr>
                <w:p w14:paraId="695C3798">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名      称</w:t>
                  </w:r>
                </w:p>
              </w:tc>
              <w:tc>
                <w:tcPr>
                  <w:tcW w:w="1620" w:type="dxa"/>
                  <w:tcBorders>
                    <w:tl2br w:val="nil"/>
                    <w:tr2bl w:val="nil"/>
                  </w:tcBorders>
                  <w:vAlign w:val="center"/>
                </w:tcPr>
                <w:p w14:paraId="110CFD0F">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申请金额（元）</w:t>
                  </w:r>
                </w:p>
              </w:tc>
              <w:tc>
                <w:tcPr>
                  <w:tcW w:w="1620" w:type="dxa"/>
                  <w:tcBorders>
                    <w:tl2br w:val="nil"/>
                    <w:tr2bl w:val="nil"/>
                  </w:tcBorders>
                  <w:vAlign w:val="center"/>
                </w:tcPr>
                <w:p w14:paraId="5091A6FB">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复核金额（元）</w:t>
                  </w:r>
                </w:p>
              </w:tc>
              <w:tc>
                <w:tcPr>
                  <w:tcW w:w="1651" w:type="dxa"/>
                  <w:tcBorders>
                    <w:tl2br w:val="nil"/>
                    <w:tr2bl w:val="nil"/>
                  </w:tcBorders>
                  <w:vAlign w:val="center"/>
                </w:tcPr>
                <w:p w14:paraId="62BBE881">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w:t>
                  </w:r>
                </w:p>
              </w:tc>
            </w:tr>
            <w:tr w14:paraId="3DC3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4EBFD35E">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3420" w:type="dxa"/>
                  <w:tcBorders>
                    <w:tl2br w:val="nil"/>
                    <w:tr2bl w:val="nil"/>
                  </w:tcBorders>
                </w:tcPr>
                <w:p w14:paraId="54720024">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竣工结算合同价款总额</w:t>
                  </w:r>
                </w:p>
              </w:tc>
              <w:tc>
                <w:tcPr>
                  <w:tcW w:w="1620" w:type="dxa"/>
                  <w:tcBorders>
                    <w:tl2br w:val="nil"/>
                    <w:tr2bl w:val="nil"/>
                  </w:tcBorders>
                </w:tcPr>
                <w:p w14:paraId="6B8DFF08">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340D8A5A">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281667AD">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590C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579D1A49">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3420" w:type="dxa"/>
                  <w:tcBorders>
                    <w:tl2br w:val="nil"/>
                    <w:tr2bl w:val="nil"/>
                  </w:tcBorders>
                </w:tcPr>
                <w:p w14:paraId="39BD918C">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累计已实际支付的合同价款</w:t>
                  </w:r>
                </w:p>
              </w:tc>
              <w:tc>
                <w:tcPr>
                  <w:tcW w:w="1620" w:type="dxa"/>
                  <w:tcBorders>
                    <w:tl2br w:val="nil"/>
                    <w:tr2bl w:val="nil"/>
                  </w:tcBorders>
                </w:tcPr>
                <w:p w14:paraId="219BFF3F">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5DA5E411">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3A75F199">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0308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5AAB5F00">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p>
              </w:tc>
              <w:tc>
                <w:tcPr>
                  <w:tcW w:w="3420" w:type="dxa"/>
                  <w:tcBorders>
                    <w:tl2br w:val="nil"/>
                    <w:tr2bl w:val="nil"/>
                  </w:tcBorders>
                </w:tcPr>
                <w:p w14:paraId="3683BF6F">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应预留的质量保证金</w:t>
                  </w:r>
                </w:p>
              </w:tc>
              <w:tc>
                <w:tcPr>
                  <w:tcW w:w="1620" w:type="dxa"/>
                  <w:tcBorders>
                    <w:tl2br w:val="nil"/>
                    <w:tr2bl w:val="nil"/>
                  </w:tcBorders>
                </w:tcPr>
                <w:p w14:paraId="792E5D45">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4E5BC3C9">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3456CD9F">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09B0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3434F117">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p>
              </w:tc>
              <w:tc>
                <w:tcPr>
                  <w:tcW w:w="3420" w:type="dxa"/>
                  <w:tcBorders>
                    <w:tl2br w:val="nil"/>
                    <w:tr2bl w:val="nil"/>
                  </w:tcBorders>
                </w:tcPr>
                <w:p w14:paraId="18743645">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应支付的竣工结算款金额</w:t>
                  </w:r>
                </w:p>
              </w:tc>
              <w:tc>
                <w:tcPr>
                  <w:tcW w:w="1620" w:type="dxa"/>
                  <w:tcBorders>
                    <w:tl2br w:val="nil"/>
                    <w:tr2bl w:val="nil"/>
                  </w:tcBorders>
                </w:tcPr>
                <w:p w14:paraId="4DF82BE9">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4A4E06D4">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7225F86A">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2490C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7A0754A8">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p>
              </w:tc>
              <w:tc>
                <w:tcPr>
                  <w:tcW w:w="3420" w:type="dxa"/>
                  <w:tcBorders>
                    <w:tl2br w:val="nil"/>
                    <w:tr2bl w:val="nil"/>
                  </w:tcBorders>
                </w:tcPr>
                <w:p w14:paraId="252A7A3E">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3FCA048C">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320BCBC4">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185AA6FE">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0FC4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2B850CA5">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p>
              </w:tc>
              <w:tc>
                <w:tcPr>
                  <w:tcW w:w="3420" w:type="dxa"/>
                  <w:tcBorders>
                    <w:tl2br w:val="nil"/>
                    <w:tr2bl w:val="nil"/>
                  </w:tcBorders>
                </w:tcPr>
                <w:p w14:paraId="4FC35088">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41E69890">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197529F9">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105CA607">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3C48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3817281A">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p>
              </w:tc>
              <w:tc>
                <w:tcPr>
                  <w:tcW w:w="3420" w:type="dxa"/>
                  <w:tcBorders>
                    <w:tl2br w:val="nil"/>
                    <w:tr2bl w:val="nil"/>
                  </w:tcBorders>
                </w:tcPr>
                <w:p w14:paraId="6F327840">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23D3FBC9">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29A6341C">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7EB2ED0D">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09AE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2D760F62">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p>
              </w:tc>
              <w:tc>
                <w:tcPr>
                  <w:tcW w:w="3420" w:type="dxa"/>
                  <w:tcBorders>
                    <w:tl2br w:val="nil"/>
                    <w:tr2bl w:val="nil"/>
                  </w:tcBorders>
                </w:tcPr>
                <w:p w14:paraId="758A9B5E">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0B02BDF4">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37859D8F">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152F091C">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0906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7E01C73B">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p>
              </w:tc>
              <w:tc>
                <w:tcPr>
                  <w:tcW w:w="3420" w:type="dxa"/>
                  <w:tcBorders>
                    <w:tl2br w:val="nil"/>
                    <w:tr2bl w:val="nil"/>
                  </w:tcBorders>
                </w:tcPr>
                <w:p w14:paraId="51D0A19C">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254F668F">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263C70D9">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543D73CD">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bl>
          <w:p w14:paraId="6958DB80">
            <w:pPr>
              <w:keepNext w:val="0"/>
              <w:keepLines w:val="0"/>
              <w:suppressLineNumbers w:val="0"/>
              <w:spacing w:before="0" w:beforeAutospacing="0" w:after="0" w:afterAutospacing="0" w:line="400" w:lineRule="exact"/>
              <w:ind w:left="0" w:right="420" w:firstLine="435"/>
              <w:jc w:val="center"/>
              <w:rPr>
                <w:rFonts w:hint="eastAsia"/>
                <w:color w:val="000000" w:themeColor="text1"/>
                <w:highlight w:val="none"/>
                <w14:textFill>
                  <w14:solidFill>
                    <w14:schemeClr w14:val="tx1"/>
                  </w14:solidFill>
                </w14:textFill>
              </w:rPr>
            </w:pPr>
          </w:p>
          <w:p w14:paraId="11DF5C32">
            <w:pPr>
              <w:keepNext w:val="0"/>
              <w:keepLines w:val="0"/>
              <w:suppressLineNumbers w:val="0"/>
              <w:spacing w:before="0" w:beforeAutospacing="0" w:after="0" w:afterAutospacing="0" w:line="400" w:lineRule="exact"/>
              <w:ind w:left="0" w:right="420" w:firstLine="435"/>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承包人（章）             </w:t>
            </w:r>
          </w:p>
          <w:p w14:paraId="7344F581">
            <w:pPr>
              <w:keepNext w:val="0"/>
              <w:keepLines w:val="0"/>
              <w:suppressLineNumbers w:val="0"/>
              <w:spacing w:before="0" w:beforeAutospacing="0" w:after="0" w:afterAutospacing="0" w:line="400" w:lineRule="exact"/>
              <w:ind w:left="0" w:right="420" w:firstLine="435"/>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造价人员</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承包人代表</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      期</w:t>
            </w:r>
            <w:r>
              <w:rPr>
                <w:rFonts w:hint="eastAsia"/>
                <w:color w:val="000000" w:themeColor="text1"/>
                <w:highlight w:val="none"/>
                <w:u w:val="single"/>
                <w14:textFill>
                  <w14:solidFill>
                    <w14:schemeClr w14:val="tx1"/>
                  </w14:solidFill>
                </w14:textFill>
              </w:rPr>
              <w:t xml:space="preserve">               </w:t>
            </w:r>
          </w:p>
        </w:tc>
      </w:tr>
      <w:tr w14:paraId="4C8C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tcBorders>
              <w:tl2br w:val="nil"/>
              <w:tr2bl w:val="nil"/>
            </w:tcBorders>
          </w:tcPr>
          <w:p w14:paraId="61EBF4CC">
            <w:pPr>
              <w:keepNext w:val="0"/>
              <w:keepLines w:val="0"/>
              <w:suppressLineNumbers w:val="0"/>
              <w:spacing w:before="0" w:beforeAutospacing="0" w:after="0" w:afterAutospacing="0" w:line="36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复核意见：</w:t>
            </w:r>
          </w:p>
          <w:p w14:paraId="0989F947">
            <w:pPr>
              <w:keepNext w:val="0"/>
              <w:keepLines w:val="0"/>
              <w:suppressLineNumbers w:val="0"/>
              <w:spacing w:before="0" w:beforeAutospacing="0" w:after="0" w:afterAutospacing="0" w:line="360" w:lineRule="exact"/>
              <w:ind w:left="0" w:right="0" w:firstLine="31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□与实际施工情况不相符，修改意见见附件。</w:t>
            </w:r>
          </w:p>
          <w:p w14:paraId="2D7F27C1">
            <w:pPr>
              <w:keepNext w:val="0"/>
              <w:keepLines w:val="0"/>
              <w:suppressLineNumbers w:val="0"/>
              <w:spacing w:before="0" w:beforeAutospacing="0" w:after="0" w:afterAutospacing="0" w:line="360" w:lineRule="exact"/>
              <w:ind w:left="0" w:right="0" w:firstLine="31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□与实际施工情况相符，具体金额由造价工程师复核。</w:t>
            </w:r>
          </w:p>
          <w:p w14:paraId="36F5CEEF">
            <w:pPr>
              <w:keepNext w:val="0"/>
              <w:keepLines w:val="0"/>
              <w:suppressLineNumbers w:val="0"/>
              <w:spacing w:before="0" w:beforeAutospacing="0" w:after="0" w:afterAutospacing="0" w:line="360" w:lineRule="exact"/>
              <w:ind w:left="0" w:right="0" w:firstLine="435"/>
              <w:jc w:val="right"/>
              <w:rPr>
                <w:rFonts w:hint="eastAsia"/>
                <w:color w:val="000000" w:themeColor="text1"/>
                <w:highlight w:val="none"/>
                <w14:textFill>
                  <w14:solidFill>
                    <w14:schemeClr w14:val="tx1"/>
                  </w14:solidFill>
                </w14:textFill>
              </w:rPr>
            </w:pPr>
          </w:p>
          <w:p w14:paraId="59607671">
            <w:pPr>
              <w:keepNext w:val="0"/>
              <w:keepLines w:val="0"/>
              <w:suppressLineNumbers w:val="0"/>
              <w:spacing w:before="0" w:beforeAutospacing="0" w:after="0" w:afterAutospacing="0" w:line="360" w:lineRule="exact"/>
              <w:ind w:left="0" w:right="0" w:firstLine="435"/>
              <w:jc w:val="right"/>
              <w:rPr>
                <w:rFonts w:hint="eastAsia"/>
                <w:color w:val="000000" w:themeColor="text1"/>
                <w:highlight w:val="none"/>
                <w14:textFill>
                  <w14:solidFill>
                    <w14:schemeClr w14:val="tx1"/>
                  </w14:solidFill>
                </w14:textFill>
              </w:rPr>
            </w:pPr>
          </w:p>
          <w:p w14:paraId="2D324221">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p>
          <w:p w14:paraId="05D742CB">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 xml:space="preserve">      监理工程师</w:t>
            </w:r>
            <w:r>
              <w:rPr>
                <w:rFonts w:hint="eastAsia"/>
                <w:color w:val="000000" w:themeColor="text1"/>
                <w:highlight w:val="none"/>
                <w:u w:val="single"/>
                <w14:textFill>
                  <w14:solidFill>
                    <w14:schemeClr w14:val="tx1"/>
                  </w14:solidFill>
                </w14:textFill>
              </w:rPr>
              <w:t xml:space="preserve">           </w:t>
            </w:r>
          </w:p>
          <w:p w14:paraId="1948EBDC">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日      期</w:t>
            </w:r>
            <w:r>
              <w:rPr>
                <w:rFonts w:hint="eastAsia"/>
                <w:color w:val="000000" w:themeColor="text1"/>
                <w:highlight w:val="none"/>
                <w:u w:val="single"/>
                <w14:textFill>
                  <w14:solidFill>
                    <w14:schemeClr w14:val="tx1"/>
                  </w14:solidFill>
                </w14:textFill>
              </w:rPr>
              <w:t xml:space="preserve">           </w:t>
            </w:r>
          </w:p>
        </w:tc>
        <w:tc>
          <w:tcPr>
            <w:tcW w:w="4533" w:type="dxa"/>
            <w:tcBorders>
              <w:tl2br w:val="nil"/>
              <w:tr2bl w:val="nil"/>
            </w:tcBorders>
          </w:tcPr>
          <w:p w14:paraId="7E82B172">
            <w:pPr>
              <w:keepNext w:val="0"/>
              <w:keepLines w:val="0"/>
              <w:suppressLineNumbers w:val="0"/>
              <w:spacing w:before="0" w:beforeAutospacing="0" w:after="0" w:afterAutospacing="0" w:line="36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复核意见：</w:t>
            </w:r>
          </w:p>
          <w:p w14:paraId="726B623B">
            <w:pPr>
              <w:keepNext w:val="0"/>
              <w:keepLines w:val="0"/>
              <w:suppressLineNumbers w:val="0"/>
              <w:spacing w:before="0" w:beforeAutospacing="0" w:after="0" w:afterAutospacing="0" w:line="360" w:lineRule="exact"/>
              <w:ind w:left="0" w:right="0" w:firstLine="435"/>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你方提出的竣工结算支付申请经复核，竣工结算款总额为(大写)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元，（小写）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元，扣除前期支付以及质量保证金后应支付金额为（大写）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元，（小写）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w:t>
            </w:r>
          </w:p>
          <w:p w14:paraId="11628DFD">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 xml:space="preserve">    </w:t>
            </w:r>
          </w:p>
          <w:p w14:paraId="2A8EACA2">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 xml:space="preserve">    造价工程师</w:t>
            </w:r>
            <w:r>
              <w:rPr>
                <w:rFonts w:hint="eastAsia"/>
                <w:color w:val="000000" w:themeColor="text1"/>
                <w:highlight w:val="none"/>
                <w:u w:val="single"/>
                <w14:textFill>
                  <w14:solidFill>
                    <w14:schemeClr w14:val="tx1"/>
                  </w14:solidFill>
                </w14:textFill>
              </w:rPr>
              <w:t xml:space="preserve">           </w:t>
            </w:r>
          </w:p>
          <w:p w14:paraId="13F21FF2">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日      期</w:t>
            </w:r>
            <w:r>
              <w:rPr>
                <w:rFonts w:hint="eastAsia"/>
                <w:color w:val="000000" w:themeColor="text1"/>
                <w:highlight w:val="none"/>
                <w:u w:val="single"/>
                <w14:textFill>
                  <w14:solidFill>
                    <w14:schemeClr w14:val="tx1"/>
                  </w14:solidFill>
                </w14:textFill>
              </w:rPr>
              <w:t xml:space="preserve">           </w:t>
            </w:r>
          </w:p>
        </w:tc>
      </w:tr>
      <w:tr w14:paraId="5171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Borders>
              <w:tl2br w:val="nil"/>
              <w:tr2bl w:val="nil"/>
            </w:tcBorders>
          </w:tcPr>
          <w:p w14:paraId="535B0D5F">
            <w:pPr>
              <w:keepNext w:val="0"/>
              <w:keepLines w:val="0"/>
              <w:suppressLineNumbers w:val="0"/>
              <w:spacing w:before="0" w:beforeAutospacing="0" w:after="0" w:afterAutospacing="0" w:line="40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审核意见：</w:t>
            </w:r>
          </w:p>
          <w:p w14:paraId="1061ECAE">
            <w:pPr>
              <w:keepNext w:val="0"/>
              <w:keepLines w:val="0"/>
              <w:suppressLineNumbers w:val="0"/>
              <w:spacing w:before="0" w:beforeAutospacing="0" w:after="0" w:afterAutospacing="0" w:line="400" w:lineRule="exact"/>
              <w:ind w:left="0" w:right="0" w:firstLine="435"/>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□不同意。</w:t>
            </w:r>
          </w:p>
          <w:p w14:paraId="6AF9E84B">
            <w:pPr>
              <w:keepNext w:val="0"/>
              <w:keepLines w:val="0"/>
              <w:suppressLineNumbers w:val="0"/>
              <w:spacing w:before="0" w:beforeAutospacing="0" w:after="0" w:afterAutospacing="0" w:line="400" w:lineRule="exact"/>
              <w:ind w:left="0" w:right="0"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□同意，支付时间为本表签发后的15天内。</w:t>
            </w:r>
          </w:p>
          <w:p w14:paraId="6188B51C">
            <w:pPr>
              <w:keepNext w:val="0"/>
              <w:keepLines w:val="0"/>
              <w:suppressLineNumbers w:val="0"/>
              <w:wordWrap w:val="0"/>
              <w:spacing w:before="0" w:beforeAutospacing="0" w:after="0" w:afterAutospacing="0" w:line="400" w:lineRule="exact"/>
              <w:ind w:left="0" w:right="0" w:firstLine="420" w:firstLineChars="200"/>
              <w:jc w:val="righ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发包人（章）           </w:t>
            </w:r>
          </w:p>
          <w:p w14:paraId="075B4D37">
            <w:pPr>
              <w:keepNext w:val="0"/>
              <w:keepLines w:val="0"/>
              <w:suppressLineNumbers w:val="0"/>
              <w:wordWrap w:val="0"/>
              <w:spacing w:before="0" w:beforeAutospacing="0" w:after="0" w:afterAutospacing="0" w:line="400" w:lineRule="exact"/>
              <w:ind w:left="0" w:right="0" w:firstLine="420" w:firstLineChars="200"/>
              <w:jc w:val="right"/>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发包人代表</w:t>
            </w:r>
            <w:r>
              <w:rPr>
                <w:rFonts w:hint="eastAsia"/>
                <w:color w:val="000000" w:themeColor="text1"/>
                <w:highlight w:val="none"/>
                <w:u w:val="single"/>
                <w14:textFill>
                  <w14:solidFill>
                    <w14:schemeClr w14:val="tx1"/>
                  </w14:solidFill>
                </w14:textFill>
              </w:rPr>
              <w:t xml:space="preserve">             </w:t>
            </w:r>
          </w:p>
          <w:p w14:paraId="790D3F3B">
            <w:pPr>
              <w:keepNext w:val="0"/>
              <w:keepLines w:val="0"/>
              <w:suppressLineNumbers w:val="0"/>
              <w:wordWrap w:val="0"/>
              <w:spacing w:before="0" w:beforeAutospacing="0" w:after="0" w:afterAutospacing="0" w:line="400" w:lineRule="exact"/>
              <w:ind w:left="0" w:right="0" w:firstLine="420" w:firstLineChars="200"/>
              <w:jc w:val="right"/>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日      期</w:t>
            </w:r>
            <w:r>
              <w:rPr>
                <w:rFonts w:hint="eastAsia"/>
                <w:color w:val="000000" w:themeColor="text1"/>
                <w:highlight w:val="none"/>
                <w:u w:val="single"/>
                <w14:textFill>
                  <w14:solidFill>
                    <w14:schemeClr w14:val="tx1"/>
                  </w14:solidFill>
                </w14:textFill>
              </w:rPr>
              <w:t xml:space="preserve">             </w:t>
            </w:r>
          </w:p>
        </w:tc>
      </w:tr>
    </w:tbl>
    <w:p w14:paraId="6ACEA829">
      <w:pPr>
        <w:spacing w:before="166" w:beforeLines="50"/>
        <w:ind w:firstLine="360" w:firstLineChars="200"/>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注：1.在选择栏中的“□”内作标识“√”。 </w:t>
      </w:r>
    </w:p>
    <w:p w14:paraId="642BB628">
      <w:pPr>
        <w:spacing w:before="166" w:beforeLines="50"/>
        <w:ind w:left="720" w:hanging="720" w:hangingChars="400"/>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    </w:t>
      </w:r>
      <w:r>
        <w:rPr>
          <w:color w:val="000000" w:themeColor="text1"/>
          <w:sz w:val="18"/>
          <w:szCs w:val="18"/>
          <w:highlight w:val="none"/>
          <w14:textFill>
            <w14:solidFill>
              <w14:schemeClr w14:val="tx1"/>
            </w14:solidFill>
          </w14:textFill>
        </w:rPr>
        <w:t xml:space="preserve">  </w:t>
      </w:r>
      <w:r>
        <w:rPr>
          <w:rFonts w:hint="eastAsia"/>
          <w:color w:val="000000" w:themeColor="text1"/>
          <w:sz w:val="18"/>
          <w:szCs w:val="18"/>
          <w:highlight w:val="none"/>
          <w14:textFill>
            <w14:solidFill>
              <w14:schemeClr w14:val="tx1"/>
            </w14:solidFill>
          </w14:textFill>
        </w:rPr>
        <w:t xml:space="preserve">  2.本表一式四份，由承包人填报，发包人、监理人、造价咨询人、承包人各存一份。</w:t>
      </w:r>
    </w:p>
    <w:p w14:paraId="19FAC74F">
      <w:pPr>
        <w:ind w:right="360"/>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                                                                                            </w:t>
      </w:r>
    </w:p>
    <w:p w14:paraId="3DFAD214">
      <w:pPr>
        <w:jc w:val="left"/>
        <w:rPr>
          <w:rFonts w:hint="eastAsia"/>
          <w:b/>
          <w:color w:val="000000" w:themeColor="text1"/>
          <w:sz w:val="30"/>
          <w:szCs w:val="30"/>
          <w:highlight w:val="none"/>
          <w14:textFill>
            <w14:solidFill>
              <w14:schemeClr w14:val="tx1"/>
            </w14:solidFill>
          </w14:textFill>
        </w:rPr>
      </w:pPr>
      <w:r>
        <w:rPr>
          <w:rFonts w:hint="eastAsia" w:hAnsi="宋体" w:cs="宋体"/>
          <w:color w:val="000000" w:themeColor="text1"/>
          <w:sz w:val="30"/>
          <w:szCs w:val="30"/>
          <w:highlight w:val="none"/>
          <w14:textFill>
            <w14:solidFill>
              <w14:schemeClr w14:val="tx1"/>
            </w14:solidFill>
          </w14:textFill>
        </w:rPr>
        <w:t>附件1</w:t>
      </w:r>
      <w:r>
        <w:rPr>
          <w:rFonts w:hint="eastAsia" w:hAnsi="宋体" w:cs="宋体"/>
          <w:color w:val="000000" w:themeColor="text1"/>
          <w:sz w:val="30"/>
          <w:szCs w:val="30"/>
          <w:highlight w:val="none"/>
          <w:lang w:val="en-US" w:eastAsia="zh-CN"/>
          <w14:textFill>
            <w14:solidFill>
              <w14:schemeClr w14:val="tx1"/>
            </w14:solidFill>
          </w14:textFill>
        </w:rPr>
        <w:t>2</w:t>
      </w:r>
      <w:r>
        <w:rPr>
          <w:rFonts w:hint="eastAsia" w:hAnsi="宋体" w:cs="宋体"/>
          <w:color w:val="000000" w:themeColor="text1"/>
          <w:sz w:val="30"/>
          <w:szCs w:val="30"/>
          <w:highlight w:val="none"/>
          <w14:textFill>
            <w14:solidFill>
              <w14:schemeClr w14:val="tx1"/>
            </w14:solidFill>
          </w14:textFill>
        </w:rPr>
        <w:t>：</w:t>
      </w:r>
    </w:p>
    <w:p w14:paraId="588585FB">
      <w:pPr>
        <w:jc w:val="center"/>
        <w:rPr>
          <w:rFonts w:hint="eastAsia"/>
          <w:b/>
          <w:color w:val="000000" w:themeColor="text1"/>
          <w:sz w:val="36"/>
          <w:szCs w:val="36"/>
          <w:highlight w:val="none"/>
          <w14:textFill>
            <w14:solidFill>
              <w14:schemeClr w14:val="tx1"/>
            </w14:solidFill>
          </w14:textFill>
        </w:rPr>
      </w:pPr>
      <w:r>
        <w:rPr>
          <w:rFonts w:hint="eastAsia"/>
          <w:b/>
          <w:color w:val="000000" w:themeColor="text1"/>
          <w:sz w:val="36"/>
          <w:szCs w:val="36"/>
          <w:highlight w:val="none"/>
          <w14:textFill>
            <w14:solidFill>
              <w14:schemeClr w14:val="tx1"/>
            </w14:solidFill>
          </w14:textFill>
        </w:rPr>
        <w:t>最终结算款支付申请（核准）表</w:t>
      </w:r>
    </w:p>
    <w:p w14:paraId="04FBA690">
      <w:pP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工程名称：                                             编号：</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7E61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072" w:type="dxa"/>
            <w:gridSpan w:val="2"/>
            <w:tcBorders>
              <w:tl2br w:val="nil"/>
              <w:tr2bl w:val="nil"/>
            </w:tcBorders>
          </w:tcPr>
          <w:p w14:paraId="050546BF">
            <w:pPr>
              <w:keepNext w:val="0"/>
              <w:keepLines w:val="0"/>
              <w:suppressLineNumbers w:val="0"/>
              <w:spacing w:before="0" w:beforeAutospacing="0" w:after="0" w:afterAutospacing="0" w:line="480" w:lineRule="exact"/>
              <w:ind w:left="525" w:leftChars="149" w:right="0" w:hanging="212" w:hangingChars="101"/>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致：</w:t>
            </w:r>
            <w:r>
              <w:rPr>
                <w:rFonts w:hint="eastAsia"/>
                <w:color w:val="000000" w:themeColor="text1"/>
                <w:highlight w:val="none"/>
                <w:u w:val="single"/>
                <w14:textFill>
                  <w14:solidFill>
                    <w14:schemeClr w14:val="tx1"/>
                  </w14:solidFill>
                </w14:textFill>
              </w:rPr>
              <w:t xml:space="preserve">                                   （发包人全称）</w:t>
            </w:r>
          </w:p>
          <w:p w14:paraId="572FA04B">
            <w:pPr>
              <w:keepNext w:val="0"/>
              <w:keepLines w:val="0"/>
              <w:suppressLineNumbers w:val="0"/>
              <w:spacing w:before="0" w:beforeAutospacing="0" w:after="0" w:afterAutospacing="0" w:line="400" w:lineRule="exact"/>
              <w:ind w:left="-4" w:leftChars="-2" w:right="0" w:firstLine="315" w:firstLineChars="15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我方于</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至</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期间已完成了缺陷修复工作，根据施工合同的约定，现申请支付最终结清合同款额为(大写)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元，(小写)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元，请予核准。</w:t>
            </w:r>
          </w:p>
          <w:tbl>
            <w:tblPr>
              <w:tblStyle w:val="53"/>
              <w:tblpPr w:leftFromText="180" w:rightFromText="180" w:vertAnchor="page" w:horzAnchor="margin" w:tblpXSpec="left"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3E67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tcBorders>
                    <w:tl2br w:val="nil"/>
                    <w:tr2bl w:val="nil"/>
                  </w:tcBorders>
                  <w:vAlign w:val="center"/>
                </w:tcPr>
                <w:p w14:paraId="4BD5C977">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3420" w:type="dxa"/>
                  <w:tcBorders>
                    <w:tl2br w:val="nil"/>
                    <w:tr2bl w:val="nil"/>
                  </w:tcBorders>
                  <w:vAlign w:val="center"/>
                </w:tcPr>
                <w:p w14:paraId="6F55A41F">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名      称</w:t>
                  </w:r>
                </w:p>
              </w:tc>
              <w:tc>
                <w:tcPr>
                  <w:tcW w:w="1620" w:type="dxa"/>
                  <w:tcBorders>
                    <w:tl2br w:val="nil"/>
                    <w:tr2bl w:val="nil"/>
                  </w:tcBorders>
                  <w:vAlign w:val="center"/>
                </w:tcPr>
                <w:p w14:paraId="6F2391AE">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申请金额（元）</w:t>
                  </w:r>
                </w:p>
              </w:tc>
              <w:tc>
                <w:tcPr>
                  <w:tcW w:w="1620" w:type="dxa"/>
                  <w:tcBorders>
                    <w:tl2br w:val="nil"/>
                    <w:tr2bl w:val="nil"/>
                  </w:tcBorders>
                  <w:vAlign w:val="center"/>
                </w:tcPr>
                <w:p w14:paraId="42E430F7">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复核金额（元）</w:t>
                  </w:r>
                </w:p>
              </w:tc>
              <w:tc>
                <w:tcPr>
                  <w:tcW w:w="1651" w:type="dxa"/>
                  <w:tcBorders>
                    <w:tl2br w:val="nil"/>
                    <w:tr2bl w:val="nil"/>
                  </w:tcBorders>
                  <w:vAlign w:val="center"/>
                </w:tcPr>
                <w:p w14:paraId="53F83FB9">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w:t>
                  </w:r>
                </w:p>
              </w:tc>
            </w:tr>
            <w:tr w14:paraId="0B6D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69A7E305">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3420" w:type="dxa"/>
                  <w:tcBorders>
                    <w:tl2br w:val="nil"/>
                    <w:tr2bl w:val="nil"/>
                  </w:tcBorders>
                </w:tcPr>
                <w:p w14:paraId="2429260E">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已预留的质量保证金</w:t>
                  </w:r>
                </w:p>
              </w:tc>
              <w:tc>
                <w:tcPr>
                  <w:tcW w:w="1620" w:type="dxa"/>
                  <w:tcBorders>
                    <w:tl2br w:val="nil"/>
                    <w:tr2bl w:val="nil"/>
                  </w:tcBorders>
                </w:tcPr>
                <w:p w14:paraId="361A3B87">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4AB0FF95">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58A311E8">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3726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6ED4527B">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3420" w:type="dxa"/>
                  <w:tcBorders>
                    <w:tl2br w:val="nil"/>
                    <w:tr2bl w:val="nil"/>
                  </w:tcBorders>
                </w:tcPr>
                <w:p w14:paraId="15B9CCDC">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应增加因发包人原因造成缺陷的修复金额</w:t>
                  </w:r>
                </w:p>
              </w:tc>
              <w:tc>
                <w:tcPr>
                  <w:tcW w:w="1620" w:type="dxa"/>
                  <w:tcBorders>
                    <w:tl2br w:val="nil"/>
                    <w:tr2bl w:val="nil"/>
                  </w:tcBorders>
                </w:tcPr>
                <w:p w14:paraId="40FBE256">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7E5F3A10">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58FB476A">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2B66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7395E579">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p>
              </w:tc>
              <w:tc>
                <w:tcPr>
                  <w:tcW w:w="3420" w:type="dxa"/>
                  <w:tcBorders>
                    <w:tl2br w:val="nil"/>
                    <w:tr2bl w:val="nil"/>
                  </w:tcBorders>
                </w:tcPr>
                <w:p w14:paraId="60E8538A">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应扣减承包人不修复缺陷、发包人组织修复的金额</w:t>
                  </w:r>
                </w:p>
              </w:tc>
              <w:tc>
                <w:tcPr>
                  <w:tcW w:w="1620" w:type="dxa"/>
                  <w:tcBorders>
                    <w:tl2br w:val="nil"/>
                    <w:tr2bl w:val="nil"/>
                  </w:tcBorders>
                </w:tcPr>
                <w:p w14:paraId="380ABBE5">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730796F1">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1A55D4DB">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21CBD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7A83E132">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p>
              </w:tc>
              <w:tc>
                <w:tcPr>
                  <w:tcW w:w="3420" w:type="dxa"/>
                  <w:tcBorders>
                    <w:tl2br w:val="nil"/>
                    <w:tr2bl w:val="nil"/>
                  </w:tcBorders>
                </w:tcPr>
                <w:p w14:paraId="0CC75346">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最终应支付的合同价款</w:t>
                  </w:r>
                </w:p>
              </w:tc>
              <w:tc>
                <w:tcPr>
                  <w:tcW w:w="1620" w:type="dxa"/>
                  <w:tcBorders>
                    <w:tl2br w:val="nil"/>
                    <w:tr2bl w:val="nil"/>
                  </w:tcBorders>
                </w:tcPr>
                <w:p w14:paraId="5796F0E4">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4D3F140C">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2ED3C570">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2C42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7195E1EE">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p>
              </w:tc>
              <w:tc>
                <w:tcPr>
                  <w:tcW w:w="3420" w:type="dxa"/>
                  <w:tcBorders>
                    <w:tl2br w:val="nil"/>
                    <w:tr2bl w:val="nil"/>
                  </w:tcBorders>
                </w:tcPr>
                <w:p w14:paraId="73A12C53">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55FC0AD3">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72DCD758">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26526CFD">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2613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544B38D2">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p>
              </w:tc>
              <w:tc>
                <w:tcPr>
                  <w:tcW w:w="3420" w:type="dxa"/>
                  <w:tcBorders>
                    <w:tl2br w:val="nil"/>
                    <w:tr2bl w:val="nil"/>
                  </w:tcBorders>
                </w:tcPr>
                <w:p w14:paraId="1386DA08">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05731633">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5473D9EA">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46E764F9">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31ED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5E8F45F3">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p>
              </w:tc>
              <w:tc>
                <w:tcPr>
                  <w:tcW w:w="3420" w:type="dxa"/>
                  <w:tcBorders>
                    <w:tl2br w:val="nil"/>
                    <w:tr2bl w:val="nil"/>
                  </w:tcBorders>
                </w:tcPr>
                <w:p w14:paraId="5A5DEB98">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059D31D7">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064776C0">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2CBCE7A1">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r w14:paraId="6BDB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l2br w:val="nil"/>
                    <w:tr2bl w:val="nil"/>
                  </w:tcBorders>
                </w:tcPr>
                <w:p w14:paraId="2BA4D7CD">
                  <w:pPr>
                    <w:keepNext w:val="0"/>
                    <w:keepLines w:val="0"/>
                    <w:suppressLineNumbers w:val="0"/>
                    <w:spacing w:before="0" w:beforeAutospacing="0" w:after="0" w:afterAutospacing="0" w:line="280" w:lineRule="exact"/>
                    <w:ind w:left="0" w:right="0"/>
                    <w:jc w:val="center"/>
                    <w:rPr>
                      <w:rFonts w:hint="eastAsia"/>
                      <w:color w:val="000000" w:themeColor="text1"/>
                      <w:highlight w:val="none"/>
                      <w14:textFill>
                        <w14:solidFill>
                          <w14:schemeClr w14:val="tx1"/>
                        </w14:solidFill>
                      </w14:textFill>
                    </w:rPr>
                  </w:pPr>
                </w:p>
              </w:tc>
              <w:tc>
                <w:tcPr>
                  <w:tcW w:w="3420" w:type="dxa"/>
                  <w:tcBorders>
                    <w:tl2br w:val="nil"/>
                    <w:tr2bl w:val="nil"/>
                  </w:tcBorders>
                </w:tcPr>
                <w:p w14:paraId="1C284814">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28AAD379">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20" w:type="dxa"/>
                  <w:tcBorders>
                    <w:tl2br w:val="nil"/>
                    <w:tr2bl w:val="nil"/>
                  </w:tcBorders>
                </w:tcPr>
                <w:p w14:paraId="163E2629">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c>
                <w:tcPr>
                  <w:tcW w:w="1651" w:type="dxa"/>
                  <w:tcBorders>
                    <w:tl2br w:val="nil"/>
                    <w:tr2bl w:val="nil"/>
                  </w:tcBorders>
                </w:tcPr>
                <w:p w14:paraId="50AE53B8">
                  <w:pPr>
                    <w:keepNext w:val="0"/>
                    <w:keepLines w:val="0"/>
                    <w:suppressLineNumbers w:val="0"/>
                    <w:spacing w:before="0" w:beforeAutospacing="0" w:after="0" w:afterAutospacing="0" w:line="280" w:lineRule="exact"/>
                    <w:ind w:left="0" w:right="0"/>
                    <w:rPr>
                      <w:rFonts w:hint="eastAsia"/>
                      <w:color w:val="000000" w:themeColor="text1"/>
                      <w:highlight w:val="none"/>
                      <w14:textFill>
                        <w14:solidFill>
                          <w14:schemeClr w14:val="tx1"/>
                        </w14:solidFill>
                      </w14:textFill>
                    </w:rPr>
                  </w:pPr>
                </w:p>
              </w:tc>
            </w:tr>
          </w:tbl>
          <w:p w14:paraId="002D6D1C">
            <w:pPr>
              <w:keepNext w:val="0"/>
              <w:keepLines w:val="0"/>
              <w:suppressLineNumbers w:val="0"/>
              <w:spacing w:before="0" w:beforeAutospacing="0" w:after="0" w:afterAutospacing="0" w:line="400" w:lineRule="exact"/>
              <w:ind w:left="0" w:right="420" w:firstLine="435"/>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承包人（章）             </w:t>
            </w:r>
          </w:p>
          <w:p w14:paraId="4FFCE39E">
            <w:pPr>
              <w:keepNext w:val="0"/>
              <w:keepLines w:val="0"/>
              <w:suppressLineNumbers w:val="0"/>
              <w:spacing w:before="0" w:beforeAutospacing="0" w:after="0" w:afterAutospacing="0" w:line="400" w:lineRule="exact"/>
              <w:ind w:left="0" w:right="420" w:firstLine="435"/>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造价人员</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承包人代表</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      期</w:t>
            </w:r>
            <w:r>
              <w:rPr>
                <w:rFonts w:hint="eastAsia"/>
                <w:color w:val="000000" w:themeColor="text1"/>
                <w:highlight w:val="none"/>
                <w:u w:val="single"/>
                <w14:textFill>
                  <w14:solidFill>
                    <w14:schemeClr w14:val="tx1"/>
                  </w14:solidFill>
                </w14:textFill>
              </w:rPr>
              <w:t xml:space="preserve">               </w:t>
            </w:r>
          </w:p>
        </w:tc>
      </w:tr>
      <w:tr w14:paraId="0441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tcBorders>
              <w:tl2br w:val="nil"/>
              <w:tr2bl w:val="nil"/>
            </w:tcBorders>
          </w:tcPr>
          <w:p w14:paraId="5B7852A9">
            <w:pPr>
              <w:keepNext w:val="0"/>
              <w:keepLines w:val="0"/>
              <w:suppressLineNumbers w:val="0"/>
              <w:spacing w:before="0" w:beforeAutospacing="0" w:after="0" w:afterAutospacing="0" w:line="36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复核意见：</w:t>
            </w:r>
          </w:p>
          <w:p w14:paraId="2F378A47">
            <w:pPr>
              <w:keepNext w:val="0"/>
              <w:keepLines w:val="0"/>
              <w:suppressLineNumbers w:val="0"/>
              <w:spacing w:before="0" w:beforeAutospacing="0" w:after="0" w:afterAutospacing="0" w:line="360" w:lineRule="exact"/>
              <w:ind w:left="0" w:right="0" w:firstLine="31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□与实际施工情况不相符，修改意见见附件。</w:t>
            </w:r>
          </w:p>
          <w:p w14:paraId="4D5666A1">
            <w:pPr>
              <w:keepNext w:val="0"/>
              <w:keepLines w:val="0"/>
              <w:suppressLineNumbers w:val="0"/>
              <w:spacing w:before="0" w:beforeAutospacing="0" w:after="0" w:afterAutospacing="0" w:line="360" w:lineRule="exact"/>
              <w:ind w:left="0" w:right="0" w:firstLine="31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□与实际施工情况相符，具体金额由造价工程师复核。</w:t>
            </w:r>
          </w:p>
          <w:p w14:paraId="782093C9">
            <w:pPr>
              <w:keepNext w:val="0"/>
              <w:keepLines w:val="0"/>
              <w:suppressLineNumbers w:val="0"/>
              <w:spacing w:before="0" w:beforeAutospacing="0" w:after="0" w:afterAutospacing="0" w:line="360" w:lineRule="exact"/>
              <w:ind w:left="0" w:right="0" w:firstLine="435"/>
              <w:jc w:val="right"/>
              <w:rPr>
                <w:rFonts w:hint="eastAsia"/>
                <w:color w:val="000000" w:themeColor="text1"/>
                <w:highlight w:val="none"/>
                <w14:textFill>
                  <w14:solidFill>
                    <w14:schemeClr w14:val="tx1"/>
                  </w14:solidFill>
                </w14:textFill>
              </w:rPr>
            </w:pPr>
          </w:p>
          <w:p w14:paraId="341E08E7">
            <w:pPr>
              <w:keepNext w:val="0"/>
              <w:keepLines w:val="0"/>
              <w:suppressLineNumbers w:val="0"/>
              <w:spacing w:before="0" w:beforeAutospacing="0" w:after="0" w:afterAutospacing="0" w:line="360" w:lineRule="exact"/>
              <w:ind w:left="0" w:right="0" w:firstLine="435"/>
              <w:jc w:val="right"/>
              <w:rPr>
                <w:rFonts w:hint="eastAsia"/>
                <w:color w:val="000000" w:themeColor="text1"/>
                <w:highlight w:val="none"/>
                <w14:textFill>
                  <w14:solidFill>
                    <w14:schemeClr w14:val="tx1"/>
                  </w14:solidFill>
                </w14:textFill>
              </w:rPr>
            </w:pPr>
          </w:p>
          <w:p w14:paraId="280CF5DA">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p>
          <w:p w14:paraId="6EE97D51">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 xml:space="preserve">        监理工程师</w:t>
            </w:r>
            <w:r>
              <w:rPr>
                <w:rFonts w:hint="eastAsia"/>
                <w:color w:val="000000" w:themeColor="text1"/>
                <w:highlight w:val="none"/>
                <w:u w:val="single"/>
                <w14:textFill>
                  <w14:solidFill>
                    <w14:schemeClr w14:val="tx1"/>
                  </w14:solidFill>
                </w14:textFill>
              </w:rPr>
              <w:t xml:space="preserve">           </w:t>
            </w:r>
          </w:p>
          <w:p w14:paraId="512D1FB3">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日      期</w:t>
            </w:r>
            <w:r>
              <w:rPr>
                <w:rFonts w:hint="eastAsia"/>
                <w:color w:val="000000" w:themeColor="text1"/>
                <w:highlight w:val="none"/>
                <w:u w:val="single"/>
                <w14:textFill>
                  <w14:solidFill>
                    <w14:schemeClr w14:val="tx1"/>
                  </w14:solidFill>
                </w14:textFill>
              </w:rPr>
              <w:t xml:space="preserve">           </w:t>
            </w:r>
          </w:p>
        </w:tc>
        <w:tc>
          <w:tcPr>
            <w:tcW w:w="4533" w:type="dxa"/>
            <w:tcBorders>
              <w:tl2br w:val="nil"/>
              <w:tr2bl w:val="nil"/>
            </w:tcBorders>
          </w:tcPr>
          <w:p w14:paraId="5E294EBA">
            <w:pPr>
              <w:keepNext w:val="0"/>
              <w:keepLines w:val="0"/>
              <w:suppressLineNumbers w:val="0"/>
              <w:spacing w:before="0" w:beforeAutospacing="0" w:after="0" w:afterAutospacing="0" w:line="36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复核意见：</w:t>
            </w:r>
          </w:p>
          <w:p w14:paraId="0F4EA49E">
            <w:pPr>
              <w:keepNext w:val="0"/>
              <w:keepLines w:val="0"/>
              <w:suppressLineNumbers w:val="0"/>
              <w:spacing w:before="0" w:beforeAutospacing="0" w:after="0" w:afterAutospacing="0" w:line="360" w:lineRule="exact"/>
              <w:ind w:left="0" w:right="0" w:firstLine="435"/>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你方提出的支付申请经复核，最终应支付金额为（大写）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元，（小写）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w:t>
            </w:r>
          </w:p>
          <w:p w14:paraId="1791A6E8">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 xml:space="preserve">    </w:t>
            </w:r>
          </w:p>
          <w:p w14:paraId="6A413645">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p>
          <w:p w14:paraId="38C05781">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p>
          <w:p w14:paraId="3E452A11">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p>
          <w:p w14:paraId="4245477E">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 xml:space="preserve">    造价工程师</w:t>
            </w:r>
            <w:r>
              <w:rPr>
                <w:rFonts w:hint="eastAsia"/>
                <w:color w:val="000000" w:themeColor="text1"/>
                <w:highlight w:val="none"/>
                <w:u w:val="single"/>
                <w14:textFill>
                  <w14:solidFill>
                    <w14:schemeClr w14:val="tx1"/>
                  </w14:solidFill>
                </w14:textFill>
              </w:rPr>
              <w:t xml:space="preserve">           </w:t>
            </w:r>
          </w:p>
          <w:p w14:paraId="6EBF077C">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日      期</w:t>
            </w:r>
            <w:r>
              <w:rPr>
                <w:rFonts w:hint="eastAsia"/>
                <w:color w:val="000000" w:themeColor="text1"/>
                <w:highlight w:val="none"/>
                <w:u w:val="single"/>
                <w14:textFill>
                  <w14:solidFill>
                    <w14:schemeClr w14:val="tx1"/>
                  </w14:solidFill>
                </w14:textFill>
              </w:rPr>
              <w:t xml:space="preserve">           </w:t>
            </w:r>
          </w:p>
        </w:tc>
      </w:tr>
      <w:tr w14:paraId="2C66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Borders>
              <w:tl2br w:val="nil"/>
              <w:tr2bl w:val="nil"/>
            </w:tcBorders>
          </w:tcPr>
          <w:p w14:paraId="1CFD4822">
            <w:pPr>
              <w:keepNext w:val="0"/>
              <w:keepLines w:val="0"/>
              <w:suppressLineNumbers w:val="0"/>
              <w:spacing w:before="0" w:beforeAutospacing="0" w:after="0" w:afterAutospacing="0" w:line="400" w:lineRule="exact"/>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审核意见：</w:t>
            </w:r>
          </w:p>
          <w:p w14:paraId="1B778F21">
            <w:pPr>
              <w:keepNext w:val="0"/>
              <w:keepLines w:val="0"/>
              <w:suppressLineNumbers w:val="0"/>
              <w:spacing w:before="0" w:beforeAutospacing="0" w:after="0" w:afterAutospacing="0" w:line="400" w:lineRule="exact"/>
              <w:ind w:left="0" w:right="0" w:firstLine="435"/>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□不同意。</w:t>
            </w:r>
          </w:p>
          <w:p w14:paraId="6C50F2ED">
            <w:pPr>
              <w:keepNext w:val="0"/>
              <w:keepLines w:val="0"/>
              <w:suppressLineNumbers w:val="0"/>
              <w:spacing w:before="0" w:beforeAutospacing="0" w:after="0" w:afterAutospacing="0" w:line="400" w:lineRule="exact"/>
              <w:ind w:left="0" w:right="0"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□同意，支付时间为本表签发后的15天内。</w:t>
            </w:r>
          </w:p>
          <w:p w14:paraId="5A7D91F7">
            <w:pPr>
              <w:keepNext w:val="0"/>
              <w:keepLines w:val="0"/>
              <w:suppressLineNumbers w:val="0"/>
              <w:wordWrap w:val="0"/>
              <w:spacing w:before="0" w:beforeAutospacing="0" w:after="0" w:afterAutospacing="0" w:line="400" w:lineRule="exact"/>
              <w:ind w:left="0" w:right="0" w:firstLine="420" w:firstLineChars="200"/>
              <w:jc w:val="righ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发包人（章）           </w:t>
            </w:r>
          </w:p>
          <w:p w14:paraId="0CDDA15F">
            <w:pPr>
              <w:keepNext w:val="0"/>
              <w:keepLines w:val="0"/>
              <w:suppressLineNumbers w:val="0"/>
              <w:wordWrap w:val="0"/>
              <w:spacing w:before="0" w:beforeAutospacing="0" w:after="0" w:afterAutospacing="0" w:line="400" w:lineRule="exact"/>
              <w:ind w:left="0" w:right="0" w:firstLine="420" w:firstLineChars="200"/>
              <w:jc w:val="right"/>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发包人代表</w:t>
            </w:r>
            <w:r>
              <w:rPr>
                <w:rFonts w:hint="eastAsia"/>
                <w:color w:val="000000" w:themeColor="text1"/>
                <w:highlight w:val="none"/>
                <w:u w:val="single"/>
                <w14:textFill>
                  <w14:solidFill>
                    <w14:schemeClr w14:val="tx1"/>
                  </w14:solidFill>
                </w14:textFill>
              </w:rPr>
              <w:t xml:space="preserve">             </w:t>
            </w:r>
          </w:p>
          <w:p w14:paraId="7DE40E82">
            <w:pPr>
              <w:keepNext w:val="0"/>
              <w:keepLines w:val="0"/>
              <w:suppressLineNumbers w:val="0"/>
              <w:wordWrap w:val="0"/>
              <w:spacing w:before="0" w:beforeAutospacing="0" w:after="0" w:afterAutospacing="0" w:line="400" w:lineRule="exact"/>
              <w:ind w:left="0" w:right="0" w:firstLine="420" w:firstLineChars="200"/>
              <w:jc w:val="right"/>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日      期</w:t>
            </w:r>
            <w:r>
              <w:rPr>
                <w:rFonts w:hint="eastAsia"/>
                <w:color w:val="000000" w:themeColor="text1"/>
                <w:highlight w:val="none"/>
                <w:u w:val="single"/>
                <w14:textFill>
                  <w14:solidFill>
                    <w14:schemeClr w14:val="tx1"/>
                  </w14:solidFill>
                </w14:textFill>
              </w:rPr>
              <w:t xml:space="preserve">             </w:t>
            </w:r>
          </w:p>
        </w:tc>
      </w:tr>
    </w:tbl>
    <w:p w14:paraId="11317102">
      <w:pPr>
        <w:spacing w:before="166" w:beforeLines="50"/>
        <w:ind w:firstLine="360" w:firstLineChars="200"/>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注：1.在选择栏中的“□”内作标识“√”。 如监理人已退场，监理工程师栏可空缺。</w:t>
      </w:r>
    </w:p>
    <w:p w14:paraId="2B78606F">
      <w:pPr>
        <w:spacing w:before="166" w:beforeLines="50"/>
        <w:ind w:left="720" w:hanging="720" w:hangingChars="400"/>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    </w:t>
      </w:r>
      <w:r>
        <w:rPr>
          <w:color w:val="000000" w:themeColor="text1"/>
          <w:sz w:val="18"/>
          <w:szCs w:val="18"/>
          <w:highlight w:val="none"/>
          <w14:textFill>
            <w14:solidFill>
              <w14:schemeClr w14:val="tx1"/>
            </w14:solidFill>
          </w14:textFill>
        </w:rPr>
        <w:t xml:space="preserve">  </w:t>
      </w:r>
      <w:r>
        <w:rPr>
          <w:rFonts w:hint="eastAsia"/>
          <w:color w:val="000000" w:themeColor="text1"/>
          <w:sz w:val="18"/>
          <w:szCs w:val="18"/>
          <w:highlight w:val="none"/>
          <w14:textFill>
            <w14:solidFill>
              <w14:schemeClr w14:val="tx1"/>
            </w14:solidFill>
          </w14:textFill>
        </w:rPr>
        <w:t xml:space="preserve">  2.本表一式四份，由承包人填报，发包人、监理人、造价咨询人、承包人各存一份。</w:t>
      </w:r>
    </w:p>
    <w:p w14:paraId="1118BA09">
      <w:pPr>
        <w:spacing w:line="360" w:lineRule="auto"/>
        <w:jc w:val="left"/>
        <w:rPr>
          <w:rFonts w:hint="eastAsia" w:hAnsi="宋体" w:cs="宋体"/>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附件1</w:t>
      </w:r>
      <w:r>
        <w:rPr>
          <w:rFonts w:hint="eastAsia"/>
          <w:color w:val="000000" w:themeColor="text1"/>
          <w:sz w:val="30"/>
          <w:szCs w:val="30"/>
          <w:highlight w:val="none"/>
          <w:lang w:val="en-US" w:eastAsia="zh-CN"/>
          <w14:textFill>
            <w14:solidFill>
              <w14:schemeClr w14:val="tx1"/>
            </w14:solidFill>
          </w14:textFill>
        </w:rPr>
        <w:t>3</w:t>
      </w:r>
      <w:r>
        <w:rPr>
          <w:rFonts w:hint="eastAsia"/>
          <w:color w:val="000000" w:themeColor="text1"/>
          <w:sz w:val="30"/>
          <w:szCs w:val="30"/>
          <w:highlight w:val="none"/>
          <w14:textFill>
            <w14:solidFill>
              <w14:schemeClr w14:val="tx1"/>
            </w14:solidFill>
          </w14:textFill>
        </w:rPr>
        <w:t>：</w:t>
      </w:r>
    </w:p>
    <w:p w14:paraId="4C2DB4A9">
      <w:pPr>
        <w:spacing w:line="360" w:lineRule="auto"/>
        <w:ind w:firstLine="720" w:firstLineChars="200"/>
        <w:jc w:val="center"/>
        <w:rPr>
          <w:rFonts w:hint="eastAsia" w:ascii="宋体" w:hAnsi="宋体" w:cs="宋体"/>
          <w:color w:val="000000" w:themeColor="text1"/>
          <w:kern w:val="0"/>
          <w:sz w:val="36"/>
          <w:szCs w:val="36"/>
          <w:highlight w:val="none"/>
          <w14:textFill>
            <w14:solidFill>
              <w14:schemeClr w14:val="tx1"/>
            </w14:solidFill>
          </w14:textFill>
        </w:rPr>
      </w:pPr>
      <w:r>
        <w:rPr>
          <w:rFonts w:hint="eastAsia" w:ascii="宋体" w:hAnsi="宋体" w:cs="宋体"/>
          <w:color w:val="000000" w:themeColor="text1"/>
          <w:kern w:val="0"/>
          <w:sz w:val="36"/>
          <w:szCs w:val="36"/>
          <w:highlight w:val="none"/>
          <w14:textFill>
            <w14:solidFill>
              <w14:schemeClr w14:val="tx1"/>
            </w14:solidFill>
          </w14:textFill>
        </w:rPr>
        <w:t>总价合同进度款支付分解表</w:t>
      </w:r>
    </w:p>
    <w:p w14:paraId="23E2E4C0">
      <w:pPr>
        <w:spacing w:line="360" w:lineRule="auto"/>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工程名称：</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3794"/>
        <w:gridCol w:w="2268"/>
        <w:gridCol w:w="1276"/>
      </w:tblGrid>
      <w:tr w14:paraId="48A9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Borders>
              <w:tl2br w:val="nil"/>
              <w:tr2bl w:val="nil"/>
            </w:tcBorders>
          </w:tcPr>
          <w:p w14:paraId="18AFDA49">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进度款期次</w:t>
            </w:r>
          </w:p>
        </w:tc>
        <w:tc>
          <w:tcPr>
            <w:tcW w:w="3794" w:type="dxa"/>
            <w:tcBorders>
              <w:tl2br w:val="nil"/>
              <w:tr2bl w:val="nil"/>
            </w:tcBorders>
          </w:tcPr>
          <w:p w14:paraId="47358D1C">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形象进度</w:t>
            </w:r>
          </w:p>
        </w:tc>
        <w:tc>
          <w:tcPr>
            <w:tcW w:w="2268" w:type="dxa"/>
            <w:tcBorders>
              <w:tl2br w:val="nil"/>
              <w:tr2bl w:val="nil"/>
            </w:tcBorders>
          </w:tcPr>
          <w:p w14:paraId="078EBABB">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进度款付款金额（元）</w:t>
            </w:r>
          </w:p>
        </w:tc>
        <w:tc>
          <w:tcPr>
            <w:tcW w:w="1276" w:type="dxa"/>
            <w:tcBorders>
              <w:tl2br w:val="nil"/>
              <w:tr2bl w:val="nil"/>
            </w:tcBorders>
          </w:tcPr>
          <w:p w14:paraId="528D06C0">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备注</w:t>
            </w:r>
          </w:p>
        </w:tc>
      </w:tr>
      <w:tr w14:paraId="54D2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Borders>
              <w:tl2br w:val="nil"/>
              <w:tr2bl w:val="nil"/>
            </w:tcBorders>
          </w:tcPr>
          <w:p w14:paraId="5FFE8DB7">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第一期</w:t>
            </w:r>
          </w:p>
        </w:tc>
        <w:tc>
          <w:tcPr>
            <w:tcW w:w="3794" w:type="dxa"/>
            <w:tcBorders>
              <w:tl2br w:val="nil"/>
              <w:tr2bl w:val="nil"/>
            </w:tcBorders>
          </w:tcPr>
          <w:p w14:paraId="6C2F3FED">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p>
        </w:tc>
        <w:tc>
          <w:tcPr>
            <w:tcW w:w="2268" w:type="dxa"/>
            <w:tcBorders>
              <w:tl2br w:val="nil"/>
              <w:tr2bl w:val="nil"/>
            </w:tcBorders>
          </w:tcPr>
          <w:p w14:paraId="41C87126">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p>
        </w:tc>
        <w:tc>
          <w:tcPr>
            <w:tcW w:w="1276" w:type="dxa"/>
            <w:tcBorders>
              <w:tl2br w:val="nil"/>
              <w:tr2bl w:val="nil"/>
            </w:tcBorders>
          </w:tcPr>
          <w:p w14:paraId="045DBD31">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p>
        </w:tc>
      </w:tr>
      <w:tr w14:paraId="19C2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Borders>
              <w:tl2br w:val="nil"/>
              <w:tr2bl w:val="nil"/>
            </w:tcBorders>
          </w:tcPr>
          <w:p w14:paraId="1E921676">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第二期</w:t>
            </w:r>
          </w:p>
        </w:tc>
        <w:tc>
          <w:tcPr>
            <w:tcW w:w="3794" w:type="dxa"/>
            <w:tcBorders>
              <w:tl2br w:val="nil"/>
              <w:tr2bl w:val="nil"/>
            </w:tcBorders>
          </w:tcPr>
          <w:p w14:paraId="616E8F82">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p>
        </w:tc>
        <w:tc>
          <w:tcPr>
            <w:tcW w:w="2268" w:type="dxa"/>
            <w:tcBorders>
              <w:tl2br w:val="nil"/>
              <w:tr2bl w:val="nil"/>
            </w:tcBorders>
          </w:tcPr>
          <w:p w14:paraId="7129B581">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p>
        </w:tc>
        <w:tc>
          <w:tcPr>
            <w:tcW w:w="1276" w:type="dxa"/>
            <w:tcBorders>
              <w:tl2br w:val="nil"/>
              <w:tr2bl w:val="nil"/>
            </w:tcBorders>
          </w:tcPr>
          <w:p w14:paraId="22A472FD">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p>
        </w:tc>
      </w:tr>
      <w:tr w14:paraId="2A77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Borders>
              <w:tl2br w:val="nil"/>
              <w:tr2bl w:val="nil"/>
            </w:tcBorders>
          </w:tcPr>
          <w:p w14:paraId="762D3967">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第三期</w:t>
            </w:r>
          </w:p>
        </w:tc>
        <w:tc>
          <w:tcPr>
            <w:tcW w:w="3794" w:type="dxa"/>
            <w:tcBorders>
              <w:tl2br w:val="nil"/>
              <w:tr2bl w:val="nil"/>
            </w:tcBorders>
          </w:tcPr>
          <w:p w14:paraId="6CD976A9">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p>
        </w:tc>
        <w:tc>
          <w:tcPr>
            <w:tcW w:w="2268" w:type="dxa"/>
            <w:tcBorders>
              <w:tl2br w:val="nil"/>
              <w:tr2bl w:val="nil"/>
            </w:tcBorders>
          </w:tcPr>
          <w:p w14:paraId="11BF7448">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p>
        </w:tc>
        <w:tc>
          <w:tcPr>
            <w:tcW w:w="1276" w:type="dxa"/>
            <w:tcBorders>
              <w:tl2br w:val="nil"/>
              <w:tr2bl w:val="nil"/>
            </w:tcBorders>
          </w:tcPr>
          <w:p w14:paraId="5119255A">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p>
        </w:tc>
      </w:tr>
      <w:tr w14:paraId="67544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Borders>
              <w:tl2br w:val="nil"/>
              <w:tr2bl w:val="nil"/>
            </w:tcBorders>
          </w:tcPr>
          <w:p w14:paraId="0534E221">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r>
              <w:rPr>
                <w:rFonts w:hint="default" w:ascii="宋体" w:hAnsi="宋体" w:cs="宋体"/>
                <w:color w:val="000000" w:themeColor="text1"/>
                <w:kern w:val="0"/>
                <w:highlight w:val="none"/>
                <w14:textFill>
                  <w14:solidFill>
                    <w14:schemeClr w14:val="tx1"/>
                  </w14:solidFill>
                </w14:textFill>
              </w:rPr>
              <w:t>……</w:t>
            </w:r>
          </w:p>
        </w:tc>
        <w:tc>
          <w:tcPr>
            <w:tcW w:w="3794" w:type="dxa"/>
            <w:tcBorders>
              <w:tl2br w:val="nil"/>
              <w:tr2bl w:val="nil"/>
            </w:tcBorders>
          </w:tcPr>
          <w:p w14:paraId="3975E5B2">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p>
        </w:tc>
        <w:tc>
          <w:tcPr>
            <w:tcW w:w="2268" w:type="dxa"/>
            <w:tcBorders>
              <w:tl2br w:val="nil"/>
              <w:tr2bl w:val="nil"/>
            </w:tcBorders>
          </w:tcPr>
          <w:p w14:paraId="045A33FA">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p>
        </w:tc>
        <w:tc>
          <w:tcPr>
            <w:tcW w:w="1276" w:type="dxa"/>
            <w:tcBorders>
              <w:tl2br w:val="nil"/>
              <w:tr2bl w:val="nil"/>
            </w:tcBorders>
          </w:tcPr>
          <w:p w14:paraId="0F7E9932">
            <w:pPr>
              <w:keepNext w:val="0"/>
              <w:keepLines w:val="0"/>
              <w:suppressLineNumbers w:val="0"/>
              <w:spacing w:before="0" w:beforeAutospacing="0" w:after="0" w:afterAutospacing="0" w:line="360" w:lineRule="auto"/>
              <w:ind w:left="0" w:right="0"/>
              <w:jc w:val="center"/>
              <w:rPr>
                <w:rFonts w:hint="eastAsia" w:ascii="宋体" w:hAnsi="宋体" w:cs="宋体"/>
                <w:color w:val="000000" w:themeColor="text1"/>
                <w:kern w:val="0"/>
                <w:highlight w:val="none"/>
                <w14:textFill>
                  <w14:solidFill>
                    <w14:schemeClr w14:val="tx1"/>
                  </w14:solidFill>
                </w14:textFill>
              </w:rPr>
            </w:pPr>
          </w:p>
        </w:tc>
      </w:tr>
      <w:tr w14:paraId="3280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5211" w:type="dxa"/>
            <w:gridSpan w:val="2"/>
            <w:tcBorders>
              <w:tl2br w:val="nil"/>
              <w:tr2bl w:val="nil"/>
            </w:tcBorders>
          </w:tcPr>
          <w:p w14:paraId="08CB99AD">
            <w:pPr>
              <w:keepNext w:val="0"/>
              <w:keepLines w:val="0"/>
              <w:suppressLineNumbers w:val="0"/>
              <w:spacing w:before="0" w:beforeAutospacing="0" w:after="0" w:afterAutospacing="0" w:line="360" w:lineRule="exact"/>
              <w:ind w:left="0" w:right="0" w:firstLine="435"/>
              <w:jc w:val="right"/>
              <w:rPr>
                <w:rFonts w:hint="eastAsia"/>
                <w:color w:val="000000" w:themeColor="text1"/>
                <w:highlight w:val="none"/>
                <w14:textFill>
                  <w14:solidFill>
                    <w14:schemeClr w14:val="tx1"/>
                  </w14:solidFill>
                </w14:textFill>
              </w:rPr>
            </w:pPr>
          </w:p>
          <w:p w14:paraId="3545D4AF">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p>
          <w:p w14:paraId="3E1469D7">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发包人代表签字：</w:t>
            </w:r>
          </w:p>
          <w:p w14:paraId="438E3E62">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p>
          <w:p w14:paraId="5F0D523A">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发包人（盖公章）</w:t>
            </w:r>
          </w:p>
          <w:p w14:paraId="313D36E5">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p>
          <w:p w14:paraId="1E2C2FE2">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日      期        </w:t>
            </w:r>
            <w:r>
              <w:rPr>
                <w:rFonts w:hint="eastAsia"/>
                <w:color w:val="000000" w:themeColor="text1"/>
                <w:highlight w:val="none"/>
                <w:u w:val="single"/>
                <w14:textFill>
                  <w14:solidFill>
                    <w14:schemeClr w14:val="tx1"/>
                  </w14:solidFill>
                </w14:textFill>
              </w:rPr>
              <w:t xml:space="preserve">   </w:t>
            </w:r>
          </w:p>
        </w:tc>
        <w:tc>
          <w:tcPr>
            <w:tcW w:w="3544" w:type="dxa"/>
            <w:gridSpan w:val="2"/>
            <w:tcBorders>
              <w:tl2br w:val="nil"/>
              <w:tr2bl w:val="nil"/>
            </w:tcBorders>
          </w:tcPr>
          <w:p w14:paraId="5BE11CE8">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p>
          <w:p w14:paraId="01BB6BE3">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p>
          <w:p w14:paraId="3827B072">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承包人代表签字：</w:t>
            </w:r>
          </w:p>
          <w:p w14:paraId="6B703C47">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p>
          <w:p w14:paraId="40A8771E">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承包人（盖公章）</w:t>
            </w:r>
          </w:p>
          <w:p w14:paraId="663F4D7A">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14:textFill>
                  <w14:solidFill>
                    <w14:schemeClr w14:val="tx1"/>
                  </w14:solidFill>
                </w14:textFill>
              </w:rPr>
            </w:pPr>
          </w:p>
          <w:p w14:paraId="2B120CFF">
            <w:pPr>
              <w:keepNext w:val="0"/>
              <w:keepLines w:val="0"/>
              <w:suppressLineNumbers w:val="0"/>
              <w:spacing w:before="0" w:beforeAutospacing="0" w:after="0" w:afterAutospacing="0" w:line="360" w:lineRule="exact"/>
              <w:ind w:left="0" w:right="0" w:firstLine="435"/>
              <w:jc w:val="center"/>
              <w:rPr>
                <w:rFonts w:hint="eastAsia"/>
                <w:color w:val="000000" w:themeColor="text1"/>
                <w:highlight w:val="none"/>
                <w:u w:val="singl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日      期</w:t>
            </w:r>
            <w:r>
              <w:rPr>
                <w:rFonts w:hint="eastAsia"/>
                <w:color w:val="000000" w:themeColor="text1"/>
                <w:highlight w:val="none"/>
                <w:u w:val="single"/>
                <w14:textFill>
                  <w14:solidFill>
                    <w14:schemeClr w14:val="tx1"/>
                  </w14:solidFill>
                </w14:textFill>
              </w:rPr>
              <w:t xml:space="preserve">        </w:t>
            </w:r>
          </w:p>
        </w:tc>
      </w:tr>
    </w:tbl>
    <w:p w14:paraId="78797916">
      <w:pPr>
        <w:spacing w:line="360" w:lineRule="auto"/>
        <w:rPr>
          <w:rFonts w:ascii="宋体" w:hAnsi="Calibri"/>
          <w:color w:val="000000" w:themeColor="text1"/>
          <w:highlight w:val="none"/>
          <w14:textFill>
            <w14:solidFill>
              <w14:schemeClr w14:val="tx1"/>
            </w14:solidFill>
          </w14:textFill>
        </w:rPr>
        <w:sectPr>
          <w:pgSz w:w="11905" w:h="16838"/>
          <w:pgMar w:top="1134" w:right="1134" w:bottom="1134" w:left="1134" w:header="720" w:footer="720" w:gutter="0"/>
          <w:cols w:space="720" w:num="1"/>
          <w:docGrid w:type="lines" w:linePitch="331" w:charSpace="0"/>
        </w:sectPr>
      </w:pPr>
    </w:p>
    <w:p w14:paraId="03602135">
      <w:pPr>
        <w:rPr>
          <w:color w:val="000000" w:themeColor="text1"/>
          <w:highlight w:val="none"/>
          <w14:textFill>
            <w14:solidFill>
              <w14:schemeClr w14:val="tx1"/>
            </w14:solidFill>
          </w14:textFill>
        </w:rPr>
      </w:pPr>
    </w:p>
    <w:p w14:paraId="3687E8DF">
      <w:pPr>
        <w:tabs>
          <w:tab w:val="left" w:pos="3261"/>
        </w:tabs>
        <w:spacing w:line="360" w:lineRule="auto"/>
        <w:jc w:val="center"/>
        <w:rPr>
          <w:rFonts w:ascii="宋体" w:hAnsi="宋体" w:cs="仿宋_GB2312"/>
          <w:b/>
          <w:color w:val="000000" w:themeColor="text1"/>
          <w:sz w:val="44"/>
          <w:szCs w:val="44"/>
          <w:highlight w:val="none"/>
          <w14:textFill>
            <w14:solidFill>
              <w14:schemeClr w14:val="tx1"/>
            </w14:solidFill>
          </w14:textFill>
        </w:rPr>
      </w:pPr>
    </w:p>
    <w:p w14:paraId="1BB660E3">
      <w:pPr>
        <w:tabs>
          <w:tab w:val="left" w:pos="3261"/>
        </w:tabs>
        <w:spacing w:line="360" w:lineRule="auto"/>
        <w:jc w:val="center"/>
        <w:rPr>
          <w:rFonts w:ascii="宋体" w:hAnsi="宋体" w:cs="仿宋_GB2312"/>
          <w:b/>
          <w:color w:val="000000" w:themeColor="text1"/>
          <w:sz w:val="44"/>
          <w:szCs w:val="44"/>
          <w:highlight w:val="none"/>
          <w14:textFill>
            <w14:solidFill>
              <w14:schemeClr w14:val="tx1"/>
            </w14:solidFill>
          </w14:textFill>
        </w:rPr>
      </w:pPr>
    </w:p>
    <w:p w14:paraId="41052DD6">
      <w:pPr>
        <w:tabs>
          <w:tab w:val="left" w:pos="3261"/>
        </w:tabs>
        <w:spacing w:line="360" w:lineRule="auto"/>
        <w:jc w:val="center"/>
        <w:rPr>
          <w:rFonts w:ascii="宋体" w:hAnsi="宋体" w:cs="仿宋_GB2312"/>
          <w:b/>
          <w:color w:val="000000" w:themeColor="text1"/>
          <w:sz w:val="44"/>
          <w:szCs w:val="44"/>
          <w:highlight w:val="none"/>
          <w14:textFill>
            <w14:solidFill>
              <w14:schemeClr w14:val="tx1"/>
            </w14:solidFill>
          </w14:textFill>
        </w:rPr>
      </w:pPr>
    </w:p>
    <w:p w14:paraId="453A0597">
      <w:pPr>
        <w:tabs>
          <w:tab w:val="left" w:pos="3261"/>
        </w:tabs>
        <w:spacing w:line="360" w:lineRule="auto"/>
        <w:jc w:val="center"/>
        <w:rPr>
          <w:rFonts w:ascii="宋体" w:hAnsi="宋体" w:cs="仿宋_GB2312"/>
          <w:b/>
          <w:color w:val="000000" w:themeColor="text1"/>
          <w:sz w:val="44"/>
          <w:szCs w:val="44"/>
          <w:highlight w:val="none"/>
          <w14:textFill>
            <w14:solidFill>
              <w14:schemeClr w14:val="tx1"/>
            </w14:solidFill>
          </w14:textFill>
        </w:rPr>
      </w:pPr>
    </w:p>
    <w:p w14:paraId="52BCA8A1">
      <w:pPr>
        <w:tabs>
          <w:tab w:val="left" w:pos="3261"/>
        </w:tabs>
        <w:spacing w:line="360" w:lineRule="auto"/>
        <w:jc w:val="center"/>
        <w:rPr>
          <w:rFonts w:ascii="宋体" w:hAnsi="宋体" w:cs="仿宋_GB2312"/>
          <w:b/>
          <w:color w:val="000000" w:themeColor="text1"/>
          <w:sz w:val="44"/>
          <w:szCs w:val="44"/>
          <w:highlight w:val="none"/>
          <w14:textFill>
            <w14:solidFill>
              <w14:schemeClr w14:val="tx1"/>
            </w14:solidFill>
          </w14:textFill>
        </w:rPr>
      </w:pPr>
    </w:p>
    <w:p w14:paraId="7038B2A0">
      <w:pPr>
        <w:pStyle w:val="4"/>
        <w:jc w:val="center"/>
        <w:rPr>
          <w:rFonts w:ascii="宋体" w:hAnsi="宋体" w:cs="仿宋_GB2312"/>
          <w:color w:val="000000" w:themeColor="text1"/>
          <w:highlight w:val="none"/>
          <w14:textFill>
            <w14:solidFill>
              <w14:schemeClr w14:val="tx1"/>
            </w14:solidFill>
          </w14:textFill>
        </w:rPr>
      </w:pPr>
      <w:bookmarkStart w:id="1709" w:name="_Toc147684413"/>
      <w:bookmarkStart w:id="1710" w:name="_Toc213948322"/>
      <w:r>
        <w:rPr>
          <w:rFonts w:hint="eastAsia" w:ascii="宋体" w:hAnsi="宋体" w:cs="仿宋_GB2312"/>
          <w:b w:val="0"/>
          <w:color w:val="000000" w:themeColor="text1"/>
          <w:highlight w:val="none"/>
          <w14:textFill>
            <w14:solidFill>
              <w14:schemeClr w14:val="tx1"/>
            </w14:solidFill>
          </w14:textFill>
        </w:rPr>
        <w:t>第七章 质疑、投诉材料格式</w:t>
      </w:r>
      <w:bookmarkEnd w:id="1709"/>
      <w:bookmarkEnd w:id="1710"/>
    </w:p>
    <w:p w14:paraId="4EC4422C">
      <w:pPr>
        <w:widowControl/>
        <w:spacing w:line="576" w:lineRule="auto"/>
        <w:jc w:val="left"/>
        <w:rPr>
          <w:rFonts w:ascii="宋体" w:hAnsi="宋体" w:cs="仿宋_GB2312"/>
          <w:b/>
          <w:bCs/>
          <w:color w:val="000000" w:themeColor="text1"/>
          <w:kern w:val="44"/>
          <w:sz w:val="44"/>
          <w:szCs w:val="44"/>
          <w:highlight w:val="none"/>
          <w14:textFill>
            <w14:solidFill>
              <w14:schemeClr w14:val="tx1"/>
            </w14:solidFill>
          </w14:textFill>
        </w:rPr>
        <w:sectPr>
          <w:footerReference r:id="rId10" w:type="first"/>
          <w:headerReference r:id="rId8" w:type="default"/>
          <w:footerReference r:id="rId9" w:type="default"/>
          <w:pgSz w:w="11910" w:h="16840"/>
          <w:pgMar w:top="1340" w:right="1500" w:bottom="280" w:left="1680" w:header="720" w:footer="720" w:gutter="0"/>
          <w:cols w:space="720" w:num="1"/>
        </w:sectPr>
      </w:pPr>
    </w:p>
    <w:p w14:paraId="1321B729">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质疑函（格式）</w:t>
      </w:r>
    </w:p>
    <w:p w14:paraId="46B381DB">
      <w:pPr>
        <w:pStyle w:val="28"/>
        <w:spacing w:line="360" w:lineRule="auto"/>
        <w:ind w:firstLine="482" w:firstLineChars="200"/>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一、质疑供应商基本信息：</w:t>
      </w:r>
    </w:p>
    <w:p w14:paraId="65FB3E6C">
      <w:pPr>
        <w:pStyle w:val="28"/>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质疑供应商：</w:t>
      </w:r>
    </w:p>
    <w:p w14:paraId="455E0F04">
      <w:pPr>
        <w:pStyle w:val="28"/>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地址：邮编：</w:t>
      </w:r>
    </w:p>
    <w:p w14:paraId="0EF6B943">
      <w:pPr>
        <w:pStyle w:val="28"/>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联系人：联系电话：</w:t>
      </w:r>
    </w:p>
    <w:p w14:paraId="218ABC31">
      <w:pPr>
        <w:pStyle w:val="28"/>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授权代表：</w:t>
      </w:r>
    </w:p>
    <w:p w14:paraId="4323F4BE">
      <w:pPr>
        <w:pStyle w:val="28"/>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联系电话：</w:t>
      </w:r>
    </w:p>
    <w:p w14:paraId="44F1A87D">
      <w:pPr>
        <w:pStyle w:val="28"/>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地址：邮编：</w:t>
      </w:r>
    </w:p>
    <w:p w14:paraId="526CD698">
      <w:pPr>
        <w:pStyle w:val="28"/>
        <w:spacing w:line="360" w:lineRule="auto"/>
        <w:ind w:firstLine="482" w:firstLineChars="200"/>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二、质疑项目基本情况：</w:t>
      </w:r>
    </w:p>
    <w:p w14:paraId="42787649">
      <w:pPr>
        <w:pStyle w:val="28"/>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质疑</w:t>
      </w:r>
      <w:r>
        <w:rPr>
          <w:rFonts w:hint="eastAsia" w:hAnsi="宋体"/>
          <w:color w:val="000000" w:themeColor="text1"/>
          <w:sz w:val="24"/>
          <w:szCs w:val="24"/>
          <w:highlight w:val="none"/>
          <w14:textFill>
            <w14:solidFill>
              <w14:schemeClr w14:val="tx1"/>
            </w14:solidFill>
          </w14:textFill>
        </w:rPr>
        <w:t>项目的名称：</w:t>
      </w:r>
      <w:bookmarkStart w:id="1711" w:name="PO_3000001868_PM002_16"/>
      <w:r>
        <w:rPr>
          <w:rFonts w:hint="eastAsia" w:hAnsi="宋体"/>
          <w:bCs/>
          <w:color w:val="000000" w:themeColor="text1"/>
          <w:sz w:val="24"/>
          <w:szCs w:val="24"/>
          <w:highlight w:val="none"/>
          <w:u w:val="single"/>
          <w14:textFill>
            <w14:solidFill>
              <w14:schemeClr w14:val="tx1"/>
            </w14:solidFill>
          </w14:textFill>
        </w:rPr>
        <w:t>[项目采购-项目名称_16]</w:t>
      </w:r>
      <w:bookmarkEnd w:id="1711"/>
    </w:p>
    <w:p w14:paraId="352370A9">
      <w:pPr>
        <w:pStyle w:val="28"/>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质疑</w:t>
      </w:r>
      <w:r>
        <w:rPr>
          <w:rFonts w:hint="eastAsia" w:hAnsi="宋体"/>
          <w:color w:val="000000" w:themeColor="text1"/>
          <w:sz w:val="24"/>
          <w:szCs w:val="24"/>
          <w:highlight w:val="none"/>
          <w14:textFill>
            <w14:solidFill>
              <w14:schemeClr w14:val="tx1"/>
            </w14:solidFill>
          </w14:textFill>
        </w:rPr>
        <w:t>项目的编号：</w:t>
      </w:r>
      <w:bookmarkStart w:id="1712" w:name="PO_3000001868_PM001_13"/>
      <w:r>
        <w:rPr>
          <w:rFonts w:hint="eastAsia" w:hAnsi="宋体"/>
          <w:bCs/>
          <w:color w:val="000000" w:themeColor="text1"/>
          <w:sz w:val="24"/>
          <w:szCs w:val="24"/>
          <w:highlight w:val="none"/>
          <w:u w:val="single"/>
          <w14:textFill>
            <w14:solidFill>
              <w14:schemeClr w14:val="tx1"/>
            </w14:solidFill>
          </w14:textFill>
        </w:rPr>
        <w:t>[项目采购-项目编号_13]</w:t>
      </w:r>
      <w:bookmarkEnd w:id="1712"/>
    </w:p>
    <w:p w14:paraId="2F74768D">
      <w:pPr>
        <w:pStyle w:val="28"/>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采购人名称：</w:t>
      </w:r>
      <w:bookmarkStart w:id="1713" w:name="PO_3000001868_PM026_7"/>
      <w:r>
        <w:rPr>
          <w:rFonts w:hint="eastAsia" w:hAnsi="宋体"/>
          <w:bCs/>
          <w:color w:val="000000" w:themeColor="text1"/>
          <w:sz w:val="24"/>
          <w:szCs w:val="24"/>
          <w:highlight w:val="none"/>
          <w:u w:val="single"/>
          <w14:textFill>
            <w14:solidFill>
              <w14:schemeClr w14:val="tx1"/>
            </w14:solidFill>
          </w14:textFill>
        </w:rPr>
        <w:t>[项目采购-采购人_7]</w:t>
      </w:r>
      <w:bookmarkEnd w:id="1713"/>
    </w:p>
    <w:p w14:paraId="6263647B">
      <w:pPr>
        <w:pStyle w:val="28"/>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质疑事项：</w:t>
      </w:r>
    </w:p>
    <w:p w14:paraId="4EFA61AD">
      <w:pPr>
        <w:pStyle w:val="28"/>
        <w:spacing w:line="360" w:lineRule="auto"/>
        <w:ind w:left="25" w:leftChars="12" w:firstLine="352" w:firstLineChars="14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□采购文件   采购文件获取日期：</w:t>
      </w:r>
    </w:p>
    <w:p w14:paraId="347142D9">
      <w:pPr>
        <w:pStyle w:val="28"/>
        <w:spacing w:line="360" w:lineRule="auto"/>
        <w:ind w:left="25" w:leftChars="12" w:firstLine="352" w:firstLineChars="14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□采购过程   </w:t>
      </w:r>
    </w:p>
    <w:p w14:paraId="74AC3C37">
      <w:pPr>
        <w:pStyle w:val="28"/>
        <w:spacing w:line="360" w:lineRule="auto"/>
        <w:ind w:left="25" w:leftChars="12" w:firstLine="352" w:firstLineChars="147"/>
        <w:contextualSpacing/>
        <w:rPr>
          <w:rFonts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□成交结果   </w:t>
      </w:r>
    </w:p>
    <w:p w14:paraId="44F0BB65">
      <w:pPr>
        <w:pStyle w:val="28"/>
        <w:spacing w:line="360" w:lineRule="auto"/>
        <w:ind w:left="25" w:leftChars="12" w:firstLine="472" w:firstLineChars="196"/>
        <w:contextualSpacing/>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三、质疑事项具体内容</w:t>
      </w:r>
    </w:p>
    <w:p w14:paraId="0D657D81">
      <w:pPr>
        <w:pStyle w:val="28"/>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质疑事项1：</w:t>
      </w:r>
    </w:p>
    <w:p w14:paraId="2BB7891E">
      <w:pPr>
        <w:pStyle w:val="28"/>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事实依据：</w:t>
      </w:r>
    </w:p>
    <w:p w14:paraId="74DE1570">
      <w:pPr>
        <w:pStyle w:val="28"/>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法律依据：</w:t>
      </w:r>
    </w:p>
    <w:p w14:paraId="649DA54A">
      <w:pPr>
        <w:pStyle w:val="28"/>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质疑事项2</w:t>
      </w:r>
    </w:p>
    <w:p w14:paraId="3D2B90BF">
      <w:pPr>
        <w:pStyle w:val="28"/>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w:t>
      </w:r>
    </w:p>
    <w:p w14:paraId="037C5B03">
      <w:pPr>
        <w:pStyle w:val="28"/>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四、与质疑事项相关的质疑请求：</w:t>
      </w:r>
    </w:p>
    <w:p w14:paraId="452BD94F">
      <w:pPr>
        <w:pStyle w:val="28"/>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请求：</w:t>
      </w:r>
    </w:p>
    <w:p w14:paraId="72A2E809">
      <w:pPr>
        <w:pStyle w:val="28"/>
        <w:spacing w:line="360" w:lineRule="auto"/>
        <w:ind w:left="25" w:leftChars="12" w:firstLine="352" w:firstLineChars="147"/>
        <w:contextualSpacing/>
        <w:rPr>
          <w:rFonts w:hAnsi="宋体"/>
          <w:color w:val="000000" w:themeColor="text1"/>
          <w:sz w:val="24"/>
          <w:szCs w:val="24"/>
          <w:highlight w:val="none"/>
          <w14:textFill>
            <w14:solidFill>
              <w14:schemeClr w14:val="tx1"/>
            </w14:solidFill>
          </w14:textFill>
        </w:rPr>
      </w:pPr>
    </w:p>
    <w:p w14:paraId="490DEB89">
      <w:pPr>
        <w:pStyle w:val="28"/>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签字（签章）：                                       公章：</w:t>
      </w:r>
    </w:p>
    <w:p w14:paraId="343ADFD8">
      <w:pPr>
        <w:pStyle w:val="28"/>
        <w:spacing w:line="360" w:lineRule="auto"/>
        <w:ind w:left="25" w:leftChars="12" w:firstLine="352" w:firstLineChars="147"/>
        <w:contextualSpacing/>
        <w:rPr>
          <w:rFonts w:hAnsi="宋体"/>
          <w:color w:val="000000" w:themeColor="text1"/>
          <w:sz w:val="24"/>
          <w:szCs w:val="24"/>
          <w:highlight w:val="none"/>
          <w14:textFill>
            <w14:solidFill>
              <w14:schemeClr w14:val="tx1"/>
            </w14:solidFill>
          </w14:textFill>
        </w:rPr>
      </w:pPr>
    </w:p>
    <w:p w14:paraId="6B39BDE9">
      <w:pPr>
        <w:pStyle w:val="28"/>
        <w:spacing w:line="360" w:lineRule="auto"/>
        <w:ind w:left="25" w:leftChars="12" w:firstLine="472" w:firstLineChars="197"/>
        <w:contextualSpacing/>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日期：</w:t>
      </w:r>
    </w:p>
    <w:p w14:paraId="1F99A636">
      <w:pPr>
        <w:pStyle w:val="28"/>
        <w:spacing w:line="360" w:lineRule="auto"/>
        <w:rPr>
          <w:rFonts w:hAnsi="宋体"/>
          <w:b/>
          <w:color w:val="000000" w:themeColor="text1"/>
          <w:sz w:val="24"/>
          <w:szCs w:val="24"/>
          <w:highlight w:val="none"/>
          <w14:textFill>
            <w14:solidFill>
              <w14:schemeClr w14:val="tx1"/>
            </w14:solidFill>
          </w14:textFill>
        </w:rPr>
      </w:pPr>
    </w:p>
    <w:p w14:paraId="5D670EC7">
      <w:pPr>
        <w:pStyle w:val="28"/>
        <w:spacing w:line="360" w:lineRule="auto"/>
        <w:rPr>
          <w:rFonts w:hAnsi="宋体"/>
          <w:b/>
          <w:color w:val="000000" w:themeColor="text1"/>
          <w:sz w:val="24"/>
          <w:szCs w:val="24"/>
          <w:highlight w:val="none"/>
          <w14:textFill>
            <w14:solidFill>
              <w14:schemeClr w14:val="tx1"/>
            </w14:solidFill>
          </w14:textFill>
        </w:rPr>
      </w:pPr>
    </w:p>
    <w:p w14:paraId="69B98835">
      <w:pPr>
        <w:pStyle w:val="28"/>
        <w:spacing w:line="360" w:lineRule="auto"/>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说明：</w:t>
      </w:r>
    </w:p>
    <w:p w14:paraId="0E8B15A7">
      <w:pPr>
        <w:pStyle w:val="28"/>
        <w:spacing w:line="360" w:lineRule="auto"/>
        <w:ind w:left="25" w:leftChars="12" w:firstLine="354" w:firstLineChars="147"/>
        <w:contextualSpacing/>
        <w:rPr>
          <w:rFonts w:hAnsi="宋体"/>
          <w:b/>
          <w:bCs/>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1.供应商提出质疑时，应提交质疑函和必要的证明材料</w:t>
      </w:r>
      <w:r>
        <w:rPr>
          <w:rFonts w:hint="eastAsia" w:hAnsi="宋体"/>
          <w:b/>
          <w:bCs/>
          <w:color w:val="000000" w:themeColor="text1"/>
          <w:sz w:val="24"/>
          <w:szCs w:val="24"/>
          <w:highlight w:val="none"/>
          <w14:textFill>
            <w14:solidFill>
              <w14:schemeClr w14:val="tx1"/>
            </w14:solidFill>
          </w14:textFill>
        </w:rPr>
        <w:t>。</w:t>
      </w:r>
    </w:p>
    <w:p w14:paraId="1EF5C1F3">
      <w:pPr>
        <w:pStyle w:val="28"/>
        <w:spacing w:line="360" w:lineRule="auto"/>
        <w:ind w:left="25" w:leftChars="12" w:firstLine="354" w:firstLineChars="147"/>
        <w:contextualSpacing/>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B16269F">
      <w:pPr>
        <w:pStyle w:val="28"/>
        <w:spacing w:line="360" w:lineRule="auto"/>
        <w:ind w:left="25" w:leftChars="12" w:firstLine="354" w:firstLineChars="147"/>
        <w:contextualSpacing/>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3.质疑函的质疑事项应具体、明确，并有必要的事实依据和法律依据。</w:t>
      </w:r>
    </w:p>
    <w:p w14:paraId="6DD39F85">
      <w:pPr>
        <w:pStyle w:val="28"/>
        <w:spacing w:line="360" w:lineRule="auto"/>
        <w:ind w:left="25" w:leftChars="12" w:firstLine="354" w:firstLineChars="147"/>
        <w:contextualSpacing/>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4.质疑函的质疑请求应与质疑事项相关。</w:t>
      </w:r>
    </w:p>
    <w:p w14:paraId="4C916E0D">
      <w:pPr>
        <w:pStyle w:val="28"/>
        <w:spacing w:line="360" w:lineRule="auto"/>
        <w:ind w:left="25" w:leftChars="12" w:firstLine="354" w:firstLineChars="147"/>
        <w:contextualSpacing/>
        <w:rPr>
          <w:rFonts w:hAnsi="宋体"/>
          <w:b/>
          <w:color w:val="000000" w:themeColor="text1"/>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5.质疑供应商为法人或者其他组织的，质疑函应由法定代表人、主要负责人，或者其授权代表签字或者盖章，并加盖公章。</w:t>
      </w:r>
    </w:p>
    <w:p w14:paraId="6C071294">
      <w:pPr>
        <w:pStyle w:val="28"/>
        <w:snapToGrid w:val="0"/>
        <w:rPr>
          <w:b/>
          <w:color w:val="000000" w:themeColor="text1"/>
          <w:sz w:val="24"/>
          <w:szCs w:val="24"/>
          <w:highlight w:val="none"/>
          <w14:textFill>
            <w14:solidFill>
              <w14:schemeClr w14:val="tx1"/>
            </w14:solidFill>
          </w14:textFill>
        </w:rPr>
      </w:pPr>
    </w:p>
    <w:p w14:paraId="73C8405A">
      <w:pPr>
        <w:spacing w:line="460" w:lineRule="exact"/>
        <w:jc w:val="center"/>
        <w:rPr>
          <w:rFonts w:eastAsia="隶书"/>
          <w:color w:val="000000" w:themeColor="text1"/>
          <w:sz w:val="44"/>
          <w:highlight w:val="none"/>
          <w14:textFill>
            <w14:solidFill>
              <w14:schemeClr w14:val="tx1"/>
            </w14:solidFill>
          </w14:textFill>
        </w:rPr>
      </w:pPr>
      <w:r>
        <w:rPr>
          <w:rFonts w:eastAsia="隶书"/>
          <w:color w:val="000000" w:themeColor="text1"/>
          <w:sz w:val="44"/>
          <w:highlight w:val="none"/>
          <w14:textFill>
            <w14:solidFill>
              <w14:schemeClr w14:val="tx1"/>
            </w14:solidFill>
          </w14:textFill>
        </w:rPr>
        <w:br w:type="page"/>
      </w:r>
    </w:p>
    <w:p w14:paraId="6C2CD240">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投诉书（格式）</w:t>
      </w:r>
    </w:p>
    <w:p w14:paraId="547C688D">
      <w:pPr>
        <w:pStyle w:val="28"/>
        <w:snapToGrid w:val="0"/>
        <w:spacing w:line="360" w:lineRule="auto"/>
        <w:ind w:firstLine="482" w:firstLineChars="200"/>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一、投诉相关主体基本情况：</w:t>
      </w:r>
    </w:p>
    <w:p w14:paraId="7C781223">
      <w:pPr>
        <w:pStyle w:val="28"/>
        <w:snapToGrid w:val="0"/>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供应商：</w:t>
      </w:r>
    </w:p>
    <w:p w14:paraId="437200CC">
      <w:pPr>
        <w:pStyle w:val="28"/>
        <w:snapToGrid w:val="0"/>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地址：邮编：</w:t>
      </w:r>
    </w:p>
    <w:p w14:paraId="2CCC925A">
      <w:pPr>
        <w:pStyle w:val="28"/>
        <w:snapToGrid w:val="0"/>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法定代表人/主要负责人：</w:t>
      </w:r>
    </w:p>
    <w:p w14:paraId="6B577AC4">
      <w:pPr>
        <w:pStyle w:val="28"/>
        <w:snapToGrid w:val="0"/>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联系电话：</w:t>
      </w:r>
    </w:p>
    <w:p w14:paraId="33906149">
      <w:pPr>
        <w:pStyle w:val="28"/>
        <w:snapToGrid w:val="0"/>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授权代表：联系电话：</w:t>
      </w:r>
    </w:p>
    <w:p w14:paraId="74A51F0C">
      <w:pPr>
        <w:pStyle w:val="28"/>
        <w:snapToGrid w:val="0"/>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地址：</w:t>
      </w:r>
    </w:p>
    <w:p w14:paraId="5358C4BE">
      <w:pPr>
        <w:pStyle w:val="28"/>
        <w:snapToGrid w:val="0"/>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邮编：</w:t>
      </w:r>
    </w:p>
    <w:p w14:paraId="42AF53AD">
      <w:pPr>
        <w:pStyle w:val="28"/>
        <w:snapToGrid w:val="0"/>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被投诉人1：</w:t>
      </w:r>
    </w:p>
    <w:p w14:paraId="6712975E">
      <w:pPr>
        <w:pStyle w:val="28"/>
        <w:snapToGrid w:val="0"/>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地址：</w:t>
      </w:r>
    </w:p>
    <w:p w14:paraId="3B77ECD4">
      <w:pPr>
        <w:pStyle w:val="28"/>
        <w:snapToGrid w:val="0"/>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邮编：</w:t>
      </w:r>
    </w:p>
    <w:p w14:paraId="5887695F">
      <w:pPr>
        <w:pStyle w:val="28"/>
        <w:snapToGrid w:val="0"/>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联系人：联系电话：</w:t>
      </w:r>
    </w:p>
    <w:p w14:paraId="72BAFC85">
      <w:pPr>
        <w:pStyle w:val="28"/>
        <w:snapToGrid w:val="0"/>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被投诉人2：</w:t>
      </w:r>
    </w:p>
    <w:p w14:paraId="77246832">
      <w:pPr>
        <w:pStyle w:val="28"/>
        <w:snapToGrid w:val="0"/>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w:t>
      </w:r>
    </w:p>
    <w:p w14:paraId="1CDBADC6">
      <w:pPr>
        <w:pStyle w:val="28"/>
        <w:snapToGrid w:val="0"/>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相关供应商：</w:t>
      </w:r>
    </w:p>
    <w:p w14:paraId="2F4D6096">
      <w:pPr>
        <w:pStyle w:val="28"/>
        <w:snapToGrid w:val="0"/>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地址：邮编：</w:t>
      </w:r>
    </w:p>
    <w:p w14:paraId="2B24293C">
      <w:pPr>
        <w:pStyle w:val="28"/>
        <w:snapToGrid w:val="0"/>
        <w:spacing w:line="360" w:lineRule="auto"/>
        <w:ind w:firstLine="480" w:firstLineChars="200"/>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联系人：联系电话：</w:t>
      </w:r>
    </w:p>
    <w:p w14:paraId="09853AC3">
      <w:pPr>
        <w:pStyle w:val="28"/>
        <w:snapToGrid w:val="0"/>
        <w:spacing w:line="360" w:lineRule="auto"/>
        <w:ind w:firstLine="482" w:firstLineChars="200"/>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二、投诉项目基本情况：</w:t>
      </w:r>
    </w:p>
    <w:p w14:paraId="0DFE62F6">
      <w:pPr>
        <w:pStyle w:val="28"/>
        <w:spacing w:line="360" w:lineRule="auto"/>
        <w:ind w:left="25" w:leftChars="12" w:firstLine="472" w:firstLineChars="197"/>
        <w:rPr>
          <w:rFonts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采购</w:t>
      </w:r>
      <w:r>
        <w:rPr>
          <w:rFonts w:hint="eastAsia" w:hAnsi="宋体"/>
          <w:color w:val="000000" w:themeColor="text1"/>
          <w:sz w:val="24"/>
          <w:szCs w:val="24"/>
          <w:highlight w:val="none"/>
          <w14:textFill>
            <w14:solidFill>
              <w14:schemeClr w14:val="tx1"/>
            </w14:solidFill>
          </w14:textFill>
        </w:rPr>
        <w:t>项目的名称：</w:t>
      </w:r>
      <w:bookmarkStart w:id="1714" w:name="PO_3000001868_PM002_17"/>
      <w:r>
        <w:rPr>
          <w:rFonts w:hint="eastAsia" w:hAnsi="宋体"/>
          <w:bCs/>
          <w:color w:val="000000" w:themeColor="text1"/>
          <w:sz w:val="24"/>
          <w:szCs w:val="24"/>
          <w:highlight w:val="none"/>
          <w:u w:val="single"/>
          <w14:textFill>
            <w14:solidFill>
              <w14:schemeClr w14:val="tx1"/>
            </w14:solidFill>
          </w14:textFill>
        </w:rPr>
        <w:t>[项目采购-项目名称_17]</w:t>
      </w:r>
      <w:bookmarkEnd w:id="1714"/>
    </w:p>
    <w:p w14:paraId="1EFCC746">
      <w:pPr>
        <w:pStyle w:val="28"/>
        <w:spacing w:line="360" w:lineRule="auto"/>
        <w:ind w:left="25" w:leftChars="12" w:firstLine="472" w:firstLineChars="197"/>
        <w:rPr>
          <w:rFonts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采购</w:t>
      </w:r>
      <w:r>
        <w:rPr>
          <w:rFonts w:hint="eastAsia" w:hAnsi="宋体"/>
          <w:color w:val="000000" w:themeColor="text1"/>
          <w:sz w:val="24"/>
          <w:szCs w:val="24"/>
          <w:highlight w:val="none"/>
          <w14:textFill>
            <w14:solidFill>
              <w14:schemeClr w14:val="tx1"/>
            </w14:solidFill>
          </w14:textFill>
        </w:rPr>
        <w:t>项目的编号：</w:t>
      </w:r>
      <w:bookmarkStart w:id="1715" w:name="PO_3000001868_PM001_14"/>
      <w:r>
        <w:rPr>
          <w:rFonts w:hint="eastAsia" w:hAnsi="宋体"/>
          <w:bCs/>
          <w:color w:val="000000" w:themeColor="text1"/>
          <w:sz w:val="24"/>
          <w:szCs w:val="24"/>
          <w:highlight w:val="none"/>
          <w:u w:val="single"/>
          <w14:textFill>
            <w14:solidFill>
              <w14:schemeClr w14:val="tx1"/>
            </w14:solidFill>
          </w14:textFill>
        </w:rPr>
        <w:t>[项目采购-项目编号_14]</w:t>
      </w:r>
      <w:bookmarkEnd w:id="1715"/>
    </w:p>
    <w:p w14:paraId="348A8BD3">
      <w:pPr>
        <w:pStyle w:val="28"/>
        <w:spacing w:line="360" w:lineRule="auto"/>
        <w:ind w:left="25" w:leftChars="12" w:firstLine="472" w:firstLineChars="197"/>
        <w:rPr>
          <w:rFonts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采购人名称：</w:t>
      </w:r>
      <w:bookmarkStart w:id="1716" w:name="PO_3000001868_PM026_8"/>
      <w:r>
        <w:rPr>
          <w:rFonts w:hint="eastAsia" w:hAnsi="宋体"/>
          <w:bCs/>
          <w:color w:val="000000" w:themeColor="text1"/>
          <w:sz w:val="24"/>
          <w:szCs w:val="24"/>
          <w:highlight w:val="none"/>
          <w:u w:val="single"/>
          <w14:textFill>
            <w14:solidFill>
              <w14:schemeClr w14:val="tx1"/>
            </w14:solidFill>
          </w14:textFill>
        </w:rPr>
        <w:t>[项目采购-采购人_8]</w:t>
      </w:r>
      <w:bookmarkEnd w:id="1716"/>
    </w:p>
    <w:p w14:paraId="3BD79F31">
      <w:pPr>
        <w:pStyle w:val="28"/>
        <w:spacing w:line="360" w:lineRule="auto"/>
        <w:ind w:left="25" w:leftChars="12" w:firstLine="472" w:firstLineChars="197"/>
        <w:rPr>
          <w:rFonts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代理机构名称：</w:t>
      </w:r>
      <w:bookmarkStart w:id="1717" w:name="PO_3000001868_PM031_5"/>
      <w:r>
        <w:rPr>
          <w:rFonts w:hint="eastAsia" w:hAnsi="宋体"/>
          <w:bCs/>
          <w:color w:val="000000" w:themeColor="text1"/>
          <w:sz w:val="24"/>
          <w:szCs w:val="24"/>
          <w:highlight w:val="none"/>
          <w:u w:val="single"/>
          <w14:textFill>
            <w14:solidFill>
              <w14:schemeClr w14:val="tx1"/>
            </w14:solidFill>
          </w14:textFill>
        </w:rPr>
        <w:t>[项目采购-采购组织机构_5]</w:t>
      </w:r>
      <w:bookmarkEnd w:id="1717"/>
    </w:p>
    <w:p w14:paraId="580449D2">
      <w:pPr>
        <w:pStyle w:val="28"/>
        <w:spacing w:line="360" w:lineRule="auto"/>
        <w:ind w:left="25" w:leftChars="12" w:firstLine="472" w:firstLineChars="197"/>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lang w:eastAsia="zh-CN"/>
          <w14:textFill>
            <w14:solidFill>
              <w14:schemeClr w14:val="tx1"/>
            </w14:solidFill>
          </w14:textFill>
        </w:rPr>
        <w:t>采购文件</w:t>
      </w:r>
      <w:r>
        <w:rPr>
          <w:rFonts w:hint="eastAsia" w:hAnsi="宋体"/>
          <w:bCs/>
          <w:color w:val="000000" w:themeColor="text1"/>
          <w:sz w:val="24"/>
          <w:szCs w:val="24"/>
          <w:highlight w:val="none"/>
          <w14:textFill>
            <w14:solidFill>
              <w14:schemeClr w14:val="tx1"/>
            </w14:solidFill>
          </w14:textFill>
        </w:rPr>
        <w:t>公告：</w:t>
      </w:r>
      <w:r>
        <w:rPr>
          <w:rFonts w:hint="eastAsia" w:hAnsi="宋体"/>
          <w:bCs/>
          <w:color w:val="000000" w:themeColor="text1"/>
          <w:sz w:val="24"/>
          <w:szCs w:val="24"/>
          <w:highlight w:val="none"/>
          <w:u w:val="single"/>
          <w14:textFill>
            <w14:solidFill>
              <w14:schemeClr w14:val="tx1"/>
            </w14:solidFill>
          </w14:textFill>
        </w:rPr>
        <w:t>是/否</w:t>
      </w:r>
      <w:r>
        <w:rPr>
          <w:rFonts w:hint="eastAsia" w:hAnsi="宋体"/>
          <w:bCs/>
          <w:color w:val="000000" w:themeColor="text1"/>
          <w:sz w:val="24"/>
          <w:szCs w:val="24"/>
          <w:highlight w:val="none"/>
          <w14:textFill>
            <w14:solidFill>
              <w14:schemeClr w14:val="tx1"/>
            </w14:solidFill>
          </w14:textFill>
        </w:rPr>
        <w:t>公告期限：</w:t>
      </w:r>
    </w:p>
    <w:p w14:paraId="0F5027BC">
      <w:pPr>
        <w:pStyle w:val="28"/>
        <w:spacing w:line="360" w:lineRule="auto"/>
        <w:ind w:left="25" w:leftChars="12" w:firstLine="472" w:firstLineChars="197"/>
        <w:rPr>
          <w:rFonts w:hAnsi="宋体"/>
          <w:b/>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采购结果公告：</w:t>
      </w:r>
      <w:r>
        <w:rPr>
          <w:rFonts w:hint="eastAsia" w:hAnsi="宋体"/>
          <w:bCs/>
          <w:color w:val="000000" w:themeColor="text1"/>
          <w:sz w:val="24"/>
          <w:szCs w:val="24"/>
          <w:highlight w:val="none"/>
          <w:u w:val="single"/>
          <w14:textFill>
            <w14:solidFill>
              <w14:schemeClr w14:val="tx1"/>
            </w14:solidFill>
          </w14:textFill>
        </w:rPr>
        <w:t>是/否</w:t>
      </w:r>
      <w:r>
        <w:rPr>
          <w:rFonts w:hint="eastAsia" w:hAnsi="宋体"/>
          <w:bCs/>
          <w:color w:val="000000" w:themeColor="text1"/>
          <w:sz w:val="24"/>
          <w:szCs w:val="24"/>
          <w:highlight w:val="none"/>
          <w14:textFill>
            <w14:solidFill>
              <w14:schemeClr w14:val="tx1"/>
            </w14:solidFill>
          </w14:textFill>
        </w:rPr>
        <w:t>公告期限：</w:t>
      </w:r>
    </w:p>
    <w:p w14:paraId="030C1869">
      <w:pPr>
        <w:pStyle w:val="28"/>
        <w:spacing w:line="360" w:lineRule="auto"/>
        <w:ind w:left="25" w:leftChars="12" w:firstLine="472" w:firstLineChars="196"/>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三、质疑基本情况</w:t>
      </w:r>
    </w:p>
    <w:p w14:paraId="7134782F">
      <w:pPr>
        <w:pStyle w:val="28"/>
        <w:spacing w:line="360" w:lineRule="auto"/>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投诉人于年月日，向提出质疑，质疑事项为：</w:t>
      </w:r>
    </w:p>
    <w:p w14:paraId="14390D73">
      <w:pPr>
        <w:pStyle w:val="28"/>
        <w:spacing w:line="360" w:lineRule="auto"/>
        <w:ind w:firstLine="241"/>
        <w:rPr>
          <w:rFonts w:hAnsi="宋体"/>
          <w:bCs/>
          <w:color w:val="000000" w:themeColor="text1"/>
          <w:sz w:val="24"/>
          <w:szCs w:val="24"/>
          <w:highlight w:val="none"/>
          <w:u w:val="single"/>
          <w14:textFill>
            <w14:solidFill>
              <w14:schemeClr w14:val="tx1"/>
            </w14:solidFill>
          </w14:textFill>
        </w:rPr>
      </w:pPr>
    </w:p>
    <w:p w14:paraId="7563D145">
      <w:pPr>
        <w:pStyle w:val="28"/>
        <w:spacing w:line="360" w:lineRule="auto"/>
        <w:ind w:firstLine="241"/>
        <w:rPr>
          <w:rFonts w:hAnsi="宋体"/>
          <w:bCs/>
          <w:color w:val="000000" w:themeColor="text1"/>
          <w:sz w:val="24"/>
          <w:szCs w:val="24"/>
          <w:highlight w:val="none"/>
          <w:u w:val="single"/>
          <w14:textFill>
            <w14:solidFill>
              <w14:schemeClr w14:val="tx1"/>
            </w14:solidFill>
          </w14:textFill>
        </w:rPr>
      </w:pPr>
    </w:p>
    <w:p w14:paraId="41668576">
      <w:pPr>
        <w:pStyle w:val="28"/>
        <w:spacing w:line="360" w:lineRule="auto"/>
        <w:ind w:firstLine="480" w:firstLineChars="200"/>
        <w:rPr>
          <w:rFonts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u w:val="single"/>
          <w14:textFill>
            <w14:solidFill>
              <w14:schemeClr w14:val="tx1"/>
            </w14:solidFill>
          </w14:textFill>
        </w:rPr>
        <w:t>采购人/代理机构</w:t>
      </w:r>
      <w:r>
        <w:rPr>
          <w:rFonts w:hint="eastAsia" w:hAnsi="宋体"/>
          <w:bCs/>
          <w:color w:val="000000" w:themeColor="text1"/>
          <w:sz w:val="24"/>
          <w:szCs w:val="24"/>
          <w:highlight w:val="none"/>
          <w14:textFill>
            <w14:solidFill>
              <w14:schemeClr w14:val="tx1"/>
            </w14:solidFill>
          </w14:textFill>
        </w:rPr>
        <w:t>于</w:t>
      </w:r>
      <w:r>
        <w:rPr>
          <w:rFonts w:hint="eastAsia" w:hAnsi="宋体"/>
          <w:color w:val="000000" w:themeColor="text1"/>
          <w:sz w:val="24"/>
          <w:szCs w:val="24"/>
          <w:highlight w:val="none"/>
          <w14:textFill>
            <w14:solidFill>
              <w14:schemeClr w14:val="tx1"/>
            </w14:solidFill>
          </w14:textFill>
        </w:rPr>
        <w:t>年月日，</w:t>
      </w:r>
      <w:r>
        <w:rPr>
          <w:rFonts w:hint="eastAsia" w:hAnsi="宋体"/>
          <w:bCs/>
          <w:color w:val="000000" w:themeColor="text1"/>
          <w:sz w:val="24"/>
          <w:szCs w:val="24"/>
          <w:highlight w:val="none"/>
          <w14:textFill>
            <w14:solidFill>
              <w14:schemeClr w14:val="tx1"/>
            </w14:solidFill>
          </w14:textFill>
        </w:rPr>
        <w:t xml:space="preserve">就质疑事项作出了答复/没有在法定期限内作出答复。                                                                                             </w:t>
      </w:r>
    </w:p>
    <w:p w14:paraId="38B6FC79">
      <w:pPr>
        <w:pStyle w:val="28"/>
        <w:spacing w:line="360" w:lineRule="auto"/>
        <w:ind w:left="25" w:leftChars="12" w:firstLine="472" w:firstLineChars="196"/>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四、投诉事项具体内容</w:t>
      </w:r>
    </w:p>
    <w:p w14:paraId="0224B992">
      <w:pPr>
        <w:pStyle w:val="28"/>
        <w:spacing w:line="360" w:lineRule="auto"/>
        <w:ind w:left="25" w:leftChars="12" w:firstLine="472" w:firstLineChars="197"/>
        <w:rPr>
          <w:rFonts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投诉事项1：</w:t>
      </w:r>
    </w:p>
    <w:p w14:paraId="5161ED95">
      <w:pPr>
        <w:pStyle w:val="28"/>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事实依据：</w:t>
      </w:r>
    </w:p>
    <w:p w14:paraId="22FC7069">
      <w:pPr>
        <w:pStyle w:val="28"/>
        <w:spacing w:line="360" w:lineRule="auto"/>
        <w:ind w:left="25" w:leftChars="12" w:firstLine="472" w:firstLineChars="197"/>
        <w:rPr>
          <w:rFonts w:hAnsi="宋体"/>
          <w:color w:val="000000" w:themeColor="text1"/>
          <w:sz w:val="24"/>
          <w:szCs w:val="24"/>
          <w:highlight w:val="none"/>
          <w14:textFill>
            <w14:solidFill>
              <w14:schemeClr w14:val="tx1"/>
            </w14:solidFill>
          </w14:textFill>
        </w:rPr>
      </w:pPr>
    </w:p>
    <w:p w14:paraId="02F9510F">
      <w:pPr>
        <w:pStyle w:val="28"/>
        <w:spacing w:line="360" w:lineRule="auto"/>
        <w:ind w:firstLine="480" w:firstLineChars="200"/>
        <w:rPr>
          <w:rFonts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法律依据：</w:t>
      </w:r>
    </w:p>
    <w:p w14:paraId="29A40CE4">
      <w:pPr>
        <w:pStyle w:val="28"/>
        <w:spacing w:line="360" w:lineRule="auto"/>
        <w:ind w:left="25" w:leftChars="12" w:firstLine="352" w:firstLineChars="147"/>
        <w:rPr>
          <w:rFonts w:hAnsi="宋体"/>
          <w:bCs/>
          <w:color w:val="000000" w:themeColor="text1"/>
          <w:sz w:val="24"/>
          <w:szCs w:val="24"/>
          <w:highlight w:val="none"/>
          <w:u w:val="single"/>
          <w14:textFill>
            <w14:solidFill>
              <w14:schemeClr w14:val="tx1"/>
            </w14:solidFill>
          </w14:textFill>
        </w:rPr>
      </w:pPr>
    </w:p>
    <w:p w14:paraId="201F6734">
      <w:pPr>
        <w:pStyle w:val="28"/>
        <w:spacing w:line="360" w:lineRule="auto"/>
        <w:ind w:left="25" w:leftChars="12" w:firstLine="472" w:firstLineChars="197"/>
        <w:rPr>
          <w:rFonts w:hAnsi="宋体"/>
          <w:bCs/>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投诉事项2  </w:t>
      </w:r>
    </w:p>
    <w:p w14:paraId="569D355A">
      <w:pPr>
        <w:pStyle w:val="28"/>
        <w:spacing w:line="360" w:lineRule="auto"/>
        <w:ind w:left="25" w:leftChars="12" w:firstLine="472" w:firstLineChars="197"/>
        <w:rPr>
          <w:rFonts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w:t>
      </w:r>
    </w:p>
    <w:p w14:paraId="272E234A">
      <w:pPr>
        <w:pStyle w:val="28"/>
        <w:spacing w:line="360" w:lineRule="auto"/>
        <w:ind w:left="25" w:leftChars="12" w:firstLine="472" w:firstLineChars="196"/>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五、与投诉事项相关的投诉请求：</w:t>
      </w:r>
    </w:p>
    <w:p w14:paraId="45DEC2F7">
      <w:pPr>
        <w:pStyle w:val="28"/>
        <w:spacing w:line="360" w:lineRule="auto"/>
        <w:ind w:left="25" w:leftChars="12" w:firstLine="472" w:firstLineChars="197"/>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请求：</w:t>
      </w:r>
    </w:p>
    <w:p w14:paraId="40651C93">
      <w:pPr>
        <w:pStyle w:val="28"/>
        <w:spacing w:line="360" w:lineRule="auto"/>
        <w:ind w:left="25" w:leftChars="12" w:firstLine="352" w:firstLineChars="147"/>
        <w:rPr>
          <w:rFonts w:hAnsi="宋体"/>
          <w:color w:val="000000" w:themeColor="text1"/>
          <w:sz w:val="24"/>
          <w:szCs w:val="24"/>
          <w:highlight w:val="none"/>
          <w14:textFill>
            <w14:solidFill>
              <w14:schemeClr w14:val="tx1"/>
            </w14:solidFill>
          </w14:textFill>
        </w:rPr>
      </w:pPr>
    </w:p>
    <w:p w14:paraId="5E8A91F2">
      <w:pPr>
        <w:pStyle w:val="28"/>
        <w:spacing w:line="360" w:lineRule="auto"/>
        <w:ind w:left="25" w:leftChars="12" w:firstLine="472" w:firstLineChars="197"/>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签字（签章）：                                       公章：</w:t>
      </w:r>
    </w:p>
    <w:p w14:paraId="091FE0C7">
      <w:pPr>
        <w:pStyle w:val="28"/>
        <w:spacing w:line="360" w:lineRule="auto"/>
        <w:ind w:left="25" w:leftChars="12" w:firstLine="352" w:firstLineChars="147"/>
        <w:rPr>
          <w:rFonts w:hAnsi="宋体"/>
          <w:color w:val="000000" w:themeColor="text1"/>
          <w:sz w:val="24"/>
          <w:szCs w:val="24"/>
          <w:highlight w:val="none"/>
          <w14:textFill>
            <w14:solidFill>
              <w14:schemeClr w14:val="tx1"/>
            </w14:solidFill>
          </w14:textFill>
        </w:rPr>
      </w:pPr>
    </w:p>
    <w:p w14:paraId="709B6A1D">
      <w:pPr>
        <w:pStyle w:val="28"/>
        <w:spacing w:line="360" w:lineRule="auto"/>
        <w:ind w:left="25" w:leftChars="12" w:firstLine="472" w:firstLineChars="197"/>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日期：</w:t>
      </w:r>
    </w:p>
    <w:p w14:paraId="310C7BCC">
      <w:pPr>
        <w:pStyle w:val="28"/>
        <w:spacing w:line="360" w:lineRule="auto"/>
        <w:ind w:left="25" w:leftChars="12" w:firstLine="472" w:firstLineChars="197"/>
        <w:rPr>
          <w:rFonts w:hAnsi="宋体"/>
          <w:color w:val="000000" w:themeColor="text1"/>
          <w:sz w:val="24"/>
          <w:szCs w:val="24"/>
          <w:highlight w:val="none"/>
          <w14:textFill>
            <w14:solidFill>
              <w14:schemeClr w14:val="tx1"/>
            </w14:solidFill>
          </w14:textFill>
        </w:rPr>
      </w:pPr>
    </w:p>
    <w:p w14:paraId="44A3CDE6">
      <w:pPr>
        <w:pStyle w:val="28"/>
        <w:snapToGrid w:val="0"/>
        <w:spacing w:line="360" w:lineRule="auto"/>
        <w:rPr>
          <w:rFonts w:hAnsi="宋体"/>
          <w:b/>
          <w:color w:val="000000" w:themeColor="text1"/>
          <w:sz w:val="24"/>
          <w:szCs w:val="24"/>
          <w:highlight w:val="none"/>
          <w14:textFill>
            <w14:solidFill>
              <w14:schemeClr w14:val="tx1"/>
            </w14:solidFill>
          </w14:textFill>
        </w:rPr>
      </w:pPr>
    </w:p>
    <w:p w14:paraId="65BA8E26">
      <w:pPr>
        <w:pStyle w:val="28"/>
        <w:snapToGrid w:val="0"/>
        <w:spacing w:line="360" w:lineRule="auto"/>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说明：</w:t>
      </w:r>
    </w:p>
    <w:p w14:paraId="2378822D">
      <w:pPr>
        <w:pStyle w:val="28"/>
        <w:spacing w:line="360" w:lineRule="auto"/>
        <w:ind w:left="25" w:leftChars="12" w:firstLine="354" w:firstLineChars="147"/>
        <w:rPr>
          <w:rFonts w:hAnsi="宋体"/>
          <w:b/>
          <w:bCs/>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1.投诉人提起投诉时，应当提交投诉书和必要的证明材料，并按照被投诉人和与投诉事项有关的供应商数量提供投诉书副本</w:t>
      </w:r>
      <w:r>
        <w:rPr>
          <w:rFonts w:hint="eastAsia" w:hAnsi="宋体"/>
          <w:b/>
          <w:bCs/>
          <w:color w:val="000000" w:themeColor="text1"/>
          <w:sz w:val="24"/>
          <w:szCs w:val="24"/>
          <w:highlight w:val="none"/>
          <w14:textFill>
            <w14:solidFill>
              <w14:schemeClr w14:val="tx1"/>
            </w14:solidFill>
          </w14:textFill>
        </w:rPr>
        <w:t>。</w:t>
      </w:r>
    </w:p>
    <w:p w14:paraId="00162BAC">
      <w:pPr>
        <w:pStyle w:val="28"/>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59B41C3">
      <w:pPr>
        <w:pStyle w:val="28"/>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3.投诉书应简要列明质疑事项，质疑函、质疑答复等作为附件材料提供。</w:t>
      </w:r>
    </w:p>
    <w:p w14:paraId="36089C16">
      <w:pPr>
        <w:pStyle w:val="28"/>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4.投诉书的投诉事项应具体、明确，并有必要的事实依据和法律依据。</w:t>
      </w:r>
    </w:p>
    <w:p w14:paraId="2CEC1372">
      <w:pPr>
        <w:pStyle w:val="28"/>
        <w:spacing w:line="360" w:lineRule="auto"/>
        <w:ind w:left="25" w:leftChars="12" w:firstLine="354" w:firstLineChars="147"/>
        <w:rPr>
          <w:rFonts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5.投诉书的投诉请求应与投诉事项相关。</w:t>
      </w:r>
    </w:p>
    <w:p w14:paraId="534E0208">
      <w:pPr>
        <w:pStyle w:val="28"/>
        <w:spacing w:line="360" w:lineRule="auto"/>
        <w:ind w:left="25" w:leftChars="12" w:firstLine="354" w:firstLineChars="147"/>
        <w:rPr>
          <w:rFonts w:hAnsi="宋体"/>
          <w:b/>
          <w:color w:val="000000" w:themeColor="text1"/>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6.投诉人为法人或者其他组织的，投诉书应由法定代表人、主要负责人，或者其授权代表签字或者盖章，并加盖公章。</w:t>
      </w:r>
    </w:p>
    <w:p w14:paraId="6ECC00BD">
      <w:pPr>
        <w:spacing w:line="360" w:lineRule="auto"/>
        <w:rPr>
          <w:color w:val="000000" w:themeColor="text1"/>
          <w:highlight w:val="none"/>
          <w14:textFill>
            <w14:solidFill>
              <w14:schemeClr w14:val="tx1"/>
            </w14:solidFill>
          </w14:textFill>
        </w:rPr>
      </w:pPr>
    </w:p>
    <w:p w14:paraId="47063CEC">
      <w:pPr>
        <w:spacing w:line="360" w:lineRule="auto"/>
        <w:rPr>
          <w:color w:val="000000" w:themeColor="text1"/>
          <w:highlight w:val="none"/>
          <w14:textFill>
            <w14:solidFill>
              <w14:schemeClr w14:val="tx1"/>
            </w14:solidFill>
          </w14:textFill>
        </w:rPr>
      </w:pPr>
    </w:p>
    <w:p w14:paraId="55E69E98">
      <w:pPr>
        <w:spacing w:line="360" w:lineRule="auto"/>
        <w:rPr>
          <w:color w:val="000000" w:themeColor="text1"/>
          <w:highlight w:val="none"/>
          <w14:textFill>
            <w14:solidFill>
              <w14:schemeClr w14:val="tx1"/>
            </w14:solidFill>
          </w14:textFill>
        </w:rPr>
      </w:pPr>
    </w:p>
    <w:p w14:paraId="470389BC">
      <w:pPr>
        <w:spacing w:line="360" w:lineRule="auto"/>
        <w:rPr>
          <w:color w:val="000000" w:themeColor="text1"/>
          <w:highlight w:val="none"/>
          <w14:textFill>
            <w14:solidFill>
              <w14:schemeClr w14:val="tx1"/>
            </w14:solidFill>
          </w14:textFill>
        </w:rPr>
      </w:pPr>
    </w:p>
    <w:p w14:paraId="17B8CA4F">
      <w:pPr>
        <w:spacing w:line="360" w:lineRule="auto"/>
        <w:rPr>
          <w:color w:val="000000" w:themeColor="text1"/>
          <w:highlight w:val="none"/>
          <w14:textFill>
            <w14:solidFill>
              <w14:schemeClr w14:val="tx1"/>
            </w14:solidFill>
          </w14:textFill>
        </w:rPr>
      </w:pPr>
    </w:p>
    <w:p w14:paraId="26594529">
      <w:pPr>
        <w:keepNext/>
        <w:keepLines/>
        <w:spacing w:before="340" w:after="330" w:line="360" w:lineRule="auto"/>
        <w:jc w:val="center"/>
        <w:outlineLvl w:val="0"/>
        <w:rPr>
          <w:rFonts w:ascii="宋体" w:hAnsi="宋体"/>
          <w:color w:val="000000" w:themeColor="text1"/>
          <w:kern w:val="44"/>
          <w:sz w:val="44"/>
          <w:szCs w:val="44"/>
          <w:highlight w:val="none"/>
          <w14:textFill>
            <w14:solidFill>
              <w14:schemeClr w14:val="tx1"/>
            </w14:solidFill>
          </w14:textFill>
        </w:rPr>
      </w:pPr>
      <w:bookmarkStart w:id="1718" w:name="_Toc108030292"/>
      <w:bookmarkStart w:id="1719" w:name="_Toc213948323"/>
      <w:r>
        <w:rPr>
          <w:rFonts w:hint="eastAsia" w:ascii="宋体" w:hAnsi="宋体"/>
          <w:color w:val="000000" w:themeColor="text1"/>
          <w:kern w:val="44"/>
          <w:sz w:val="44"/>
          <w:szCs w:val="44"/>
          <w:highlight w:val="none"/>
          <w14:textFill>
            <w14:solidFill>
              <w14:schemeClr w14:val="tx1"/>
            </w14:solidFill>
          </w14:textFill>
        </w:rPr>
        <w:t>第八章   工程量清单及图纸</w:t>
      </w:r>
      <w:bookmarkEnd w:id="1718"/>
      <w:bookmarkEnd w:id="1719"/>
    </w:p>
    <w:p w14:paraId="26B0F2CE">
      <w:pPr>
        <w:pStyle w:val="5"/>
        <w:spacing w:before="0" w:after="0" w:line="360" w:lineRule="auto"/>
        <w:rPr>
          <w:rFonts w:cs="黑体"/>
          <w:color w:val="000000" w:themeColor="text1"/>
          <w:highlight w:val="none"/>
          <w14:textFill>
            <w14:solidFill>
              <w14:schemeClr w14:val="tx1"/>
            </w14:solidFill>
          </w14:textFill>
        </w:rPr>
      </w:pPr>
      <w:bookmarkStart w:id="1720" w:name="_Toc213948324"/>
      <w:r>
        <w:rPr>
          <w:rFonts w:cs="黑体"/>
          <w:color w:val="000000" w:themeColor="text1"/>
          <w:highlight w:val="none"/>
          <w14:textFill>
            <w14:solidFill>
              <w14:schemeClr w14:val="tx1"/>
            </w14:solidFill>
          </w14:textFill>
        </w:rPr>
        <w:t>1.</w:t>
      </w:r>
      <w:r>
        <w:rPr>
          <w:rFonts w:hint="eastAsia" w:cs="黑体"/>
          <w:color w:val="000000" w:themeColor="text1"/>
          <w:highlight w:val="none"/>
          <w14:textFill>
            <w14:solidFill>
              <w14:schemeClr w14:val="tx1"/>
            </w14:solidFill>
          </w14:textFill>
        </w:rPr>
        <w:t>工程量清单和图纸（另册）</w:t>
      </w:r>
      <w:bookmarkEnd w:id="1720"/>
    </w:p>
    <w:p w14:paraId="6985B113">
      <w:pPr>
        <w:pStyle w:val="5"/>
        <w:spacing w:before="0" w:after="0" w:line="360" w:lineRule="auto"/>
        <w:rPr>
          <w:rFonts w:cs="宋体"/>
          <w:color w:val="000000" w:themeColor="text1"/>
          <w:highlight w:val="none"/>
          <w14:textFill>
            <w14:solidFill>
              <w14:schemeClr w14:val="tx1"/>
            </w14:solidFill>
          </w14:textFill>
        </w:rPr>
      </w:pPr>
      <w:bookmarkStart w:id="1721" w:name="_Toc378483916"/>
      <w:bookmarkStart w:id="1722" w:name="_Toc879821176"/>
      <w:bookmarkStart w:id="1723" w:name="_Toc213948325"/>
      <w:bookmarkStart w:id="1724" w:name="_Toc78449871"/>
      <w:bookmarkStart w:id="1725" w:name="_Toc407135286"/>
      <w:r>
        <w:rPr>
          <w:color w:val="000000" w:themeColor="text1"/>
          <w:highlight w:val="none"/>
          <w14:textFill>
            <w14:solidFill>
              <w14:schemeClr w14:val="tx1"/>
            </w14:solidFill>
          </w14:textFill>
        </w:rPr>
        <w:t>2.</w:t>
      </w:r>
      <w:r>
        <w:rPr>
          <w:rFonts w:hint="eastAsia" w:cs="黑体"/>
          <w:color w:val="000000" w:themeColor="text1"/>
          <w:highlight w:val="none"/>
          <w14:textFill>
            <w14:solidFill>
              <w14:schemeClr w14:val="tx1"/>
            </w14:solidFill>
          </w14:textFill>
        </w:rPr>
        <w:t>已标价工程量清单编制说明</w:t>
      </w:r>
      <w:bookmarkEnd w:id="1721"/>
      <w:bookmarkEnd w:id="1722"/>
      <w:bookmarkEnd w:id="1723"/>
      <w:bookmarkEnd w:id="1724"/>
      <w:bookmarkEnd w:id="1725"/>
    </w:p>
    <w:p w14:paraId="5BCAF27B">
      <w:pPr>
        <w:spacing w:line="360" w:lineRule="auto"/>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2.1 </w:t>
      </w:r>
      <w:r>
        <w:rPr>
          <w:rFonts w:hint="eastAsia" w:cs="宋体"/>
          <w:color w:val="000000" w:themeColor="text1"/>
          <w:highlight w:val="none"/>
          <w14:textFill>
            <w14:solidFill>
              <w14:schemeClr w14:val="tx1"/>
            </w14:solidFill>
          </w14:textFill>
        </w:rPr>
        <w:t>供应商应依据磋商文件、工程量清单以及《计价规范》、《计算规范》自主报价，自主报价</w:t>
      </w:r>
      <w:r>
        <w:rPr>
          <w:rFonts w:hint="eastAsia" w:hAnsi="宋体" w:cs="宋体"/>
          <w:color w:val="000000" w:themeColor="text1"/>
          <w:highlight w:val="none"/>
          <w14:textFill>
            <w14:solidFill>
              <w14:schemeClr w14:val="tx1"/>
            </w14:solidFill>
          </w14:textFill>
        </w:rPr>
        <w:t>不得违反计价规范强制性条文规定。</w:t>
      </w:r>
      <w:r>
        <w:rPr>
          <w:rFonts w:hint="eastAsia" w:cs="宋体"/>
          <w:color w:val="000000" w:themeColor="text1"/>
          <w:highlight w:val="none"/>
          <w14:textFill>
            <w14:solidFill>
              <w14:schemeClr w14:val="tx1"/>
            </w14:solidFill>
          </w14:textFill>
        </w:rPr>
        <w:t>供应商不得采用总价让利或以百分比让利等形式进行报价，任何优惠（或降价、让利）均应反映在相应清单项目的综合单价中。同时，不得出现任意一项单价重大让利，</w:t>
      </w:r>
      <w:r>
        <w:rPr>
          <w:rFonts w:hint="eastAsia" w:hAnsi="宋体" w:cs="宋体"/>
          <w:color w:val="000000" w:themeColor="text1"/>
          <w:highlight w:val="none"/>
          <w14:textFill>
            <w14:solidFill>
              <w14:schemeClr w14:val="tx1"/>
            </w14:solidFill>
          </w14:textFill>
        </w:rPr>
        <w:t>不得以自有机械闲置、自有材料等不计成本为由</w:t>
      </w:r>
      <w:r>
        <w:rPr>
          <w:rFonts w:hint="eastAsia" w:cs="宋体"/>
          <w:color w:val="000000" w:themeColor="text1"/>
          <w:highlight w:val="none"/>
          <w14:textFill>
            <w14:solidFill>
              <w14:schemeClr w14:val="tx1"/>
            </w14:solidFill>
          </w14:textFill>
        </w:rPr>
        <w:t>低于工程成本报价。</w:t>
      </w:r>
    </w:p>
    <w:p w14:paraId="10CA7B6F">
      <w:pPr>
        <w:spacing w:line="360" w:lineRule="auto"/>
        <w:ind w:firstLine="420" w:firstLineChars="200"/>
        <w:rPr>
          <w:rFonts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2.2 </w:t>
      </w:r>
      <w:r>
        <w:rPr>
          <w:rFonts w:hint="eastAsia" w:cs="宋体"/>
          <w:color w:val="000000" w:themeColor="text1"/>
          <w:highlight w:val="none"/>
          <w14:textFill>
            <w14:solidFill>
              <w14:schemeClr w14:val="tx1"/>
            </w14:solidFill>
          </w14:textFill>
        </w:rPr>
        <w:t>项目编码、项目名称、项目特征、计量单位、工程量必须与工程量清单一致，供应商不得对工程量清单项目进行增减调整。</w:t>
      </w:r>
    </w:p>
    <w:p w14:paraId="36F09716">
      <w:pPr>
        <w:spacing w:line="360" w:lineRule="auto"/>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2.3 </w:t>
      </w:r>
      <w:r>
        <w:rPr>
          <w:rFonts w:hint="eastAsia" w:cs="宋体"/>
          <w:color w:val="000000" w:themeColor="text1"/>
          <w:highlight w:val="none"/>
          <w14:textFill>
            <w14:solidFill>
              <w14:schemeClr w14:val="tx1"/>
            </w14:solidFill>
          </w14:textFill>
        </w:rPr>
        <w:t>综合单价中应包含磋商文件中划分的应由供应商承担的风险范围及其费用。</w:t>
      </w:r>
    </w:p>
    <w:p w14:paraId="13754295">
      <w:pPr>
        <w:spacing w:line="360" w:lineRule="auto"/>
        <w:ind w:firstLine="420" w:firstLineChars="200"/>
        <w:rPr>
          <w:rFonts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2.4 </w:t>
      </w:r>
      <w:r>
        <w:rPr>
          <w:rFonts w:hint="eastAsia" w:hAnsi="宋体" w:cs="宋体"/>
          <w:color w:val="000000" w:themeColor="text1"/>
          <w:highlight w:val="none"/>
          <w14:textFill>
            <w14:solidFill>
              <w14:schemeClr w14:val="tx1"/>
            </w14:solidFill>
          </w14:textFill>
        </w:rPr>
        <w:t>分部分项工程项目和单价措施项目，应根据磋商文件和工程量清单项目中的特征描述确定综合单价计算。如出现工程量清单特征描述与设计图纸不符时，供应商应以工程量清单的项目特征描述为准，确定竞标报价的综合单价。</w:t>
      </w:r>
    </w:p>
    <w:p w14:paraId="033E5442">
      <w:pPr>
        <w:spacing w:line="360" w:lineRule="auto"/>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2.5 </w:t>
      </w:r>
      <w:r>
        <w:rPr>
          <w:rFonts w:hint="eastAsia" w:hAnsi="宋体" w:cs="宋体"/>
          <w:color w:val="000000" w:themeColor="text1"/>
          <w:highlight w:val="none"/>
          <w14:textFill>
            <w14:solidFill>
              <w14:schemeClr w14:val="tx1"/>
            </w14:solidFill>
          </w14:textFill>
        </w:rPr>
        <w:t>总价措施项目的金额应根据磋商文件及竞标时拟定的施工组织设计或施工方案，按计价规范的规定自主确定。但</w:t>
      </w:r>
      <w:r>
        <w:rPr>
          <w:rFonts w:hint="eastAsia" w:cs="宋体"/>
          <w:color w:val="000000" w:themeColor="text1"/>
          <w:highlight w:val="none"/>
          <w14:textFill>
            <w14:solidFill>
              <w14:schemeClr w14:val="tx1"/>
            </w14:solidFill>
          </w14:textFill>
        </w:rPr>
        <w:t>安全文明施工费按国家、省级或行业建设主管部门的有关规定执行，作为不竞争费用单列。</w:t>
      </w:r>
    </w:p>
    <w:p w14:paraId="477AFAEB">
      <w:pPr>
        <w:spacing w:line="360" w:lineRule="auto"/>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2.6 </w:t>
      </w:r>
      <w:r>
        <w:rPr>
          <w:rFonts w:hint="eastAsia" w:cs="宋体"/>
          <w:color w:val="000000" w:themeColor="text1"/>
          <w:highlight w:val="none"/>
          <w14:textFill>
            <w14:solidFill>
              <w14:schemeClr w14:val="tx1"/>
            </w14:solidFill>
          </w14:textFill>
        </w:rPr>
        <w:t>其他项目费应按下列规定报价：</w:t>
      </w:r>
    </w:p>
    <w:p w14:paraId="4532B94F">
      <w:pPr>
        <w:spacing w:line="360" w:lineRule="auto"/>
        <w:ind w:firstLine="420" w:firstLineChars="200"/>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s="宋体"/>
          <w:color w:val="000000" w:themeColor="text1"/>
          <w:highlight w:val="none"/>
          <w14:textFill>
            <w14:solidFill>
              <w14:schemeClr w14:val="tx1"/>
            </w14:solidFill>
          </w14:textFill>
        </w:rPr>
        <w:t>）暂列金额应按</w:t>
      </w:r>
      <w:r>
        <w:rPr>
          <w:rFonts w:hint="eastAsia" w:cs="宋体"/>
          <w:color w:val="000000" w:themeColor="text1"/>
          <w:szCs w:val="21"/>
          <w:highlight w:val="none"/>
          <w14:textFill>
            <w14:solidFill>
              <w14:schemeClr w14:val="tx1"/>
            </w14:solidFill>
          </w14:textFill>
        </w:rPr>
        <w:t>采购人提供的工程量清单中列出的金额</w:t>
      </w:r>
      <w:r>
        <w:rPr>
          <w:rFonts w:hint="eastAsia" w:cs="宋体"/>
          <w:color w:val="000000" w:themeColor="text1"/>
          <w:highlight w:val="none"/>
          <w14:textFill>
            <w14:solidFill>
              <w14:schemeClr w14:val="tx1"/>
            </w14:solidFill>
          </w14:textFill>
        </w:rPr>
        <w:t>填写；</w:t>
      </w:r>
    </w:p>
    <w:p w14:paraId="0A070D17">
      <w:pPr>
        <w:pStyle w:val="521"/>
        <w:spacing w:line="360" w:lineRule="auto"/>
        <w:ind w:firstLine="420" w:firstLineChars="200"/>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s="宋体"/>
          <w:color w:val="000000" w:themeColor="text1"/>
          <w:highlight w:val="none"/>
          <w14:textFill>
            <w14:solidFill>
              <w14:schemeClr w14:val="tx1"/>
            </w14:solidFill>
          </w14:textFill>
        </w:rPr>
        <w:t>）材料、工程设备暂估价应按采购人提供的工程量清单中列出的单价计入综合单价；</w:t>
      </w:r>
    </w:p>
    <w:p w14:paraId="11996559">
      <w:pPr>
        <w:spacing w:line="360" w:lineRule="auto"/>
        <w:ind w:firstLine="420" w:firstLineChars="200"/>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s="宋体"/>
          <w:color w:val="000000" w:themeColor="text1"/>
          <w:highlight w:val="none"/>
          <w14:textFill>
            <w14:solidFill>
              <w14:schemeClr w14:val="tx1"/>
            </w14:solidFill>
          </w14:textFill>
        </w:rPr>
        <w:t>）专业工程暂估价应按</w:t>
      </w:r>
      <w:r>
        <w:rPr>
          <w:rFonts w:hint="eastAsia" w:cs="宋体"/>
          <w:color w:val="000000" w:themeColor="text1"/>
          <w:szCs w:val="21"/>
          <w:highlight w:val="none"/>
          <w14:textFill>
            <w14:solidFill>
              <w14:schemeClr w14:val="tx1"/>
            </w14:solidFill>
          </w14:textFill>
        </w:rPr>
        <w:t>采购人提供的</w:t>
      </w:r>
      <w:r>
        <w:rPr>
          <w:rFonts w:hint="eastAsia" w:cs="宋体"/>
          <w:color w:val="000000" w:themeColor="text1"/>
          <w:highlight w:val="none"/>
          <w14:textFill>
            <w14:solidFill>
              <w14:schemeClr w14:val="tx1"/>
            </w14:solidFill>
          </w14:textFill>
        </w:rPr>
        <w:t>工程量清单中列出的金额填写；</w:t>
      </w:r>
    </w:p>
    <w:p w14:paraId="7F21DB65">
      <w:pPr>
        <w:spacing w:line="360" w:lineRule="auto"/>
        <w:ind w:firstLine="420" w:firstLineChars="200"/>
        <w:rPr>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cs="宋体"/>
          <w:color w:val="000000" w:themeColor="text1"/>
          <w:highlight w:val="none"/>
          <w14:textFill>
            <w14:solidFill>
              <w14:schemeClr w14:val="tx1"/>
            </w14:solidFill>
          </w14:textFill>
        </w:rPr>
        <w:t>）计日工应按</w:t>
      </w:r>
      <w:r>
        <w:rPr>
          <w:rFonts w:hint="eastAsia" w:cs="宋体"/>
          <w:color w:val="000000" w:themeColor="text1"/>
          <w:szCs w:val="21"/>
          <w:highlight w:val="none"/>
          <w14:textFill>
            <w14:solidFill>
              <w14:schemeClr w14:val="tx1"/>
            </w14:solidFill>
          </w14:textFill>
        </w:rPr>
        <w:t>采购人提供的</w:t>
      </w:r>
      <w:r>
        <w:rPr>
          <w:rFonts w:hint="eastAsia" w:cs="宋体"/>
          <w:color w:val="000000" w:themeColor="text1"/>
          <w:highlight w:val="none"/>
          <w14:textFill>
            <w14:solidFill>
              <w14:schemeClr w14:val="tx1"/>
            </w14:solidFill>
          </w14:textFill>
        </w:rPr>
        <w:t>工程量清单中列出的项目和估算数量，自主确定综合单价并计算计日工总额；计日工单价均不含规费和税金；</w:t>
      </w:r>
    </w:p>
    <w:p w14:paraId="210809D7">
      <w:pPr>
        <w:spacing w:line="360" w:lineRule="auto"/>
        <w:ind w:firstLine="420" w:firstLineChars="200"/>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cs="宋体"/>
          <w:color w:val="000000" w:themeColor="text1"/>
          <w:highlight w:val="none"/>
          <w14:textFill>
            <w14:solidFill>
              <w14:schemeClr w14:val="tx1"/>
            </w14:solidFill>
          </w14:textFill>
        </w:rPr>
        <w:t>）总承包服务费（如有）应根据工程量清单中列出的内容</w:t>
      </w:r>
      <w:r>
        <w:rPr>
          <w:rFonts w:hint="eastAsia" w:hAnsi="宋体" w:cs="宋体"/>
          <w:color w:val="000000" w:themeColor="text1"/>
          <w:highlight w:val="none"/>
          <w14:textFill>
            <w14:solidFill>
              <w14:schemeClr w14:val="tx1"/>
            </w14:solidFill>
          </w14:textFill>
        </w:rPr>
        <w:t>和供应材料、设备情况，按照采购人提出的协调、配合与服务要求和施工现场管理需要</w:t>
      </w:r>
      <w:r>
        <w:rPr>
          <w:rFonts w:hint="eastAsia" w:cs="宋体"/>
          <w:color w:val="000000" w:themeColor="text1"/>
          <w:highlight w:val="none"/>
          <w14:textFill>
            <w14:solidFill>
              <w14:schemeClr w14:val="tx1"/>
            </w14:solidFill>
          </w14:textFill>
        </w:rPr>
        <w:t>自主确定。</w:t>
      </w:r>
    </w:p>
    <w:p w14:paraId="381E3B8E">
      <w:pPr>
        <w:spacing w:line="360" w:lineRule="auto"/>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2.7 </w:t>
      </w:r>
      <w:r>
        <w:rPr>
          <w:rFonts w:hint="eastAsia" w:cs="宋体"/>
          <w:color w:val="000000" w:themeColor="text1"/>
          <w:highlight w:val="none"/>
          <w14:textFill>
            <w14:solidFill>
              <w14:schemeClr w14:val="tx1"/>
            </w14:solidFill>
          </w14:textFill>
        </w:rPr>
        <w:t>规费和增值税应按规定确定，作为不可竞争费用。</w:t>
      </w:r>
    </w:p>
    <w:p w14:paraId="1FD505C6">
      <w:pPr>
        <w:spacing w:line="360" w:lineRule="auto"/>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2.8 </w:t>
      </w:r>
      <w:r>
        <w:rPr>
          <w:rFonts w:hint="eastAsia" w:cs="宋体"/>
          <w:color w:val="000000" w:themeColor="text1"/>
          <w:highlight w:val="none"/>
          <w14:textFill>
            <w14:solidFill>
              <w14:schemeClr w14:val="tx1"/>
            </w14:solidFill>
          </w14:textFill>
        </w:rPr>
        <w:t>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08FEBF8F">
      <w:pPr>
        <w:spacing w:line="360" w:lineRule="auto"/>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2.9 </w:t>
      </w:r>
      <w:r>
        <w:rPr>
          <w:rFonts w:hint="eastAsia" w:cs="宋体"/>
          <w:color w:val="000000" w:themeColor="text1"/>
          <w:highlight w:val="none"/>
          <w14:textFill>
            <w14:solidFill>
              <w14:schemeClr w14:val="tx1"/>
            </w14:solidFill>
          </w14:textFill>
        </w:rPr>
        <w:t>竞标总价应当与分部分项工程费、措施项目费、其他项目费和规费、增值税的合计金额一致。</w:t>
      </w:r>
    </w:p>
    <w:p w14:paraId="66E4EFD8">
      <w:pPr>
        <w:spacing w:line="360" w:lineRule="auto"/>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2.10</w:t>
      </w:r>
      <w:r>
        <w:rPr>
          <w:rFonts w:hint="eastAsia" w:cs="宋体"/>
          <w:color w:val="000000" w:themeColor="text1"/>
          <w:highlight w:val="none"/>
          <w14:textFill>
            <w14:solidFill>
              <w14:schemeClr w14:val="tx1"/>
            </w14:solidFill>
          </w14:textFill>
        </w:rPr>
        <w:t>供应商按《允许调整主要材料和工程设备一览表》（如有）的内容填报，不得擅自调整材料和设备名称型号规格、单位、风险系数、基准单价。</w:t>
      </w:r>
    </w:p>
    <w:p w14:paraId="42082F00">
      <w:pPr>
        <w:spacing w:line="360" w:lineRule="auto"/>
        <w:ind w:firstLine="420" w:firstLineChars="200"/>
        <w:rPr>
          <w:rFonts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2.11</w:t>
      </w:r>
      <w:r>
        <w:rPr>
          <w:rFonts w:hint="eastAsia" w:hAnsi="宋体" w:cs="宋体"/>
          <w:color w:val="000000" w:themeColor="text1"/>
          <w:highlight w:val="none"/>
          <w14:textFill>
            <w14:solidFill>
              <w14:schemeClr w14:val="tx1"/>
            </w14:solidFill>
          </w14:textFill>
        </w:rPr>
        <w:t>竞标报价</w:t>
      </w:r>
      <w:r>
        <w:rPr>
          <w:rFonts w:hint="eastAsia" w:cs="宋体"/>
          <w:color w:val="000000" w:themeColor="text1"/>
          <w:highlight w:val="none"/>
          <w14:textFill>
            <w14:solidFill>
              <w14:schemeClr w14:val="tx1"/>
            </w14:solidFill>
          </w14:textFill>
        </w:rPr>
        <w:t>表格按本工程工程量清单表格要求填写，并</w:t>
      </w:r>
      <w:r>
        <w:rPr>
          <w:rFonts w:hint="eastAsia" w:hAnsi="宋体" w:cs="宋体"/>
          <w:color w:val="000000" w:themeColor="text1"/>
          <w:highlight w:val="none"/>
          <w14:textFill>
            <w14:solidFill>
              <w14:schemeClr w14:val="tx1"/>
            </w14:solidFill>
          </w14:textFill>
        </w:rPr>
        <w:t>应按磋商文件的要求，附上《工程量清单综合单价分析表》（表</w:t>
      </w:r>
      <w:r>
        <w:rPr>
          <w:color w:val="000000" w:themeColor="text1"/>
          <w:highlight w:val="none"/>
          <w14:textFill>
            <w14:solidFill>
              <w14:schemeClr w14:val="tx1"/>
            </w14:solidFill>
          </w14:textFill>
        </w:rPr>
        <w:t>-09</w:t>
      </w:r>
      <w:r>
        <w:rPr>
          <w:rFonts w:hint="eastAsia" w:hAnsi="宋体" w:cs="宋体"/>
          <w:color w:val="000000" w:themeColor="text1"/>
          <w:highlight w:val="none"/>
          <w14:textFill>
            <w14:solidFill>
              <w14:schemeClr w14:val="tx1"/>
            </w14:solidFill>
          </w14:textFill>
        </w:rPr>
        <w:t>）。</w:t>
      </w:r>
    </w:p>
    <w:p w14:paraId="18CA6142">
      <w:pPr>
        <w:spacing w:line="360" w:lineRule="auto"/>
        <w:ind w:firstLine="420" w:firstLineChars="200"/>
        <w:rPr>
          <w:rFonts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未尽事宜详见本工程工程量清单以及现行《计价规范》等有关规定执行。</w:t>
      </w:r>
    </w:p>
    <w:p w14:paraId="293C9B3A">
      <w:pPr>
        <w:spacing w:line="360" w:lineRule="auto"/>
        <w:rPr>
          <w:rFonts w:hint="eastAsia" w:eastAsia="宋体"/>
          <w:color w:val="000000" w:themeColor="text1"/>
          <w:highlight w:val="none"/>
          <w:lang w:eastAsia="zh-CN"/>
          <w14:textFill>
            <w14:solidFill>
              <w14:schemeClr w14:val="tx1"/>
            </w14:solidFill>
          </w14:textFill>
        </w:rPr>
      </w:pPr>
      <w:r>
        <w:rPr>
          <w:rFonts w:hint="eastAsia" w:cs="宋体"/>
          <w:color w:val="000000" w:themeColor="text1"/>
          <w:highlight w:val="none"/>
          <w14:textFill>
            <w14:solidFill>
              <w14:schemeClr w14:val="tx1"/>
            </w14:solidFill>
          </w14:textFill>
        </w:rPr>
        <w:t>材料价格信息</w:t>
      </w:r>
      <w:r>
        <w:rPr>
          <w:rFonts w:hint="eastAsia" w:hAnsi="宋体" w:cs="宋体"/>
          <w:color w:val="000000" w:themeColor="text1"/>
          <w:highlight w:val="none"/>
          <w14:textFill>
            <w14:solidFill>
              <w14:schemeClr w14:val="tx1"/>
            </w14:solidFill>
          </w14:textFill>
        </w:rPr>
        <w:t>：材料价格主要按照</w:t>
      </w:r>
      <w:r>
        <w:rPr>
          <w:rFonts w:hint="eastAsia" w:hAnsi="宋体" w:cs="宋体"/>
          <w:b/>
          <w:bCs/>
          <w:color w:val="000000" w:themeColor="text1"/>
          <w:highlight w:val="none"/>
          <w14:textFill>
            <w14:solidFill>
              <w14:schemeClr w14:val="tx1"/>
            </w14:solidFill>
          </w14:textFill>
        </w:rPr>
        <w:t>南宁市</w:t>
      </w:r>
      <w:r>
        <w:rPr>
          <w:rFonts w:hint="eastAsia" w:cs="宋体"/>
          <w:color w:val="000000" w:themeColor="text1"/>
          <w:highlight w:val="none"/>
          <w14:textFill>
            <w14:solidFill>
              <w14:schemeClr w14:val="tx1"/>
            </w14:solidFill>
          </w14:textFill>
        </w:rPr>
        <w:t>建设工程造价管理机构发布的工程造价信息</w:t>
      </w:r>
      <w:r>
        <w:rPr>
          <w:rFonts w:hint="eastAsia"/>
          <w:b/>
          <w:bCs/>
          <w:color w:val="000000" w:themeColor="text1"/>
          <w:highlight w:val="none"/>
          <w:u w:val="single"/>
          <w14:textFill>
            <w14:solidFill>
              <w14:schemeClr w14:val="tx1"/>
            </w14:solidFill>
          </w14:textFill>
        </w:rPr>
        <w:t>2025年第12期下</w:t>
      </w:r>
      <w:r>
        <w:rPr>
          <w:rFonts w:hint="eastAsia" w:cs="宋体"/>
          <w:color w:val="000000" w:themeColor="text1"/>
          <w:highlight w:val="none"/>
          <w14:textFill>
            <w14:solidFill>
              <w14:schemeClr w14:val="tx1"/>
            </w14:solidFill>
          </w14:textFill>
        </w:rPr>
        <w:t>，</w:t>
      </w:r>
      <w:bookmarkEnd w:id="0"/>
      <w:r>
        <w:rPr>
          <w:rFonts w:hint="eastAsia"/>
          <w:color w:val="000000" w:themeColor="text1"/>
          <w:highlight w:val="none"/>
          <w14:textFill>
            <w14:solidFill>
              <w14:schemeClr w14:val="tx1"/>
            </w14:solidFill>
          </w14:textFill>
        </w:rPr>
        <w:t>信息价中没有的材料参考目前市场价</w:t>
      </w:r>
      <w:r>
        <w:rPr>
          <w:rFonts w:hint="eastAsia"/>
          <w:color w:val="000000" w:themeColor="text1"/>
          <w:highlight w:val="none"/>
          <w:lang w:eastAsia="zh-CN"/>
          <w14:textFill>
            <w14:solidFill>
              <w14:schemeClr w14:val="tx1"/>
            </w14:solidFill>
          </w14:textFill>
        </w:rPr>
        <w:t>。</w:t>
      </w:r>
    </w:p>
    <w:sectPr>
      <w:footerReference r:id="rId12" w:type="first"/>
      <w:footerReference r:id="rId11"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22B5507-84EA-4369-A421-9351D790DC78}"/>
  </w:font>
  <w:font w:name="黑体">
    <w:panose1 w:val="02010609060101010101"/>
    <w:charset w:val="86"/>
    <w:family w:val="auto"/>
    <w:pitch w:val="default"/>
    <w:sig w:usb0="800002BF" w:usb1="38CF7CFA" w:usb2="00000016" w:usb3="00000000" w:csb0="00040001" w:csb1="00000000"/>
    <w:embedRegular r:id="rId2" w:fontKey="{D922D06C-86F6-4170-92BA-B4F5FAB3EC91}"/>
  </w:font>
  <w:font w:name="Courier New">
    <w:panose1 w:val="02070309020205020404"/>
    <w:charset w:val="01"/>
    <w:family w:val="modern"/>
    <w:pitch w:val="default"/>
    <w:sig w:usb0="E0002EFF" w:usb1="C0007843" w:usb2="00000009" w:usb3="00000000" w:csb0="400001FF" w:csb1="FFFF0000"/>
    <w:embedRegular r:id="rId3" w:fontKey="{7CCE8F30-B44C-4431-9AA4-24D6115A115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BF4E52A3-13EE-4411-8D0E-8D399EBAF962}"/>
  </w:font>
  <w:font w:name="Cambria">
    <w:panose1 w:val="02040503050406030204"/>
    <w:charset w:val="00"/>
    <w:family w:val="roman"/>
    <w:pitch w:val="default"/>
    <w:sig w:usb0="E00006FF" w:usb1="420024FF" w:usb2="02000000" w:usb3="00000000" w:csb0="2000019F" w:csb1="00000000"/>
    <w:embedRegular r:id="rId5" w:fontKey="{E3B2133C-2870-4660-BE07-44649A371FC3}"/>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F288974C-BFF5-4959-8AF7-0BC488D9FAED}"/>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7" w:fontKey="{891E81B6-1208-4C5B-B6B6-31995632D815}"/>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Heiti SC Light">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urier">
    <w:altName w:val="Courier New"/>
    <w:panose1 w:val="02070409020205020404"/>
    <w:charset w:val="00"/>
    <w:family w:val="moder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embedRegular r:id="rId8" w:fontKey="{B1DCBA73-7148-4712-980C-CF9259DE2E41}"/>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003F01FF" w:csb1="00000000"/>
    <w:embedRegular r:id="rId9" w:fontKey="{7669D832-EDD8-47E2-88B1-09064B1AA9C2}"/>
  </w:font>
  <w:font w:name="Helv">
    <w:altName w:val="Segoe Print"/>
    <w:panose1 w:val="020B0604020202030204"/>
    <w:charset w:val="00"/>
    <w:family w:val="swiss"/>
    <w:pitch w:val="default"/>
    <w:sig w:usb0="00000000" w:usb1="00000000" w:usb2="00000000" w:usb3="00000000" w:csb0="00000001" w:csb1="00000000"/>
  </w:font>
  <w:font w:name="Trebuchet MS">
    <w:panose1 w:val="020B0603020202020204"/>
    <w:charset w:val="00"/>
    <w:family w:val="swiss"/>
    <w:pitch w:val="default"/>
    <w:sig w:usb0="00000687" w:usb1="00000000" w:usb2="00000000" w:usb3="00000000" w:csb0="2000009F" w:csb1="00000000"/>
  </w:font>
  <w:font w:name="楷体_GB2312">
    <w:panose1 w:val="02010609030101010101"/>
    <w:charset w:val="86"/>
    <w:family w:val="modern"/>
    <w:pitch w:val="default"/>
    <w:sig w:usb0="00000001" w:usb1="080E0000" w:usb2="00000000" w:usb3="00000000" w:csb0="00040000" w:csb1="00000000"/>
    <w:embedRegular r:id="rId10" w:fontKey="{19685DED-234F-49F2-A48E-EB356CB67281}"/>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embedRegular r:id="rId11" w:fontKey="{963A8F8D-42CE-4EC5-94B3-49F73D7CC7BC}"/>
  </w:font>
  <w:font w:name="华文新魏">
    <w:panose1 w:val="02010800040101010101"/>
    <w:charset w:val="86"/>
    <w:family w:val="auto"/>
    <w:pitch w:val="default"/>
    <w:sig w:usb0="00000001" w:usb1="080F0000" w:usb2="00000000" w:usb3="00000000" w:csb0="00040000" w:csb1="00000000"/>
    <w:embedRegular r:id="rId12" w:fontKey="{9758508B-211E-459B-B52B-E52B2572E6AF}"/>
  </w:font>
  <w:font w:name="微软雅黑">
    <w:panose1 w:val="020B0503020204020204"/>
    <w:charset w:val="86"/>
    <w:family w:val="swiss"/>
    <w:pitch w:val="default"/>
    <w:sig w:usb0="80000287" w:usb1="2ACF3C50" w:usb2="00000016" w:usb3="00000000" w:csb0="0004001F" w:csb1="00000000"/>
    <w:embedRegular r:id="rId13" w:fontKey="{0437A6DA-477B-486F-8D6B-346E2A3BE190}"/>
  </w:font>
  <w:font w:name="Wingdings 2">
    <w:panose1 w:val="05020102010507070707"/>
    <w:charset w:val="02"/>
    <w:family w:val="roman"/>
    <w:pitch w:val="default"/>
    <w:sig w:usb0="00000000" w:usb1="00000000" w:usb2="00000000" w:usb3="00000000" w:csb0="80000000" w:csb1="00000000"/>
    <w:embedRegular r:id="rId14" w:fontKey="{E8E8D8FF-81D0-4F86-A72E-7CDB6173FA21}"/>
  </w:font>
  <w:font w:name="TimesNewRomanPSMT">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embedRegular r:id="rId15" w:fontKey="{E981931C-32F4-44F2-A2C3-54182FC0A3D7}"/>
  </w:font>
  <w:font w:name="隶书">
    <w:panose1 w:val="02010509060101010101"/>
    <w:charset w:val="86"/>
    <w:family w:val="modern"/>
    <w:pitch w:val="default"/>
    <w:sig w:usb0="00000001" w:usb1="080E0000" w:usb2="00000000" w:usb3="00000000" w:csb0="00040000" w:csb1="00000000"/>
    <w:embedRegular r:id="rId16" w:fontKey="{F1C66ACD-4122-4937-BAFC-7578B9C76B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355978"/>
    </w:sdtPr>
    <w:sdtContent>
      <w:p w14:paraId="56453497">
        <w:pPr>
          <w:pStyle w:val="34"/>
          <w:jc w:val="center"/>
        </w:pPr>
        <w:r>
          <w:fldChar w:fldCharType="begin"/>
        </w:r>
        <w:r>
          <w:instrText xml:space="preserve"> PAGE   \* MERGEFORMAT </w:instrText>
        </w:r>
        <w:r>
          <w:fldChar w:fldCharType="separate"/>
        </w:r>
        <w:r>
          <w:rPr>
            <w:lang w:val="zh-CN"/>
          </w:rPr>
          <w:t>0</w:t>
        </w:r>
        <w:r>
          <w:rPr>
            <w:lang w:val="zh-CN"/>
          </w:rPr>
          <w:fldChar w:fldCharType="end"/>
        </w:r>
      </w:p>
    </w:sdtContent>
  </w:sdt>
  <w:p w14:paraId="46AE9B19">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3DC56">
    <w:pPr>
      <w:spacing w:line="166" w:lineRule="auto"/>
      <w:ind w:left="4225"/>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6200" cy="131445"/>
              <wp:effectExtent l="0" t="0" r="0" b="0"/>
              <wp:wrapNone/>
              <wp:docPr id="7" name="文本框 5138"/>
              <wp:cNvGraphicFramePr/>
              <a:graphic xmlns:a="http://schemas.openxmlformats.org/drawingml/2006/main">
                <a:graphicData uri="http://schemas.microsoft.com/office/word/2010/wordprocessingShape">
                  <wps:wsp>
                    <wps:cNvSpPr/>
                    <wps:spPr>
                      <a:xfrm>
                        <a:off x="0" y="0"/>
                        <a:ext cx="76200" cy="131433"/>
                      </a:xfrm>
                      <a:prstGeom prst="rect">
                        <a:avLst/>
                      </a:prstGeom>
                      <a:noFill/>
                      <a:ln w="9525" cap="flat" cmpd="sng">
                        <a:noFill/>
                        <a:prstDash val="solid"/>
                        <a:miter/>
                      </a:ln>
                      <a:effectLst/>
                    </wps:spPr>
                    <wps:txbx>
                      <w:txbxContent>
                        <w:p w14:paraId="7056DFA0">
                          <w:pPr>
                            <w:pStyle w:val="34"/>
                          </w:pPr>
                          <w:r>
                            <w:fldChar w:fldCharType="begin"/>
                          </w:r>
                          <w:r>
                            <w:instrText xml:space="preserve"> PAGE  \* MERGEFORMAT </w:instrText>
                          </w:r>
                          <w:r>
                            <w:fldChar w:fldCharType="separate"/>
                          </w:r>
                          <w:r>
                            <w:t>68</w:t>
                          </w:r>
                          <w:r>
                            <w:fldChar w:fldCharType="end"/>
                          </w:r>
                        </w:p>
                      </w:txbxContent>
                    </wps:txbx>
                    <wps:bodyPr vert="horz" wrap="none" lIns="0" tIns="0" rIns="0" bIns="0" anchor="t" anchorCtr="0" upright="1">
                      <a:spAutoFit/>
                    </wps:bodyPr>
                  </wps:wsp>
                </a:graphicData>
              </a:graphic>
            </wp:anchor>
          </w:drawing>
        </mc:Choice>
        <mc:Fallback>
          <w:pict>
            <v:rect id="文本框 5138" o:spid="_x0000_s1026" o:spt="1" style="position:absolute;left:0pt;margin-top:0pt;height:10.35pt;width:6pt;mso-position-horizontal:center;mso-position-horizontal-relative:margin;mso-wrap-style:none;z-index:251659264;mso-width-relative:page;mso-height-relative:page;" filled="f" stroked="f" coordsize="21600,21600" o:gfxdata="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tpqi0AAAAAMBAAAPAAAAAAAAAAEAIAAAACIAAABkcnMv&#10;ZG93bnJldi54bWxQSwECFAAUAAAACACHTuJAXCGglQsCAAAEBAAADgAAAAAAAAABACAAAAAfAQAA&#10;ZHJzL2Uyb0RvYy54bWxQSwUGAAAAAAYABgBZAQAAnAUAAAAA&#10;">
              <v:fill on="f" focussize="0,0"/>
              <v:stroke on="f" joinstyle="miter"/>
              <v:imagedata o:title=""/>
              <o:lock v:ext="edit" aspectratio="f"/>
              <v:textbox inset="0mm,0mm,0mm,0mm" style="mso-fit-shape-to-text:t;">
                <w:txbxContent>
                  <w:p w14:paraId="7056DFA0">
                    <w:pPr>
                      <w:pStyle w:val="34"/>
                    </w:pPr>
                    <w:r>
                      <w:fldChar w:fldCharType="begin"/>
                    </w:r>
                    <w:r>
                      <w:instrText xml:space="preserve"> PAGE  \* MERGEFORMAT </w:instrText>
                    </w:r>
                    <w:r>
                      <w:fldChar w:fldCharType="separate"/>
                    </w:r>
                    <w:r>
                      <w:t>68</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88D84">
    <w:pPr>
      <w:spacing w:line="166" w:lineRule="auto"/>
      <w:ind w:left="4225"/>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300" cy="131445"/>
              <wp:effectExtent l="0" t="0" r="0" b="0"/>
              <wp:wrapNone/>
              <wp:docPr id="9" name="文本框 9"/>
              <wp:cNvGraphicFramePr/>
              <a:graphic xmlns:a="http://schemas.openxmlformats.org/drawingml/2006/main">
                <a:graphicData uri="http://schemas.microsoft.com/office/word/2010/wordprocessingShape">
                  <wps:wsp>
                    <wps:cNvSpPr/>
                    <wps:spPr>
                      <a:xfrm>
                        <a:off x="0" y="0"/>
                        <a:ext cx="114300" cy="131433"/>
                      </a:xfrm>
                      <a:prstGeom prst="rect">
                        <a:avLst/>
                      </a:prstGeom>
                      <a:noFill/>
                      <a:ln w="6350" cap="flat" cmpd="sng">
                        <a:noFill/>
                        <a:prstDash val="solid"/>
                        <a:miter/>
                      </a:ln>
                      <a:effectLst/>
                    </wps:spPr>
                    <wps:txbx>
                      <w:txbxContent>
                        <w:p w14:paraId="1DAACEC3">
                          <w:pPr>
                            <w:pStyle w:val="34"/>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1">
                      <a:spAutoFit/>
                    </wps:bodyPr>
                  </wps:wsp>
                </a:graphicData>
              </a:graphic>
            </wp:anchor>
          </w:drawing>
        </mc:Choice>
        <mc:Fallback>
          <w:pict>
            <v:rect id="文本框 9" o:spid="_x0000_s1026" o:spt="1" style="position:absolute;left:0pt;margin-top:0pt;height:10.35pt;width:9pt;mso-position-horizontal:center;mso-position-horizontal-relative:margin;mso-wrap-style:none;z-index:251659264;mso-width-relative:page;mso-height-relative:page;" filled="f" stroked="f" coordsize="21600,21600" o:gfxdata="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&#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FJcnVAAAAAwEAAA8AAAAAAAAAAQAgAAAAIgAAAGRy&#10;cy9kb3ducmV2LnhtbFBLAQIUABQAAAAIAIdO4kAExNb5CAIAAAIEAAAOAAAAAAAAAAEAIAAAACQB&#10;AABkcnMvZTJvRG9jLnhtbFBLBQYAAAAABgAGAFkBAACeBQAAAAA=&#10;">
              <v:fill on="f" focussize="0,0"/>
              <v:stroke on="f" weight="0.5pt" joinstyle="miter"/>
              <v:imagedata o:title=""/>
              <o:lock v:ext="edit" aspectratio="f"/>
              <v:textbox inset="0mm,0mm,0mm,0mm" style="mso-fit-shape-to-text:t;">
                <w:txbxContent>
                  <w:p w14:paraId="1DAACEC3">
                    <w:pPr>
                      <w:pStyle w:val="34"/>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86A01">
    <w:pPr>
      <w:pStyle w:val="3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1450" cy="131445"/>
              <wp:effectExtent l="0" t="0" r="0" b="0"/>
              <wp:wrapNone/>
              <wp:docPr id="10" name="文本框 5121"/>
              <wp:cNvGraphicFramePr/>
              <a:graphic xmlns:a="http://schemas.openxmlformats.org/drawingml/2006/main">
                <a:graphicData uri="http://schemas.microsoft.com/office/word/2010/wordprocessingShape">
                  <wps:wsp>
                    <wps:cNvSpPr/>
                    <wps:spPr>
                      <a:xfrm>
                        <a:off x="0" y="0"/>
                        <a:ext cx="171450" cy="131433"/>
                      </a:xfrm>
                      <a:prstGeom prst="rect">
                        <a:avLst/>
                      </a:prstGeom>
                      <a:noFill/>
                      <a:ln w="9525" cap="flat" cmpd="sng">
                        <a:noFill/>
                        <a:prstDash val="solid"/>
                        <a:miter/>
                      </a:ln>
                      <a:effectLst/>
                    </wps:spPr>
                    <wps:txbx>
                      <w:txbxContent>
                        <w:p w14:paraId="2962BAAF">
                          <w:pPr>
                            <w:pStyle w:val="34"/>
                            <w:jc w:val="center"/>
                          </w:pPr>
                          <w:r>
                            <w:fldChar w:fldCharType="begin"/>
                          </w:r>
                          <w:r>
                            <w:instrText xml:space="preserve"> PAGE  \* MERGEFORMAT </w:instrText>
                          </w:r>
                          <w:r>
                            <w:fldChar w:fldCharType="separate"/>
                          </w:r>
                          <w:r>
                            <w:rPr>
                              <w:lang w:val="en-US" w:eastAsia="zh-CN"/>
                            </w:rPr>
                            <w:t>122</w:t>
                          </w:r>
                          <w:r>
                            <w:fldChar w:fldCharType="end"/>
                          </w:r>
                        </w:p>
                      </w:txbxContent>
                    </wps:txbx>
                    <wps:bodyPr vert="horz" wrap="none" lIns="0" tIns="0" rIns="0" bIns="0" anchor="t" anchorCtr="0" upright="1">
                      <a:spAutoFit/>
                    </wps:bodyPr>
                  </wps:wsp>
                </a:graphicData>
              </a:graphic>
            </wp:anchor>
          </w:drawing>
        </mc:Choice>
        <mc:Fallback>
          <w:pict>
            <v:rect id="文本框 5121" o:spid="_x0000_s1026" o:spt="1" style="position:absolute;left:0pt;margin-top:0pt;height:10.35pt;width:13.5pt;mso-position-horizontal:center;mso-position-horizontal-relative:margin;mso-wrap-style:none;z-index:251659264;mso-width-relative:page;mso-height-relative:page;" filled="f" stroked="f" coordsize="21600,21600" o:gfxdata="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i1PAA0AAAAAMBAAAPAAAAAAAAAAEAIAAAACIAAABkcnMv&#10;ZG93bnJldi54bWxQSwECFAAUAAAACACHTuJA0DUjZQsCAAAGBAAADgAAAAAAAAABACAAAAAfAQAA&#10;ZHJzL2Uyb0RvYy54bWxQSwUGAAAAAAYABgBZAQAAnAUAAAAA&#10;">
              <v:fill on="f" focussize="0,0"/>
              <v:stroke on="f" joinstyle="miter"/>
              <v:imagedata o:title=""/>
              <o:lock v:ext="edit" aspectratio="f"/>
              <v:textbox inset="0mm,0mm,0mm,0mm" style="mso-fit-shape-to-text:t;">
                <w:txbxContent>
                  <w:p w14:paraId="2962BAAF">
                    <w:pPr>
                      <w:pStyle w:val="34"/>
                      <w:jc w:val="center"/>
                    </w:pPr>
                    <w:r>
                      <w:fldChar w:fldCharType="begin"/>
                    </w:r>
                    <w:r>
                      <w:instrText xml:space="preserve"> PAGE  \* MERGEFORMAT </w:instrText>
                    </w:r>
                    <w:r>
                      <w:fldChar w:fldCharType="separate"/>
                    </w:r>
                    <w:r>
                      <w:rPr>
                        <w:lang w:val="en-US" w:eastAsia="zh-CN"/>
                      </w:rPr>
                      <w:t>122</w:t>
                    </w:r>
                    <w:r>
                      <w:fldChar w:fldCharType="end"/>
                    </w:r>
                  </w:p>
                </w:txbxContent>
              </v:textbox>
            </v:rect>
          </w:pict>
        </mc:Fallback>
      </mc:AlternateContent>
    </w:r>
  </w:p>
  <w:p w14:paraId="1D76431D">
    <w:pPr>
      <w:pStyle w:val="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DA4FA">
    <w:pPr>
      <w:pStyle w:val="3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300" cy="131445"/>
              <wp:effectExtent l="0" t="0" r="0" b="0"/>
              <wp:wrapNone/>
              <wp:docPr id="11" name="文本框 5122"/>
              <wp:cNvGraphicFramePr/>
              <a:graphic xmlns:a="http://schemas.openxmlformats.org/drawingml/2006/main">
                <a:graphicData uri="http://schemas.microsoft.com/office/word/2010/wordprocessingShape">
                  <wps:wsp>
                    <wps:cNvSpPr/>
                    <wps:spPr>
                      <a:xfrm>
                        <a:off x="0" y="0"/>
                        <a:ext cx="114300" cy="131433"/>
                      </a:xfrm>
                      <a:prstGeom prst="rect">
                        <a:avLst/>
                      </a:prstGeom>
                      <a:noFill/>
                      <a:ln w="9525" cap="flat" cmpd="sng">
                        <a:noFill/>
                        <a:prstDash val="solid"/>
                        <a:miter/>
                      </a:ln>
                      <a:effectLst/>
                    </wps:spPr>
                    <wps:txbx>
                      <w:txbxContent>
                        <w:p w14:paraId="088AA8BA">
                          <w:pPr>
                            <w:pStyle w:val="34"/>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63</w:t>
                          </w:r>
                          <w:r>
                            <w:rPr>
                              <w:rFonts w:hint="eastAsia"/>
                            </w:rPr>
                            <w:fldChar w:fldCharType="end"/>
                          </w:r>
                        </w:p>
                      </w:txbxContent>
                    </wps:txbx>
                    <wps:bodyPr vert="horz" wrap="none" lIns="0" tIns="0" rIns="0" bIns="0" anchor="t" anchorCtr="0" upright="1">
                      <a:spAutoFit/>
                    </wps:bodyPr>
                  </wps:wsp>
                </a:graphicData>
              </a:graphic>
            </wp:anchor>
          </w:drawing>
        </mc:Choice>
        <mc:Fallback>
          <w:pict>
            <v:rect id="文本框 5122" o:spid="_x0000_s1026" o:spt="1" style="position:absolute;left:0pt;margin-top:0pt;height:10.35pt;width:9pt;mso-position-horizontal:center;mso-position-horizontal-relative:margin;mso-wrap-style:none;z-index:251659264;mso-width-relative:page;mso-height-relative:page;" filled="f" stroked="f" coordsize="21600,21600" o:gfxdata="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WkXqzQAAAAAwEAAA8AAAAAAAAAAQAgAAAAIgAAAGRycy9k&#10;b3ducmV2LnhtbFBLAQIUABQAAAAIAIdO4kDTyoSbCgIAAAYEAAAOAAAAAAAAAAEAIAAAAB8BAABk&#10;cnMvZTJvRG9jLnhtbFBLBQYAAAAABgAGAFkBAACbBQAAAAA=&#10;">
              <v:fill on="f" focussize="0,0"/>
              <v:stroke on="f" joinstyle="miter"/>
              <v:imagedata o:title=""/>
              <o:lock v:ext="edit" aspectratio="f"/>
              <v:textbox inset="0mm,0mm,0mm,0mm" style="mso-fit-shape-to-text:t;">
                <w:txbxContent>
                  <w:p w14:paraId="088AA8BA">
                    <w:pPr>
                      <w:pStyle w:val="34"/>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63</w:t>
                    </w:r>
                    <w:r>
                      <w:rPr>
                        <w:rFonts w:hint="eastAsia"/>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DD5CE">
    <w:pPr>
      <w:pStyle w:val="3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7E8F25">
                          <w:pPr>
                            <w:pStyle w:val="34"/>
                          </w:pPr>
                          <w:r>
                            <w:fldChar w:fldCharType="begin"/>
                          </w:r>
                          <w:r>
                            <w:instrText xml:space="preserve"> PAGE  \* MERGEFORMAT </w:instrText>
                          </w:r>
                          <w:r>
                            <w:fldChar w:fldCharType="separate"/>
                          </w:r>
                          <w:r>
                            <w:t>108</w:t>
                          </w:r>
                          <w:r>
                            <w:fldChar w:fldCharType="end"/>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kyR6ckBAACa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Jc&#10;ZX/6ADW23QdsTMM7P+TeKQ+YzLIHFW1+oyCCdXT3fHVXDomI/NF6tV5XWBJYmw+Iwx4+DxHSe+kt&#10;yUFDI15fcZWfPkIaW+eWPM35O20M5nlt3D8JxMwZlrmPHHOUhv0wEd/79ox6erz5hjpcdErMB4fG&#10;5iWZgzgH+zk4hqgPHVJbFl4Qbo8JSRRuecIIOw3GKyvqpvXKO/H4XLoefqn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HpyQEAAJoDAAAOAAAAAAAAAAEAIAAAAB4BAABkcnMvZTJvRG9j&#10;LnhtbFBLBQYAAAAABgAGAFkBAABZBQAAAAA=&#10;">
              <v:fill on="f" focussize="0,0"/>
              <v:stroke on="f"/>
              <v:imagedata o:title=""/>
              <o:lock v:ext="edit" aspectratio="f"/>
              <v:textbox inset="0mm,0mm,0mm,0mm" style="mso-fit-shape-to-text:t;">
                <w:txbxContent>
                  <w:p w14:paraId="5D7E8F25">
                    <w:pPr>
                      <w:pStyle w:val="34"/>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126BC">
    <w:pPr>
      <w:pStyle w:val="3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3C40D8">
                          <w:pPr>
                            <w:pStyle w:val="34"/>
                          </w:pPr>
                          <w:r>
                            <w:fldChar w:fldCharType="begin"/>
                          </w:r>
                          <w:r>
                            <w:instrText xml:space="preserve"> PAGE  \* MERGEFORMAT </w:instrText>
                          </w:r>
                          <w:r>
                            <w:fldChar w:fldCharType="separate"/>
                          </w:r>
                          <w:r>
                            <w:t>75</w:t>
                          </w:r>
                          <w:r>
                            <w:fldChar w:fldCharType="end"/>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6vQMoBAACaAwAADgAAAAAAAAABACAAAAAeAQAAZHJzL2Uyb0Rv&#10;Yy54bWxQSwUGAAAAAAYABgBZAQAAWgUAAAAA&#10;">
              <v:fill on="f" focussize="0,0"/>
              <v:stroke on="f"/>
              <v:imagedata o:title=""/>
              <o:lock v:ext="edit" aspectratio="f"/>
              <v:textbox inset="0mm,0mm,0mm,0mm" style="mso-fit-shape-to-text:t;">
                <w:txbxContent>
                  <w:p w14:paraId="113C40D8">
                    <w:pPr>
                      <w:pStyle w:val="3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7FC5D">
    <w:pPr>
      <w:pStyle w:val="34"/>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24A32CA">
                          <w:pPr>
                            <w:pStyle w:val="34"/>
                            <w:jc w:val="center"/>
                          </w:pPr>
                          <w:r>
                            <w:fldChar w:fldCharType="begin"/>
                          </w:r>
                          <w:r>
                            <w:instrText xml:space="preserve"> PAGE  \* MERGEFORMAT </w:instrText>
                          </w:r>
                          <w:r>
                            <w:fldChar w:fldCharType="separate"/>
                          </w:r>
                          <w:r>
                            <w:t>114</w:t>
                          </w:r>
                          <w:r>
                            <w:fldChar w:fldCharType="end"/>
                          </w:r>
                        </w:p>
                      </w:txbxContent>
                    </wps:txbx>
                    <wps:bodyPr wrap="none" lIns="0" tIns="0" rIns="0" bIns="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Ed6MLIAQAAngMAAA4AAAAAAAAAAQAgAAAAHgEAAGRycy9lMm9Eb2Mu&#10;eG1sUEsFBgAAAAAGAAYAWQEAAFgFAAAAAA==&#10;">
              <v:fill on="f" focussize="0,0"/>
              <v:stroke on="f"/>
              <v:imagedata o:title=""/>
              <o:lock v:ext="edit" aspectratio="f"/>
              <v:textbox inset="0mm,0mm,0mm,0mm" style="mso-fit-shape-to-text:t;">
                <w:txbxContent>
                  <w:p w14:paraId="024A32CA">
                    <w:pPr>
                      <w:pStyle w:val="34"/>
                      <w:jc w:val="center"/>
                    </w:pPr>
                    <w:r>
                      <w:fldChar w:fldCharType="begin"/>
                    </w:r>
                    <w:r>
                      <w:instrText xml:space="preserve"> PAGE  \* MERGEFORMAT </w:instrText>
                    </w:r>
                    <w:r>
                      <w:fldChar w:fldCharType="separate"/>
                    </w:r>
                    <w:r>
                      <w:t>114</w:t>
                    </w:r>
                    <w:r>
                      <w:fldChar w:fldCharType="end"/>
                    </w:r>
                  </w:p>
                </w:txbxContent>
              </v:textbox>
            </v:shape>
          </w:pict>
        </mc:Fallback>
      </mc:AlternateContent>
    </w:r>
  </w:p>
  <w:p w14:paraId="7F1533C9">
    <w:pPr>
      <w:pStyle w:val="3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CCD9B">
    <w:pPr>
      <w:pStyle w:val="3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BA00CC3">
                          <w:pPr>
                            <w:pStyle w:val="34"/>
                          </w:pPr>
                          <w:r>
                            <w:fldChar w:fldCharType="begin"/>
                          </w:r>
                          <w:r>
                            <w:instrText xml:space="preserve"> PAGE  \* MERGEFORMAT </w:instrText>
                          </w:r>
                          <w:r>
                            <w:fldChar w:fldCharType="separate"/>
                          </w:r>
                          <w:r>
                            <w:t>63</w:t>
                          </w:r>
                          <w: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nAwUSyQEAAJ4DAAAOAAAAAAAAAAEAIAAAAB4BAABkcnMvZTJvRG9j&#10;LnhtbFBLBQYAAAAABgAGAFkBAABZBQAAAAA=&#10;">
              <v:fill on="f" focussize="0,0"/>
              <v:stroke on="f"/>
              <v:imagedata o:title=""/>
              <o:lock v:ext="edit" aspectratio="f"/>
              <v:textbox inset="0mm,0mm,0mm,0mm" style="mso-fit-shape-to-text:t;">
                <w:txbxContent>
                  <w:p w14:paraId="0BA00CC3">
                    <w:pPr>
                      <w:pStyle w:val="34"/>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A8E96">
    <w:pPr>
      <w:pStyle w:val="35"/>
      <w:pBdr>
        <w:bottom w:val="none" w:color="auto" w:sz="0" w:space="0"/>
      </w:pBdr>
      <w:jc w:val="both"/>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7031B"/>
    <w:multiLevelType w:val="singleLevel"/>
    <w:tmpl w:val="8447031B"/>
    <w:lvl w:ilvl="0" w:tentative="0">
      <w:start w:val="1"/>
      <w:numFmt w:val="decimal"/>
      <w:suff w:val="nothing"/>
      <w:lvlText w:val="（%1）"/>
      <w:lvlJc w:val="left"/>
    </w:lvl>
  </w:abstractNum>
  <w:abstractNum w:abstractNumId="1">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0C71DA5F"/>
    <w:multiLevelType w:val="singleLevel"/>
    <w:tmpl w:val="0C71DA5F"/>
    <w:lvl w:ilvl="0" w:tentative="0">
      <w:start w:val="1"/>
      <w:numFmt w:val="decimal"/>
      <w:suff w:val="nothing"/>
      <w:lvlText w:val="%1、"/>
      <w:lvlJc w:val="left"/>
    </w:lvl>
  </w:abstractNum>
  <w:abstractNum w:abstractNumId="4">
    <w:nsid w:val="508D7A92"/>
    <w:multiLevelType w:val="singleLevel"/>
    <w:tmpl w:val="508D7A92"/>
    <w:lvl w:ilvl="0" w:tentative="0">
      <w:start w:val="1"/>
      <w:numFmt w:val="decimal"/>
      <w:pStyle w:val="476"/>
      <w:suff w:val="nothing"/>
      <w:lvlText w:val="（%1）"/>
      <w:lvlJc w:val="left"/>
    </w:lvl>
  </w:abstractNum>
  <w:abstractNum w:abstractNumId="5">
    <w:nsid w:val="5498E193"/>
    <w:multiLevelType w:val="singleLevel"/>
    <w:tmpl w:val="5498E193"/>
    <w:lvl w:ilvl="0" w:tentative="0">
      <w:start w:val="11"/>
      <w:numFmt w:val="decimal"/>
      <w:suff w:val="space"/>
      <w:lvlText w:val="%1."/>
      <w:lvlJc w:val="left"/>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hM2NlMWFiN2VjNmVjNmQ2ZThiMTgwOWY0ZjcxMmEifQ=="/>
  </w:docVars>
  <w:rsids>
    <w:rsidRoot w:val="00F34B14"/>
    <w:rsid w:val="00000672"/>
    <w:rsid w:val="00001013"/>
    <w:rsid w:val="00001799"/>
    <w:rsid w:val="00001AF2"/>
    <w:rsid w:val="00001ECA"/>
    <w:rsid w:val="00002D29"/>
    <w:rsid w:val="000039AC"/>
    <w:rsid w:val="00003B93"/>
    <w:rsid w:val="0000474D"/>
    <w:rsid w:val="00005FDF"/>
    <w:rsid w:val="000070B3"/>
    <w:rsid w:val="000076B8"/>
    <w:rsid w:val="0001047A"/>
    <w:rsid w:val="000109DC"/>
    <w:rsid w:val="00010D39"/>
    <w:rsid w:val="0001172C"/>
    <w:rsid w:val="00011A4D"/>
    <w:rsid w:val="00011BC9"/>
    <w:rsid w:val="00012854"/>
    <w:rsid w:val="00012EA6"/>
    <w:rsid w:val="00012F70"/>
    <w:rsid w:val="00013359"/>
    <w:rsid w:val="000139CF"/>
    <w:rsid w:val="00013AA4"/>
    <w:rsid w:val="00013DFE"/>
    <w:rsid w:val="000141EA"/>
    <w:rsid w:val="00015094"/>
    <w:rsid w:val="00016ABC"/>
    <w:rsid w:val="000177DB"/>
    <w:rsid w:val="000179C9"/>
    <w:rsid w:val="00017CCC"/>
    <w:rsid w:val="00020227"/>
    <w:rsid w:val="00020263"/>
    <w:rsid w:val="00020455"/>
    <w:rsid w:val="00020527"/>
    <w:rsid w:val="00020813"/>
    <w:rsid w:val="00021D14"/>
    <w:rsid w:val="000220B2"/>
    <w:rsid w:val="0002264C"/>
    <w:rsid w:val="00022731"/>
    <w:rsid w:val="00022792"/>
    <w:rsid w:val="00024463"/>
    <w:rsid w:val="00025461"/>
    <w:rsid w:val="00025636"/>
    <w:rsid w:val="00025E36"/>
    <w:rsid w:val="00026855"/>
    <w:rsid w:val="00026886"/>
    <w:rsid w:val="0002785D"/>
    <w:rsid w:val="000329E0"/>
    <w:rsid w:val="00033DD1"/>
    <w:rsid w:val="0003417F"/>
    <w:rsid w:val="00034846"/>
    <w:rsid w:val="000352E9"/>
    <w:rsid w:val="00035494"/>
    <w:rsid w:val="00036125"/>
    <w:rsid w:val="00036A07"/>
    <w:rsid w:val="0003780B"/>
    <w:rsid w:val="00040571"/>
    <w:rsid w:val="00040973"/>
    <w:rsid w:val="0004156E"/>
    <w:rsid w:val="00041713"/>
    <w:rsid w:val="000440C6"/>
    <w:rsid w:val="0004440C"/>
    <w:rsid w:val="00046B5E"/>
    <w:rsid w:val="000470CB"/>
    <w:rsid w:val="000509D9"/>
    <w:rsid w:val="00051ACB"/>
    <w:rsid w:val="000533E7"/>
    <w:rsid w:val="00055D41"/>
    <w:rsid w:val="00057CD6"/>
    <w:rsid w:val="00060DCE"/>
    <w:rsid w:val="000610E3"/>
    <w:rsid w:val="000614F3"/>
    <w:rsid w:val="000623B4"/>
    <w:rsid w:val="00062405"/>
    <w:rsid w:val="000634A7"/>
    <w:rsid w:val="00063B0B"/>
    <w:rsid w:val="00063F81"/>
    <w:rsid w:val="00064847"/>
    <w:rsid w:val="00065E08"/>
    <w:rsid w:val="00066674"/>
    <w:rsid w:val="000673E2"/>
    <w:rsid w:val="0007063F"/>
    <w:rsid w:val="000707FD"/>
    <w:rsid w:val="00070949"/>
    <w:rsid w:val="000711E4"/>
    <w:rsid w:val="000724D9"/>
    <w:rsid w:val="00072AED"/>
    <w:rsid w:val="00073F47"/>
    <w:rsid w:val="0007492F"/>
    <w:rsid w:val="00074ED8"/>
    <w:rsid w:val="00075B7E"/>
    <w:rsid w:val="00077ACA"/>
    <w:rsid w:val="00077C70"/>
    <w:rsid w:val="000813B5"/>
    <w:rsid w:val="00081BA3"/>
    <w:rsid w:val="00081D2E"/>
    <w:rsid w:val="00081F89"/>
    <w:rsid w:val="00082038"/>
    <w:rsid w:val="00082619"/>
    <w:rsid w:val="00082D02"/>
    <w:rsid w:val="00083871"/>
    <w:rsid w:val="00083B91"/>
    <w:rsid w:val="0008473C"/>
    <w:rsid w:val="0008520B"/>
    <w:rsid w:val="00085B9A"/>
    <w:rsid w:val="000860BD"/>
    <w:rsid w:val="000871B8"/>
    <w:rsid w:val="000910AD"/>
    <w:rsid w:val="000916DA"/>
    <w:rsid w:val="00092442"/>
    <w:rsid w:val="000929EF"/>
    <w:rsid w:val="000933BE"/>
    <w:rsid w:val="00093CD4"/>
    <w:rsid w:val="0009560F"/>
    <w:rsid w:val="0009588E"/>
    <w:rsid w:val="000959EE"/>
    <w:rsid w:val="00097183"/>
    <w:rsid w:val="000972CB"/>
    <w:rsid w:val="00097608"/>
    <w:rsid w:val="000A13F3"/>
    <w:rsid w:val="000A1B09"/>
    <w:rsid w:val="000A2045"/>
    <w:rsid w:val="000A23B1"/>
    <w:rsid w:val="000A2B0E"/>
    <w:rsid w:val="000A357B"/>
    <w:rsid w:val="000A398F"/>
    <w:rsid w:val="000A3BB7"/>
    <w:rsid w:val="000A448C"/>
    <w:rsid w:val="000A509C"/>
    <w:rsid w:val="000A54A7"/>
    <w:rsid w:val="000A6007"/>
    <w:rsid w:val="000A65A6"/>
    <w:rsid w:val="000A70E3"/>
    <w:rsid w:val="000A7275"/>
    <w:rsid w:val="000A7A12"/>
    <w:rsid w:val="000A7A72"/>
    <w:rsid w:val="000B0E7C"/>
    <w:rsid w:val="000B1202"/>
    <w:rsid w:val="000B1801"/>
    <w:rsid w:val="000B1D0C"/>
    <w:rsid w:val="000B2273"/>
    <w:rsid w:val="000B2585"/>
    <w:rsid w:val="000B2BC6"/>
    <w:rsid w:val="000B2D03"/>
    <w:rsid w:val="000B3815"/>
    <w:rsid w:val="000B3C7B"/>
    <w:rsid w:val="000B3ED8"/>
    <w:rsid w:val="000B4321"/>
    <w:rsid w:val="000B6A6B"/>
    <w:rsid w:val="000B6C95"/>
    <w:rsid w:val="000B79FC"/>
    <w:rsid w:val="000B7BD1"/>
    <w:rsid w:val="000C02B1"/>
    <w:rsid w:val="000C1679"/>
    <w:rsid w:val="000C1EE3"/>
    <w:rsid w:val="000C3AE7"/>
    <w:rsid w:val="000C3CC9"/>
    <w:rsid w:val="000C520D"/>
    <w:rsid w:val="000C6DE4"/>
    <w:rsid w:val="000C7202"/>
    <w:rsid w:val="000C7AAB"/>
    <w:rsid w:val="000D0A89"/>
    <w:rsid w:val="000D1389"/>
    <w:rsid w:val="000D1798"/>
    <w:rsid w:val="000D2626"/>
    <w:rsid w:val="000D291C"/>
    <w:rsid w:val="000D3FB6"/>
    <w:rsid w:val="000D411D"/>
    <w:rsid w:val="000D4589"/>
    <w:rsid w:val="000D4809"/>
    <w:rsid w:val="000D73DD"/>
    <w:rsid w:val="000E1C51"/>
    <w:rsid w:val="000E28AB"/>
    <w:rsid w:val="000E2E3E"/>
    <w:rsid w:val="000E3583"/>
    <w:rsid w:val="000E3AF0"/>
    <w:rsid w:val="000E4E04"/>
    <w:rsid w:val="000E693B"/>
    <w:rsid w:val="000E6EC9"/>
    <w:rsid w:val="000E70B4"/>
    <w:rsid w:val="000E7B62"/>
    <w:rsid w:val="000F0E1E"/>
    <w:rsid w:val="000F1A1B"/>
    <w:rsid w:val="000F2A95"/>
    <w:rsid w:val="000F3281"/>
    <w:rsid w:val="000F32FD"/>
    <w:rsid w:val="000F3733"/>
    <w:rsid w:val="000F5F8B"/>
    <w:rsid w:val="000F6153"/>
    <w:rsid w:val="000F63C8"/>
    <w:rsid w:val="000F64AA"/>
    <w:rsid w:val="000F7AF4"/>
    <w:rsid w:val="000F7C33"/>
    <w:rsid w:val="000F7F0C"/>
    <w:rsid w:val="001004D6"/>
    <w:rsid w:val="00102676"/>
    <w:rsid w:val="00103646"/>
    <w:rsid w:val="00103918"/>
    <w:rsid w:val="00104897"/>
    <w:rsid w:val="00104EDE"/>
    <w:rsid w:val="00105CDA"/>
    <w:rsid w:val="00106BEE"/>
    <w:rsid w:val="00107C74"/>
    <w:rsid w:val="0011091C"/>
    <w:rsid w:val="00111266"/>
    <w:rsid w:val="001112EB"/>
    <w:rsid w:val="00112768"/>
    <w:rsid w:val="00113678"/>
    <w:rsid w:val="00113C3E"/>
    <w:rsid w:val="00115E11"/>
    <w:rsid w:val="00115EEE"/>
    <w:rsid w:val="00115F56"/>
    <w:rsid w:val="00116CA9"/>
    <w:rsid w:val="00116F38"/>
    <w:rsid w:val="001170A4"/>
    <w:rsid w:val="00117AE7"/>
    <w:rsid w:val="00117CBD"/>
    <w:rsid w:val="0012006A"/>
    <w:rsid w:val="00121979"/>
    <w:rsid w:val="00122064"/>
    <w:rsid w:val="00124341"/>
    <w:rsid w:val="00124492"/>
    <w:rsid w:val="00124B12"/>
    <w:rsid w:val="001250A0"/>
    <w:rsid w:val="001263B8"/>
    <w:rsid w:val="0012763E"/>
    <w:rsid w:val="00130217"/>
    <w:rsid w:val="00130783"/>
    <w:rsid w:val="00130A47"/>
    <w:rsid w:val="00130BBB"/>
    <w:rsid w:val="00130D7C"/>
    <w:rsid w:val="00132339"/>
    <w:rsid w:val="00132B47"/>
    <w:rsid w:val="001333EC"/>
    <w:rsid w:val="001337F8"/>
    <w:rsid w:val="001348B4"/>
    <w:rsid w:val="001351CB"/>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9CF"/>
    <w:rsid w:val="00150D1D"/>
    <w:rsid w:val="001525AA"/>
    <w:rsid w:val="00152A87"/>
    <w:rsid w:val="00153BB5"/>
    <w:rsid w:val="00154518"/>
    <w:rsid w:val="00154A9C"/>
    <w:rsid w:val="00156359"/>
    <w:rsid w:val="001568F3"/>
    <w:rsid w:val="00156DD6"/>
    <w:rsid w:val="0016086E"/>
    <w:rsid w:val="00160D0C"/>
    <w:rsid w:val="00161172"/>
    <w:rsid w:val="00161998"/>
    <w:rsid w:val="00161E65"/>
    <w:rsid w:val="00162597"/>
    <w:rsid w:val="001629AF"/>
    <w:rsid w:val="001629FD"/>
    <w:rsid w:val="0016428A"/>
    <w:rsid w:val="001647C9"/>
    <w:rsid w:val="00165627"/>
    <w:rsid w:val="00165929"/>
    <w:rsid w:val="001661A3"/>
    <w:rsid w:val="00167226"/>
    <w:rsid w:val="0016782B"/>
    <w:rsid w:val="0016784D"/>
    <w:rsid w:val="0017028C"/>
    <w:rsid w:val="00172CA8"/>
    <w:rsid w:val="00173256"/>
    <w:rsid w:val="00173B0E"/>
    <w:rsid w:val="00173E03"/>
    <w:rsid w:val="00174182"/>
    <w:rsid w:val="00174C13"/>
    <w:rsid w:val="0017512C"/>
    <w:rsid w:val="0017586A"/>
    <w:rsid w:val="00175BA6"/>
    <w:rsid w:val="00176CA7"/>
    <w:rsid w:val="00176F8E"/>
    <w:rsid w:val="001778C5"/>
    <w:rsid w:val="00177A0C"/>
    <w:rsid w:val="00177E56"/>
    <w:rsid w:val="00177F0A"/>
    <w:rsid w:val="00180DA0"/>
    <w:rsid w:val="00181EAD"/>
    <w:rsid w:val="00181F43"/>
    <w:rsid w:val="00182862"/>
    <w:rsid w:val="00184F57"/>
    <w:rsid w:val="00185544"/>
    <w:rsid w:val="00185617"/>
    <w:rsid w:val="00186823"/>
    <w:rsid w:val="00186FE1"/>
    <w:rsid w:val="00187A14"/>
    <w:rsid w:val="0019171E"/>
    <w:rsid w:val="00192368"/>
    <w:rsid w:val="001923A0"/>
    <w:rsid w:val="001928B1"/>
    <w:rsid w:val="00193537"/>
    <w:rsid w:val="00193846"/>
    <w:rsid w:val="00195424"/>
    <w:rsid w:val="001955FF"/>
    <w:rsid w:val="00196D6E"/>
    <w:rsid w:val="00197EDD"/>
    <w:rsid w:val="001A02B3"/>
    <w:rsid w:val="001A04BB"/>
    <w:rsid w:val="001A08D0"/>
    <w:rsid w:val="001A1B39"/>
    <w:rsid w:val="001A2120"/>
    <w:rsid w:val="001A28C6"/>
    <w:rsid w:val="001A2E69"/>
    <w:rsid w:val="001A3C34"/>
    <w:rsid w:val="001A3EDE"/>
    <w:rsid w:val="001A4222"/>
    <w:rsid w:val="001A50EA"/>
    <w:rsid w:val="001A5BA2"/>
    <w:rsid w:val="001A5E24"/>
    <w:rsid w:val="001A6B27"/>
    <w:rsid w:val="001A6D8B"/>
    <w:rsid w:val="001A6DAA"/>
    <w:rsid w:val="001A7717"/>
    <w:rsid w:val="001A793A"/>
    <w:rsid w:val="001B125A"/>
    <w:rsid w:val="001B1EBA"/>
    <w:rsid w:val="001B2142"/>
    <w:rsid w:val="001B2F2B"/>
    <w:rsid w:val="001B327A"/>
    <w:rsid w:val="001B35DE"/>
    <w:rsid w:val="001B3A13"/>
    <w:rsid w:val="001B3F5C"/>
    <w:rsid w:val="001B59FF"/>
    <w:rsid w:val="001B6512"/>
    <w:rsid w:val="001B65D7"/>
    <w:rsid w:val="001B6752"/>
    <w:rsid w:val="001B6768"/>
    <w:rsid w:val="001B6F1F"/>
    <w:rsid w:val="001B7CD7"/>
    <w:rsid w:val="001B7ECC"/>
    <w:rsid w:val="001C025B"/>
    <w:rsid w:val="001C115F"/>
    <w:rsid w:val="001C1EAB"/>
    <w:rsid w:val="001C25A7"/>
    <w:rsid w:val="001C318C"/>
    <w:rsid w:val="001C35C4"/>
    <w:rsid w:val="001C4287"/>
    <w:rsid w:val="001C4479"/>
    <w:rsid w:val="001C4F46"/>
    <w:rsid w:val="001C5190"/>
    <w:rsid w:val="001C6081"/>
    <w:rsid w:val="001C618A"/>
    <w:rsid w:val="001C7B48"/>
    <w:rsid w:val="001D0CFB"/>
    <w:rsid w:val="001D1A0D"/>
    <w:rsid w:val="001D343C"/>
    <w:rsid w:val="001D34F5"/>
    <w:rsid w:val="001D366B"/>
    <w:rsid w:val="001D56FC"/>
    <w:rsid w:val="001D58A1"/>
    <w:rsid w:val="001D58C2"/>
    <w:rsid w:val="001D5A8A"/>
    <w:rsid w:val="001D61CA"/>
    <w:rsid w:val="001D6E87"/>
    <w:rsid w:val="001D72EE"/>
    <w:rsid w:val="001D735E"/>
    <w:rsid w:val="001D73C8"/>
    <w:rsid w:val="001D7BC6"/>
    <w:rsid w:val="001E129E"/>
    <w:rsid w:val="001E175C"/>
    <w:rsid w:val="001E1B0E"/>
    <w:rsid w:val="001E3B63"/>
    <w:rsid w:val="001E522E"/>
    <w:rsid w:val="001E536E"/>
    <w:rsid w:val="001E5A94"/>
    <w:rsid w:val="001E5F6F"/>
    <w:rsid w:val="001F0373"/>
    <w:rsid w:val="001F2A2E"/>
    <w:rsid w:val="001F3356"/>
    <w:rsid w:val="001F3C63"/>
    <w:rsid w:val="001F4460"/>
    <w:rsid w:val="001F50F5"/>
    <w:rsid w:val="001F711A"/>
    <w:rsid w:val="001F75B0"/>
    <w:rsid w:val="00200CE5"/>
    <w:rsid w:val="00200F7C"/>
    <w:rsid w:val="002014DB"/>
    <w:rsid w:val="0020150B"/>
    <w:rsid w:val="00201E12"/>
    <w:rsid w:val="002033B5"/>
    <w:rsid w:val="0020382C"/>
    <w:rsid w:val="0020437A"/>
    <w:rsid w:val="0020454C"/>
    <w:rsid w:val="00204740"/>
    <w:rsid w:val="00205129"/>
    <w:rsid w:val="0020521F"/>
    <w:rsid w:val="0020532C"/>
    <w:rsid w:val="002114C7"/>
    <w:rsid w:val="0021302C"/>
    <w:rsid w:val="00213B1C"/>
    <w:rsid w:val="00214202"/>
    <w:rsid w:val="002142FB"/>
    <w:rsid w:val="002148E3"/>
    <w:rsid w:val="0021552D"/>
    <w:rsid w:val="002156AE"/>
    <w:rsid w:val="00215E99"/>
    <w:rsid w:val="0022054D"/>
    <w:rsid w:val="00223DDB"/>
    <w:rsid w:val="00223FA4"/>
    <w:rsid w:val="00223FB0"/>
    <w:rsid w:val="00224067"/>
    <w:rsid w:val="0022421C"/>
    <w:rsid w:val="00224E83"/>
    <w:rsid w:val="00225664"/>
    <w:rsid w:val="0022663D"/>
    <w:rsid w:val="00227F2D"/>
    <w:rsid w:val="00230179"/>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4DC9"/>
    <w:rsid w:val="00245587"/>
    <w:rsid w:val="00245F2B"/>
    <w:rsid w:val="00247442"/>
    <w:rsid w:val="00247F3A"/>
    <w:rsid w:val="00250122"/>
    <w:rsid w:val="00250755"/>
    <w:rsid w:val="00251043"/>
    <w:rsid w:val="00251C4A"/>
    <w:rsid w:val="0025271C"/>
    <w:rsid w:val="002529E4"/>
    <w:rsid w:val="002533CD"/>
    <w:rsid w:val="002535EA"/>
    <w:rsid w:val="00254EAB"/>
    <w:rsid w:val="002557AF"/>
    <w:rsid w:val="0025589C"/>
    <w:rsid w:val="00255B62"/>
    <w:rsid w:val="002566B1"/>
    <w:rsid w:val="002575E3"/>
    <w:rsid w:val="00257A74"/>
    <w:rsid w:val="002603C1"/>
    <w:rsid w:val="002609A1"/>
    <w:rsid w:val="002612B1"/>
    <w:rsid w:val="00266165"/>
    <w:rsid w:val="002662FE"/>
    <w:rsid w:val="00266AE5"/>
    <w:rsid w:val="00266F2C"/>
    <w:rsid w:val="0027125E"/>
    <w:rsid w:val="00271767"/>
    <w:rsid w:val="00272293"/>
    <w:rsid w:val="002723C8"/>
    <w:rsid w:val="00273C2A"/>
    <w:rsid w:val="00273CBE"/>
    <w:rsid w:val="002746B1"/>
    <w:rsid w:val="00274BAD"/>
    <w:rsid w:val="00282D56"/>
    <w:rsid w:val="002835B0"/>
    <w:rsid w:val="00283C74"/>
    <w:rsid w:val="0028407E"/>
    <w:rsid w:val="0028410F"/>
    <w:rsid w:val="00284572"/>
    <w:rsid w:val="00285221"/>
    <w:rsid w:val="00286FB5"/>
    <w:rsid w:val="00287763"/>
    <w:rsid w:val="00287FCB"/>
    <w:rsid w:val="00290606"/>
    <w:rsid w:val="002909B2"/>
    <w:rsid w:val="00291D6D"/>
    <w:rsid w:val="00291FF1"/>
    <w:rsid w:val="00292AA2"/>
    <w:rsid w:val="00293361"/>
    <w:rsid w:val="002952B1"/>
    <w:rsid w:val="00295D11"/>
    <w:rsid w:val="002962F6"/>
    <w:rsid w:val="00296FB6"/>
    <w:rsid w:val="002A0001"/>
    <w:rsid w:val="002A0BD9"/>
    <w:rsid w:val="002A0C3A"/>
    <w:rsid w:val="002A1130"/>
    <w:rsid w:val="002A1880"/>
    <w:rsid w:val="002A23B7"/>
    <w:rsid w:val="002A249C"/>
    <w:rsid w:val="002A3A57"/>
    <w:rsid w:val="002A4B4F"/>
    <w:rsid w:val="002A57A8"/>
    <w:rsid w:val="002A6DEF"/>
    <w:rsid w:val="002A6E42"/>
    <w:rsid w:val="002A770B"/>
    <w:rsid w:val="002B013E"/>
    <w:rsid w:val="002B058D"/>
    <w:rsid w:val="002B0C16"/>
    <w:rsid w:val="002B2AC5"/>
    <w:rsid w:val="002B3528"/>
    <w:rsid w:val="002B3539"/>
    <w:rsid w:val="002B4532"/>
    <w:rsid w:val="002B5042"/>
    <w:rsid w:val="002B5E8B"/>
    <w:rsid w:val="002B69CC"/>
    <w:rsid w:val="002B6D71"/>
    <w:rsid w:val="002C0C1C"/>
    <w:rsid w:val="002C2AD3"/>
    <w:rsid w:val="002C54C2"/>
    <w:rsid w:val="002C5D34"/>
    <w:rsid w:val="002C5D7F"/>
    <w:rsid w:val="002C60BB"/>
    <w:rsid w:val="002C661A"/>
    <w:rsid w:val="002C78C8"/>
    <w:rsid w:val="002D0D6F"/>
    <w:rsid w:val="002D25FC"/>
    <w:rsid w:val="002D2EC9"/>
    <w:rsid w:val="002D4AC6"/>
    <w:rsid w:val="002D5BF5"/>
    <w:rsid w:val="002D5E95"/>
    <w:rsid w:val="002D5EE8"/>
    <w:rsid w:val="002D7360"/>
    <w:rsid w:val="002D7648"/>
    <w:rsid w:val="002D780A"/>
    <w:rsid w:val="002E109C"/>
    <w:rsid w:val="002E193E"/>
    <w:rsid w:val="002E1A94"/>
    <w:rsid w:val="002E1D55"/>
    <w:rsid w:val="002E26C4"/>
    <w:rsid w:val="002E30A5"/>
    <w:rsid w:val="002E47E4"/>
    <w:rsid w:val="002E4BF9"/>
    <w:rsid w:val="002E4D61"/>
    <w:rsid w:val="002E5FED"/>
    <w:rsid w:val="002E68A7"/>
    <w:rsid w:val="002E6E6C"/>
    <w:rsid w:val="002F0522"/>
    <w:rsid w:val="002F0B85"/>
    <w:rsid w:val="002F16DD"/>
    <w:rsid w:val="002F199D"/>
    <w:rsid w:val="002F213C"/>
    <w:rsid w:val="002F2453"/>
    <w:rsid w:val="002F2C29"/>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1ADC"/>
    <w:rsid w:val="00302EFC"/>
    <w:rsid w:val="00303243"/>
    <w:rsid w:val="00303BCC"/>
    <w:rsid w:val="00303F2B"/>
    <w:rsid w:val="00303F8D"/>
    <w:rsid w:val="0030572D"/>
    <w:rsid w:val="0030586A"/>
    <w:rsid w:val="0030622D"/>
    <w:rsid w:val="00306811"/>
    <w:rsid w:val="00306F32"/>
    <w:rsid w:val="003074C5"/>
    <w:rsid w:val="00307A3C"/>
    <w:rsid w:val="00307FA4"/>
    <w:rsid w:val="00310290"/>
    <w:rsid w:val="0031083D"/>
    <w:rsid w:val="00310CC1"/>
    <w:rsid w:val="00311B60"/>
    <w:rsid w:val="00312504"/>
    <w:rsid w:val="003127D0"/>
    <w:rsid w:val="00313026"/>
    <w:rsid w:val="00313913"/>
    <w:rsid w:val="0031421F"/>
    <w:rsid w:val="0031439A"/>
    <w:rsid w:val="00314B31"/>
    <w:rsid w:val="00315A65"/>
    <w:rsid w:val="003165D7"/>
    <w:rsid w:val="00317BA7"/>
    <w:rsid w:val="00320BE2"/>
    <w:rsid w:val="00321886"/>
    <w:rsid w:val="00323694"/>
    <w:rsid w:val="00323BE7"/>
    <w:rsid w:val="00324C3A"/>
    <w:rsid w:val="00324D63"/>
    <w:rsid w:val="003255AF"/>
    <w:rsid w:val="003256EB"/>
    <w:rsid w:val="003259DB"/>
    <w:rsid w:val="003314D9"/>
    <w:rsid w:val="00331653"/>
    <w:rsid w:val="00331A48"/>
    <w:rsid w:val="00331BCC"/>
    <w:rsid w:val="003330C9"/>
    <w:rsid w:val="0033364C"/>
    <w:rsid w:val="00334415"/>
    <w:rsid w:val="00335EA1"/>
    <w:rsid w:val="0033691E"/>
    <w:rsid w:val="00336A6A"/>
    <w:rsid w:val="00336CCB"/>
    <w:rsid w:val="003411D1"/>
    <w:rsid w:val="003416BA"/>
    <w:rsid w:val="00342148"/>
    <w:rsid w:val="00342F99"/>
    <w:rsid w:val="0034575A"/>
    <w:rsid w:val="00345C12"/>
    <w:rsid w:val="00345F57"/>
    <w:rsid w:val="00350458"/>
    <w:rsid w:val="00350BBA"/>
    <w:rsid w:val="00350E6C"/>
    <w:rsid w:val="003518A6"/>
    <w:rsid w:val="00351E7F"/>
    <w:rsid w:val="00352953"/>
    <w:rsid w:val="00354062"/>
    <w:rsid w:val="0035459E"/>
    <w:rsid w:val="00355C0D"/>
    <w:rsid w:val="003566A9"/>
    <w:rsid w:val="00356988"/>
    <w:rsid w:val="003569D3"/>
    <w:rsid w:val="00356CE9"/>
    <w:rsid w:val="003570BB"/>
    <w:rsid w:val="00357128"/>
    <w:rsid w:val="0035755E"/>
    <w:rsid w:val="00357A80"/>
    <w:rsid w:val="00361441"/>
    <w:rsid w:val="00361B8B"/>
    <w:rsid w:val="00362972"/>
    <w:rsid w:val="00363F39"/>
    <w:rsid w:val="0036445C"/>
    <w:rsid w:val="00364627"/>
    <w:rsid w:val="00364AB0"/>
    <w:rsid w:val="00364D71"/>
    <w:rsid w:val="003667B0"/>
    <w:rsid w:val="003667DD"/>
    <w:rsid w:val="00366B48"/>
    <w:rsid w:val="00367764"/>
    <w:rsid w:val="00370316"/>
    <w:rsid w:val="003707BC"/>
    <w:rsid w:val="00370DC7"/>
    <w:rsid w:val="00371CBD"/>
    <w:rsid w:val="00371F20"/>
    <w:rsid w:val="003721E3"/>
    <w:rsid w:val="00372B98"/>
    <w:rsid w:val="003737B7"/>
    <w:rsid w:val="003740CC"/>
    <w:rsid w:val="003745F4"/>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444F"/>
    <w:rsid w:val="003861F0"/>
    <w:rsid w:val="00386480"/>
    <w:rsid w:val="00387051"/>
    <w:rsid w:val="00387ECF"/>
    <w:rsid w:val="0039021B"/>
    <w:rsid w:val="00390429"/>
    <w:rsid w:val="003906A0"/>
    <w:rsid w:val="00391D4B"/>
    <w:rsid w:val="0039366C"/>
    <w:rsid w:val="00393EC8"/>
    <w:rsid w:val="003950F5"/>
    <w:rsid w:val="0039538F"/>
    <w:rsid w:val="00395E42"/>
    <w:rsid w:val="00396409"/>
    <w:rsid w:val="00396A2D"/>
    <w:rsid w:val="00396A5B"/>
    <w:rsid w:val="00396FC3"/>
    <w:rsid w:val="003A1A94"/>
    <w:rsid w:val="003A204E"/>
    <w:rsid w:val="003A24AC"/>
    <w:rsid w:val="003A2D25"/>
    <w:rsid w:val="003A5728"/>
    <w:rsid w:val="003A60E7"/>
    <w:rsid w:val="003A7092"/>
    <w:rsid w:val="003A72A1"/>
    <w:rsid w:val="003A7611"/>
    <w:rsid w:val="003A7D1F"/>
    <w:rsid w:val="003B0B6A"/>
    <w:rsid w:val="003B22F7"/>
    <w:rsid w:val="003B29CF"/>
    <w:rsid w:val="003B3A90"/>
    <w:rsid w:val="003B534F"/>
    <w:rsid w:val="003B5E4F"/>
    <w:rsid w:val="003B7A79"/>
    <w:rsid w:val="003C0FE1"/>
    <w:rsid w:val="003C151A"/>
    <w:rsid w:val="003C350C"/>
    <w:rsid w:val="003C3903"/>
    <w:rsid w:val="003C3BA0"/>
    <w:rsid w:val="003C4580"/>
    <w:rsid w:val="003C4944"/>
    <w:rsid w:val="003C5C5E"/>
    <w:rsid w:val="003C6746"/>
    <w:rsid w:val="003C6B07"/>
    <w:rsid w:val="003C6DFE"/>
    <w:rsid w:val="003C7555"/>
    <w:rsid w:val="003C7898"/>
    <w:rsid w:val="003D0FF5"/>
    <w:rsid w:val="003D11A3"/>
    <w:rsid w:val="003D1537"/>
    <w:rsid w:val="003D183C"/>
    <w:rsid w:val="003D2D1B"/>
    <w:rsid w:val="003D48C7"/>
    <w:rsid w:val="003D4C27"/>
    <w:rsid w:val="003D7109"/>
    <w:rsid w:val="003D7CE8"/>
    <w:rsid w:val="003E0514"/>
    <w:rsid w:val="003E1032"/>
    <w:rsid w:val="003E1904"/>
    <w:rsid w:val="003E285E"/>
    <w:rsid w:val="003E3124"/>
    <w:rsid w:val="003E3300"/>
    <w:rsid w:val="003E43D3"/>
    <w:rsid w:val="003E48E1"/>
    <w:rsid w:val="003E59BB"/>
    <w:rsid w:val="003E6225"/>
    <w:rsid w:val="003E65AC"/>
    <w:rsid w:val="003E66AE"/>
    <w:rsid w:val="003E72B9"/>
    <w:rsid w:val="003E7ED4"/>
    <w:rsid w:val="003F0E52"/>
    <w:rsid w:val="003F0F6B"/>
    <w:rsid w:val="003F10D8"/>
    <w:rsid w:val="003F1FC6"/>
    <w:rsid w:val="003F1FE3"/>
    <w:rsid w:val="003F2359"/>
    <w:rsid w:val="003F3865"/>
    <w:rsid w:val="003F3D55"/>
    <w:rsid w:val="003F44E2"/>
    <w:rsid w:val="003F4632"/>
    <w:rsid w:val="003F47BA"/>
    <w:rsid w:val="003F4FE6"/>
    <w:rsid w:val="003F5638"/>
    <w:rsid w:val="003F6617"/>
    <w:rsid w:val="003F7F73"/>
    <w:rsid w:val="00402332"/>
    <w:rsid w:val="004025C2"/>
    <w:rsid w:val="00403195"/>
    <w:rsid w:val="004033A9"/>
    <w:rsid w:val="00403E55"/>
    <w:rsid w:val="0040407C"/>
    <w:rsid w:val="0040416C"/>
    <w:rsid w:val="00404681"/>
    <w:rsid w:val="00405AC1"/>
    <w:rsid w:val="00406923"/>
    <w:rsid w:val="0040763D"/>
    <w:rsid w:val="00410D17"/>
    <w:rsid w:val="00413442"/>
    <w:rsid w:val="00413821"/>
    <w:rsid w:val="00413BA5"/>
    <w:rsid w:val="004141A3"/>
    <w:rsid w:val="00414909"/>
    <w:rsid w:val="0041582F"/>
    <w:rsid w:val="00416112"/>
    <w:rsid w:val="00416AC8"/>
    <w:rsid w:val="00417AE0"/>
    <w:rsid w:val="00417BAA"/>
    <w:rsid w:val="0042042B"/>
    <w:rsid w:val="00420B45"/>
    <w:rsid w:val="00420D7A"/>
    <w:rsid w:val="00421257"/>
    <w:rsid w:val="00422193"/>
    <w:rsid w:val="004223DE"/>
    <w:rsid w:val="00422A10"/>
    <w:rsid w:val="00422B92"/>
    <w:rsid w:val="00424D17"/>
    <w:rsid w:val="00425DFD"/>
    <w:rsid w:val="004263A3"/>
    <w:rsid w:val="00427713"/>
    <w:rsid w:val="00427CCC"/>
    <w:rsid w:val="0043013A"/>
    <w:rsid w:val="00430421"/>
    <w:rsid w:val="00430A36"/>
    <w:rsid w:val="00430B4F"/>
    <w:rsid w:val="00431084"/>
    <w:rsid w:val="004310D7"/>
    <w:rsid w:val="004322D6"/>
    <w:rsid w:val="00432589"/>
    <w:rsid w:val="00432A94"/>
    <w:rsid w:val="00432C95"/>
    <w:rsid w:val="00433827"/>
    <w:rsid w:val="00433A40"/>
    <w:rsid w:val="00434B70"/>
    <w:rsid w:val="00435ADD"/>
    <w:rsid w:val="004360C8"/>
    <w:rsid w:val="004371D5"/>
    <w:rsid w:val="0044006B"/>
    <w:rsid w:val="0044033F"/>
    <w:rsid w:val="00440630"/>
    <w:rsid w:val="00441F0F"/>
    <w:rsid w:val="00441FBF"/>
    <w:rsid w:val="00442965"/>
    <w:rsid w:val="00444157"/>
    <w:rsid w:val="0044417C"/>
    <w:rsid w:val="00444DB3"/>
    <w:rsid w:val="00445617"/>
    <w:rsid w:val="00445A2F"/>
    <w:rsid w:val="0044684E"/>
    <w:rsid w:val="00446F22"/>
    <w:rsid w:val="0045019F"/>
    <w:rsid w:val="004503A4"/>
    <w:rsid w:val="00450555"/>
    <w:rsid w:val="004506FA"/>
    <w:rsid w:val="00450DC6"/>
    <w:rsid w:val="004516A5"/>
    <w:rsid w:val="00451E9C"/>
    <w:rsid w:val="0045280F"/>
    <w:rsid w:val="004535AE"/>
    <w:rsid w:val="0045444D"/>
    <w:rsid w:val="0045463A"/>
    <w:rsid w:val="00454AC9"/>
    <w:rsid w:val="00455050"/>
    <w:rsid w:val="004554A3"/>
    <w:rsid w:val="00455A6E"/>
    <w:rsid w:val="00455EAD"/>
    <w:rsid w:val="004578EB"/>
    <w:rsid w:val="004604D5"/>
    <w:rsid w:val="00460697"/>
    <w:rsid w:val="0046117B"/>
    <w:rsid w:val="004617AA"/>
    <w:rsid w:val="00464AB7"/>
    <w:rsid w:val="00465DE5"/>
    <w:rsid w:val="00467EF8"/>
    <w:rsid w:val="0047201D"/>
    <w:rsid w:val="004720C1"/>
    <w:rsid w:val="00472429"/>
    <w:rsid w:val="004725E5"/>
    <w:rsid w:val="00472751"/>
    <w:rsid w:val="00473128"/>
    <w:rsid w:val="00473263"/>
    <w:rsid w:val="00475078"/>
    <w:rsid w:val="00475767"/>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65D9"/>
    <w:rsid w:val="00486D60"/>
    <w:rsid w:val="00491FA1"/>
    <w:rsid w:val="00492A25"/>
    <w:rsid w:val="004938A3"/>
    <w:rsid w:val="0049558B"/>
    <w:rsid w:val="00496350"/>
    <w:rsid w:val="0049797C"/>
    <w:rsid w:val="004A00E1"/>
    <w:rsid w:val="004A0943"/>
    <w:rsid w:val="004A1405"/>
    <w:rsid w:val="004A1FC6"/>
    <w:rsid w:val="004A2E5F"/>
    <w:rsid w:val="004A38C2"/>
    <w:rsid w:val="004A3C03"/>
    <w:rsid w:val="004A3DB7"/>
    <w:rsid w:val="004A5088"/>
    <w:rsid w:val="004A5255"/>
    <w:rsid w:val="004A6CB0"/>
    <w:rsid w:val="004A70FF"/>
    <w:rsid w:val="004A7EDE"/>
    <w:rsid w:val="004B0D93"/>
    <w:rsid w:val="004B1FA4"/>
    <w:rsid w:val="004B29AC"/>
    <w:rsid w:val="004B35DF"/>
    <w:rsid w:val="004B3627"/>
    <w:rsid w:val="004B4922"/>
    <w:rsid w:val="004B57DF"/>
    <w:rsid w:val="004B5976"/>
    <w:rsid w:val="004B7137"/>
    <w:rsid w:val="004B722E"/>
    <w:rsid w:val="004B72E8"/>
    <w:rsid w:val="004B7D5F"/>
    <w:rsid w:val="004C01A5"/>
    <w:rsid w:val="004C0412"/>
    <w:rsid w:val="004C0DBA"/>
    <w:rsid w:val="004C1142"/>
    <w:rsid w:val="004C2138"/>
    <w:rsid w:val="004C3940"/>
    <w:rsid w:val="004C51FD"/>
    <w:rsid w:val="004C65A8"/>
    <w:rsid w:val="004C6689"/>
    <w:rsid w:val="004D139A"/>
    <w:rsid w:val="004D14DC"/>
    <w:rsid w:val="004D17C6"/>
    <w:rsid w:val="004D2858"/>
    <w:rsid w:val="004D28C5"/>
    <w:rsid w:val="004D2E49"/>
    <w:rsid w:val="004D35BA"/>
    <w:rsid w:val="004D38E5"/>
    <w:rsid w:val="004D3C5A"/>
    <w:rsid w:val="004D449A"/>
    <w:rsid w:val="004D4701"/>
    <w:rsid w:val="004D47C7"/>
    <w:rsid w:val="004D4F35"/>
    <w:rsid w:val="004D5D45"/>
    <w:rsid w:val="004D618D"/>
    <w:rsid w:val="004D62A9"/>
    <w:rsid w:val="004D6FC3"/>
    <w:rsid w:val="004D7476"/>
    <w:rsid w:val="004D7716"/>
    <w:rsid w:val="004E0306"/>
    <w:rsid w:val="004E0572"/>
    <w:rsid w:val="004E06D5"/>
    <w:rsid w:val="004E1641"/>
    <w:rsid w:val="004E1818"/>
    <w:rsid w:val="004E1990"/>
    <w:rsid w:val="004E25A8"/>
    <w:rsid w:val="004E3930"/>
    <w:rsid w:val="004E3ED9"/>
    <w:rsid w:val="004E5866"/>
    <w:rsid w:val="004E6097"/>
    <w:rsid w:val="004E61EF"/>
    <w:rsid w:val="004E62BE"/>
    <w:rsid w:val="004E63C6"/>
    <w:rsid w:val="004E76A7"/>
    <w:rsid w:val="004E7B03"/>
    <w:rsid w:val="004F0064"/>
    <w:rsid w:val="004F06AC"/>
    <w:rsid w:val="004F1D2A"/>
    <w:rsid w:val="004F243F"/>
    <w:rsid w:val="004F252C"/>
    <w:rsid w:val="004F36A3"/>
    <w:rsid w:val="004F3E0C"/>
    <w:rsid w:val="004F4308"/>
    <w:rsid w:val="004F511E"/>
    <w:rsid w:val="004F7160"/>
    <w:rsid w:val="00500258"/>
    <w:rsid w:val="00500B2D"/>
    <w:rsid w:val="0050152A"/>
    <w:rsid w:val="00501A99"/>
    <w:rsid w:val="00503180"/>
    <w:rsid w:val="005038A4"/>
    <w:rsid w:val="00505450"/>
    <w:rsid w:val="005100B7"/>
    <w:rsid w:val="005113C9"/>
    <w:rsid w:val="00511638"/>
    <w:rsid w:val="00512050"/>
    <w:rsid w:val="00512055"/>
    <w:rsid w:val="0051280C"/>
    <w:rsid w:val="00512842"/>
    <w:rsid w:val="005128BE"/>
    <w:rsid w:val="0051356F"/>
    <w:rsid w:val="00513E7C"/>
    <w:rsid w:val="005140BB"/>
    <w:rsid w:val="00514FBE"/>
    <w:rsid w:val="00514FD9"/>
    <w:rsid w:val="0051550A"/>
    <w:rsid w:val="0051608F"/>
    <w:rsid w:val="005200CC"/>
    <w:rsid w:val="00520DDF"/>
    <w:rsid w:val="00520EF8"/>
    <w:rsid w:val="005210F7"/>
    <w:rsid w:val="00521753"/>
    <w:rsid w:val="0052239D"/>
    <w:rsid w:val="005224EE"/>
    <w:rsid w:val="00522879"/>
    <w:rsid w:val="00523BB1"/>
    <w:rsid w:val="0052570E"/>
    <w:rsid w:val="005260CD"/>
    <w:rsid w:val="00526265"/>
    <w:rsid w:val="0052655D"/>
    <w:rsid w:val="005265E0"/>
    <w:rsid w:val="00526BC3"/>
    <w:rsid w:val="00531761"/>
    <w:rsid w:val="0053248F"/>
    <w:rsid w:val="0053332A"/>
    <w:rsid w:val="0053358A"/>
    <w:rsid w:val="00534668"/>
    <w:rsid w:val="00534DDD"/>
    <w:rsid w:val="00535291"/>
    <w:rsid w:val="00535A94"/>
    <w:rsid w:val="005363F5"/>
    <w:rsid w:val="00537874"/>
    <w:rsid w:val="0053795F"/>
    <w:rsid w:val="00537D3D"/>
    <w:rsid w:val="00540511"/>
    <w:rsid w:val="00540578"/>
    <w:rsid w:val="00540808"/>
    <w:rsid w:val="0054080E"/>
    <w:rsid w:val="00540B59"/>
    <w:rsid w:val="00540EA1"/>
    <w:rsid w:val="0054358E"/>
    <w:rsid w:val="00543AF4"/>
    <w:rsid w:val="00544191"/>
    <w:rsid w:val="0054440C"/>
    <w:rsid w:val="005448EC"/>
    <w:rsid w:val="00544C0A"/>
    <w:rsid w:val="00544F39"/>
    <w:rsid w:val="00546F90"/>
    <w:rsid w:val="00547EFB"/>
    <w:rsid w:val="005522F2"/>
    <w:rsid w:val="005531DF"/>
    <w:rsid w:val="00553874"/>
    <w:rsid w:val="00554577"/>
    <w:rsid w:val="00554AD8"/>
    <w:rsid w:val="00554F78"/>
    <w:rsid w:val="00555DA1"/>
    <w:rsid w:val="00556BF7"/>
    <w:rsid w:val="00557F60"/>
    <w:rsid w:val="00561730"/>
    <w:rsid w:val="00561B97"/>
    <w:rsid w:val="00562149"/>
    <w:rsid w:val="00567B5D"/>
    <w:rsid w:val="005706D5"/>
    <w:rsid w:val="00570757"/>
    <w:rsid w:val="00573733"/>
    <w:rsid w:val="00573F8B"/>
    <w:rsid w:val="00574554"/>
    <w:rsid w:val="0057480E"/>
    <w:rsid w:val="00574E06"/>
    <w:rsid w:val="005751BB"/>
    <w:rsid w:val="00576089"/>
    <w:rsid w:val="005764B1"/>
    <w:rsid w:val="0057653E"/>
    <w:rsid w:val="00576852"/>
    <w:rsid w:val="00576D06"/>
    <w:rsid w:val="00577287"/>
    <w:rsid w:val="005779E4"/>
    <w:rsid w:val="00577F9F"/>
    <w:rsid w:val="00580EC7"/>
    <w:rsid w:val="00581132"/>
    <w:rsid w:val="0058289C"/>
    <w:rsid w:val="005836C7"/>
    <w:rsid w:val="00583A11"/>
    <w:rsid w:val="0058408E"/>
    <w:rsid w:val="00585374"/>
    <w:rsid w:val="005854CA"/>
    <w:rsid w:val="00585FAB"/>
    <w:rsid w:val="00590B77"/>
    <w:rsid w:val="00590D9A"/>
    <w:rsid w:val="005913A3"/>
    <w:rsid w:val="00591B67"/>
    <w:rsid w:val="005940D4"/>
    <w:rsid w:val="00594A7B"/>
    <w:rsid w:val="00594C56"/>
    <w:rsid w:val="0059580E"/>
    <w:rsid w:val="00595D90"/>
    <w:rsid w:val="00596A6F"/>
    <w:rsid w:val="00596FCE"/>
    <w:rsid w:val="005A11BC"/>
    <w:rsid w:val="005A1525"/>
    <w:rsid w:val="005A1E17"/>
    <w:rsid w:val="005A252B"/>
    <w:rsid w:val="005A2A8F"/>
    <w:rsid w:val="005A3204"/>
    <w:rsid w:val="005A3341"/>
    <w:rsid w:val="005A3C3D"/>
    <w:rsid w:val="005A46EC"/>
    <w:rsid w:val="005A5EAE"/>
    <w:rsid w:val="005A6407"/>
    <w:rsid w:val="005A726C"/>
    <w:rsid w:val="005B07EC"/>
    <w:rsid w:val="005B1208"/>
    <w:rsid w:val="005B2B11"/>
    <w:rsid w:val="005B32A4"/>
    <w:rsid w:val="005B3371"/>
    <w:rsid w:val="005B338D"/>
    <w:rsid w:val="005B36D7"/>
    <w:rsid w:val="005B3BAF"/>
    <w:rsid w:val="005B4DA3"/>
    <w:rsid w:val="005B5BEE"/>
    <w:rsid w:val="005B77D2"/>
    <w:rsid w:val="005C019B"/>
    <w:rsid w:val="005C08D0"/>
    <w:rsid w:val="005C1AED"/>
    <w:rsid w:val="005C30F5"/>
    <w:rsid w:val="005C51A5"/>
    <w:rsid w:val="005C557A"/>
    <w:rsid w:val="005C566F"/>
    <w:rsid w:val="005C5C47"/>
    <w:rsid w:val="005C61DD"/>
    <w:rsid w:val="005C6438"/>
    <w:rsid w:val="005C6B8B"/>
    <w:rsid w:val="005C727F"/>
    <w:rsid w:val="005D02E3"/>
    <w:rsid w:val="005D1006"/>
    <w:rsid w:val="005D194A"/>
    <w:rsid w:val="005D1F34"/>
    <w:rsid w:val="005D2929"/>
    <w:rsid w:val="005D2C1F"/>
    <w:rsid w:val="005D2DE8"/>
    <w:rsid w:val="005D34B2"/>
    <w:rsid w:val="005D3B54"/>
    <w:rsid w:val="005D3C94"/>
    <w:rsid w:val="005D40CD"/>
    <w:rsid w:val="005D41B0"/>
    <w:rsid w:val="005D6B59"/>
    <w:rsid w:val="005D784B"/>
    <w:rsid w:val="005E03E4"/>
    <w:rsid w:val="005E0454"/>
    <w:rsid w:val="005E05F6"/>
    <w:rsid w:val="005E2442"/>
    <w:rsid w:val="005E3111"/>
    <w:rsid w:val="005E3F85"/>
    <w:rsid w:val="005E4A5F"/>
    <w:rsid w:val="005E57B0"/>
    <w:rsid w:val="005E5B01"/>
    <w:rsid w:val="005E6D3B"/>
    <w:rsid w:val="005F009E"/>
    <w:rsid w:val="005F0DF1"/>
    <w:rsid w:val="005F1516"/>
    <w:rsid w:val="005F229E"/>
    <w:rsid w:val="005F2564"/>
    <w:rsid w:val="005F3822"/>
    <w:rsid w:val="005F4635"/>
    <w:rsid w:val="005F4900"/>
    <w:rsid w:val="005F4E52"/>
    <w:rsid w:val="005F6D58"/>
    <w:rsid w:val="005F7383"/>
    <w:rsid w:val="005F7C44"/>
    <w:rsid w:val="0060058E"/>
    <w:rsid w:val="00601F77"/>
    <w:rsid w:val="00602A3C"/>
    <w:rsid w:val="00603EFD"/>
    <w:rsid w:val="0060475B"/>
    <w:rsid w:val="00604BED"/>
    <w:rsid w:val="00604FB6"/>
    <w:rsid w:val="00605387"/>
    <w:rsid w:val="00605F0E"/>
    <w:rsid w:val="00606302"/>
    <w:rsid w:val="0060705E"/>
    <w:rsid w:val="006076FD"/>
    <w:rsid w:val="0061143F"/>
    <w:rsid w:val="006114D8"/>
    <w:rsid w:val="00613553"/>
    <w:rsid w:val="00613601"/>
    <w:rsid w:val="00613791"/>
    <w:rsid w:val="006150D6"/>
    <w:rsid w:val="00615245"/>
    <w:rsid w:val="00615396"/>
    <w:rsid w:val="0061590D"/>
    <w:rsid w:val="0061641E"/>
    <w:rsid w:val="00617EEE"/>
    <w:rsid w:val="00620A1F"/>
    <w:rsid w:val="006214DE"/>
    <w:rsid w:val="0062169D"/>
    <w:rsid w:val="0062181E"/>
    <w:rsid w:val="0062211B"/>
    <w:rsid w:val="00622BB7"/>
    <w:rsid w:val="00622C1E"/>
    <w:rsid w:val="00623389"/>
    <w:rsid w:val="00623DAA"/>
    <w:rsid w:val="00623FAF"/>
    <w:rsid w:val="006265C4"/>
    <w:rsid w:val="0062678A"/>
    <w:rsid w:val="006270AF"/>
    <w:rsid w:val="006270FE"/>
    <w:rsid w:val="00631B43"/>
    <w:rsid w:val="00634367"/>
    <w:rsid w:val="00640082"/>
    <w:rsid w:val="00640291"/>
    <w:rsid w:val="00640963"/>
    <w:rsid w:val="00640EFE"/>
    <w:rsid w:val="00641D6D"/>
    <w:rsid w:val="00641FAC"/>
    <w:rsid w:val="00643664"/>
    <w:rsid w:val="00643CAA"/>
    <w:rsid w:val="00644F16"/>
    <w:rsid w:val="006455EB"/>
    <w:rsid w:val="006456C2"/>
    <w:rsid w:val="00645A65"/>
    <w:rsid w:val="006477F0"/>
    <w:rsid w:val="006478E4"/>
    <w:rsid w:val="006516A4"/>
    <w:rsid w:val="0065171A"/>
    <w:rsid w:val="00652680"/>
    <w:rsid w:val="00653CDE"/>
    <w:rsid w:val="00654585"/>
    <w:rsid w:val="0065472C"/>
    <w:rsid w:val="00655AB6"/>
    <w:rsid w:val="00656281"/>
    <w:rsid w:val="0065636A"/>
    <w:rsid w:val="00657003"/>
    <w:rsid w:val="00660238"/>
    <w:rsid w:val="006602EF"/>
    <w:rsid w:val="00661277"/>
    <w:rsid w:val="006619E0"/>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F74"/>
    <w:rsid w:val="0067508F"/>
    <w:rsid w:val="00677576"/>
    <w:rsid w:val="0068051E"/>
    <w:rsid w:val="00680B9D"/>
    <w:rsid w:val="0068106E"/>
    <w:rsid w:val="00681F13"/>
    <w:rsid w:val="0068231C"/>
    <w:rsid w:val="00682344"/>
    <w:rsid w:val="00682F28"/>
    <w:rsid w:val="00683515"/>
    <w:rsid w:val="00684842"/>
    <w:rsid w:val="006859AA"/>
    <w:rsid w:val="00685BD6"/>
    <w:rsid w:val="00685DDD"/>
    <w:rsid w:val="00686C41"/>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6D5"/>
    <w:rsid w:val="006A1772"/>
    <w:rsid w:val="006A1780"/>
    <w:rsid w:val="006A21DD"/>
    <w:rsid w:val="006A26C6"/>
    <w:rsid w:val="006A3302"/>
    <w:rsid w:val="006A3B28"/>
    <w:rsid w:val="006A4FEE"/>
    <w:rsid w:val="006A703E"/>
    <w:rsid w:val="006A7BE3"/>
    <w:rsid w:val="006A7D32"/>
    <w:rsid w:val="006B01D1"/>
    <w:rsid w:val="006B0DF4"/>
    <w:rsid w:val="006B0E2B"/>
    <w:rsid w:val="006B16EA"/>
    <w:rsid w:val="006B1780"/>
    <w:rsid w:val="006B224E"/>
    <w:rsid w:val="006B376E"/>
    <w:rsid w:val="006B4589"/>
    <w:rsid w:val="006B610E"/>
    <w:rsid w:val="006B643B"/>
    <w:rsid w:val="006B6805"/>
    <w:rsid w:val="006B6DE0"/>
    <w:rsid w:val="006B7887"/>
    <w:rsid w:val="006C0645"/>
    <w:rsid w:val="006C16C3"/>
    <w:rsid w:val="006C1D50"/>
    <w:rsid w:val="006C2187"/>
    <w:rsid w:val="006C32F4"/>
    <w:rsid w:val="006C3C54"/>
    <w:rsid w:val="006C4B6B"/>
    <w:rsid w:val="006C4F9F"/>
    <w:rsid w:val="006C71A2"/>
    <w:rsid w:val="006C73EC"/>
    <w:rsid w:val="006D0C1D"/>
    <w:rsid w:val="006D2E9D"/>
    <w:rsid w:val="006D4A4E"/>
    <w:rsid w:val="006D4C42"/>
    <w:rsid w:val="006D507C"/>
    <w:rsid w:val="006D5389"/>
    <w:rsid w:val="006D5809"/>
    <w:rsid w:val="006D607E"/>
    <w:rsid w:val="006D6781"/>
    <w:rsid w:val="006D6E12"/>
    <w:rsid w:val="006D70CB"/>
    <w:rsid w:val="006D715C"/>
    <w:rsid w:val="006D7363"/>
    <w:rsid w:val="006D774E"/>
    <w:rsid w:val="006D7EA2"/>
    <w:rsid w:val="006E0754"/>
    <w:rsid w:val="006E2668"/>
    <w:rsid w:val="006E2B2C"/>
    <w:rsid w:val="006E2D39"/>
    <w:rsid w:val="006E32B0"/>
    <w:rsid w:val="006E348E"/>
    <w:rsid w:val="006E396A"/>
    <w:rsid w:val="006E3D63"/>
    <w:rsid w:val="006E58BF"/>
    <w:rsid w:val="006E5DD8"/>
    <w:rsid w:val="006E5EA1"/>
    <w:rsid w:val="006E6DEE"/>
    <w:rsid w:val="006E7D4B"/>
    <w:rsid w:val="006F0760"/>
    <w:rsid w:val="006F11E2"/>
    <w:rsid w:val="006F2574"/>
    <w:rsid w:val="006F3221"/>
    <w:rsid w:val="006F3231"/>
    <w:rsid w:val="006F3DE3"/>
    <w:rsid w:val="006F4787"/>
    <w:rsid w:val="006F5C43"/>
    <w:rsid w:val="006F61D8"/>
    <w:rsid w:val="006F62B7"/>
    <w:rsid w:val="006F70BC"/>
    <w:rsid w:val="006F734B"/>
    <w:rsid w:val="006F7E7C"/>
    <w:rsid w:val="0070174E"/>
    <w:rsid w:val="007018DB"/>
    <w:rsid w:val="00701DE6"/>
    <w:rsid w:val="00702740"/>
    <w:rsid w:val="0070381B"/>
    <w:rsid w:val="0070727B"/>
    <w:rsid w:val="007076DD"/>
    <w:rsid w:val="0070796C"/>
    <w:rsid w:val="007109BB"/>
    <w:rsid w:val="00710EBF"/>
    <w:rsid w:val="007110B8"/>
    <w:rsid w:val="0071209F"/>
    <w:rsid w:val="007125A2"/>
    <w:rsid w:val="00713DD9"/>
    <w:rsid w:val="00713F79"/>
    <w:rsid w:val="007148A8"/>
    <w:rsid w:val="00715352"/>
    <w:rsid w:val="00716AC8"/>
    <w:rsid w:val="00716E54"/>
    <w:rsid w:val="00717421"/>
    <w:rsid w:val="0072033C"/>
    <w:rsid w:val="00720B1B"/>
    <w:rsid w:val="00721062"/>
    <w:rsid w:val="00721E5D"/>
    <w:rsid w:val="007229D4"/>
    <w:rsid w:val="007230F8"/>
    <w:rsid w:val="007233F4"/>
    <w:rsid w:val="00724044"/>
    <w:rsid w:val="007248D3"/>
    <w:rsid w:val="00724DF8"/>
    <w:rsid w:val="00725137"/>
    <w:rsid w:val="00725378"/>
    <w:rsid w:val="00727A43"/>
    <w:rsid w:val="00727FF2"/>
    <w:rsid w:val="00730550"/>
    <w:rsid w:val="00730C2A"/>
    <w:rsid w:val="00731434"/>
    <w:rsid w:val="00731E59"/>
    <w:rsid w:val="007323E0"/>
    <w:rsid w:val="00732911"/>
    <w:rsid w:val="00733721"/>
    <w:rsid w:val="00733DE2"/>
    <w:rsid w:val="007352EA"/>
    <w:rsid w:val="0073625F"/>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DE2"/>
    <w:rsid w:val="007504BF"/>
    <w:rsid w:val="007506CD"/>
    <w:rsid w:val="0075267F"/>
    <w:rsid w:val="007526EC"/>
    <w:rsid w:val="007527F7"/>
    <w:rsid w:val="00753C48"/>
    <w:rsid w:val="00754250"/>
    <w:rsid w:val="00754FE4"/>
    <w:rsid w:val="00755216"/>
    <w:rsid w:val="00756236"/>
    <w:rsid w:val="00756271"/>
    <w:rsid w:val="00756348"/>
    <w:rsid w:val="00756521"/>
    <w:rsid w:val="00756AB7"/>
    <w:rsid w:val="0076106D"/>
    <w:rsid w:val="007623FB"/>
    <w:rsid w:val="00762517"/>
    <w:rsid w:val="00763240"/>
    <w:rsid w:val="0076376A"/>
    <w:rsid w:val="007648AD"/>
    <w:rsid w:val="0076504E"/>
    <w:rsid w:val="00767BFD"/>
    <w:rsid w:val="00767EA0"/>
    <w:rsid w:val="0077068F"/>
    <w:rsid w:val="00771EDF"/>
    <w:rsid w:val="00772986"/>
    <w:rsid w:val="00772A90"/>
    <w:rsid w:val="00772F8D"/>
    <w:rsid w:val="0077408D"/>
    <w:rsid w:val="00774270"/>
    <w:rsid w:val="007743F6"/>
    <w:rsid w:val="00775434"/>
    <w:rsid w:val="00775679"/>
    <w:rsid w:val="0077574F"/>
    <w:rsid w:val="00775823"/>
    <w:rsid w:val="007777CC"/>
    <w:rsid w:val="00777B32"/>
    <w:rsid w:val="0078051E"/>
    <w:rsid w:val="00781089"/>
    <w:rsid w:val="007838F3"/>
    <w:rsid w:val="007856FE"/>
    <w:rsid w:val="00785F46"/>
    <w:rsid w:val="007865F4"/>
    <w:rsid w:val="00786D5C"/>
    <w:rsid w:val="00786E96"/>
    <w:rsid w:val="00787DFF"/>
    <w:rsid w:val="00787F93"/>
    <w:rsid w:val="00791E6D"/>
    <w:rsid w:val="00791EB5"/>
    <w:rsid w:val="00791FF2"/>
    <w:rsid w:val="00793696"/>
    <w:rsid w:val="00794D96"/>
    <w:rsid w:val="007955DA"/>
    <w:rsid w:val="00796B30"/>
    <w:rsid w:val="00796F65"/>
    <w:rsid w:val="007A11C2"/>
    <w:rsid w:val="007A18BB"/>
    <w:rsid w:val="007A27DD"/>
    <w:rsid w:val="007A41BF"/>
    <w:rsid w:val="007A490A"/>
    <w:rsid w:val="007A7B95"/>
    <w:rsid w:val="007B0297"/>
    <w:rsid w:val="007B02FA"/>
    <w:rsid w:val="007B0F53"/>
    <w:rsid w:val="007B21AE"/>
    <w:rsid w:val="007B2570"/>
    <w:rsid w:val="007B3113"/>
    <w:rsid w:val="007B3304"/>
    <w:rsid w:val="007B7490"/>
    <w:rsid w:val="007C0525"/>
    <w:rsid w:val="007C13F7"/>
    <w:rsid w:val="007C218D"/>
    <w:rsid w:val="007C2D28"/>
    <w:rsid w:val="007C3E22"/>
    <w:rsid w:val="007C5A10"/>
    <w:rsid w:val="007C5B90"/>
    <w:rsid w:val="007C6218"/>
    <w:rsid w:val="007C6484"/>
    <w:rsid w:val="007C67C6"/>
    <w:rsid w:val="007C78BE"/>
    <w:rsid w:val="007C7E59"/>
    <w:rsid w:val="007D0476"/>
    <w:rsid w:val="007D0B91"/>
    <w:rsid w:val="007D0C20"/>
    <w:rsid w:val="007D1386"/>
    <w:rsid w:val="007D1452"/>
    <w:rsid w:val="007D2F57"/>
    <w:rsid w:val="007D3DCB"/>
    <w:rsid w:val="007D460C"/>
    <w:rsid w:val="007D4996"/>
    <w:rsid w:val="007D4AD3"/>
    <w:rsid w:val="007D5D19"/>
    <w:rsid w:val="007D5FDC"/>
    <w:rsid w:val="007D6176"/>
    <w:rsid w:val="007D6D68"/>
    <w:rsid w:val="007E32DA"/>
    <w:rsid w:val="007E4998"/>
    <w:rsid w:val="007E4A9C"/>
    <w:rsid w:val="007E6914"/>
    <w:rsid w:val="007E7F78"/>
    <w:rsid w:val="007F0179"/>
    <w:rsid w:val="007F1FE5"/>
    <w:rsid w:val="007F2C13"/>
    <w:rsid w:val="007F2CEC"/>
    <w:rsid w:val="007F3435"/>
    <w:rsid w:val="007F55DE"/>
    <w:rsid w:val="007F762D"/>
    <w:rsid w:val="007F78F0"/>
    <w:rsid w:val="007F78FF"/>
    <w:rsid w:val="008001C5"/>
    <w:rsid w:val="00800F6C"/>
    <w:rsid w:val="00801065"/>
    <w:rsid w:val="0080134F"/>
    <w:rsid w:val="00802C0B"/>
    <w:rsid w:val="008051FC"/>
    <w:rsid w:val="008052B2"/>
    <w:rsid w:val="008055A9"/>
    <w:rsid w:val="008056C4"/>
    <w:rsid w:val="008057FD"/>
    <w:rsid w:val="00805D8B"/>
    <w:rsid w:val="00810AF1"/>
    <w:rsid w:val="00810BB6"/>
    <w:rsid w:val="00810E8E"/>
    <w:rsid w:val="00812830"/>
    <w:rsid w:val="00812C44"/>
    <w:rsid w:val="008135E1"/>
    <w:rsid w:val="00813779"/>
    <w:rsid w:val="00813E26"/>
    <w:rsid w:val="0081481D"/>
    <w:rsid w:val="00814BE8"/>
    <w:rsid w:val="00814F6E"/>
    <w:rsid w:val="00815363"/>
    <w:rsid w:val="0081597B"/>
    <w:rsid w:val="00815B84"/>
    <w:rsid w:val="00816BE9"/>
    <w:rsid w:val="0082027C"/>
    <w:rsid w:val="00822518"/>
    <w:rsid w:val="008226F5"/>
    <w:rsid w:val="00823FC6"/>
    <w:rsid w:val="00824306"/>
    <w:rsid w:val="00825C74"/>
    <w:rsid w:val="00825CFA"/>
    <w:rsid w:val="008265C7"/>
    <w:rsid w:val="00826AB9"/>
    <w:rsid w:val="00826E0E"/>
    <w:rsid w:val="00827D11"/>
    <w:rsid w:val="00827E0F"/>
    <w:rsid w:val="00827F6E"/>
    <w:rsid w:val="00831758"/>
    <w:rsid w:val="008317D9"/>
    <w:rsid w:val="0083279F"/>
    <w:rsid w:val="008334DB"/>
    <w:rsid w:val="00833B7F"/>
    <w:rsid w:val="00833E8E"/>
    <w:rsid w:val="00834906"/>
    <w:rsid w:val="00836075"/>
    <w:rsid w:val="00836417"/>
    <w:rsid w:val="00836A3E"/>
    <w:rsid w:val="008373DB"/>
    <w:rsid w:val="00837526"/>
    <w:rsid w:val="00837F20"/>
    <w:rsid w:val="008407A7"/>
    <w:rsid w:val="0084322B"/>
    <w:rsid w:val="00843F81"/>
    <w:rsid w:val="00844087"/>
    <w:rsid w:val="00844526"/>
    <w:rsid w:val="008448F1"/>
    <w:rsid w:val="0084519E"/>
    <w:rsid w:val="00845CAE"/>
    <w:rsid w:val="00846370"/>
    <w:rsid w:val="008477E7"/>
    <w:rsid w:val="00847C2B"/>
    <w:rsid w:val="00850272"/>
    <w:rsid w:val="008506B9"/>
    <w:rsid w:val="00851822"/>
    <w:rsid w:val="008532BF"/>
    <w:rsid w:val="008539B2"/>
    <w:rsid w:val="00853BF4"/>
    <w:rsid w:val="00854294"/>
    <w:rsid w:val="0085572E"/>
    <w:rsid w:val="0085788B"/>
    <w:rsid w:val="00857A9E"/>
    <w:rsid w:val="00857DE2"/>
    <w:rsid w:val="00863A8E"/>
    <w:rsid w:val="0086407F"/>
    <w:rsid w:val="008645E3"/>
    <w:rsid w:val="00864E79"/>
    <w:rsid w:val="00865F31"/>
    <w:rsid w:val="0086661F"/>
    <w:rsid w:val="00866A0D"/>
    <w:rsid w:val="00866DB5"/>
    <w:rsid w:val="0086701D"/>
    <w:rsid w:val="0086702B"/>
    <w:rsid w:val="008672E2"/>
    <w:rsid w:val="0086784E"/>
    <w:rsid w:val="00870103"/>
    <w:rsid w:val="0087121C"/>
    <w:rsid w:val="00871FD2"/>
    <w:rsid w:val="00872084"/>
    <w:rsid w:val="00872827"/>
    <w:rsid w:val="00872A32"/>
    <w:rsid w:val="00874911"/>
    <w:rsid w:val="008754E4"/>
    <w:rsid w:val="00875CF3"/>
    <w:rsid w:val="00876EAE"/>
    <w:rsid w:val="00880106"/>
    <w:rsid w:val="00880F95"/>
    <w:rsid w:val="00882B44"/>
    <w:rsid w:val="0088327F"/>
    <w:rsid w:val="008838AD"/>
    <w:rsid w:val="008864B3"/>
    <w:rsid w:val="008865E5"/>
    <w:rsid w:val="008871B0"/>
    <w:rsid w:val="00890B57"/>
    <w:rsid w:val="00890BE8"/>
    <w:rsid w:val="008916BA"/>
    <w:rsid w:val="0089217C"/>
    <w:rsid w:val="00892790"/>
    <w:rsid w:val="008931DA"/>
    <w:rsid w:val="00893671"/>
    <w:rsid w:val="008946DC"/>
    <w:rsid w:val="00895838"/>
    <w:rsid w:val="00895A1E"/>
    <w:rsid w:val="00895A72"/>
    <w:rsid w:val="00895CDF"/>
    <w:rsid w:val="00896679"/>
    <w:rsid w:val="00896BEE"/>
    <w:rsid w:val="00896D8C"/>
    <w:rsid w:val="008A0FC9"/>
    <w:rsid w:val="008A1956"/>
    <w:rsid w:val="008A1A7C"/>
    <w:rsid w:val="008A2CE2"/>
    <w:rsid w:val="008A40D3"/>
    <w:rsid w:val="008A469C"/>
    <w:rsid w:val="008A51D1"/>
    <w:rsid w:val="008A5DCE"/>
    <w:rsid w:val="008A709E"/>
    <w:rsid w:val="008A75D3"/>
    <w:rsid w:val="008A7CE1"/>
    <w:rsid w:val="008B05DD"/>
    <w:rsid w:val="008B07B8"/>
    <w:rsid w:val="008B17E8"/>
    <w:rsid w:val="008B2E7C"/>
    <w:rsid w:val="008B321A"/>
    <w:rsid w:val="008B399A"/>
    <w:rsid w:val="008B45F0"/>
    <w:rsid w:val="008B4A70"/>
    <w:rsid w:val="008B502F"/>
    <w:rsid w:val="008B6DFC"/>
    <w:rsid w:val="008B7227"/>
    <w:rsid w:val="008C02FB"/>
    <w:rsid w:val="008C04E0"/>
    <w:rsid w:val="008C191C"/>
    <w:rsid w:val="008C1DA4"/>
    <w:rsid w:val="008C29B0"/>
    <w:rsid w:val="008C2CD5"/>
    <w:rsid w:val="008C3618"/>
    <w:rsid w:val="008C39E7"/>
    <w:rsid w:val="008C43AD"/>
    <w:rsid w:val="008C6118"/>
    <w:rsid w:val="008C6341"/>
    <w:rsid w:val="008C731F"/>
    <w:rsid w:val="008C74D9"/>
    <w:rsid w:val="008D03C2"/>
    <w:rsid w:val="008D12FB"/>
    <w:rsid w:val="008D3B2D"/>
    <w:rsid w:val="008D58D9"/>
    <w:rsid w:val="008D5AD4"/>
    <w:rsid w:val="008D695E"/>
    <w:rsid w:val="008D6DD5"/>
    <w:rsid w:val="008D6E59"/>
    <w:rsid w:val="008D7155"/>
    <w:rsid w:val="008D76E0"/>
    <w:rsid w:val="008E0B29"/>
    <w:rsid w:val="008E141A"/>
    <w:rsid w:val="008E1A44"/>
    <w:rsid w:val="008E1E55"/>
    <w:rsid w:val="008E28E6"/>
    <w:rsid w:val="008E3232"/>
    <w:rsid w:val="008E3674"/>
    <w:rsid w:val="008E3B6C"/>
    <w:rsid w:val="008E3DE7"/>
    <w:rsid w:val="008E562C"/>
    <w:rsid w:val="008E6540"/>
    <w:rsid w:val="008E77D4"/>
    <w:rsid w:val="008E7ADD"/>
    <w:rsid w:val="008F0326"/>
    <w:rsid w:val="008F091F"/>
    <w:rsid w:val="008F17B2"/>
    <w:rsid w:val="008F22B3"/>
    <w:rsid w:val="008F357B"/>
    <w:rsid w:val="008F44CA"/>
    <w:rsid w:val="008F49D3"/>
    <w:rsid w:val="008F62C1"/>
    <w:rsid w:val="008F6519"/>
    <w:rsid w:val="008F7012"/>
    <w:rsid w:val="008F7ADA"/>
    <w:rsid w:val="008F7B17"/>
    <w:rsid w:val="00900042"/>
    <w:rsid w:val="0090034B"/>
    <w:rsid w:val="00901121"/>
    <w:rsid w:val="00902623"/>
    <w:rsid w:val="00902A67"/>
    <w:rsid w:val="00902C5E"/>
    <w:rsid w:val="00904BE4"/>
    <w:rsid w:val="0090504A"/>
    <w:rsid w:val="009051F5"/>
    <w:rsid w:val="00905221"/>
    <w:rsid w:val="00905A7C"/>
    <w:rsid w:val="00905D7E"/>
    <w:rsid w:val="00907037"/>
    <w:rsid w:val="0091112C"/>
    <w:rsid w:val="0091160A"/>
    <w:rsid w:val="00912E04"/>
    <w:rsid w:val="00913258"/>
    <w:rsid w:val="00913851"/>
    <w:rsid w:val="00913BB0"/>
    <w:rsid w:val="0091456C"/>
    <w:rsid w:val="00914C58"/>
    <w:rsid w:val="0091564D"/>
    <w:rsid w:val="009156DA"/>
    <w:rsid w:val="00915774"/>
    <w:rsid w:val="00915956"/>
    <w:rsid w:val="00916BC5"/>
    <w:rsid w:val="0091726A"/>
    <w:rsid w:val="00917C01"/>
    <w:rsid w:val="00920184"/>
    <w:rsid w:val="00920EA4"/>
    <w:rsid w:val="00921792"/>
    <w:rsid w:val="00921BEA"/>
    <w:rsid w:val="00921E75"/>
    <w:rsid w:val="009227BE"/>
    <w:rsid w:val="009238FD"/>
    <w:rsid w:val="00923998"/>
    <w:rsid w:val="00923DB4"/>
    <w:rsid w:val="0092420B"/>
    <w:rsid w:val="0092430E"/>
    <w:rsid w:val="00924570"/>
    <w:rsid w:val="00924A46"/>
    <w:rsid w:val="00926112"/>
    <w:rsid w:val="0092625F"/>
    <w:rsid w:val="00926B28"/>
    <w:rsid w:val="00926D9C"/>
    <w:rsid w:val="00927028"/>
    <w:rsid w:val="00927763"/>
    <w:rsid w:val="00927A2D"/>
    <w:rsid w:val="00927B37"/>
    <w:rsid w:val="00931917"/>
    <w:rsid w:val="009321B1"/>
    <w:rsid w:val="00932ED7"/>
    <w:rsid w:val="009333CF"/>
    <w:rsid w:val="0093422D"/>
    <w:rsid w:val="0093483B"/>
    <w:rsid w:val="00934CF9"/>
    <w:rsid w:val="00934DD7"/>
    <w:rsid w:val="009369A9"/>
    <w:rsid w:val="00936CF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7797"/>
    <w:rsid w:val="009478A2"/>
    <w:rsid w:val="00947D02"/>
    <w:rsid w:val="00952511"/>
    <w:rsid w:val="00953808"/>
    <w:rsid w:val="009539A6"/>
    <w:rsid w:val="00954032"/>
    <w:rsid w:val="00954537"/>
    <w:rsid w:val="0095472D"/>
    <w:rsid w:val="00955FBB"/>
    <w:rsid w:val="0095694B"/>
    <w:rsid w:val="00956BD5"/>
    <w:rsid w:val="00956D84"/>
    <w:rsid w:val="009577B5"/>
    <w:rsid w:val="009608E6"/>
    <w:rsid w:val="00960F57"/>
    <w:rsid w:val="00961C90"/>
    <w:rsid w:val="00963150"/>
    <w:rsid w:val="00965443"/>
    <w:rsid w:val="00965954"/>
    <w:rsid w:val="00965A21"/>
    <w:rsid w:val="00965E55"/>
    <w:rsid w:val="0096608E"/>
    <w:rsid w:val="00966522"/>
    <w:rsid w:val="00966C33"/>
    <w:rsid w:val="00966FCB"/>
    <w:rsid w:val="00970F18"/>
    <w:rsid w:val="00971CF1"/>
    <w:rsid w:val="00971F5D"/>
    <w:rsid w:val="009721E9"/>
    <w:rsid w:val="00973772"/>
    <w:rsid w:val="0097471B"/>
    <w:rsid w:val="0097560A"/>
    <w:rsid w:val="00975E1E"/>
    <w:rsid w:val="00975E70"/>
    <w:rsid w:val="009761DE"/>
    <w:rsid w:val="009766FA"/>
    <w:rsid w:val="00977CD6"/>
    <w:rsid w:val="0098048B"/>
    <w:rsid w:val="00980DF9"/>
    <w:rsid w:val="00981150"/>
    <w:rsid w:val="0098243D"/>
    <w:rsid w:val="00982D26"/>
    <w:rsid w:val="00983B6E"/>
    <w:rsid w:val="00983FE5"/>
    <w:rsid w:val="009849E9"/>
    <w:rsid w:val="009859E4"/>
    <w:rsid w:val="009873F6"/>
    <w:rsid w:val="00987812"/>
    <w:rsid w:val="00990225"/>
    <w:rsid w:val="00992A13"/>
    <w:rsid w:val="00994AAD"/>
    <w:rsid w:val="00994DE1"/>
    <w:rsid w:val="00995150"/>
    <w:rsid w:val="00995D67"/>
    <w:rsid w:val="00997281"/>
    <w:rsid w:val="009A013B"/>
    <w:rsid w:val="009A01A8"/>
    <w:rsid w:val="009A02F4"/>
    <w:rsid w:val="009A06BF"/>
    <w:rsid w:val="009A0D17"/>
    <w:rsid w:val="009A2494"/>
    <w:rsid w:val="009A295D"/>
    <w:rsid w:val="009A32B1"/>
    <w:rsid w:val="009A33A3"/>
    <w:rsid w:val="009A36F2"/>
    <w:rsid w:val="009A40C3"/>
    <w:rsid w:val="009A40D5"/>
    <w:rsid w:val="009A57D0"/>
    <w:rsid w:val="009A6559"/>
    <w:rsid w:val="009A68FC"/>
    <w:rsid w:val="009A6CE4"/>
    <w:rsid w:val="009A7514"/>
    <w:rsid w:val="009A7E7A"/>
    <w:rsid w:val="009B1584"/>
    <w:rsid w:val="009B18F0"/>
    <w:rsid w:val="009B1F4C"/>
    <w:rsid w:val="009B2471"/>
    <w:rsid w:val="009B314F"/>
    <w:rsid w:val="009B3CA9"/>
    <w:rsid w:val="009B439C"/>
    <w:rsid w:val="009B46BC"/>
    <w:rsid w:val="009B49A1"/>
    <w:rsid w:val="009B4A6C"/>
    <w:rsid w:val="009B4DA8"/>
    <w:rsid w:val="009B519A"/>
    <w:rsid w:val="009B5A39"/>
    <w:rsid w:val="009B620C"/>
    <w:rsid w:val="009B6753"/>
    <w:rsid w:val="009B676C"/>
    <w:rsid w:val="009B6A26"/>
    <w:rsid w:val="009C079D"/>
    <w:rsid w:val="009C0D70"/>
    <w:rsid w:val="009C13D1"/>
    <w:rsid w:val="009C1507"/>
    <w:rsid w:val="009C1AF6"/>
    <w:rsid w:val="009C2913"/>
    <w:rsid w:val="009C2BD4"/>
    <w:rsid w:val="009C5AFE"/>
    <w:rsid w:val="009C6606"/>
    <w:rsid w:val="009C6CE5"/>
    <w:rsid w:val="009C6D50"/>
    <w:rsid w:val="009C7547"/>
    <w:rsid w:val="009C7796"/>
    <w:rsid w:val="009D05EC"/>
    <w:rsid w:val="009D18D4"/>
    <w:rsid w:val="009D1CDD"/>
    <w:rsid w:val="009D2F60"/>
    <w:rsid w:val="009D3A2E"/>
    <w:rsid w:val="009D5ADE"/>
    <w:rsid w:val="009D5BAC"/>
    <w:rsid w:val="009D5C56"/>
    <w:rsid w:val="009D6265"/>
    <w:rsid w:val="009D64BD"/>
    <w:rsid w:val="009D6CB1"/>
    <w:rsid w:val="009E0286"/>
    <w:rsid w:val="009E042A"/>
    <w:rsid w:val="009E153F"/>
    <w:rsid w:val="009E2FE1"/>
    <w:rsid w:val="009E322A"/>
    <w:rsid w:val="009E393E"/>
    <w:rsid w:val="009E444E"/>
    <w:rsid w:val="009E4968"/>
    <w:rsid w:val="009E4AD7"/>
    <w:rsid w:val="009E663C"/>
    <w:rsid w:val="009E684A"/>
    <w:rsid w:val="009E6BB1"/>
    <w:rsid w:val="009E6E14"/>
    <w:rsid w:val="009E794A"/>
    <w:rsid w:val="009E7C14"/>
    <w:rsid w:val="009F0494"/>
    <w:rsid w:val="009F0CD9"/>
    <w:rsid w:val="009F1A79"/>
    <w:rsid w:val="009F1F57"/>
    <w:rsid w:val="009F2DDD"/>
    <w:rsid w:val="009F3447"/>
    <w:rsid w:val="009F65F4"/>
    <w:rsid w:val="009F676B"/>
    <w:rsid w:val="009F6D2D"/>
    <w:rsid w:val="009F6D54"/>
    <w:rsid w:val="009F7BD3"/>
    <w:rsid w:val="00A0010C"/>
    <w:rsid w:val="00A004DF"/>
    <w:rsid w:val="00A00FD5"/>
    <w:rsid w:val="00A012C0"/>
    <w:rsid w:val="00A019A8"/>
    <w:rsid w:val="00A01B03"/>
    <w:rsid w:val="00A01B89"/>
    <w:rsid w:val="00A02C66"/>
    <w:rsid w:val="00A02C84"/>
    <w:rsid w:val="00A03CA3"/>
    <w:rsid w:val="00A0464C"/>
    <w:rsid w:val="00A050BB"/>
    <w:rsid w:val="00A054E0"/>
    <w:rsid w:val="00A05D91"/>
    <w:rsid w:val="00A0740B"/>
    <w:rsid w:val="00A07ED3"/>
    <w:rsid w:val="00A10CA8"/>
    <w:rsid w:val="00A11042"/>
    <w:rsid w:val="00A11431"/>
    <w:rsid w:val="00A12579"/>
    <w:rsid w:val="00A133D8"/>
    <w:rsid w:val="00A13812"/>
    <w:rsid w:val="00A15655"/>
    <w:rsid w:val="00A160B0"/>
    <w:rsid w:val="00A1740C"/>
    <w:rsid w:val="00A1795E"/>
    <w:rsid w:val="00A20069"/>
    <w:rsid w:val="00A2244D"/>
    <w:rsid w:val="00A2253D"/>
    <w:rsid w:val="00A2267F"/>
    <w:rsid w:val="00A22CDB"/>
    <w:rsid w:val="00A247B8"/>
    <w:rsid w:val="00A2495A"/>
    <w:rsid w:val="00A24C7A"/>
    <w:rsid w:val="00A24D8F"/>
    <w:rsid w:val="00A25B8B"/>
    <w:rsid w:val="00A25C5D"/>
    <w:rsid w:val="00A2689F"/>
    <w:rsid w:val="00A26ECA"/>
    <w:rsid w:val="00A27461"/>
    <w:rsid w:val="00A27D67"/>
    <w:rsid w:val="00A30ABC"/>
    <w:rsid w:val="00A32F6D"/>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6B74"/>
    <w:rsid w:val="00A47ECC"/>
    <w:rsid w:val="00A50171"/>
    <w:rsid w:val="00A504FA"/>
    <w:rsid w:val="00A5102E"/>
    <w:rsid w:val="00A5132E"/>
    <w:rsid w:val="00A51375"/>
    <w:rsid w:val="00A51533"/>
    <w:rsid w:val="00A531D4"/>
    <w:rsid w:val="00A54572"/>
    <w:rsid w:val="00A575B8"/>
    <w:rsid w:val="00A60EEE"/>
    <w:rsid w:val="00A61C60"/>
    <w:rsid w:val="00A61ECB"/>
    <w:rsid w:val="00A6410C"/>
    <w:rsid w:val="00A647B1"/>
    <w:rsid w:val="00A64DEF"/>
    <w:rsid w:val="00A654D2"/>
    <w:rsid w:val="00A665DF"/>
    <w:rsid w:val="00A67928"/>
    <w:rsid w:val="00A67FCC"/>
    <w:rsid w:val="00A70AA5"/>
    <w:rsid w:val="00A70C03"/>
    <w:rsid w:val="00A71256"/>
    <w:rsid w:val="00A7217B"/>
    <w:rsid w:val="00A73861"/>
    <w:rsid w:val="00A739A6"/>
    <w:rsid w:val="00A73D6C"/>
    <w:rsid w:val="00A740ED"/>
    <w:rsid w:val="00A74C29"/>
    <w:rsid w:val="00A74C62"/>
    <w:rsid w:val="00A75DF5"/>
    <w:rsid w:val="00A75EF9"/>
    <w:rsid w:val="00A77A6F"/>
    <w:rsid w:val="00A803D6"/>
    <w:rsid w:val="00A82DB2"/>
    <w:rsid w:val="00A8311C"/>
    <w:rsid w:val="00A835D0"/>
    <w:rsid w:val="00A84C5F"/>
    <w:rsid w:val="00A85930"/>
    <w:rsid w:val="00A863F7"/>
    <w:rsid w:val="00A86604"/>
    <w:rsid w:val="00A87519"/>
    <w:rsid w:val="00A91087"/>
    <w:rsid w:val="00A91D05"/>
    <w:rsid w:val="00A9246D"/>
    <w:rsid w:val="00A92CCA"/>
    <w:rsid w:val="00A93BD0"/>
    <w:rsid w:val="00A93CC2"/>
    <w:rsid w:val="00A974CC"/>
    <w:rsid w:val="00AA1067"/>
    <w:rsid w:val="00AA2001"/>
    <w:rsid w:val="00AA2B5C"/>
    <w:rsid w:val="00AA32D2"/>
    <w:rsid w:val="00AA4016"/>
    <w:rsid w:val="00AA4C1F"/>
    <w:rsid w:val="00AA5328"/>
    <w:rsid w:val="00AA5393"/>
    <w:rsid w:val="00AA63D4"/>
    <w:rsid w:val="00AB03FD"/>
    <w:rsid w:val="00AB2000"/>
    <w:rsid w:val="00AB2E94"/>
    <w:rsid w:val="00AB38CB"/>
    <w:rsid w:val="00AB3BEC"/>
    <w:rsid w:val="00AB44E4"/>
    <w:rsid w:val="00AB4AEB"/>
    <w:rsid w:val="00AB4E5F"/>
    <w:rsid w:val="00AB5352"/>
    <w:rsid w:val="00AB56AE"/>
    <w:rsid w:val="00AB62D5"/>
    <w:rsid w:val="00AB65B5"/>
    <w:rsid w:val="00AB6DCD"/>
    <w:rsid w:val="00AB6EE0"/>
    <w:rsid w:val="00AC17A2"/>
    <w:rsid w:val="00AC40B7"/>
    <w:rsid w:val="00AC531F"/>
    <w:rsid w:val="00AC5B36"/>
    <w:rsid w:val="00AC6377"/>
    <w:rsid w:val="00AC66A4"/>
    <w:rsid w:val="00AC6CB1"/>
    <w:rsid w:val="00AC7D6D"/>
    <w:rsid w:val="00AD0091"/>
    <w:rsid w:val="00AD23EF"/>
    <w:rsid w:val="00AD2662"/>
    <w:rsid w:val="00AD307B"/>
    <w:rsid w:val="00AD4014"/>
    <w:rsid w:val="00AD41B3"/>
    <w:rsid w:val="00AD5721"/>
    <w:rsid w:val="00AD5C4D"/>
    <w:rsid w:val="00AD69F0"/>
    <w:rsid w:val="00AD7127"/>
    <w:rsid w:val="00AD730C"/>
    <w:rsid w:val="00AE123A"/>
    <w:rsid w:val="00AE1539"/>
    <w:rsid w:val="00AE28A7"/>
    <w:rsid w:val="00AE2A98"/>
    <w:rsid w:val="00AE2CF2"/>
    <w:rsid w:val="00AE3012"/>
    <w:rsid w:val="00AE33A6"/>
    <w:rsid w:val="00AE3729"/>
    <w:rsid w:val="00AE4138"/>
    <w:rsid w:val="00AE4CCE"/>
    <w:rsid w:val="00AE5C6A"/>
    <w:rsid w:val="00AE6317"/>
    <w:rsid w:val="00AE6B62"/>
    <w:rsid w:val="00AE6CBF"/>
    <w:rsid w:val="00AE7280"/>
    <w:rsid w:val="00AF007C"/>
    <w:rsid w:val="00AF033A"/>
    <w:rsid w:val="00AF1699"/>
    <w:rsid w:val="00AF1FD3"/>
    <w:rsid w:val="00AF2910"/>
    <w:rsid w:val="00AF34B8"/>
    <w:rsid w:val="00AF3896"/>
    <w:rsid w:val="00AF3FC2"/>
    <w:rsid w:val="00AF7FA2"/>
    <w:rsid w:val="00B0098A"/>
    <w:rsid w:val="00B00A5F"/>
    <w:rsid w:val="00B00F89"/>
    <w:rsid w:val="00B029B8"/>
    <w:rsid w:val="00B02F60"/>
    <w:rsid w:val="00B032B8"/>
    <w:rsid w:val="00B04721"/>
    <w:rsid w:val="00B04B15"/>
    <w:rsid w:val="00B04B46"/>
    <w:rsid w:val="00B0534D"/>
    <w:rsid w:val="00B0535B"/>
    <w:rsid w:val="00B05685"/>
    <w:rsid w:val="00B05F9F"/>
    <w:rsid w:val="00B06368"/>
    <w:rsid w:val="00B068DA"/>
    <w:rsid w:val="00B06A00"/>
    <w:rsid w:val="00B06FC6"/>
    <w:rsid w:val="00B074C9"/>
    <w:rsid w:val="00B07D9D"/>
    <w:rsid w:val="00B11AE5"/>
    <w:rsid w:val="00B12FE6"/>
    <w:rsid w:val="00B1303F"/>
    <w:rsid w:val="00B1364A"/>
    <w:rsid w:val="00B13859"/>
    <w:rsid w:val="00B13EC9"/>
    <w:rsid w:val="00B14319"/>
    <w:rsid w:val="00B14A06"/>
    <w:rsid w:val="00B158E1"/>
    <w:rsid w:val="00B16715"/>
    <w:rsid w:val="00B1768E"/>
    <w:rsid w:val="00B17910"/>
    <w:rsid w:val="00B20F18"/>
    <w:rsid w:val="00B21516"/>
    <w:rsid w:val="00B21A37"/>
    <w:rsid w:val="00B21D23"/>
    <w:rsid w:val="00B21F62"/>
    <w:rsid w:val="00B22CE0"/>
    <w:rsid w:val="00B23738"/>
    <w:rsid w:val="00B23BEF"/>
    <w:rsid w:val="00B247BB"/>
    <w:rsid w:val="00B2504A"/>
    <w:rsid w:val="00B25EE6"/>
    <w:rsid w:val="00B3115A"/>
    <w:rsid w:val="00B31825"/>
    <w:rsid w:val="00B31A5C"/>
    <w:rsid w:val="00B33B06"/>
    <w:rsid w:val="00B33C19"/>
    <w:rsid w:val="00B35A15"/>
    <w:rsid w:val="00B35B45"/>
    <w:rsid w:val="00B36810"/>
    <w:rsid w:val="00B36A99"/>
    <w:rsid w:val="00B42264"/>
    <w:rsid w:val="00B434B2"/>
    <w:rsid w:val="00B43D45"/>
    <w:rsid w:val="00B468F2"/>
    <w:rsid w:val="00B469DE"/>
    <w:rsid w:val="00B47286"/>
    <w:rsid w:val="00B50234"/>
    <w:rsid w:val="00B51BF4"/>
    <w:rsid w:val="00B52C68"/>
    <w:rsid w:val="00B5372B"/>
    <w:rsid w:val="00B542FE"/>
    <w:rsid w:val="00B55A1B"/>
    <w:rsid w:val="00B55B97"/>
    <w:rsid w:val="00B561DB"/>
    <w:rsid w:val="00B56A75"/>
    <w:rsid w:val="00B56DF9"/>
    <w:rsid w:val="00B600BD"/>
    <w:rsid w:val="00B61274"/>
    <w:rsid w:val="00B61CDB"/>
    <w:rsid w:val="00B61DCE"/>
    <w:rsid w:val="00B62188"/>
    <w:rsid w:val="00B62F79"/>
    <w:rsid w:val="00B62F82"/>
    <w:rsid w:val="00B6306A"/>
    <w:rsid w:val="00B635E3"/>
    <w:rsid w:val="00B653D7"/>
    <w:rsid w:val="00B662FF"/>
    <w:rsid w:val="00B66679"/>
    <w:rsid w:val="00B70145"/>
    <w:rsid w:val="00B71A92"/>
    <w:rsid w:val="00B721D8"/>
    <w:rsid w:val="00B73067"/>
    <w:rsid w:val="00B730CA"/>
    <w:rsid w:val="00B747C5"/>
    <w:rsid w:val="00B74F2F"/>
    <w:rsid w:val="00B753ED"/>
    <w:rsid w:val="00B769BC"/>
    <w:rsid w:val="00B77349"/>
    <w:rsid w:val="00B7761E"/>
    <w:rsid w:val="00B80A3D"/>
    <w:rsid w:val="00B80B04"/>
    <w:rsid w:val="00B8127B"/>
    <w:rsid w:val="00B8144B"/>
    <w:rsid w:val="00B819E5"/>
    <w:rsid w:val="00B81BED"/>
    <w:rsid w:val="00B821E4"/>
    <w:rsid w:val="00B823E0"/>
    <w:rsid w:val="00B8260D"/>
    <w:rsid w:val="00B82B78"/>
    <w:rsid w:val="00B845B4"/>
    <w:rsid w:val="00B84662"/>
    <w:rsid w:val="00B84C74"/>
    <w:rsid w:val="00B85191"/>
    <w:rsid w:val="00B858A1"/>
    <w:rsid w:val="00B85FEC"/>
    <w:rsid w:val="00B864A3"/>
    <w:rsid w:val="00B86C2A"/>
    <w:rsid w:val="00B878BE"/>
    <w:rsid w:val="00B902A5"/>
    <w:rsid w:val="00B90420"/>
    <w:rsid w:val="00B90848"/>
    <w:rsid w:val="00B91146"/>
    <w:rsid w:val="00B913E4"/>
    <w:rsid w:val="00B91DB9"/>
    <w:rsid w:val="00B91FF3"/>
    <w:rsid w:val="00B93EFE"/>
    <w:rsid w:val="00B944B9"/>
    <w:rsid w:val="00B94956"/>
    <w:rsid w:val="00B94C7F"/>
    <w:rsid w:val="00B94E93"/>
    <w:rsid w:val="00B956B5"/>
    <w:rsid w:val="00B96DF2"/>
    <w:rsid w:val="00B96E18"/>
    <w:rsid w:val="00B96F5A"/>
    <w:rsid w:val="00BA0317"/>
    <w:rsid w:val="00BA0B39"/>
    <w:rsid w:val="00BA0CB2"/>
    <w:rsid w:val="00BA0E26"/>
    <w:rsid w:val="00BA138B"/>
    <w:rsid w:val="00BA305B"/>
    <w:rsid w:val="00BA31BF"/>
    <w:rsid w:val="00BA3FC7"/>
    <w:rsid w:val="00BA478B"/>
    <w:rsid w:val="00BA5224"/>
    <w:rsid w:val="00BA575E"/>
    <w:rsid w:val="00BA76B7"/>
    <w:rsid w:val="00BA7E3B"/>
    <w:rsid w:val="00BB078D"/>
    <w:rsid w:val="00BB079C"/>
    <w:rsid w:val="00BB0D7A"/>
    <w:rsid w:val="00BB10E1"/>
    <w:rsid w:val="00BB228D"/>
    <w:rsid w:val="00BB2471"/>
    <w:rsid w:val="00BB25B8"/>
    <w:rsid w:val="00BB3035"/>
    <w:rsid w:val="00BB39C1"/>
    <w:rsid w:val="00BB3DF5"/>
    <w:rsid w:val="00BB5088"/>
    <w:rsid w:val="00BB5D16"/>
    <w:rsid w:val="00BB6180"/>
    <w:rsid w:val="00BB69E6"/>
    <w:rsid w:val="00BB6FB8"/>
    <w:rsid w:val="00BB7BE5"/>
    <w:rsid w:val="00BC08BD"/>
    <w:rsid w:val="00BC11E8"/>
    <w:rsid w:val="00BC1B7A"/>
    <w:rsid w:val="00BC2C17"/>
    <w:rsid w:val="00BC3ACD"/>
    <w:rsid w:val="00BC3B20"/>
    <w:rsid w:val="00BC3EE4"/>
    <w:rsid w:val="00BC588C"/>
    <w:rsid w:val="00BC62F4"/>
    <w:rsid w:val="00BC6E73"/>
    <w:rsid w:val="00BC74D3"/>
    <w:rsid w:val="00BD0014"/>
    <w:rsid w:val="00BD01D8"/>
    <w:rsid w:val="00BD06F6"/>
    <w:rsid w:val="00BD255F"/>
    <w:rsid w:val="00BD2895"/>
    <w:rsid w:val="00BD4236"/>
    <w:rsid w:val="00BD483B"/>
    <w:rsid w:val="00BD5CD4"/>
    <w:rsid w:val="00BD65D9"/>
    <w:rsid w:val="00BD6DF3"/>
    <w:rsid w:val="00BD6E09"/>
    <w:rsid w:val="00BD6EF9"/>
    <w:rsid w:val="00BE0ACB"/>
    <w:rsid w:val="00BE2260"/>
    <w:rsid w:val="00BE3917"/>
    <w:rsid w:val="00BE4F68"/>
    <w:rsid w:val="00BE50FD"/>
    <w:rsid w:val="00BE51CA"/>
    <w:rsid w:val="00BE537F"/>
    <w:rsid w:val="00BE5D77"/>
    <w:rsid w:val="00BE6D47"/>
    <w:rsid w:val="00BE7032"/>
    <w:rsid w:val="00BE7330"/>
    <w:rsid w:val="00BF01C5"/>
    <w:rsid w:val="00BF061A"/>
    <w:rsid w:val="00BF066A"/>
    <w:rsid w:val="00BF14CC"/>
    <w:rsid w:val="00BF1821"/>
    <w:rsid w:val="00BF4342"/>
    <w:rsid w:val="00BF4704"/>
    <w:rsid w:val="00BF4FFC"/>
    <w:rsid w:val="00BF5050"/>
    <w:rsid w:val="00BF50D1"/>
    <w:rsid w:val="00BF5422"/>
    <w:rsid w:val="00BF59B1"/>
    <w:rsid w:val="00BF6A78"/>
    <w:rsid w:val="00BF7695"/>
    <w:rsid w:val="00BF79B4"/>
    <w:rsid w:val="00BF7C61"/>
    <w:rsid w:val="00C00037"/>
    <w:rsid w:val="00C00D18"/>
    <w:rsid w:val="00C01427"/>
    <w:rsid w:val="00C014C7"/>
    <w:rsid w:val="00C018C6"/>
    <w:rsid w:val="00C047AB"/>
    <w:rsid w:val="00C058AF"/>
    <w:rsid w:val="00C075B6"/>
    <w:rsid w:val="00C124C1"/>
    <w:rsid w:val="00C128AE"/>
    <w:rsid w:val="00C12BA8"/>
    <w:rsid w:val="00C136D6"/>
    <w:rsid w:val="00C13902"/>
    <w:rsid w:val="00C13D5B"/>
    <w:rsid w:val="00C141D7"/>
    <w:rsid w:val="00C1711B"/>
    <w:rsid w:val="00C17AE2"/>
    <w:rsid w:val="00C17E00"/>
    <w:rsid w:val="00C20140"/>
    <w:rsid w:val="00C20F27"/>
    <w:rsid w:val="00C215CF"/>
    <w:rsid w:val="00C2244B"/>
    <w:rsid w:val="00C22711"/>
    <w:rsid w:val="00C2280A"/>
    <w:rsid w:val="00C22B0D"/>
    <w:rsid w:val="00C22BFF"/>
    <w:rsid w:val="00C23522"/>
    <w:rsid w:val="00C23A6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1F22"/>
    <w:rsid w:val="00C322D1"/>
    <w:rsid w:val="00C3242A"/>
    <w:rsid w:val="00C33201"/>
    <w:rsid w:val="00C33A39"/>
    <w:rsid w:val="00C33B57"/>
    <w:rsid w:val="00C34619"/>
    <w:rsid w:val="00C35D01"/>
    <w:rsid w:val="00C360B3"/>
    <w:rsid w:val="00C37027"/>
    <w:rsid w:val="00C37B19"/>
    <w:rsid w:val="00C40E16"/>
    <w:rsid w:val="00C413CB"/>
    <w:rsid w:val="00C42752"/>
    <w:rsid w:val="00C42973"/>
    <w:rsid w:val="00C44C69"/>
    <w:rsid w:val="00C451D0"/>
    <w:rsid w:val="00C46231"/>
    <w:rsid w:val="00C4712A"/>
    <w:rsid w:val="00C5034F"/>
    <w:rsid w:val="00C50830"/>
    <w:rsid w:val="00C52479"/>
    <w:rsid w:val="00C5266E"/>
    <w:rsid w:val="00C52C59"/>
    <w:rsid w:val="00C5349E"/>
    <w:rsid w:val="00C539FF"/>
    <w:rsid w:val="00C544BD"/>
    <w:rsid w:val="00C54D3D"/>
    <w:rsid w:val="00C55A30"/>
    <w:rsid w:val="00C56384"/>
    <w:rsid w:val="00C5654F"/>
    <w:rsid w:val="00C60436"/>
    <w:rsid w:val="00C60F8C"/>
    <w:rsid w:val="00C61794"/>
    <w:rsid w:val="00C62A48"/>
    <w:rsid w:val="00C62AC4"/>
    <w:rsid w:val="00C62B59"/>
    <w:rsid w:val="00C62F96"/>
    <w:rsid w:val="00C631E1"/>
    <w:rsid w:val="00C638D8"/>
    <w:rsid w:val="00C63AE7"/>
    <w:rsid w:val="00C63D26"/>
    <w:rsid w:val="00C6540A"/>
    <w:rsid w:val="00C668A1"/>
    <w:rsid w:val="00C67223"/>
    <w:rsid w:val="00C672AE"/>
    <w:rsid w:val="00C707B8"/>
    <w:rsid w:val="00C712AC"/>
    <w:rsid w:val="00C71C15"/>
    <w:rsid w:val="00C71F3D"/>
    <w:rsid w:val="00C72F53"/>
    <w:rsid w:val="00C74035"/>
    <w:rsid w:val="00C748EA"/>
    <w:rsid w:val="00C77818"/>
    <w:rsid w:val="00C80293"/>
    <w:rsid w:val="00C8063F"/>
    <w:rsid w:val="00C81282"/>
    <w:rsid w:val="00C827B4"/>
    <w:rsid w:val="00C82EBC"/>
    <w:rsid w:val="00C83214"/>
    <w:rsid w:val="00C8329F"/>
    <w:rsid w:val="00C84F8A"/>
    <w:rsid w:val="00C85BA4"/>
    <w:rsid w:val="00C8618F"/>
    <w:rsid w:val="00C8625D"/>
    <w:rsid w:val="00C90372"/>
    <w:rsid w:val="00C9041F"/>
    <w:rsid w:val="00C9166B"/>
    <w:rsid w:val="00C91A45"/>
    <w:rsid w:val="00C91FB4"/>
    <w:rsid w:val="00C92150"/>
    <w:rsid w:val="00C92328"/>
    <w:rsid w:val="00C92D42"/>
    <w:rsid w:val="00C938C2"/>
    <w:rsid w:val="00C93F8A"/>
    <w:rsid w:val="00C94EA1"/>
    <w:rsid w:val="00C9511B"/>
    <w:rsid w:val="00C95745"/>
    <w:rsid w:val="00C95902"/>
    <w:rsid w:val="00C962E3"/>
    <w:rsid w:val="00C978E2"/>
    <w:rsid w:val="00C97997"/>
    <w:rsid w:val="00CA10A2"/>
    <w:rsid w:val="00CA1D83"/>
    <w:rsid w:val="00CA25C0"/>
    <w:rsid w:val="00CA3451"/>
    <w:rsid w:val="00CA35C6"/>
    <w:rsid w:val="00CA4948"/>
    <w:rsid w:val="00CA52F9"/>
    <w:rsid w:val="00CA5368"/>
    <w:rsid w:val="00CA568B"/>
    <w:rsid w:val="00CA573A"/>
    <w:rsid w:val="00CA5C58"/>
    <w:rsid w:val="00CA7102"/>
    <w:rsid w:val="00CB19D7"/>
    <w:rsid w:val="00CB19FE"/>
    <w:rsid w:val="00CB1C3F"/>
    <w:rsid w:val="00CB2364"/>
    <w:rsid w:val="00CB304C"/>
    <w:rsid w:val="00CB3933"/>
    <w:rsid w:val="00CB53E8"/>
    <w:rsid w:val="00CB594A"/>
    <w:rsid w:val="00CB5CB2"/>
    <w:rsid w:val="00CB6979"/>
    <w:rsid w:val="00CB7DDE"/>
    <w:rsid w:val="00CC0A3D"/>
    <w:rsid w:val="00CC1585"/>
    <w:rsid w:val="00CC3C53"/>
    <w:rsid w:val="00CC3D24"/>
    <w:rsid w:val="00CC3F91"/>
    <w:rsid w:val="00CC4ACD"/>
    <w:rsid w:val="00CC4B0A"/>
    <w:rsid w:val="00CC544A"/>
    <w:rsid w:val="00CC57EA"/>
    <w:rsid w:val="00CC5954"/>
    <w:rsid w:val="00CC629B"/>
    <w:rsid w:val="00CC6539"/>
    <w:rsid w:val="00CC6C4E"/>
    <w:rsid w:val="00CD009D"/>
    <w:rsid w:val="00CD05A2"/>
    <w:rsid w:val="00CD29D4"/>
    <w:rsid w:val="00CD2B5C"/>
    <w:rsid w:val="00CD2FF3"/>
    <w:rsid w:val="00CD32F9"/>
    <w:rsid w:val="00CD3323"/>
    <w:rsid w:val="00CD38F5"/>
    <w:rsid w:val="00CD437E"/>
    <w:rsid w:val="00CD4C91"/>
    <w:rsid w:val="00CD5DAD"/>
    <w:rsid w:val="00CD72C5"/>
    <w:rsid w:val="00CD79A7"/>
    <w:rsid w:val="00CE0789"/>
    <w:rsid w:val="00CE0E8D"/>
    <w:rsid w:val="00CE1A03"/>
    <w:rsid w:val="00CE2346"/>
    <w:rsid w:val="00CE25B2"/>
    <w:rsid w:val="00CE2687"/>
    <w:rsid w:val="00CE3529"/>
    <w:rsid w:val="00CE35C8"/>
    <w:rsid w:val="00CE3962"/>
    <w:rsid w:val="00CE4D1A"/>
    <w:rsid w:val="00CE4E8A"/>
    <w:rsid w:val="00CE5105"/>
    <w:rsid w:val="00CE56BD"/>
    <w:rsid w:val="00CE5EC0"/>
    <w:rsid w:val="00CE6A0B"/>
    <w:rsid w:val="00CE6F9F"/>
    <w:rsid w:val="00CE781A"/>
    <w:rsid w:val="00CE7B08"/>
    <w:rsid w:val="00CE7D52"/>
    <w:rsid w:val="00CF0F6A"/>
    <w:rsid w:val="00CF1D74"/>
    <w:rsid w:val="00CF2BE2"/>
    <w:rsid w:val="00CF3DEB"/>
    <w:rsid w:val="00CF55F9"/>
    <w:rsid w:val="00CF7074"/>
    <w:rsid w:val="00CF7390"/>
    <w:rsid w:val="00CF7495"/>
    <w:rsid w:val="00D01CF9"/>
    <w:rsid w:val="00D0334D"/>
    <w:rsid w:val="00D0374D"/>
    <w:rsid w:val="00D03EFF"/>
    <w:rsid w:val="00D06D7B"/>
    <w:rsid w:val="00D06DA5"/>
    <w:rsid w:val="00D07191"/>
    <w:rsid w:val="00D073B4"/>
    <w:rsid w:val="00D07F1D"/>
    <w:rsid w:val="00D10558"/>
    <w:rsid w:val="00D11D4D"/>
    <w:rsid w:val="00D126DC"/>
    <w:rsid w:val="00D12B03"/>
    <w:rsid w:val="00D13E70"/>
    <w:rsid w:val="00D15FCD"/>
    <w:rsid w:val="00D16C58"/>
    <w:rsid w:val="00D17019"/>
    <w:rsid w:val="00D17FC8"/>
    <w:rsid w:val="00D20B44"/>
    <w:rsid w:val="00D21168"/>
    <w:rsid w:val="00D21CF8"/>
    <w:rsid w:val="00D2438C"/>
    <w:rsid w:val="00D2585A"/>
    <w:rsid w:val="00D259B0"/>
    <w:rsid w:val="00D26C3F"/>
    <w:rsid w:val="00D27026"/>
    <w:rsid w:val="00D27185"/>
    <w:rsid w:val="00D2737A"/>
    <w:rsid w:val="00D30EF8"/>
    <w:rsid w:val="00D32518"/>
    <w:rsid w:val="00D33488"/>
    <w:rsid w:val="00D334D1"/>
    <w:rsid w:val="00D33AB3"/>
    <w:rsid w:val="00D33F24"/>
    <w:rsid w:val="00D34160"/>
    <w:rsid w:val="00D346B8"/>
    <w:rsid w:val="00D34DCA"/>
    <w:rsid w:val="00D35AC8"/>
    <w:rsid w:val="00D361CB"/>
    <w:rsid w:val="00D36F87"/>
    <w:rsid w:val="00D373C7"/>
    <w:rsid w:val="00D37E4E"/>
    <w:rsid w:val="00D400A4"/>
    <w:rsid w:val="00D40DEF"/>
    <w:rsid w:val="00D417D8"/>
    <w:rsid w:val="00D41F78"/>
    <w:rsid w:val="00D42E6C"/>
    <w:rsid w:val="00D4351C"/>
    <w:rsid w:val="00D43B80"/>
    <w:rsid w:val="00D44988"/>
    <w:rsid w:val="00D45B4C"/>
    <w:rsid w:val="00D45BA4"/>
    <w:rsid w:val="00D471AF"/>
    <w:rsid w:val="00D4724F"/>
    <w:rsid w:val="00D50519"/>
    <w:rsid w:val="00D512C8"/>
    <w:rsid w:val="00D51601"/>
    <w:rsid w:val="00D51ECB"/>
    <w:rsid w:val="00D5264C"/>
    <w:rsid w:val="00D52BBC"/>
    <w:rsid w:val="00D537FE"/>
    <w:rsid w:val="00D53CC9"/>
    <w:rsid w:val="00D543F4"/>
    <w:rsid w:val="00D54A6A"/>
    <w:rsid w:val="00D54B8F"/>
    <w:rsid w:val="00D55951"/>
    <w:rsid w:val="00D559F0"/>
    <w:rsid w:val="00D57075"/>
    <w:rsid w:val="00D57EB6"/>
    <w:rsid w:val="00D608C0"/>
    <w:rsid w:val="00D60D6D"/>
    <w:rsid w:val="00D6128C"/>
    <w:rsid w:val="00D61D32"/>
    <w:rsid w:val="00D63D88"/>
    <w:rsid w:val="00D66D8B"/>
    <w:rsid w:val="00D70849"/>
    <w:rsid w:val="00D72297"/>
    <w:rsid w:val="00D72A1C"/>
    <w:rsid w:val="00D7308F"/>
    <w:rsid w:val="00D7313E"/>
    <w:rsid w:val="00D73580"/>
    <w:rsid w:val="00D73802"/>
    <w:rsid w:val="00D73C2C"/>
    <w:rsid w:val="00D73D52"/>
    <w:rsid w:val="00D745E7"/>
    <w:rsid w:val="00D74B17"/>
    <w:rsid w:val="00D774ED"/>
    <w:rsid w:val="00D777C3"/>
    <w:rsid w:val="00D7797C"/>
    <w:rsid w:val="00D77C44"/>
    <w:rsid w:val="00D77C88"/>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3E64"/>
    <w:rsid w:val="00D93F64"/>
    <w:rsid w:val="00D94CA4"/>
    <w:rsid w:val="00D95E99"/>
    <w:rsid w:val="00D965D5"/>
    <w:rsid w:val="00D97DA2"/>
    <w:rsid w:val="00DA1A3A"/>
    <w:rsid w:val="00DA2351"/>
    <w:rsid w:val="00DA249E"/>
    <w:rsid w:val="00DA2D3D"/>
    <w:rsid w:val="00DA4C30"/>
    <w:rsid w:val="00DA59FF"/>
    <w:rsid w:val="00DA7659"/>
    <w:rsid w:val="00DA7722"/>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009D"/>
    <w:rsid w:val="00DC1056"/>
    <w:rsid w:val="00DC1442"/>
    <w:rsid w:val="00DC21D8"/>
    <w:rsid w:val="00DC282A"/>
    <w:rsid w:val="00DC2982"/>
    <w:rsid w:val="00DC34DC"/>
    <w:rsid w:val="00DC3780"/>
    <w:rsid w:val="00DC3ADA"/>
    <w:rsid w:val="00DC3CC6"/>
    <w:rsid w:val="00DC3F55"/>
    <w:rsid w:val="00DC4782"/>
    <w:rsid w:val="00DC514A"/>
    <w:rsid w:val="00DC6083"/>
    <w:rsid w:val="00DC67B1"/>
    <w:rsid w:val="00DC7FBC"/>
    <w:rsid w:val="00DD0019"/>
    <w:rsid w:val="00DD132B"/>
    <w:rsid w:val="00DD1725"/>
    <w:rsid w:val="00DD2159"/>
    <w:rsid w:val="00DD218B"/>
    <w:rsid w:val="00DD2A18"/>
    <w:rsid w:val="00DD3044"/>
    <w:rsid w:val="00DD38D3"/>
    <w:rsid w:val="00DD3985"/>
    <w:rsid w:val="00DD61E8"/>
    <w:rsid w:val="00DD62C0"/>
    <w:rsid w:val="00DD64DE"/>
    <w:rsid w:val="00DD7859"/>
    <w:rsid w:val="00DD7B41"/>
    <w:rsid w:val="00DE0784"/>
    <w:rsid w:val="00DE0A1D"/>
    <w:rsid w:val="00DE15B2"/>
    <w:rsid w:val="00DE1A9A"/>
    <w:rsid w:val="00DE3D2C"/>
    <w:rsid w:val="00DE5E82"/>
    <w:rsid w:val="00DE5FA6"/>
    <w:rsid w:val="00DE6792"/>
    <w:rsid w:val="00DE6AA1"/>
    <w:rsid w:val="00DE6AE4"/>
    <w:rsid w:val="00DE7AAB"/>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608"/>
    <w:rsid w:val="00DF6CCC"/>
    <w:rsid w:val="00DF6D0C"/>
    <w:rsid w:val="00DF6F64"/>
    <w:rsid w:val="00DF721E"/>
    <w:rsid w:val="00DF7B8A"/>
    <w:rsid w:val="00DF7C87"/>
    <w:rsid w:val="00E009B0"/>
    <w:rsid w:val="00E00A12"/>
    <w:rsid w:val="00E00C49"/>
    <w:rsid w:val="00E01C9C"/>
    <w:rsid w:val="00E0219D"/>
    <w:rsid w:val="00E04C0F"/>
    <w:rsid w:val="00E0570B"/>
    <w:rsid w:val="00E10343"/>
    <w:rsid w:val="00E10913"/>
    <w:rsid w:val="00E10B87"/>
    <w:rsid w:val="00E121CE"/>
    <w:rsid w:val="00E1478B"/>
    <w:rsid w:val="00E14AE2"/>
    <w:rsid w:val="00E14FAC"/>
    <w:rsid w:val="00E15007"/>
    <w:rsid w:val="00E16277"/>
    <w:rsid w:val="00E16EC7"/>
    <w:rsid w:val="00E219CE"/>
    <w:rsid w:val="00E24071"/>
    <w:rsid w:val="00E24EBC"/>
    <w:rsid w:val="00E24EF9"/>
    <w:rsid w:val="00E2522C"/>
    <w:rsid w:val="00E2552F"/>
    <w:rsid w:val="00E2599B"/>
    <w:rsid w:val="00E26C25"/>
    <w:rsid w:val="00E2710C"/>
    <w:rsid w:val="00E27428"/>
    <w:rsid w:val="00E305B4"/>
    <w:rsid w:val="00E31AFA"/>
    <w:rsid w:val="00E31CB7"/>
    <w:rsid w:val="00E324EE"/>
    <w:rsid w:val="00E32990"/>
    <w:rsid w:val="00E34DB1"/>
    <w:rsid w:val="00E35931"/>
    <w:rsid w:val="00E359FF"/>
    <w:rsid w:val="00E36BD1"/>
    <w:rsid w:val="00E402C5"/>
    <w:rsid w:val="00E402F4"/>
    <w:rsid w:val="00E405F1"/>
    <w:rsid w:val="00E4178B"/>
    <w:rsid w:val="00E417DB"/>
    <w:rsid w:val="00E43054"/>
    <w:rsid w:val="00E43655"/>
    <w:rsid w:val="00E44115"/>
    <w:rsid w:val="00E44440"/>
    <w:rsid w:val="00E46013"/>
    <w:rsid w:val="00E4608F"/>
    <w:rsid w:val="00E47099"/>
    <w:rsid w:val="00E47284"/>
    <w:rsid w:val="00E4730A"/>
    <w:rsid w:val="00E477C3"/>
    <w:rsid w:val="00E47BE3"/>
    <w:rsid w:val="00E517A5"/>
    <w:rsid w:val="00E51E16"/>
    <w:rsid w:val="00E53730"/>
    <w:rsid w:val="00E5438D"/>
    <w:rsid w:val="00E54511"/>
    <w:rsid w:val="00E54E50"/>
    <w:rsid w:val="00E55288"/>
    <w:rsid w:val="00E57577"/>
    <w:rsid w:val="00E61BBE"/>
    <w:rsid w:val="00E62043"/>
    <w:rsid w:val="00E626B9"/>
    <w:rsid w:val="00E627C9"/>
    <w:rsid w:val="00E630F3"/>
    <w:rsid w:val="00E6332F"/>
    <w:rsid w:val="00E637C9"/>
    <w:rsid w:val="00E6402D"/>
    <w:rsid w:val="00E6680A"/>
    <w:rsid w:val="00E66F0D"/>
    <w:rsid w:val="00E70615"/>
    <w:rsid w:val="00E7161E"/>
    <w:rsid w:val="00E7207B"/>
    <w:rsid w:val="00E7347A"/>
    <w:rsid w:val="00E75A47"/>
    <w:rsid w:val="00E75BB6"/>
    <w:rsid w:val="00E75D8C"/>
    <w:rsid w:val="00E777F2"/>
    <w:rsid w:val="00E802C9"/>
    <w:rsid w:val="00E80BFB"/>
    <w:rsid w:val="00E80F0A"/>
    <w:rsid w:val="00E815D4"/>
    <w:rsid w:val="00E8291B"/>
    <w:rsid w:val="00E82E70"/>
    <w:rsid w:val="00E82F92"/>
    <w:rsid w:val="00E8395F"/>
    <w:rsid w:val="00E8410F"/>
    <w:rsid w:val="00E849D7"/>
    <w:rsid w:val="00E85E41"/>
    <w:rsid w:val="00E85EA1"/>
    <w:rsid w:val="00E86347"/>
    <w:rsid w:val="00E86703"/>
    <w:rsid w:val="00E91044"/>
    <w:rsid w:val="00E910D3"/>
    <w:rsid w:val="00E91257"/>
    <w:rsid w:val="00E92154"/>
    <w:rsid w:val="00E923CF"/>
    <w:rsid w:val="00E93125"/>
    <w:rsid w:val="00E93685"/>
    <w:rsid w:val="00E93B65"/>
    <w:rsid w:val="00E93C8C"/>
    <w:rsid w:val="00E93EE9"/>
    <w:rsid w:val="00E95111"/>
    <w:rsid w:val="00E95FDF"/>
    <w:rsid w:val="00EA14C8"/>
    <w:rsid w:val="00EA2110"/>
    <w:rsid w:val="00EA283A"/>
    <w:rsid w:val="00EA2C90"/>
    <w:rsid w:val="00EA2E07"/>
    <w:rsid w:val="00EA383B"/>
    <w:rsid w:val="00EA48F3"/>
    <w:rsid w:val="00EA60BF"/>
    <w:rsid w:val="00EA7365"/>
    <w:rsid w:val="00EA763F"/>
    <w:rsid w:val="00EA77E9"/>
    <w:rsid w:val="00EB05D0"/>
    <w:rsid w:val="00EB1151"/>
    <w:rsid w:val="00EB1D49"/>
    <w:rsid w:val="00EB23D9"/>
    <w:rsid w:val="00EB39A0"/>
    <w:rsid w:val="00EB559F"/>
    <w:rsid w:val="00EB566C"/>
    <w:rsid w:val="00EB5F3D"/>
    <w:rsid w:val="00EB68FA"/>
    <w:rsid w:val="00EC1CEB"/>
    <w:rsid w:val="00EC1DC0"/>
    <w:rsid w:val="00EC1DC2"/>
    <w:rsid w:val="00EC1E88"/>
    <w:rsid w:val="00EC21EC"/>
    <w:rsid w:val="00EC24B8"/>
    <w:rsid w:val="00EC268C"/>
    <w:rsid w:val="00EC3753"/>
    <w:rsid w:val="00EC4E71"/>
    <w:rsid w:val="00EC5F1C"/>
    <w:rsid w:val="00EC6BDC"/>
    <w:rsid w:val="00ED0365"/>
    <w:rsid w:val="00ED0865"/>
    <w:rsid w:val="00ED1C60"/>
    <w:rsid w:val="00ED2715"/>
    <w:rsid w:val="00ED2EB9"/>
    <w:rsid w:val="00ED32D5"/>
    <w:rsid w:val="00ED3722"/>
    <w:rsid w:val="00ED3A31"/>
    <w:rsid w:val="00ED4469"/>
    <w:rsid w:val="00ED5424"/>
    <w:rsid w:val="00ED5F23"/>
    <w:rsid w:val="00ED6391"/>
    <w:rsid w:val="00ED6DC0"/>
    <w:rsid w:val="00ED7A7A"/>
    <w:rsid w:val="00EE0327"/>
    <w:rsid w:val="00EE038C"/>
    <w:rsid w:val="00EE1AD7"/>
    <w:rsid w:val="00EE28C5"/>
    <w:rsid w:val="00EE2F09"/>
    <w:rsid w:val="00EE47C5"/>
    <w:rsid w:val="00EE490C"/>
    <w:rsid w:val="00EE4E57"/>
    <w:rsid w:val="00EE5738"/>
    <w:rsid w:val="00EE58BD"/>
    <w:rsid w:val="00EE5E59"/>
    <w:rsid w:val="00EE6549"/>
    <w:rsid w:val="00EE73D0"/>
    <w:rsid w:val="00EE7CB0"/>
    <w:rsid w:val="00EF08A8"/>
    <w:rsid w:val="00EF167B"/>
    <w:rsid w:val="00EF30BF"/>
    <w:rsid w:val="00EF41A8"/>
    <w:rsid w:val="00EF44FB"/>
    <w:rsid w:val="00EF5122"/>
    <w:rsid w:val="00EF5554"/>
    <w:rsid w:val="00EF5AD8"/>
    <w:rsid w:val="00EF6B90"/>
    <w:rsid w:val="00EF7807"/>
    <w:rsid w:val="00EF79F7"/>
    <w:rsid w:val="00F006C0"/>
    <w:rsid w:val="00F0125F"/>
    <w:rsid w:val="00F019AA"/>
    <w:rsid w:val="00F0267E"/>
    <w:rsid w:val="00F02686"/>
    <w:rsid w:val="00F030C0"/>
    <w:rsid w:val="00F03291"/>
    <w:rsid w:val="00F0459B"/>
    <w:rsid w:val="00F04E15"/>
    <w:rsid w:val="00F05DF3"/>
    <w:rsid w:val="00F0663A"/>
    <w:rsid w:val="00F0692C"/>
    <w:rsid w:val="00F069EA"/>
    <w:rsid w:val="00F070E5"/>
    <w:rsid w:val="00F07DDE"/>
    <w:rsid w:val="00F11675"/>
    <w:rsid w:val="00F12557"/>
    <w:rsid w:val="00F12968"/>
    <w:rsid w:val="00F13599"/>
    <w:rsid w:val="00F135C2"/>
    <w:rsid w:val="00F13B28"/>
    <w:rsid w:val="00F14E01"/>
    <w:rsid w:val="00F156A0"/>
    <w:rsid w:val="00F15730"/>
    <w:rsid w:val="00F176A6"/>
    <w:rsid w:val="00F202C2"/>
    <w:rsid w:val="00F20340"/>
    <w:rsid w:val="00F20BC0"/>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8C3"/>
    <w:rsid w:val="00F34B14"/>
    <w:rsid w:val="00F34F58"/>
    <w:rsid w:val="00F35DA7"/>
    <w:rsid w:val="00F36A6A"/>
    <w:rsid w:val="00F40101"/>
    <w:rsid w:val="00F404F7"/>
    <w:rsid w:val="00F40CCA"/>
    <w:rsid w:val="00F42D97"/>
    <w:rsid w:val="00F436B2"/>
    <w:rsid w:val="00F43813"/>
    <w:rsid w:val="00F43FEE"/>
    <w:rsid w:val="00F45A72"/>
    <w:rsid w:val="00F46574"/>
    <w:rsid w:val="00F46723"/>
    <w:rsid w:val="00F4706D"/>
    <w:rsid w:val="00F476E1"/>
    <w:rsid w:val="00F47C86"/>
    <w:rsid w:val="00F47D1D"/>
    <w:rsid w:val="00F47F29"/>
    <w:rsid w:val="00F50016"/>
    <w:rsid w:val="00F50058"/>
    <w:rsid w:val="00F5118A"/>
    <w:rsid w:val="00F51A21"/>
    <w:rsid w:val="00F52614"/>
    <w:rsid w:val="00F5276E"/>
    <w:rsid w:val="00F52E9F"/>
    <w:rsid w:val="00F53304"/>
    <w:rsid w:val="00F53B81"/>
    <w:rsid w:val="00F540FE"/>
    <w:rsid w:val="00F556FF"/>
    <w:rsid w:val="00F55D12"/>
    <w:rsid w:val="00F5687F"/>
    <w:rsid w:val="00F56D3F"/>
    <w:rsid w:val="00F575C7"/>
    <w:rsid w:val="00F57FD0"/>
    <w:rsid w:val="00F60305"/>
    <w:rsid w:val="00F61B12"/>
    <w:rsid w:val="00F63264"/>
    <w:rsid w:val="00F634E4"/>
    <w:rsid w:val="00F6379E"/>
    <w:rsid w:val="00F64047"/>
    <w:rsid w:val="00F65171"/>
    <w:rsid w:val="00F652C3"/>
    <w:rsid w:val="00F6560D"/>
    <w:rsid w:val="00F65C23"/>
    <w:rsid w:val="00F67844"/>
    <w:rsid w:val="00F70799"/>
    <w:rsid w:val="00F70A8B"/>
    <w:rsid w:val="00F70B8D"/>
    <w:rsid w:val="00F71936"/>
    <w:rsid w:val="00F724FB"/>
    <w:rsid w:val="00F726B8"/>
    <w:rsid w:val="00F72A26"/>
    <w:rsid w:val="00F733C3"/>
    <w:rsid w:val="00F7409E"/>
    <w:rsid w:val="00F746A1"/>
    <w:rsid w:val="00F74820"/>
    <w:rsid w:val="00F756DD"/>
    <w:rsid w:val="00F77F4E"/>
    <w:rsid w:val="00F80047"/>
    <w:rsid w:val="00F800C7"/>
    <w:rsid w:val="00F8104D"/>
    <w:rsid w:val="00F81587"/>
    <w:rsid w:val="00F8288F"/>
    <w:rsid w:val="00F84033"/>
    <w:rsid w:val="00F84580"/>
    <w:rsid w:val="00F84802"/>
    <w:rsid w:val="00F85B72"/>
    <w:rsid w:val="00F86540"/>
    <w:rsid w:val="00F865CE"/>
    <w:rsid w:val="00F8766F"/>
    <w:rsid w:val="00F91082"/>
    <w:rsid w:val="00F9116D"/>
    <w:rsid w:val="00F91902"/>
    <w:rsid w:val="00F91A9A"/>
    <w:rsid w:val="00F9203B"/>
    <w:rsid w:val="00F93ABB"/>
    <w:rsid w:val="00F94D79"/>
    <w:rsid w:val="00F9658C"/>
    <w:rsid w:val="00F97A7F"/>
    <w:rsid w:val="00FA0889"/>
    <w:rsid w:val="00FA16E7"/>
    <w:rsid w:val="00FA31C7"/>
    <w:rsid w:val="00FA472D"/>
    <w:rsid w:val="00FB0CBF"/>
    <w:rsid w:val="00FB18F6"/>
    <w:rsid w:val="00FB2A52"/>
    <w:rsid w:val="00FB3F92"/>
    <w:rsid w:val="00FB52C7"/>
    <w:rsid w:val="00FB57DC"/>
    <w:rsid w:val="00FB6E19"/>
    <w:rsid w:val="00FB71F6"/>
    <w:rsid w:val="00FC0AF8"/>
    <w:rsid w:val="00FC1483"/>
    <w:rsid w:val="00FC1C47"/>
    <w:rsid w:val="00FC3102"/>
    <w:rsid w:val="00FC39ED"/>
    <w:rsid w:val="00FC3D7E"/>
    <w:rsid w:val="00FC4419"/>
    <w:rsid w:val="00FC47E2"/>
    <w:rsid w:val="00FC4AA5"/>
    <w:rsid w:val="00FC4B88"/>
    <w:rsid w:val="00FC4BB8"/>
    <w:rsid w:val="00FC5148"/>
    <w:rsid w:val="00FC623A"/>
    <w:rsid w:val="00FC6524"/>
    <w:rsid w:val="00FC6D69"/>
    <w:rsid w:val="00FC75AC"/>
    <w:rsid w:val="00FD01BF"/>
    <w:rsid w:val="00FD0525"/>
    <w:rsid w:val="00FD0AB7"/>
    <w:rsid w:val="00FD297D"/>
    <w:rsid w:val="00FD2D13"/>
    <w:rsid w:val="00FD359C"/>
    <w:rsid w:val="00FD374D"/>
    <w:rsid w:val="00FD6071"/>
    <w:rsid w:val="00FD633B"/>
    <w:rsid w:val="00FD6798"/>
    <w:rsid w:val="00FE0794"/>
    <w:rsid w:val="00FE1041"/>
    <w:rsid w:val="00FE24CB"/>
    <w:rsid w:val="00FE323F"/>
    <w:rsid w:val="00FE3473"/>
    <w:rsid w:val="00FE4049"/>
    <w:rsid w:val="00FE4794"/>
    <w:rsid w:val="00FE480F"/>
    <w:rsid w:val="00FE4998"/>
    <w:rsid w:val="00FE57DE"/>
    <w:rsid w:val="00FE6BF8"/>
    <w:rsid w:val="00FE7A68"/>
    <w:rsid w:val="00FF0231"/>
    <w:rsid w:val="00FF1C9B"/>
    <w:rsid w:val="00FF1D49"/>
    <w:rsid w:val="00FF203B"/>
    <w:rsid w:val="00FF2562"/>
    <w:rsid w:val="00FF3A41"/>
    <w:rsid w:val="00FF3E5B"/>
    <w:rsid w:val="00FF57E4"/>
    <w:rsid w:val="00FF5A31"/>
    <w:rsid w:val="00FF78E5"/>
    <w:rsid w:val="01AF3D99"/>
    <w:rsid w:val="02511F9D"/>
    <w:rsid w:val="03A314B8"/>
    <w:rsid w:val="03D82B98"/>
    <w:rsid w:val="03F83E8B"/>
    <w:rsid w:val="042138A9"/>
    <w:rsid w:val="05C56868"/>
    <w:rsid w:val="07B72767"/>
    <w:rsid w:val="08077E72"/>
    <w:rsid w:val="08624EAC"/>
    <w:rsid w:val="08882DD0"/>
    <w:rsid w:val="099E0166"/>
    <w:rsid w:val="09CC2AAC"/>
    <w:rsid w:val="09D26E76"/>
    <w:rsid w:val="0A652D3E"/>
    <w:rsid w:val="0B326F2A"/>
    <w:rsid w:val="0B6A2EE8"/>
    <w:rsid w:val="0C1E2888"/>
    <w:rsid w:val="0C92213C"/>
    <w:rsid w:val="0D84032B"/>
    <w:rsid w:val="0F2A74C4"/>
    <w:rsid w:val="0F710576"/>
    <w:rsid w:val="10A27F31"/>
    <w:rsid w:val="11927058"/>
    <w:rsid w:val="11C10BDC"/>
    <w:rsid w:val="13AF4F03"/>
    <w:rsid w:val="14736E66"/>
    <w:rsid w:val="147F458F"/>
    <w:rsid w:val="14D958EC"/>
    <w:rsid w:val="1534169A"/>
    <w:rsid w:val="15C03E03"/>
    <w:rsid w:val="162A25EB"/>
    <w:rsid w:val="16AE05C0"/>
    <w:rsid w:val="16FD2A55"/>
    <w:rsid w:val="17067C1A"/>
    <w:rsid w:val="17366761"/>
    <w:rsid w:val="177C01F0"/>
    <w:rsid w:val="17CE6630"/>
    <w:rsid w:val="18891FE1"/>
    <w:rsid w:val="1AFF0AFE"/>
    <w:rsid w:val="1B4F19F8"/>
    <w:rsid w:val="1C226F03"/>
    <w:rsid w:val="1ECC44FA"/>
    <w:rsid w:val="1F063325"/>
    <w:rsid w:val="1FBC5DF5"/>
    <w:rsid w:val="1FF90588"/>
    <w:rsid w:val="20C3623F"/>
    <w:rsid w:val="21781212"/>
    <w:rsid w:val="21B83F86"/>
    <w:rsid w:val="221178A8"/>
    <w:rsid w:val="221213CF"/>
    <w:rsid w:val="22327A92"/>
    <w:rsid w:val="231D53A2"/>
    <w:rsid w:val="236D5383"/>
    <w:rsid w:val="23B7504C"/>
    <w:rsid w:val="24571307"/>
    <w:rsid w:val="25110A2A"/>
    <w:rsid w:val="256C0944"/>
    <w:rsid w:val="26446DE3"/>
    <w:rsid w:val="269669E7"/>
    <w:rsid w:val="26D7699F"/>
    <w:rsid w:val="2A3B71B6"/>
    <w:rsid w:val="2B6C0DAA"/>
    <w:rsid w:val="2B774624"/>
    <w:rsid w:val="2C7A72BE"/>
    <w:rsid w:val="2C9A7D75"/>
    <w:rsid w:val="2CC17412"/>
    <w:rsid w:val="2D4205A2"/>
    <w:rsid w:val="2D9935F4"/>
    <w:rsid w:val="2E9976CE"/>
    <w:rsid w:val="2F401D3C"/>
    <w:rsid w:val="2F5B24E1"/>
    <w:rsid w:val="2FA95C88"/>
    <w:rsid w:val="3041370F"/>
    <w:rsid w:val="30BE23C7"/>
    <w:rsid w:val="30F00CF5"/>
    <w:rsid w:val="312B50A3"/>
    <w:rsid w:val="31927D00"/>
    <w:rsid w:val="32453A27"/>
    <w:rsid w:val="3263064A"/>
    <w:rsid w:val="32A43132"/>
    <w:rsid w:val="32AC0C06"/>
    <w:rsid w:val="33344EF5"/>
    <w:rsid w:val="3403219C"/>
    <w:rsid w:val="3537750C"/>
    <w:rsid w:val="3537798C"/>
    <w:rsid w:val="35C13FC9"/>
    <w:rsid w:val="364257B6"/>
    <w:rsid w:val="37561971"/>
    <w:rsid w:val="37EA5922"/>
    <w:rsid w:val="38276B93"/>
    <w:rsid w:val="38AC3431"/>
    <w:rsid w:val="392F2E16"/>
    <w:rsid w:val="39685EF5"/>
    <w:rsid w:val="39E00529"/>
    <w:rsid w:val="3A0B64A7"/>
    <w:rsid w:val="3A161B7D"/>
    <w:rsid w:val="3A574DDA"/>
    <w:rsid w:val="3AD3075A"/>
    <w:rsid w:val="3AF74C02"/>
    <w:rsid w:val="3B0B1FFB"/>
    <w:rsid w:val="3B9349CE"/>
    <w:rsid w:val="3C0059A5"/>
    <w:rsid w:val="3C134E78"/>
    <w:rsid w:val="3DEC7285"/>
    <w:rsid w:val="3DF6345D"/>
    <w:rsid w:val="3E2B5515"/>
    <w:rsid w:val="3E4D4F28"/>
    <w:rsid w:val="3EE13701"/>
    <w:rsid w:val="3F1A4BB3"/>
    <w:rsid w:val="40192BA6"/>
    <w:rsid w:val="41766EA9"/>
    <w:rsid w:val="42550A18"/>
    <w:rsid w:val="429D496A"/>
    <w:rsid w:val="42F473A1"/>
    <w:rsid w:val="43035AFF"/>
    <w:rsid w:val="441E62C0"/>
    <w:rsid w:val="45325D14"/>
    <w:rsid w:val="45811C7C"/>
    <w:rsid w:val="45906116"/>
    <w:rsid w:val="468B3EFB"/>
    <w:rsid w:val="470A6193"/>
    <w:rsid w:val="47385210"/>
    <w:rsid w:val="47DC4F5C"/>
    <w:rsid w:val="4848394F"/>
    <w:rsid w:val="48B40671"/>
    <w:rsid w:val="499B5738"/>
    <w:rsid w:val="499F244D"/>
    <w:rsid w:val="49F01DD4"/>
    <w:rsid w:val="4A973F3F"/>
    <w:rsid w:val="4AF96BC7"/>
    <w:rsid w:val="4B5A416B"/>
    <w:rsid w:val="4B862A85"/>
    <w:rsid w:val="4BA03AF0"/>
    <w:rsid w:val="4CEF36E2"/>
    <w:rsid w:val="4CEF4DC5"/>
    <w:rsid w:val="4DA16EA9"/>
    <w:rsid w:val="4E257655"/>
    <w:rsid w:val="4E8E7871"/>
    <w:rsid w:val="4F372380"/>
    <w:rsid w:val="4F372FFB"/>
    <w:rsid w:val="4FBD08A2"/>
    <w:rsid w:val="5025116D"/>
    <w:rsid w:val="50E47C22"/>
    <w:rsid w:val="51AC0B8B"/>
    <w:rsid w:val="52395ECD"/>
    <w:rsid w:val="52C10D75"/>
    <w:rsid w:val="53C27FF8"/>
    <w:rsid w:val="543F527C"/>
    <w:rsid w:val="549E1A80"/>
    <w:rsid w:val="54C658F4"/>
    <w:rsid w:val="550C4BD7"/>
    <w:rsid w:val="554C1D56"/>
    <w:rsid w:val="55572986"/>
    <w:rsid w:val="55C062DD"/>
    <w:rsid w:val="565340FA"/>
    <w:rsid w:val="5723343E"/>
    <w:rsid w:val="573D7EAB"/>
    <w:rsid w:val="5A2F2CC8"/>
    <w:rsid w:val="5A58592D"/>
    <w:rsid w:val="5BA26962"/>
    <w:rsid w:val="5C10702D"/>
    <w:rsid w:val="5C152601"/>
    <w:rsid w:val="5C591F03"/>
    <w:rsid w:val="5C8A1B2F"/>
    <w:rsid w:val="5D914004"/>
    <w:rsid w:val="5DFA6CB4"/>
    <w:rsid w:val="5F561B72"/>
    <w:rsid w:val="606007BB"/>
    <w:rsid w:val="60AC7F66"/>
    <w:rsid w:val="61BF10D9"/>
    <w:rsid w:val="61DA3D4C"/>
    <w:rsid w:val="62AC22DC"/>
    <w:rsid w:val="637833E8"/>
    <w:rsid w:val="64E45EF7"/>
    <w:rsid w:val="6691014E"/>
    <w:rsid w:val="66C87CCE"/>
    <w:rsid w:val="677435B2"/>
    <w:rsid w:val="67EF75F1"/>
    <w:rsid w:val="69124F16"/>
    <w:rsid w:val="694A5205"/>
    <w:rsid w:val="69CD5C14"/>
    <w:rsid w:val="69CF0D33"/>
    <w:rsid w:val="69EC37D4"/>
    <w:rsid w:val="6B9946B3"/>
    <w:rsid w:val="6BEE45B7"/>
    <w:rsid w:val="6C662189"/>
    <w:rsid w:val="6C7007C7"/>
    <w:rsid w:val="6DE76850"/>
    <w:rsid w:val="6FB20BD4"/>
    <w:rsid w:val="6FB650F7"/>
    <w:rsid w:val="6FBA59BE"/>
    <w:rsid w:val="70296B3E"/>
    <w:rsid w:val="70611204"/>
    <w:rsid w:val="71030C1D"/>
    <w:rsid w:val="73445350"/>
    <w:rsid w:val="74FA2C30"/>
    <w:rsid w:val="754D5C4B"/>
    <w:rsid w:val="75666ADA"/>
    <w:rsid w:val="76C240A7"/>
    <w:rsid w:val="775246B7"/>
    <w:rsid w:val="781E69D1"/>
    <w:rsid w:val="7A263B6B"/>
    <w:rsid w:val="7AF46346"/>
    <w:rsid w:val="7B0F5EBF"/>
    <w:rsid w:val="7B130FB9"/>
    <w:rsid w:val="7B4C38D7"/>
    <w:rsid w:val="7BF64EDE"/>
    <w:rsid w:val="7C171FE6"/>
    <w:rsid w:val="7C400C1E"/>
    <w:rsid w:val="7C422D4F"/>
    <w:rsid w:val="7DD11708"/>
    <w:rsid w:val="7DE9671E"/>
    <w:rsid w:val="7EBD579E"/>
    <w:rsid w:val="7EC167BD"/>
    <w:rsid w:val="7F272D9E"/>
    <w:rsid w:val="7F7338C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iPriority="0" w:semiHidden="0" w:name="List"/>
    <w:lsdException w:uiPriority="99" w:name="List Bullet"/>
    <w:lsdException w:qFormat="1" w:unhideWhenUsed="0" w:uiPriority="0" w:semiHidden="0" w:name="List Number"/>
    <w:lsdException w:qFormat="1" w:uiPriority="0" w:semiHidden="0"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0"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59"/>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69"/>
    <w:autoRedefine/>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link w:val="70"/>
    <w:autoRedefine/>
    <w:qFormat/>
    <w:uiPriority w:val="0"/>
    <w:pPr>
      <w:keepNext/>
      <w:keepLines/>
      <w:spacing w:before="260" w:after="260" w:line="416" w:lineRule="auto"/>
      <w:outlineLvl w:val="2"/>
    </w:pPr>
    <w:rPr>
      <w:b/>
      <w:bCs/>
      <w:sz w:val="32"/>
      <w:szCs w:val="32"/>
    </w:rPr>
  </w:style>
  <w:style w:type="paragraph" w:styleId="7">
    <w:name w:val="heading 4"/>
    <w:basedOn w:val="1"/>
    <w:next w:val="1"/>
    <w:link w:val="167"/>
    <w:autoRedefine/>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8">
    <w:name w:val="heading 5"/>
    <w:basedOn w:val="1"/>
    <w:next w:val="9"/>
    <w:link w:val="71"/>
    <w:autoRedefine/>
    <w:qFormat/>
    <w:uiPriority w:val="0"/>
    <w:pPr>
      <w:keepNext/>
      <w:keepLines/>
      <w:spacing w:before="280" w:after="290" w:line="376" w:lineRule="auto"/>
      <w:outlineLvl w:val="4"/>
    </w:pPr>
    <w:rPr>
      <w:b/>
      <w:bCs/>
      <w:sz w:val="28"/>
      <w:szCs w:val="28"/>
    </w:rPr>
  </w:style>
  <w:style w:type="paragraph" w:styleId="10">
    <w:name w:val="heading 6"/>
    <w:basedOn w:val="1"/>
    <w:next w:val="9"/>
    <w:link w:val="302"/>
    <w:autoRedefine/>
    <w:qFormat/>
    <w:uiPriority w:val="0"/>
    <w:pPr>
      <w:keepNext/>
      <w:keepLines/>
      <w:tabs>
        <w:tab w:val="left" w:pos="360"/>
      </w:tabs>
      <w:spacing w:before="240" w:after="64" w:line="320" w:lineRule="auto"/>
      <w:ind w:left="360" w:hanging="360"/>
      <w:outlineLvl w:val="5"/>
    </w:pPr>
    <w:rPr>
      <w:rFonts w:ascii="Arial" w:hAnsi="Arial" w:eastAsia="黑体"/>
      <w:b/>
      <w:sz w:val="24"/>
    </w:rPr>
  </w:style>
  <w:style w:type="paragraph" w:styleId="11">
    <w:name w:val="heading 7"/>
    <w:basedOn w:val="1"/>
    <w:next w:val="9"/>
    <w:link w:val="245"/>
    <w:autoRedefine/>
    <w:qFormat/>
    <w:uiPriority w:val="0"/>
    <w:pPr>
      <w:keepNext/>
      <w:keepLines/>
      <w:tabs>
        <w:tab w:val="left" w:pos="360"/>
      </w:tabs>
      <w:spacing w:before="240" w:after="64" w:line="320" w:lineRule="auto"/>
      <w:ind w:left="360" w:hanging="360"/>
      <w:outlineLvl w:val="6"/>
    </w:pPr>
    <w:rPr>
      <w:rFonts w:ascii="Calibri" w:hAnsi="Calibri"/>
      <w:b/>
      <w:sz w:val="24"/>
    </w:rPr>
  </w:style>
  <w:style w:type="paragraph" w:styleId="12">
    <w:name w:val="heading 8"/>
    <w:basedOn w:val="1"/>
    <w:next w:val="1"/>
    <w:link w:val="72"/>
    <w:autoRedefine/>
    <w:qFormat/>
    <w:uiPriority w:val="0"/>
    <w:pPr>
      <w:keepNext/>
      <w:keepLines/>
      <w:spacing w:before="240" w:after="64" w:line="320" w:lineRule="auto"/>
      <w:outlineLvl w:val="7"/>
    </w:pPr>
    <w:rPr>
      <w:rFonts w:ascii="等线 Light" w:hAnsi="等线 Light" w:eastAsia="等线 Light"/>
      <w:sz w:val="24"/>
    </w:rPr>
  </w:style>
  <w:style w:type="paragraph" w:styleId="13">
    <w:name w:val="heading 9"/>
    <w:basedOn w:val="1"/>
    <w:next w:val="9"/>
    <w:link w:val="204"/>
    <w:autoRedefine/>
    <w:qFormat/>
    <w:uiPriority w:val="0"/>
    <w:pPr>
      <w:keepNext/>
      <w:keepLines/>
      <w:tabs>
        <w:tab w:val="left" w:pos="360"/>
      </w:tabs>
      <w:spacing w:before="240" w:after="64" w:line="320" w:lineRule="auto"/>
      <w:ind w:left="360" w:hanging="360"/>
      <w:outlineLvl w:val="8"/>
    </w:pPr>
    <w:rPr>
      <w:rFonts w:ascii="Arial" w:hAnsi="Arial" w:eastAsia="黑体"/>
    </w:rPr>
  </w:style>
  <w:style w:type="character" w:default="1" w:styleId="56">
    <w:name w:val="Default Paragraph Font"/>
    <w:semiHidden/>
    <w:unhideWhenUsed/>
    <w:qFormat/>
    <w:uiPriority w:val="1"/>
  </w:style>
  <w:style w:type="table" w:default="1" w:styleId="5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qFormat/>
    <w:uiPriority w:val="0"/>
    <w:pPr>
      <w:widowControl w:val="0"/>
      <w:spacing w:before="0" w:after="120"/>
      <w:ind w:left="0" w:right="0" w:firstLine="420" w:firstLineChars="100"/>
      <w:jc w:val="both"/>
    </w:pPr>
    <w:rPr>
      <w:rFonts w:ascii="Times New Roman" w:hAnsi="Times New Roman" w:eastAsia="宋体" w:cs="Times New Roman"/>
      <w:kern w:val="2"/>
      <w:sz w:val="21"/>
      <w:szCs w:val="24"/>
      <w:lang w:val="en-US" w:eastAsia="zh-CN" w:bidi="ar-SA"/>
    </w:rPr>
  </w:style>
  <w:style w:type="paragraph" w:styleId="3">
    <w:name w:val="Body Text"/>
    <w:basedOn w:val="1"/>
    <w:link w:val="75"/>
    <w:autoRedefine/>
    <w:unhideWhenUsed/>
    <w:qFormat/>
    <w:uiPriority w:val="0"/>
    <w:pPr>
      <w:spacing w:after="120"/>
    </w:pPr>
  </w:style>
  <w:style w:type="paragraph" w:styleId="9">
    <w:name w:val="Normal Indent"/>
    <w:basedOn w:val="1"/>
    <w:link w:val="320"/>
    <w:autoRedefine/>
    <w:qFormat/>
    <w:uiPriority w:val="0"/>
    <w:pPr>
      <w:ind w:firstLine="420"/>
    </w:pPr>
    <w:rPr>
      <w:szCs w:val="20"/>
    </w:rPr>
  </w:style>
  <w:style w:type="paragraph" w:styleId="14">
    <w:name w:val="toc 7"/>
    <w:basedOn w:val="1"/>
    <w:next w:val="1"/>
    <w:autoRedefine/>
    <w:qFormat/>
    <w:uiPriority w:val="0"/>
    <w:pPr>
      <w:tabs>
        <w:tab w:val="right" w:leader="dot" w:pos="9185"/>
      </w:tabs>
      <w:adjustRightInd w:val="0"/>
      <w:spacing w:line="312" w:lineRule="atLeast"/>
      <w:ind w:left="2520"/>
      <w:textAlignment w:val="baseline"/>
    </w:pPr>
    <w:rPr>
      <w:kern w:val="0"/>
      <w:szCs w:val="20"/>
    </w:rPr>
  </w:style>
  <w:style w:type="paragraph" w:styleId="15">
    <w:name w:val="List Number"/>
    <w:basedOn w:val="1"/>
    <w:autoRedefine/>
    <w:qFormat/>
    <w:uiPriority w:val="0"/>
    <w:pPr>
      <w:widowControl/>
      <w:tabs>
        <w:tab w:val="left" w:pos="454"/>
        <w:tab w:val="left" w:pos="720"/>
        <w:tab w:val="left" w:pos="840"/>
      </w:tabs>
      <w:spacing w:afterLines="50"/>
      <w:ind w:left="454" w:hanging="284"/>
      <w:jc w:val="left"/>
    </w:pPr>
    <w:rPr>
      <w:kern w:val="0"/>
      <w:sz w:val="24"/>
      <w:szCs w:val="20"/>
    </w:rPr>
  </w:style>
  <w:style w:type="paragraph" w:styleId="16">
    <w:name w:val="caption"/>
    <w:basedOn w:val="1"/>
    <w:next w:val="1"/>
    <w:autoRedefine/>
    <w:qFormat/>
    <w:uiPriority w:val="0"/>
    <w:pPr>
      <w:spacing w:before="152" w:after="160"/>
    </w:pPr>
    <w:rPr>
      <w:rFonts w:ascii="Arial" w:hAnsi="Arial" w:eastAsia="黑体" w:cs="Arial"/>
      <w:sz w:val="20"/>
      <w:szCs w:val="20"/>
    </w:rPr>
  </w:style>
  <w:style w:type="paragraph" w:styleId="17">
    <w:name w:val="Document Map"/>
    <w:basedOn w:val="1"/>
    <w:link w:val="309"/>
    <w:autoRedefine/>
    <w:qFormat/>
    <w:uiPriority w:val="0"/>
    <w:pPr>
      <w:shd w:val="clear" w:color="auto" w:fill="000080"/>
      <w:adjustRightInd w:val="0"/>
      <w:spacing w:line="312" w:lineRule="atLeast"/>
      <w:textAlignment w:val="baseline"/>
    </w:pPr>
    <w:rPr>
      <w:kern w:val="0"/>
      <w:sz w:val="20"/>
      <w:szCs w:val="20"/>
    </w:rPr>
  </w:style>
  <w:style w:type="paragraph" w:styleId="18">
    <w:name w:val="annotation text"/>
    <w:basedOn w:val="1"/>
    <w:link w:val="73"/>
    <w:autoRedefine/>
    <w:qFormat/>
    <w:uiPriority w:val="0"/>
    <w:pPr>
      <w:jc w:val="left"/>
    </w:pPr>
  </w:style>
  <w:style w:type="paragraph" w:styleId="19">
    <w:name w:val="index 6"/>
    <w:next w:val="1"/>
    <w:autoRedefine/>
    <w:qFormat/>
    <w:uiPriority w:val="0"/>
    <w:pPr>
      <w:jc w:val="both"/>
    </w:pPr>
    <w:rPr>
      <w:rFonts w:ascii="Times New Roman" w:hAnsi="Times New Roman" w:eastAsia="宋体" w:cs="Times New Roman"/>
      <w:sz w:val="21"/>
      <w:szCs w:val="24"/>
      <w:lang w:val="en-US" w:eastAsia="zh-CN" w:bidi="ar-SA"/>
    </w:rPr>
  </w:style>
  <w:style w:type="paragraph" w:styleId="20">
    <w:name w:val="Body Text 3"/>
    <w:basedOn w:val="1"/>
    <w:link w:val="74"/>
    <w:autoRedefine/>
    <w:unhideWhenUsed/>
    <w:qFormat/>
    <w:uiPriority w:val="0"/>
    <w:pPr>
      <w:spacing w:after="120"/>
    </w:pPr>
    <w:rPr>
      <w:sz w:val="16"/>
      <w:szCs w:val="16"/>
    </w:rPr>
  </w:style>
  <w:style w:type="paragraph" w:styleId="21">
    <w:name w:val="Body Text Indent"/>
    <w:basedOn w:val="1"/>
    <w:link w:val="76"/>
    <w:autoRedefine/>
    <w:qFormat/>
    <w:uiPriority w:val="0"/>
    <w:pPr>
      <w:ind w:firstLine="830" w:firstLineChars="352"/>
    </w:pPr>
    <w:rPr>
      <w:rFonts w:ascii="仿宋_GB2312" w:eastAsia="仿宋_GB2312"/>
      <w:kern w:val="0"/>
      <w:sz w:val="32"/>
      <w:szCs w:val="20"/>
    </w:rPr>
  </w:style>
  <w:style w:type="paragraph" w:styleId="22">
    <w:name w:val="List Number 3"/>
    <w:basedOn w:val="1"/>
    <w:autoRedefine/>
    <w:qFormat/>
    <w:uiPriority w:val="0"/>
    <w:pPr>
      <w:tabs>
        <w:tab w:val="left" w:pos="360"/>
        <w:tab w:val="left" w:pos="1200"/>
      </w:tabs>
      <w:ind w:left="360" w:hanging="360"/>
    </w:pPr>
  </w:style>
  <w:style w:type="paragraph" w:styleId="23">
    <w:name w:val="List 2"/>
    <w:basedOn w:val="1"/>
    <w:autoRedefine/>
    <w:unhideWhenUsed/>
    <w:qFormat/>
    <w:uiPriority w:val="0"/>
    <w:pPr>
      <w:ind w:left="100" w:leftChars="200" w:hanging="200" w:hangingChars="200"/>
      <w:contextualSpacing/>
    </w:pPr>
  </w:style>
  <w:style w:type="paragraph" w:styleId="24">
    <w:name w:val="Block Text"/>
    <w:basedOn w:val="1"/>
    <w:autoRedefine/>
    <w:qFormat/>
    <w:uiPriority w:val="0"/>
    <w:pPr>
      <w:adjustRightInd w:val="0"/>
      <w:ind w:left="420" w:right="33"/>
      <w:jc w:val="left"/>
      <w:textAlignment w:val="baseline"/>
    </w:pPr>
    <w:rPr>
      <w:kern w:val="0"/>
      <w:sz w:val="24"/>
      <w:szCs w:val="20"/>
    </w:rPr>
  </w:style>
  <w:style w:type="paragraph" w:styleId="25">
    <w:name w:val="index 4"/>
    <w:basedOn w:val="1"/>
    <w:next w:val="1"/>
    <w:autoRedefine/>
    <w:qFormat/>
    <w:uiPriority w:val="0"/>
    <w:pPr>
      <w:ind w:left="600" w:leftChars="600"/>
    </w:pPr>
  </w:style>
  <w:style w:type="paragraph" w:styleId="26">
    <w:name w:val="toc 5"/>
    <w:basedOn w:val="1"/>
    <w:next w:val="1"/>
    <w:autoRedefine/>
    <w:qFormat/>
    <w:uiPriority w:val="0"/>
    <w:pPr>
      <w:tabs>
        <w:tab w:val="right" w:leader="dot" w:pos="9185"/>
      </w:tabs>
      <w:adjustRightInd w:val="0"/>
      <w:spacing w:line="312" w:lineRule="atLeast"/>
      <w:ind w:left="1680"/>
      <w:textAlignment w:val="baseline"/>
    </w:pPr>
    <w:rPr>
      <w:kern w:val="0"/>
      <w:szCs w:val="20"/>
    </w:rPr>
  </w:style>
  <w:style w:type="paragraph" w:styleId="27">
    <w:name w:val="toc 3"/>
    <w:basedOn w:val="1"/>
    <w:next w:val="1"/>
    <w:autoRedefine/>
    <w:unhideWhenUsed/>
    <w:qFormat/>
    <w:uiPriority w:val="39"/>
    <w:pPr>
      <w:ind w:left="840" w:leftChars="400"/>
    </w:pPr>
  </w:style>
  <w:style w:type="paragraph" w:styleId="28">
    <w:name w:val="Plain Text"/>
    <w:basedOn w:val="1"/>
    <w:link w:val="77"/>
    <w:autoRedefine/>
    <w:qFormat/>
    <w:uiPriority w:val="0"/>
    <w:rPr>
      <w:rFonts w:ascii="宋体" w:hAnsi="Courier New"/>
      <w:kern w:val="0"/>
      <w:sz w:val="20"/>
      <w:szCs w:val="21"/>
    </w:rPr>
  </w:style>
  <w:style w:type="paragraph" w:styleId="29">
    <w:name w:val="toc 8"/>
    <w:basedOn w:val="1"/>
    <w:next w:val="1"/>
    <w:autoRedefine/>
    <w:qFormat/>
    <w:uiPriority w:val="0"/>
    <w:pPr>
      <w:tabs>
        <w:tab w:val="right" w:leader="dot" w:pos="9185"/>
      </w:tabs>
      <w:adjustRightInd w:val="0"/>
      <w:spacing w:line="312" w:lineRule="atLeast"/>
      <w:ind w:left="2940"/>
      <w:textAlignment w:val="baseline"/>
    </w:pPr>
    <w:rPr>
      <w:kern w:val="0"/>
      <w:szCs w:val="20"/>
    </w:rPr>
  </w:style>
  <w:style w:type="paragraph" w:styleId="30">
    <w:name w:val="Date"/>
    <w:basedOn w:val="1"/>
    <w:next w:val="1"/>
    <w:link w:val="78"/>
    <w:autoRedefine/>
    <w:unhideWhenUsed/>
    <w:qFormat/>
    <w:uiPriority w:val="0"/>
    <w:pPr>
      <w:ind w:left="100" w:leftChars="2500"/>
    </w:pPr>
  </w:style>
  <w:style w:type="paragraph" w:styleId="31">
    <w:name w:val="Body Text Indent 2"/>
    <w:basedOn w:val="1"/>
    <w:link w:val="185"/>
    <w:autoRedefine/>
    <w:qFormat/>
    <w:uiPriority w:val="0"/>
    <w:pPr>
      <w:ind w:firstLine="630"/>
    </w:pPr>
    <w:rPr>
      <w:kern w:val="0"/>
      <w:sz w:val="32"/>
      <w:szCs w:val="20"/>
    </w:rPr>
  </w:style>
  <w:style w:type="paragraph" w:styleId="32">
    <w:name w:val="endnote text"/>
    <w:basedOn w:val="1"/>
    <w:link w:val="279"/>
    <w:autoRedefine/>
    <w:qFormat/>
    <w:uiPriority w:val="0"/>
    <w:pPr>
      <w:snapToGrid w:val="0"/>
      <w:jc w:val="left"/>
    </w:pPr>
  </w:style>
  <w:style w:type="paragraph" w:styleId="33">
    <w:name w:val="Balloon Text"/>
    <w:basedOn w:val="1"/>
    <w:link w:val="79"/>
    <w:autoRedefine/>
    <w:qFormat/>
    <w:uiPriority w:val="99"/>
    <w:rPr>
      <w:sz w:val="18"/>
      <w:szCs w:val="18"/>
    </w:rPr>
  </w:style>
  <w:style w:type="paragraph" w:styleId="34">
    <w:name w:val="footer"/>
    <w:basedOn w:val="1"/>
    <w:link w:val="80"/>
    <w:autoRedefine/>
    <w:unhideWhenUsed/>
    <w:qFormat/>
    <w:uiPriority w:val="99"/>
    <w:pPr>
      <w:tabs>
        <w:tab w:val="center" w:pos="4153"/>
        <w:tab w:val="right" w:pos="8306"/>
      </w:tabs>
      <w:snapToGrid w:val="0"/>
      <w:jc w:val="left"/>
    </w:pPr>
    <w:rPr>
      <w:kern w:val="0"/>
      <w:sz w:val="18"/>
      <w:szCs w:val="18"/>
    </w:rPr>
  </w:style>
  <w:style w:type="paragraph" w:styleId="35">
    <w:name w:val="header"/>
    <w:basedOn w:val="1"/>
    <w:link w:val="81"/>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6">
    <w:name w:val="toc 1"/>
    <w:basedOn w:val="1"/>
    <w:next w:val="1"/>
    <w:autoRedefine/>
    <w:unhideWhenUsed/>
    <w:qFormat/>
    <w:uiPriority w:val="39"/>
  </w:style>
  <w:style w:type="paragraph" w:styleId="37">
    <w:name w:val="toc 4"/>
    <w:basedOn w:val="1"/>
    <w:next w:val="1"/>
    <w:autoRedefine/>
    <w:qFormat/>
    <w:uiPriority w:val="0"/>
    <w:pPr>
      <w:tabs>
        <w:tab w:val="right" w:leader="dot" w:pos="9185"/>
      </w:tabs>
      <w:adjustRightInd w:val="0"/>
      <w:spacing w:line="312" w:lineRule="atLeast"/>
      <w:ind w:left="1260"/>
      <w:textAlignment w:val="baseline"/>
    </w:pPr>
    <w:rPr>
      <w:kern w:val="0"/>
      <w:szCs w:val="20"/>
    </w:rPr>
  </w:style>
  <w:style w:type="paragraph" w:styleId="38">
    <w:name w:val="Subtitle"/>
    <w:basedOn w:val="1"/>
    <w:next w:val="1"/>
    <w:link w:val="158"/>
    <w:autoRedefine/>
    <w:qFormat/>
    <w:uiPriority w:val="0"/>
    <w:pPr>
      <w:spacing w:before="240" w:after="60" w:line="312" w:lineRule="auto"/>
      <w:jc w:val="center"/>
      <w:outlineLvl w:val="1"/>
    </w:pPr>
    <w:rPr>
      <w:rFonts w:ascii="Cambria" w:hAnsi="Cambria"/>
      <w:b/>
      <w:bCs/>
      <w:kern w:val="28"/>
      <w:sz w:val="32"/>
      <w:szCs w:val="32"/>
    </w:rPr>
  </w:style>
  <w:style w:type="paragraph" w:styleId="39">
    <w:name w:val="List"/>
    <w:basedOn w:val="1"/>
    <w:autoRedefine/>
    <w:unhideWhenUsed/>
    <w:qFormat/>
    <w:uiPriority w:val="0"/>
    <w:pPr>
      <w:ind w:left="200" w:hanging="200" w:hangingChars="200"/>
      <w:contextualSpacing/>
    </w:pPr>
  </w:style>
  <w:style w:type="paragraph" w:styleId="40">
    <w:name w:val="footnote text"/>
    <w:basedOn w:val="1"/>
    <w:link w:val="306"/>
    <w:autoRedefine/>
    <w:qFormat/>
    <w:uiPriority w:val="99"/>
    <w:pPr>
      <w:adjustRightInd w:val="0"/>
      <w:spacing w:line="312" w:lineRule="atLeast"/>
      <w:jc w:val="left"/>
      <w:textAlignment w:val="baseline"/>
    </w:pPr>
    <w:rPr>
      <w:kern w:val="0"/>
      <w:sz w:val="18"/>
      <w:szCs w:val="18"/>
    </w:rPr>
  </w:style>
  <w:style w:type="paragraph" w:styleId="41">
    <w:name w:val="toc 6"/>
    <w:basedOn w:val="1"/>
    <w:next w:val="1"/>
    <w:autoRedefine/>
    <w:qFormat/>
    <w:uiPriority w:val="0"/>
    <w:pPr>
      <w:tabs>
        <w:tab w:val="right" w:leader="dot" w:pos="9185"/>
      </w:tabs>
      <w:adjustRightInd w:val="0"/>
      <w:spacing w:line="312" w:lineRule="atLeast"/>
      <w:ind w:left="2100"/>
      <w:textAlignment w:val="baseline"/>
    </w:pPr>
    <w:rPr>
      <w:kern w:val="0"/>
      <w:szCs w:val="20"/>
    </w:rPr>
  </w:style>
  <w:style w:type="paragraph" w:styleId="42">
    <w:name w:val="List 5"/>
    <w:basedOn w:val="1"/>
    <w:autoRedefine/>
    <w:qFormat/>
    <w:uiPriority w:val="0"/>
    <w:pPr>
      <w:ind w:left="2100" w:hanging="420"/>
    </w:pPr>
    <w:rPr>
      <w:szCs w:val="20"/>
    </w:rPr>
  </w:style>
  <w:style w:type="paragraph" w:styleId="43">
    <w:name w:val="Body Text Indent 3"/>
    <w:basedOn w:val="1"/>
    <w:link w:val="171"/>
    <w:autoRedefine/>
    <w:qFormat/>
    <w:uiPriority w:val="0"/>
    <w:pPr>
      <w:spacing w:after="120"/>
      <w:ind w:left="420" w:leftChars="200"/>
    </w:pPr>
    <w:rPr>
      <w:kern w:val="0"/>
      <w:sz w:val="16"/>
      <w:szCs w:val="16"/>
    </w:rPr>
  </w:style>
  <w:style w:type="paragraph" w:styleId="44">
    <w:name w:val="toc 2"/>
    <w:basedOn w:val="1"/>
    <w:next w:val="1"/>
    <w:autoRedefine/>
    <w:unhideWhenUsed/>
    <w:qFormat/>
    <w:uiPriority w:val="39"/>
    <w:pPr>
      <w:tabs>
        <w:tab w:val="right" w:leader="dot" w:pos="8296"/>
      </w:tabs>
      <w:ind w:left="420" w:leftChars="200"/>
    </w:pPr>
  </w:style>
  <w:style w:type="paragraph" w:styleId="45">
    <w:name w:val="toc 9"/>
    <w:basedOn w:val="1"/>
    <w:next w:val="1"/>
    <w:autoRedefine/>
    <w:qFormat/>
    <w:uiPriority w:val="0"/>
    <w:pPr>
      <w:tabs>
        <w:tab w:val="right" w:leader="dot" w:pos="9185"/>
      </w:tabs>
      <w:adjustRightInd w:val="0"/>
      <w:spacing w:line="312" w:lineRule="atLeast"/>
      <w:ind w:left="3360"/>
      <w:textAlignment w:val="baseline"/>
    </w:pPr>
    <w:rPr>
      <w:kern w:val="0"/>
      <w:szCs w:val="20"/>
    </w:rPr>
  </w:style>
  <w:style w:type="paragraph" w:styleId="46">
    <w:name w:val="Body Text 2"/>
    <w:basedOn w:val="1"/>
    <w:link w:val="345"/>
    <w:autoRedefine/>
    <w:qFormat/>
    <w:uiPriority w:val="0"/>
    <w:pPr>
      <w:spacing w:after="120" w:line="480" w:lineRule="auto"/>
    </w:pPr>
    <w:rPr>
      <w:kern w:val="0"/>
      <w:sz w:val="20"/>
    </w:rPr>
  </w:style>
  <w:style w:type="paragraph" w:styleId="47">
    <w:name w:val="List 4"/>
    <w:basedOn w:val="1"/>
    <w:autoRedefine/>
    <w:qFormat/>
    <w:uiPriority w:val="0"/>
    <w:pPr>
      <w:ind w:left="100" w:leftChars="600" w:hanging="200" w:hangingChars="200"/>
    </w:pPr>
  </w:style>
  <w:style w:type="paragraph" w:styleId="48">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9">
    <w:name w:val="Normal (Web)"/>
    <w:basedOn w:val="1"/>
    <w:autoRedefine/>
    <w:unhideWhenUsed/>
    <w:qFormat/>
    <w:uiPriority w:val="0"/>
    <w:rPr>
      <w:rFonts w:ascii="Calibri" w:hAnsi="Calibri"/>
      <w:kern w:val="0"/>
      <w:sz w:val="24"/>
    </w:rPr>
  </w:style>
  <w:style w:type="paragraph" w:styleId="50">
    <w:name w:val="index 1"/>
    <w:basedOn w:val="1"/>
    <w:next w:val="1"/>
    <w:autoRedefine/>
    <w:semiHidden/>
    <w:qFormat/>
    <w:uiPriority w:val="0"/>
    <w:pPr>
      <w:spacing w:line="400" w:lineRule="exact"/>
      <w:ind w:firstLine="420" w:firstLineChars="200"/>
    </w:pPr>
    <w:rPr>
      <w:rFonts w:ascii="宋体" w:hAnsi="Courier New"/>
      <w:b/>
      <w:szCs w:val="20"/>
    </w:rPr>
  </w:style>
  <w:style w:type="paragraph" w:styleId="51">
    <w:name w:val="Title"/>
    <w:basedOn w:val="1"/>
    <w:link w:val="294"/>
    <w:autoRedefine/>
    <w:qFormat/>
    <w:uiPriority w:val="0"/>
    <w:pPr>
      <w:spacing w:before="240" w:after="60"/>
      <w:jc w:val="center"/>
      <w:outlineLvl w:val="0"/>
    </w:pPr>
    <w:rPr>
      <w:rFonts w:ascii="Arial" w:hAnsi="Arial" w:cs="Arial"/>
      <w:b/>
      <w:bCs/>
      <w:sz w:val="32"/>
      <w:szCs w:val="32"/>
    </w:rPr>
  </w:style>
  <w:style w:type="paragraph" w:styleId="52">
    <w:name w:val="annotation subject"/>
    <w:basedOn w:val="18"/>
    <w:next w:val="18"/>
    <w:link w:val="82"/>
    <w:autoRedefine/>
    <w:qFormat/>
    <w:uiPriority w:val="0"/>
    <w:rPr>
      <w:b/>
      <w:bCs/>
    </w:rPr>
  </w:style>
  <w:style w:type="table" w:styleId="54">
    <w:name w:val="Table Grid"/>
    <w:basedOn w:val="53"/>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55">
    <w:name w:val="Colorful List Accent 1"/>
    <w:basedOn w:val="53"/>
    <w:autoRedefine/>
    <w:qFormat/>
    <w:uiPriority w:val="0"/>
    <w:rPr>
      <w:color w:val="000000"/>
    </w:rPr>
    <w:tblPr>
      <w:tblCellMar>
        <w:top w:w="0" w:type="dxa"/>
        <w:left w:w="108" w:type="dxa"/>
        <w:bottom w:w="0" w:type="dxa"/>
        <w:right w:w="108" w:type="dxa"/>
      </w:tblCellMar>
    </w:tblPr>
    <w:tcPr>
      <w:shd w:val="clear" w:color="auto" w:fill="EDF2F8"/>
    </w:tcPr>
    <w:tblStylePr w:type="firstRow">
      <w:rPr>
        <w:b/>
        <w:bCs/>
        <w:color w:val="FFFFFF"/>
      </w:rPr>
      <w:tblPr/>
      <w:tcPr>
        <w:tcBorders>
          <w:top w:val="nil"/>
          <w:left w:val="single" w:color="FFFFFF" w:sz="12" w:space="0"/>
          <w:bottom w:val="nil"/>
          <w:right w:val="nil"/>
          <w:insideH w:val="nil"/>
          <w:insideV w:val="nil"/>
          <w:tl2br w:val="nil"/>
          <w:tr2bl w:val="nil"/>
        </w:tcBorders>
        <w:shd w:val="clear" w:color="auto" w:fill="9E3A38"/>
      </w:tcPr>
    </w:tblStylePr>
    <w:tblStylePr w:type="lastRow">
      <w:rPr>
        <w:b/>
        <w:bCs/>
        <w:color w:val="9E3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57">
    <w:name w:val="Strong"/>
    <w:basedOn w:val="56"/>
    <w:autoRedefine/>
    <w:qFormat/>
    <w:uiPriority w:val="0"/>
    <w:rPr>
      <w:b/>
      <w:bCs/>
    </w:rPr>
  </w:style>
  <w:style w:type="character" w:styleId="58">
    <w:name w:val="endnote reference"/>
    <w:autoRedefine/>
    <w:unhideWhenUsed/>
    <w:qFormat/>
    <w:uiPriority w:val="0"/>
    <w:rPr>
      <w:vertAlign w:val="superscript"/>
    </w:rPr>
  </w:style>
  <w:style w:type="character" w:styleId="59">
    <w:name w:val="page number"/>
    <w:autoRedefine/>
    <w:qFormat/>
    <w:uiPriority w:val="0"/>
  </w:style>
  <w:style w:type="character" w:styleId="60">
    <w:name w:val="FollowedHyperlink"/>
    <w:autoRedefine/>
    <w:unhideWhenUsed/>
    <w:qFormat/>
    <w:uiPriority w:val="0"/>
    <w:rPr>
      <w:color w:val="800080"/>
      <w:u w:val="single"/>
    </w:rPr>
  </w:style>
  <w:style w:type="character" w:styleId="61">
    <w:name w:val="Emphasis"/>
    <w:autoRedefine/>
    <w:qFormat/>
    <w:uiPriority w:val="20"/>
    <w:rPr>
      <w:i/>
      <w:iCs/>
    </w:rPr>
  </w:style>
  <w:style w:type="character" w:styleId="62">
    <w:name w:val="line number"/>
    <w:autoRedefine/>
    <w:qFormat/>
    <w:uiPriority w:val="0"/>
    <w:rPr>
      <w:rFonts w:ascii="Tahoma" w:hAnsi="Tahoma" w:eastAsia="宋体"/>
      <w:kern w:val="2"/>
      <w:sz w:val="24"/>
      <w:szCs w:val="24"/>
      <w:lang w:val="en-US" w:eastAsia="zh-CN" w:bidi="ar-SA"/>
    </w:rPr>
  </w:style>
  <w:style w:type="character" w:styleId="63">
    <w:name w:val="Hyperlink"/>
    <w:autoRedefine/>
    <w:unhideWhenUsed/>
    <w:qFormat/>
    <w:uiPriority w:val="99"/>
    <w:rPr>
      <w:color w:val="0000FF"/>
      <w:u w:val="single"/>
    </w:rPr>
  </w:style>
  <w:style w:type="character" w:styleId="64">
    <w:name w:val="HTML Code"/>
    <w:autoRedefine/>
    <w:qFormat/>
    <w:uiPriority w:val="0"/>
    <w:rPr>
      <w:rFonts w:ascii="Courier New" w:hAnsi="Courier New"/>
      <w:sz w:val="20"/>
    </w:rPr>
  </w:style>
  <w:style w:type="character" w:styleId="65">
    <w:name w:val="annotation reference"/>
    <w:autoRedefine/>
    <w:qFormat/>
    <w:uiPriority w:val="0"/>
    <w:rPr>
      <w:sz w:val="21"/>
      <w:szCs w:val="21"/>
    </w:rPr>
  </w:style>
  <w:style w:type="character" w:styleId="66">
    <w:name w:val="HTML Cite"/>
    <w:autoRedefine/>
    <w:qFormat/>
    <w:uiPriority w:val="0"/>
  </w:style>
  <w:style w:type="character" w:styleId="67">
    <w:name w:val="footnote reference"/>
    <w:autoRedefine/>
    <w:unhideWhenUsed/>
    <w:qFormat/>
    <w:uiPriority w:val="0"/>
    <w:rPr>
      <w:vertAlign w:val="superscript"/>
    </w:rPr>
  </w:style>
  <w:style w:type="character" w:customStyle="1" w:styleId="68">
    <w:name w:val="标题 1 Char"/>
    <w:link w:val="4"/>
    <w:autoRedefine/>
    <w:qFormat/>
    <w:uiPriority w:val="0"/>
    <w:rPr>
      <w:b/>
      <w:bCs/>
      <w:kern w:val="44"/>
      <w:sz w:val="44"/>
      <w:szCs w:val="44"/>
    </w:rPr>
  </w:style>
  <w:style w:type="character" w:customStyle="1" w:styleId="69">
    <w:name w:val="标题 2 Char1"/>
    <w:link w:val="5"/>
    <w:autoRedefine/>
    <w:qFormat/>
    <w:uiPriority w:val="0"/>
    <w:rPr>
      <w:rFonts w:ascii="Cambria" w:hAnsi="Cambria" w:eastAsia="宋体" w:cs="Times New Roman"/>
      <w:b/>
      <w:bCs/>
      <w:kern w:val="2"/>
      <w:sz w:val="32"/>
      <w:szCs w:val="32"/>
    </w:rPr>
  </w:style>
  <w:style w:type="character" w:customStyle="1" w:styleId="70">
    <w:name w:val="标题 3 Char"/>
    <w:link w:val="6"/>
    <w:autoRedefine/>
    <w:qFormat/>
    <w:uiPriority w:val="0"/>
    <w:rPr>
      <w:b/>
      <w:bCs/>
      <w:kern w:val="2"/>
      <w:sz w:val="32"/>
      <w:szCs w:val="32"/>
    </w:rPr>
  </w:style>
  <w:style w:type="character" w:customStyle="1" w:styleId="71">
    <w:name w:val="标题 5 Char"/>
    <w:link w:val="8"/>
    <w:autoRedefine/>
    <w:qFormat/>
    <w:uiPriority w:val="0"/>
    <w:rPr>
      <w:rFonts w:ascii="Times New Roman" w:hAnsi="Times New Roman"/>
      <w:b/>
      <w:bCs/>
      <w:kern w:val="2"/>
      <w:sz w:val="28"/>
      <w:szCs w:val="28"/>
    </w:rPr>
  </w:style>
  <w:style w:type="character" w:customStyle="1" w:styleId="72">
    <w:name w:val="标题 8 Char1"/>
    <w:link w:val="12"/>
    <w:autoRedefine/>
    <w:qFormat/>
    <w:uiPriority w:val="0"/>
    <w:rPr>
      <w:rFonts w:ascii="等线 Light" w:hAnsi="等线 Light" w:eastAsia="等线 Light" w:cs="Times New Roman"/>
      <w:kern w:val="2"/>
      <w:sz w:val="24"/>
      <w:szCs w:val="24"/>
    </w:rPr>
  </w:style>
  <w:style w:type="character" w:customStyle="1" w:styleId="73">
    <w:name w:val="批注文字 Char1"/>
    <w:link w:val="18"/>
    <w:autoRedefine/>
    <w:qFormat/>
    <w:uiPriority w:val="0"/>
    <w:rPr>
      <w:rFonts w:ascii="Times New Roman" w:hAnsi="Times New Roman"/>
      <w:kern w:val="2"/>
      <w:sz w:val="21"/>
      <w:szCs w:val="24"/>
    </w:rPr>
  </w:style>
  <w:style w:type="character" w:customStyle="1" w:styleId="74">
    <w:name w:val="正文文本 3 Char"/>
    <w:link w:val="20"/>
    <w:autoRedefine/>
    <w:qFormat/>
    <w:uiPriority w:val="0"/>
    <w:rPr>
      <w:kern w:val="2"/>
      <w:sz w:val="16"/>
      <w:szCs w:val="16"/>
    </w:rPr>
  </w:style>
  <w:style w:type="character" w:customStyle="1" w:styleId="75">
    <w:name w:val="正文文本 Char1"/>
    <w:link w:val="3"/>
    <w:autoRedefine/>
    <w:qFormat/>
    <w:uiPriority w:val="0"/>
    <w:rPr>
      <w:rFonts w:ascii="Times New Roman" w:hAnsi="Times New Roman"/>
      <w:kern w:val="2"/>
      <w:sz w:val="21"/>
      <w:szCs w:val="24"/>
    </w:rPr>
  </w:style>
  <w:style w:type="character" w:customStyle="1" w:styleId="76">
    <w:name w:val="正文文本缩进 Char"/>
    <w:link w:val="21"/>
    <w:autoRedefine/>
    <w:qFormat/>
    <w:uiPriority w:val="0"/>
    <w:rPr>
      <w:rFonts w:ascii="仿宋_GB2312" w:hAnsi="Times New Roman" w:eastAsia="仿宋_GB2312" w:cs="Times New Roman"/>
      <w:sz w:val="32"/>
      <w:szCs w:val="20"/>
    </w:rPr>
  </w:style>
  <w:style w:type="character" w:customStyle="1" w:styleId="77">
    <w:name w:val="纯文本 Char1"/>
    <w:link w:val="28"/>
    <w:autoRedefine/>
    <w:qFormat/>
    <w:uiPriority w:val="0"/>
    <w:rPr>
      <w:rFonts w:ascii="宋体" w:hAnsi="Courier New" w:eastAsia="宋体" w:cs="Courier New"/>
      <w:szCs w:val="21"/>
    </w:rPr>
  </w:style>
  <w:style w:type="character" w:customStyle="1" w:styleId="78">
    <w:name w:val="日期 Char"/>
    <w:link w:val="30"/>
    <w:autoRedefine/>
    <w:qFormat/>
    <w:uiPriority w:val="0"/>
    <w:rPr>
      <w:rFonts w:ascii="Times New Roman" w:hAnsi="Times New Roman"/>
      <w:kern w:val="2"/>
      <w:sz w:val="21"/>
      <w:szCs w:val="24"/>
    </w:rPr>
  </w:style>
  <w:style w:type="character" w:customStyle="1" w:styleId="79">
    <w:name w:val="批注框文本 Char"/>
    <w:link w:val="33"/>
    <w:autoRedefine/>
    <w:qFormat/>
    <w:uiPriority w:val="0"/>
    <w:rPr>
      <w:kern w:val="2"/>
      <w:sz w:val="18"/>
      <w:szCs w:val="18"/>
    </w:rPr>
  </w:style>
  <w:style w:type="character" w:customStyle="1" w:styleId="80">
    <w:name w:val="页脚 Char"/>
    <w:link w:val="34"/>
    <w:autoRedefine/>
    <w:qFormat/>
    <w:uiPriority w:val="99"/>
    <w:rPr>
      <w:sz w:val="18"/>
      <w:szCs w:val="18"/>
    </w:rPr>
  </w:style>
  <w:style w:type="character" w:customStyle="1" w:styleId="81">
    <w:name w:val="页眉 Char"/>
    <w:link w:val="35"/>
    <w:autoRedefine/>
    <w:qFormat/>
    <w:uiPriority w:val="0"/>
    <w:rPr>
      <w:sz w:val="18"/>
      <w:szCs w:val="18"/>
    </w:rPr>
  </w:style>
  <w:style w:type="character" w:customStyle="1" w:styleId="82">
    <w:name w:val="批注主题 Char"/>
    <w:link w:val="52"/>
    <w:autoRedefine/>
    <w:qFormat/>
    <w:uiPriority w:val="0"/>
    <w:rPr>
      <w:rFonts w:ascii="Times New Roman" w:hAnsi="Times New Roman"/>
      <w:b/>
      <w:bCs/>
      <w:kern w:val="2"/>
      <w:sz w:val="21"/>
      <w:szCs w:val="24"/>
    </w:rPr>
  </w:style>
  <w:style w:type="character" w:customStyle="1" w:styleId="83">
    <w:name w:val="纯文本 字符2"/>
    <w:autoRedefine/>
    <w:qFormat/>
    <w:uiPriority w:val="0"/>
    <w:rPr>
      <w:rFonts w:ascii="宋体" w:hAnsi="Courier New" w:eastAsia="宋体" w:cs="Courier New"/>
      <w:szCs w:val="21"/>
    </w:rPr>
  </w:style>
  <w:style w:type="character" w:customStyle="1" w:styleId="84">
    <w:name w:val="apple-style-span"/>
    <w:autoRedefine/>
    <w:qFormat/>
    <w:uiPriority w:val="0"/>
  </w:style>
  <w:style w:type="character" w:customStyle="1" w:styleId="85">
    <w:name w:val="标题 2 Char"/>
    <w:autoRedefine/>
    <w:qFormat/>
    <w:uiPriority w:val="0"/>
    <w:rPr>
      <w:rFonts w:ascii="Cambria" w:hAnsi="Cambria" w:eastAsia="宋体" w:cs="Times New Roman"/>
      <w:b/>
      <w:bCs/>
      <w:kern w:val="2"/>
      <w:sz w:val="32"/>
      <w:szCs w:val="32"/>
    </w:rPr>
  </w:style>
  <w:style w:type="character" w:customStyle="1" w:styleId="86">
    <w:name w:val="纯文本 字符"/>
    <w:autoRedefine/>
    <w:qFormat/>
    <w:uiPriority w:val="0"/>
    <w:rPr>
      <w:rFonts w:ascii="宋体" w:hAnsi="Courier New" w:eastAsia="宋体" w:cs="Courier New"/>
      <w:szCs w:val="21"/>
    </w:rPr>
  </w:style>
  <w:style w:type="character" w:customStyle="1" w:styleId="87">
    <w:name w:val="纯文本 字符1"/>
    <w:autoRedefine/>
    <w:qFormat/>
    <w:uiPriority w:val="0"/>
    <w:rPr>
      <w:rFonts w:ascii="宋体" w:hAnsi="Courier New"/>
    </w:rPr>
  </w:style>
  <w:style w:type="character" w:customStyle="1" w:styleId="88">
    <w:name w:val="标题 8 Char"/>
    <w:autoRedefine/>
    <w:qFormat/>
    <w:uiPriority w:val="0"/>
    <w:rPr>
      <w:rFonts w:ascii="Arial" w:hAnsi="Arial" w:eastAsia="黑体"/>
      <w:kern w:val="2"/>
      <w:sz w:val="24"/>
      <w:szCs w:val="24"/>
    </w:rPr>
  </w:style>
  <w:style w:type="character" w:customStyle="1" w:styleId="89">
    <w:name w:val="纯文本 Char"/>
    <w:autoRedefine/>
    <w:qFormat/>
    <w:uiPriority w:val="0"/>
    <w:rPr>
      <w:rFonts w:ascii="宋体" w:hAnsi="Courier New" w:eastAsia="宋体" w:cs="Courier New"/>
      <w:szCs w:val="21"/>
    </w:rPr>
  </w:style>
  <w:style w:type="character" w:customStyle="1" w:styleId="90">
    <w:name w:val="正文文本 Char"/>
    <w:autoRedefine/>
    <w:qFormat/>
    <w:uiPriority w:val="0"/>
    <w:rPr>
      <w:rFonts w:ascii="Times New Roman" w:hAnsi="Times New Roman"/>
      <w:kern w:val="2"/>
      <w:sz w:val="21"/>
      <w:szCs w:val="24"/>
    </w:rPr>
  </w:style>
  <w:style w:type="character" w:customStyle="1" w:styleId="91">
    <w:name w:val="批注文字 字符1"/>
    <w:autoRedefine/>
    <w:qFormat/>
    <w:uiPriority w:val="0"/>
    <w:rPr>
      <w:rFonts w:ascii="Times New Roman" w:hAnsi="Times New Roman"/>
      <w:kern w:val="2"/>
      <w:sz w:val="21"/>
      <w:szCs w:val="24"/>
    </w:rPr>
  </w:style>
  <w:style w:type="character" w:customStyle="1" w:styleId="92">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3">
    <w:name w:val="标题 1 字符1"/>
    <w:autoRedefine/>
    <w:qFormat/>
    <w:uiPriority w:val="0"/>
    <w:rPr>
      <w:b/>
      <w:bCs/>
      <w:kern w:val="44"/>
      <w:sz w:val="44"/>
      <w:szCs w:val="44"/>
    </w:rPr>
  </w:style>
  <w:style w:type="character" w:customStyle="1" w:styleId="94">
    <w:name w:val="正文文本 字符"/>
    <w:autoRedefine/>
    <w:qFormat/>
    <w:uiPriority w:val="99"/>
    <w:rPr>
      <w:rFonts w:ascii="Times New Roman" w:hAnsi="Times New Roman"/>
      <w:kern w:val="2"/>
      <w:sz w:val="21"/>
      <w:szCs w:val="24"/>
    </w:rPr>
  </w:style>
  <w:style w:type="character" w:customStyle="1" w:styleId="95">
    <w:name w:val="批注文字 字符"/>
    <w:autoRedefine/>
    <w:qFormat/>
    <w:uiPriority w:val="99"/>
    <w:rPr>
      <w:rFonts w:ascii="Times New Roman" w:hAnsi="Times New Roman"/>
      <w:kern w:val="2"/>
      <w:sz w:val="21"/>
      <w:szCs w:val="24"/>
    </w:rPr>
  </w:style>
  <w:style w:type="character" w:customStyle="1" w:styleId="96">
    <w:name w:val="textcontents"/>
    <w:autoRedefine/>
    <w:qFormat/>
    <w:uiPriority w:val="0"/>
  </w:style>
  <w:style w:type="character" w:customStyle="1" w:styleId="97">
    <w:name w:val="批注文字 Char"/>
    <w:autoRedefine/>
    <w:qFormat/>
    <w:uiPriority w:val="99"/>
    <w:rPr>
      <w:rFonts w:ascii="Times New Roman" w:hAnsi="Times New Roman"/>
      <w:kern w:val="2"/>
      <w:sz w:val="21"/>
      <w:szCs w:val="24"/>
    </w:rPr>
  </w:style>
  <w:style w:type="paragraph" w:customStyle="1" w:styleId="98">
    <w:name w:val="表内文字"/>
    <w:basedOn w:val="1"/>
    <w:link w:val="299"/>
    <w:autoRedefine/>
    <w:qFormat/>
    <w:uiPriority w:val="0"/>
    <w:pPr>
      <w:snapToGrid w:val="0"/>
      <w:spacing w:before="50" w:after="50"/>
      <w:jc w:val="center"/>
    </w:pPr>
    <w:rPr>
      <w:rFonts w:ascii="仿宋_GB2312" w:hAnsi="宋体" w:eastAsia="仿宋_GB2312"/>
      <w:b/>
      <w:color w:val="000000"/>
      <w:sz w:val="32"/>
      <w:szCs w:val="32"/>
    </w:rPr>
  </w:style>
  <w:style w:type="paragraph" w:styleId="99">
    <w:name w:val="List Paragraph"/>
    <w:basedOn w:val="1"/>
    <w:link w:val="332"/>
    <w:autoRedefine/>
    <w:qFormat/>
    <w:uiPriority w:val="0"/>
    <w:pPr>
      <w:ind w:firstLine="420" w:firstLineChars="200"/>
    </w:pPr>
  </w:style>
  <w:style w:type="paragraph" w:customStyle="1" w:styleId="100">
    <w:name w:val="默认段落字体 Para Char Char Char Char Char Char Char Char Char1 Char Char Char Char"/>
    <w:basedOn w:val="1"/>
    <w:autoRedefine/>
    <w:qFormat/>
    <w:uiPriority w:val="0"/>
    <w:rPr>
      <w:rFonts w:ascii="Tahoma" w:hAnsi="Tahoma"/>
      <w:sz w:val="24"/>
      <w:szCs w:val="20"/>
    </w:rPr>
  </w:style>
  <w:style w:type="paragraph" w:customStyle="1" w:styleId="101">
    <w:name w:val="Table Paragraph"/>
    <w:basedOn w:val="1"/>
    <w:autoRedefine/>
    <w:qFormat/>
    <w:uiPriority w:val="1"/>
    <w:pPr>
      <w:jc w:val="left"/>
    </w:pPr>
    <w:rPr>
      <w:rFonts w:ascii="Calibri" w:hAnsi="Calibri"/>
      <w:kern w:val="0"/>
      <w:sz w:val="22"/>
      <w:szCs w:val="22"/>
      <w:lang w:eastAsia="en-US"/>
    </w:rPr>
  </w:style>
  <w:style w:type="paragraph" w:customStyle="1" w:styleId="102">
    <w:name w:val="Char Char Char Char"/>
    <w:basedOn w:val="1"/>
    <w:autoRedefine/>
    <w:qFormat/>
    <w:uiPriority w:val="0"/>
    <w:pPr>
      <w:widowControl/>
      <w:spacing w:after="160" w:line="240" w:lineRule="exact"/>
      <w:jc w:val="left"/>
    </w:pPr>
  </w:style>
  <w:style w:type="character" w:customStyle="1" w:styleId="103">
    <w:name w:val="未处理的提及1"/>
    <w:autoRedefine/>
    <w:unhideWhenUsed/>
    <w:qFormat/>
    <w:uiPriority w:val="99"/>
    <w:rPr>
      <w:color w:val="605E5C"/>
      <w:shd w:val="clear" w:color="auto" w:fill="E1DFDD"/>
    </w:rPr>
  </w:style>
  <w:style w:type="paragraph" w:customStyle="1" w:styleId="104">
    <w:name w:val="_Style 72"/>
    <w:basedOn w:val="4"/>
    <w:next w:val="1"/>
    <w:autoRedefine/>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105">
    <w:name w:val="正文2 Char Char"/>
    <w:link w:val="106"/>
    <w:autoRedefine/>
    <w:qFormat/>
    <w:uiPriority w:val="0"/>
    <w:rPr>
      <w:sz w:val="24"/>
    </w:rPr>
  </w:style>
  <w:style w:type="paragraph" w:customStyle="1" w:styleId="106">
    <w:name w:val="正文2"/>
    <w:basedOn w:val="1"/>
    <w:link w:val="105"/>
    <w:autoRedefine/>
    <w:qFormat/>
    <w:uiPriority w:val="0"/>
    <w:pPr>
      <w:adjustRightInd w:val="0"/>
      <w:spacing w:before="156" w:line="360" w:lineRule="auto"/>
      <w:ind w:firstLine="510" w:firstLineChars="200"/>
    </w:pPr>
    <w:rPr>
      <w:kern w:val="0"/>
      <w:sz w:val="24"/>
      <w:szCs w:val="20"/>
    </w:rPr>
  </w:style>
  <w:style w:type="paragraph" w:customStyle="1" w:styleId="107">
    <w:name w:val="样式5"/>
    <w:basedOn w:val="1"/>
    <w:autoRedefine/>
    <w:qFormat/>
    <w:uiPriority w:val="99"/>
    <w:pPr>
      <w:adjustRightInd w:val="0"/>
      <w:spacing w:line="440" w:lineRule="exact"/>
      <w:ind w:left="2" w:firstLine="480" w:firstLineChars="200"/>
    </w:pPr>
    <w:rPr>
      <w:rFonts w:ascii="仿宋_GB2312" w:hAnsi="仿宋" w:eastAsia="仿宋_GB2312"/>
      <w:sz w:val="24"/>
    </w:rPr>
  </w:style>
  <w:style w:type="paragraph" w:customStyle="1" w:styleId="108">
    <w:name w:val="正文缩进1"/>
    <w:basedOn w:val="1"/>
    <w:next w:val="21"/>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109">
    <w:name w:val="标题 1 字符"/>
    <w:autoRedefine/>
    <w:qFormat/>
    <w:uiPriority w:val="0"/>
    <w:rPr>
      <w:b/>
      <w:bCs/>
      <w:kern w:val="44"/>
      <w:sz w:val="44"/>
      <w:szCs w:val="44"/>
    </w:rPr>
  </w:style>
  <w:style w:type="character" w:customStyle="1" w:styleId="110">
    <w:name w:val="标题 2 字符"/>
    <w:autoRedefine/>
    <w:qFormat/>
    <w:uiPriority w:val="0"/>
    <w:rPr>
      <w:rFonts w:ascii="Cambria" w:hAnsi="Cambria"/>
      <w:b/>
      <w:bCs/>
      <w:kern w:val="2"/>
      <w:sz w:val="32"/>
      <w:szCs w:val="32"/>
    </w:rPr>
  </w:style>
  <w:style w:type="character" w:customStyle="1" w:styleId="111">
    <w:name w:val="标题 3 字符"/>
    <w:autoRedefine/>
    <w:qFormat/>
    <w:uiPriority w:val="0"/>
    <w:rPr>
      <w:b/>
      <w:bCs/>
      <w:kern w:val="2"/>
      <w:sz w:val="32"/>
      <w:szCs w:val="32"/>
    </w:rPr>
  </w:style>
  <w:style w:type="character" w:customStyle="1" w:styleId="112">
    <w:name w:val="标题 5 字符"/>
    <w:autoRedefine/>
    <w:qFormat/>
    <w:uiPriority w:val="0"/>
    <w:rPr>
      <w:b/>
      <w:bCs/>
      <w:kern w:val="2"/>
      <w:sz w:val="28"/>
      <w:szCs w:val="28"/>
    </w:rPr>
  </w:style>
  <w:style w:type="character" w:customStyle="1" w:styleId="113">
    <w:name w:val="标题 8 字符"/>
    <w:autoRedefine/>
    <w:qFormat/>
    <w:uiPriority w:val="0"/>
    <w:rPr>
      <w:rFonts w:ascii="等线 Light" w:hAnsi="等线 Light" w:eastAsia="等线 Light"/>
      <w:kern w:val="2"/>
      <w:sz w:val="24"/>
      <w:szCs w:val="24"/>
    </w:rPr>
  </w:style>
  <w:style w:type="character" w:customStyle="1" w:styleId="114">
    <w:name w:val="批注文字 字符2"/>
    <w:autoRedefine/>
    <w:qFormat/>
    <w:uiPriority w:val="99"/>
    <w:rPr>
      <w:kern w:val="2"/>
      <w:sz w:val="21"/>
      <w:szCs w:val="24"/>
    </w:rPr>
  </w:style>
  <w:style w:type="character" w:customStyle="1" w:styleId="115">
    <w:name w:val="正文文本 3 字符"/>
    <w:autoRedefine/>
    <w:qFormat/>
    <w:uiPriority w:val="99"/>
    <w:rPr>
      <w:kern w:val="2"/>
      <w:sz w:val="16"/>
      <w:szCs w:val="16"/>
    </w:rPr>
  </w:style>
  <w:style w:type="character" w:customStyle="1" w:styleId="116">
    <w:name w:val="正文文本 字符1"/>
    <w:autoRedefine/>
    <w:qFormat/>
    <w:uiPriority w:val="99"/>
    <w:rPr>
      <w:kern w:val="2"/>
      <w:sz w:val="21"/>
      <w:szCs w:val="24"/>
    </w:rPr>
  </w:style>
  <w:style w:type="character" w:customStyle="1" w:styleId="117">
    <w:name w:val="正文文本缩进 字符"/>
    <w:autoRedefine/>
    <w:qFormat/>
    <w:uiPriority w:val="99"/>
    <w:rPr>
      <w:rFonts w:ascii="仿宋_GB2312" w:eastAsia="仿宋_GB2312"/>
      <w:sz w:val="32"/>
    </w:rPr>
  </w:style>
  <w:style w:type="character" w:customStyle="1" w:styleId="118">
    <w:name w:val="纯文本 字符3"/>
    <w:autoRedefine/>
    <w:qFormat/>
    <w:uiPriority w:val="99"/>
    <w:rPr>
      <w:rFonts w:ascii="宋体" w:hAnsi="Courier New"/>
      <w:szCs w:val="21"/>
    </w:rPr>
  </w:style>
  <w:style w:type="character" w:customStyle="1" w:styleId="119">
    <w:name w:val="日期 字符"/>
    <w:autoRedefine/>
    <w:qFormat/>
    <w:uiPriority w:val="99"/>
    <w:rPr>
      <w:kern w:val="2"/>
      <w:sz w:val="21"/>
      <w:szCs w:val="24"/>
    </w:rPr>
  </w:style>
  <w:style w:type="character" w:customStyle="1" w:styleId="120">
    <w:name w:val="页脚 字符"/>
    <w:autoRedefine/>
    <w:qFormat/>
    <w:uiPriority w:val="99"/>
    <w:rPr>
      <w:sz w:val="18"/>
      <w:szCs w:val="18"/>
    </w:rPr>
  </w:style>
  <w:style w:type="character" w:customStyle="1" w:styleId="121">
    <w:name w:val="页眉 字符"/>
    <w:autoRedefine/>
    <w:qFormat/>
    <w:uiPriority w:val="99"/>
    <w:rPr>
      <w:sz w:val="18"/>
      <w:szCs w:val="18"/>
    </w:rPr>
  </w:style>
  <w:style w:type="character" w:customStyle="1" w:styleId="122">
    <w:name w:val="批注主题 字符"/>
    <w:autoRedefine/>
    <w:qFormat/>
    <w:uiPriority w:val="99"/>
    <w:rPr>
      <w:rFonts w:ascii="Times New Roman" w:hAnsi="Times New Roman"/>
      <w:b/>
      <w:bCs/>
      <w:kern w:val="2"/>
      <w:sz w:val="21"/>
      <w:szCs w:val="24"/>
    </w:rPr>
  </w:style>
  <w:style w:type="paragraph" w:customStyle="1" w:styleId="123">
    <w:name w:val="_Style 94"/>
    <w:basedOn w:val="1"/>
    <w:autoRedefine/>
    <w:unhideWhenUsed/>
    <w:qFormat/>
    <w:uiPriority w:val="99"/>
  </w:style>
  <w:style w:type="paragraph" w:customStyle="1" w:styleId="124">
    <w:name w:val="_Style 95"/>
    <w:basedOn w:val="1"/>
    <w:autoRedefine/>
    <w:unhideWhenUsed/>
    <w:qFormat/>
    <w:uiPriority w:val="99"/>
  </w:style>
  <w:style w:type="paragraph" w:customStyle="1" w:styleId="125">
    <w:name w:val="msonormal"/>
    <w:basedOn w:val="1"/>
    <w:autoRedefine/>
    <w:qFormat/>
    <w:uiPriority w:val="0"/>
    <w:rPr>
      <w:rFonts w:ascii="Calibri" w:hAnsi="Calibri"/>
      <w:kern w:val="0"/>
      <w:sz w:val="24"/>
    </w:rPr>
  </w:style>
  <w:style w:type="character" w:customStyle="1" w:styleId="126">
    <w:name w:val="正文文本 (2) + 5.5 pt1"/>
    <w:autoRedefine/>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character" w:customStyle="1" w:styleId="127">
    <w:name w:val="正文文本 (2) + 间距 0 pt Exact1"/>
    <w:autoRedefine/>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paragraph" w:customStyle="1" w:styleId="128">
    <w:name w:val="正文文本 (2)4"/>
    <w:basedOn w:val="1"/>
    <w:autoRedefine/>
    <w:qFormat/>
    <w:uiPriority w:val="0"/>
    <w:pPr>
      <w:shd w:val="clear" w:color="auto" w:fill="FFFFFF"/>
      <w:spacing w:before="300" w:line="439" w:lineRule="exact"/>
      <w:jc w:val="distribute"/>
    </w:pPr>
    <w:rPr>
      <w:rFonts w:ascii="MingLiU" w:hAnsi="MingLiU" w:eastAsia="MingLiU"/>
      <w:spacing w:val="20"/>
    </w:rPr>
  </w:style>
  <w:style w:type="character" w:customStyle="1" w:styleId="129">
    <w:name w:val="标题 4 Char"/>
    <w:basedOn w:val="56"/>
    <w:autoRedefine/>
    <w:qFormat/>
    <w:uiPriority w:val="0"/>
    <w:rPr>
      <w:rFonts w:asciiTheme="majorHAnsi" w:hAnsiTheme="majorHAnsi" w:eastAsiaTheme="majorEastAsia" w:cstheme="majorBidi"/>
      <w:b/>
      <w:bCs/>
      <w:kern w:val="2"/>
      <w:sz w:val="28"/>
      <w:szCs w:val="28"/>
    </w:rPr>
  </w:style>
  <w:style w:type="character" w:customStyle="1" w:styleId="130">
    <w:name w:val="标题 6 Char"/>
    <w:basedOn w:val="56"/>
    <w:autoRedefine/>
    <w:qFormat/>
    <w:uiPriority w:val="0"/>
    <w:rPr>
      <w:rFonts w:asciiTheme="majorHAnsi" w:hAnsiTheme="majorHAnsi" w:eastAsiaTheme="majorEastAsia" w:cstheme="majorBidi"/>
      <w:b/>
      <w:bCs/>
      <w:kern w:val="2"/>
      <w:sz w:val="24"/>
      <w:szCs w:val="24"/>
    </w:rPr>
  </w:style>
  <w:style w:type="character" w:customStyle="1" w:styleId="131">
    <w:name w:val="标题 7 Char"/>
    <w:basedOn w:val="56"/>
    <w:autoRedefine/>
    <w:qFormat/>
    <w:uiPriority w:val="0"/>
    <w:rPr>
      <w:b/>
      <w:bCs/>
      <w:kern w:val="2"/>
      <w:sz w:val="24"/>
      <w:szCs w:val="24"/>
    </w:rPr>
  </w:style>
  <w:style w:type="character" w:customStyle="1" w:styleId="132">
    <w:name w:val="标题 9 Char"/>
    <w:basedOn w:val="56"/>
    <w:autoRedefine/>
    <w:qFormat/>
    <w:uiPriority w:val="0"/>
    <w:rPr>
      <w:rFonts w:asciiTheme="majorHAnsi" w:hAnsiTheme="majorHAnsi" w:eastAsiaTheme="majorEastAsia" w:cstheme="majorBidi"/>
      <w:kern w:val="2"/>
      <w:sz w:val="21"/>
      <w:szCs w:val="21"/>
    </w:rPr>
  </w:style>
  <w:style w:type="character" w:customStyle="1" w:styleId="133">
    <w:name w:val="正文文本 Char2"/>
    <w:autoRedefine/>
    <w:semiHidden/>
    <w:qFormat/>
    <w:uiPriority w:val="99"/>
    <w:rPr>
      <w:kern w:val="2"/>
      <w:sz w:val="21"/>
      <w:szCs w:val="24"/>
    </w:rPr>
  </w:style>
  <w:style w:type="character" w:customStyle="1" w:styleId="134">
    <w:name w:val="明显参考11"/>
    <w:autoRedefine/>
    <w:qFormat/>
    <w:uiPriority w:val="0"/>
    <w:rPr>
      <w:b/>
      <w:bCs/>
      <w:smallCaps/>
      <w:color w:val="C0504D"/>
      <w:spacing w:val="5"/>
      <w:u w:val="single"/>
    </w:rPr>
  </w:style>
  <w:style w:type="character" w:customStyle="1" w:styleId="135">
    <w:name w:val="不明显强调11"/>
    <w:autoRedefine/>
    <w:qFormat/>
    <w:uiPriority w:val="0"/>
    <w:rPr>
      <w:i/>
      <w:iCs/>
      <w:color w:val="808080"/>
    </w:rPr>
  </w:style>
  <w:style w:type="character" w:customStyle="1" w:styleId="136">
    <w:name w:val="Comment Text Char1"/>
    <w:autoRedefine/>
    <w:qFormat/>
    <w:uiPriority w:val="0"/>
    <w:rPr>
      <w:sz w:val="24"/>
      <w:lang w:bidi="ar-SA"/>
    </w:rPr>
  </w:style>
  <w:style w:type="character" w:customStyle="1" w:styleId="137">
    <w:name w:val="Char Char291"/>
    <w:autoRedefine/>
    <w:qFormat/>
    <w:uiPriority w:val="0"/>
    <w:rPr>
      <w:rFonts w:eastAsia="黑体"/>
      <w:b/>
      <w:bCs/>
      <w:kern w:val="44"/>
      <w:sz w:val="32"/>
      <w:szCs w:val="44"/>
      <w:lang w:bidi="ar-SA"/>
    </w:rPr>
  </w:style>
  <w:style w:type="character" w:customStyle="1" w:styleId="138">
    <w:name w:val="Plain Text Char"/>
    <w:autoRedefine/>
    <w:qFormat/>
    <w:locked/>
    <w:uiPriority w:val="0"/>
    <w:rPr>
      <w:rFonts w:ascii="宋体" w:hAnsi="Courier New" w:eastAsia="宋体"/>
      <w:kern w:val="2"/>
      <w:sz w:val="21"/>
      <w:lang w:val="en-US" w:eastAsia="zh-CN" w:bidi="ar-SA"/>
    </w:rPr>
  </w:style>
  <w:style w:type="character" w:customStyle="1" w:styleId="139">
    <w:name w:val="disabled"/>
    <w:autoRedefine/>
    <w:qFormat/>
    <w:uiPriority w:val="0"/>
    <w:rPr>
      <w:vanish/>
    </w:rPr>
  </w:style>
  <w:style w:type="character" w:customStyle="1" w:styleId="140">
    <w:name w:val="文档结构图 Char2"/>
    <w:autoRedefine/>
    <w:semiHidden/>
    <w:qFormat/>
    <w:uiPriority w:val="99"/>
    <w:rPr>
      <w:rFonts w:hint="eastAsia" w:ascii="宋体" w:hAnsi="宋体" w:eastAsia="宋体"/>
      <w:kern w:val="2"/>
      <w:sz w:val="18"/>
      <w:szCs w:val="18"/>
    </w:rPr>
  </w:style>
  <w:style w:type="character" w:customStyle="1" w:styleId="141">
    <w:name w:val="Para head"/>
    <w:autoRedefine/>
    <w:qFormat/>
    <w:uiPriority w:val="0"/>
    <w:rPr>
      <w:rFonts w:ascii="Arial" w:hAnsi="Arial" w:eastAsia="Times New Roman"/>
      <w:sz w:val="20"/>
    </w:rPr>
  </w:style>
  <w:style w:type="character" w:customStyle="1" w:styleId="142">
    <w:name w:val="hui141"/>
    <w:autoRedefine/>
    <w:qFormat/>
    <w:uiPriority w:val="0"/>
    <w:rPr>
      <w:sz w:val="21"/>
      <w:szCs w:val="21"/>
    </w:rPr>
  </w:style>
  <w:style w:type="character" w:customStyle="1" w:styleId="143">
    <w:name w:val="正文（绿盟科技） Char"/>
    <w:link w:val="144"/>
    <w:autoRedefine/>
    <w:qFormat/>
    <w:locked/>
    <w:uiPriority w:val="0"/>
    <w:rPr>
      <w:rFonts w:eastAsia="Times New Roman"/>
      <w:szCs w:val="21"/>
    </w:rPr>
  </w:style>
  <w:style w:type="paragraph" w:customStyle="1" w:styleId="144">
    <w:name w:val="正文（绿盟科技）"/>
    <w:link w:val="143"/>
    <w:autoRedefine/>
    <w:qFormat/>
    <w:uiPriority w:val="0"/>
    <w:pPr>
      <w:spacing w:line="300" w:lineRule="auto"/>
    </w:pPr>
    <w:rPr>
      <w:rFonts w:ascii="Times New Roman" w:hAnsi="Times New Roman" w:eastAsia="Times New Roman" w:cs="Times New Roman"/>
      <w:szCs w:val="21"/>
      <w:lang w:val="en-US" w:eastAsia="zh-CN" w:bidi="ar-SA"/>
    </w:rPr>
  </w:style>
  <w:style w:type="character" w:customStyle="1" w:styleId="145">
    <w:name w:val="批注主题 Char2"/>
    <w:autoRedefine/>
    <w:semiHidden/>
    <w:qFormat/>
    <w:uiPriority w:val="99"/>
    <w:rPr>
      <w:b/>
      <w:bCs/>
      <w:kern w:val="2"/>
      <w:sz w:val="21"/>
      <w:szCs w:val="24"/>
    </w:rPr>
  </w:style>
  <w:style w:type="character" w:customStyle="1" w:styleId="146">
    <w:name w:val="副标题 Char1"/>
    <w:autoRedefine/>
    <w:qFormat/>
    <w:uiPriority w:val="0"/>
    <w:rPr>
      <w:rFonts w:hint="default" w:ascii="Cambria" w:hAnsi="Cambria" w:cs="Times New Roman"/>
      <w:b/>
      <w:bCs/>
      <w:kern w:val="28"/>
      <w:sz w:val="32"/>
      <w:szCs w:val="32"/>
    </w:rPr>
  </w:style>
  <w:style w:type="character" w:customStyle="1" w:styleId="147">
    <w:name w:val="font31"/>
    <w:autoRedefine/>
    <w:qFormat/>
    <w:uiPriority w:val="0"/>
    <w:rPr>
      <w:rFonts w:hint="eastAsia" w:ascii="宋体" w:hAnsi="宋体" w:eastAsia="宋体" w:cs="宋体"/>
      <w:color w:val="FF0000"/>
      <w:sz w:val="22"/>
      <w:szCs w:val="22"/>
      <w:u w:val="none"/>
    </w:rPr>
  </w:style>
  <w:style w:type="character" w:customStyle="1" w:styleId="148">
    <w:name w:val="纯文本 Char2"/>
    <w:autoRedefine/>
    <w:qFormat/>
    <w:uiPriority w:val="0"/>
    <w:rPr>
      <w:rFonts w:ascii="宋体" w:hAnsi="Courier New" w:cs="Courier New"/>
      <w:szCs w:val="21"/>
    </w:rPr>
  </w:style>
  <w:style w:type="character" w:customStyle="1" w:styleId="149">
    <w:name w:val="font21"/>
    <w:autoRedefine/>
    <w:qFormat/>
    <w:uiPriority w:val="0"/>
    <w:rPr>
      <w:rFonts w:hint="default" w:ascii="Times New Roman" w:hAnsi="Times New Roman" w:cs="Times New Roman"/>
      <w:color w:val="000000"/>
      <w:sz w:val="22"/>
      <w:szCs w:val="22"/>
      <w:u w:val="none"/>
    </w:rPr>
  </w:style>
  <w:style w:type="character" w:customStyle="1" w:styleId="150">
    <w:name w:val="bds_more4"/>
    <w:autoRedefine/>
    <w:qFormat/>
    <w:uiPriority w:val="0"/>
    <w:rPr>
      <w:rFonts w:hint="eastAsia" w:ascii="宋体" w:hAnsi="宋体" w:eastAsia="宋体" w:cs="宋体"/>
      <w:color w:val="454545"/>
      <w:sz w:val="21"/>
      <w:szCs w:val="21"/>
    </w:rPr>
  </w:style>
  <w:style w:type="character" w:customStyle="1" w:styleId="151">
    <w:name w:val="1051"/>
    <w:autoRedefine/>
    <w:qFormat/>
    <w:uiPriority w:val="0"/>
    <w:rPr>
      <w:rFonts w:ascii="Tahoma" w:hAnsi="Tahoma" w:eastAsia="宋体"/>
      <w:kern w:val="2"/>
      <w:sz w:val="21"/>
      <w:szCs w:val="21"/>
      <w:lang w:val="en-US" w:eastAsia="zh-CN" w:bidi="ar-SA"/>
    </w:rPr>
  </w:style>
  <w:style w:type="character" w:customStyle="1" w:styleId="152">
    <w:name w:val="Header Char"/>
    <w:autoRedefine/>
    <w:qFormat/>
    <w:uiPriority w:val="0"/>
    <w:rPr>
      <w:rFonts w:hint="eastAsia" w:ascii="宋体" w:hAnsi="宋体" w:eastAsia="宋体"/>
      <w:kern w:val="2"/>
      <w:sz w:val="18"/>
      <w:szCs w:val="18"/>
      <w:lang w:val="en-US" w:eastAsia="zh-CN" w:bidi="ar-SA"/>
    </w:rPr>
  </w:style>
  <w:style w:type="character" w:customStyle="1" w:styleId="153">
    <w:name w:val="链接"/>
    <w:autoRedefine/>
    <w:qFormat/>
    <w:uiPriority w:val="0"/>
    <w:rPr>
      <w:rFonts w:ascii="Times New Roman" w:eastAsia="宋体"/>
      <w:color w:val="0000FF"/>
      <w:sz w:val="21"/>
      <w:u w:val="single" w:color="0000FF"/>
      <w:vertAlign w:val="baseline"/>
      <w:lang w:val="en-US" w:eastAsia="zh-CN"/>
    </w:rPr>
  </w:style>
  <w:style w:type="character" w:customStyle="1" w:styleId="154">
    <w:name w:val="Char Char161"/>
    <w:autoRedefine/>
    <w:qFormat/>
    <w:uiPriority w:val="0"/>
    <w:rPr>
      <w:rFonts w:ascii="Arial" w:hAnsi="Arial" w:eastAsia="黑体"/>
      <w:b/>
      <w:bCs/>
      <w:kern w:val="2"/>
      <w:sz w:val="21"/>
      <w:szCs w:val="32"/>
    </w:rPr>
  </w:style>
  <w:style w:type="character" w:customStyle="1" w:styleId="155">
    <w:name w:val="List Paragraph Char"/>
    <w:link w:val="156"/>
    <w:autoRedefine/>
    <w:qFormat/>
    <w:locked/>
    <w:uiPriority w:val="0"/>
    <w:rPr>
      <w:rFonts w:ascii="Calibri" w:hAnsi="Calibri"/>
      <w:kern w:val="2"/>
      <w:sz w:val="21"/>
      <w:szCs w:val="22"/>
    </w:rPr>
  </w:style>
  <w:style w:type="paragraph" w:customStyle="1" w:styleId="156">
    <w:name w:val="列出段落1"/>
    <w:basedOn w:val="1"/>
    <w:link w:val="155"/>
    <w:autoRedefine/>
    <w:qFormat/>
    <w:uiPriority w:val="0"/>
    <w:pPr>
      <w:ind w:firstLine="420" w:firstLineChars="200"/>
    </w:pPr>
    <w:rPr>
      <w:rFonts w:ascii="Calibri" w:hAnsi="Calibri"/>
      <w:szCs w:val="22"/>
    </w:rPr>
  </w:style>
  <w:style w:type="character" w:customStyle="1" w:styleId="157">
    <w:name w:val="Date Char"/>
    <w:autoRedefine/>
    <w:qFormat/>
    <w:uiPriority w:val="0"/>
    <w:rPr>
      <w:rFonts w:hint="eastAsia" w:ascii="宋体" w:hAnsi="宋体" w:eastAsia="宋体"/>
      <w:kern w:val="2"/>
      <w:sz w:val="21"/>
      <w:szCs w:val="24"/>
      <w:lang w:val="en-US" w:eastAsia="zh-CN" w:bidi="ar-SA"/>
    </w:rPr>
  </w:style>
  <w:style w:type="character" w:customStyle="1" w:styleId="158">
    <w:name w:val="副标题 Char"/>
    <w:link w:val="38"/>
    <w:autoRedefine/>
    <w:qFormat/>
    <w:uiPriority w:val="0"/>
    <w:rPr>
      <w:rFonts w:ascii="Cambria" w:hAnsi="Cambria"/>
      <w:b/>
      <w:bCs/>
      <w:kern w:val="28"/>
      <w:sz w:val="32"/>
      <w:szCs w:val="32"/>
    </w:rPr>
  </w:style>
  <w:style w:type="character" w:customStyle="1" w:styleId="159">
    <w:name w:val="style91"/>
    <w:autoRedefine/>
    <w:qFormat/>
    <w:uiPriority w:val="0"/>
    <w:rPr>
      <w:rFonts w:hint="eastAsia" w:ascii="宋体" w:hAnsi="宋体" w:eastAsia="宋体"/>
      <w:kern w:val="2"/>
      <w:sz w:val="18"/>
      <w:szCs w:val="18"/>
      <w:lang w:val="en-US" w:eastAsia="zh-CN" w:bidi="ar-SA"/>
    </w:rPr>
  </w:style>
  <w:style w:type="character" w:customStyle="1" w:styleId="160">
    <w:name w:val="current"/>
    <w:autoRedefine/>
    <w:qFormat/>
    <w:uiPriority w:val="0"/>
    <w:rPr>
      <w:color w:val="FFFFFF"/>
      <w:bdr w:val="single" w:color="028BD3" w:sz="6" w:space="0"/>
      <w:shd w:val="clear" w:color="auto" w:fill="028BD3"/>
    </w:rPr>
  </w:style>
  <w:style w:type="character" w:customStyle="1" w:styleId="161">
    <w:name w:val="Char Char281"/>
    <w:autoRedefine/>
    <w:qFormat/>
    <w:uiPriority w:val="0"/>
    <w:rPr>
      <w:rFonts w:ascii="Arial" w:hAnsi="Arial" w:eastAsia="黑体"/>
      <w:b/>
      <w:bCs/>
      <w:kern w:val="2"/>
      <w:sz w:val="21"/>
      <w:szCs w:val="32"/>
    </w:rPr>
  </w:style>
  <w:style w:type="character" w:customStyle="1" w:styleId="162">
    <w:name w:val="Char Char3"/>
    <w:autoRedefine/>
    <w:qFormat/>
    <w:locked/>
    <w:uiPriority w:val="0"/>
    <w:rPr>
      <w:rFonts w:ascii="宋体" w:hAnsi="Courier New" w:eastAsia="宋体"/>
      <w:szCs w:val="21"/>
      <w:lang w:bidi="ar-SA"/>
    </w:rPr>
  </w:style>
  <w:style w:type="character" w:customStyle="1" w:styleId="163">
    <w:name w:val="Char Char24"/>
    <w:autoRedefine/>
    <w:qFormat/>
    <w:uiPriority w:val="0"/>
    <w:rPr>
      <w:rFonts w:hint="eastAsia" w:ascii="宋体" w:hAnsi="宋体" w:eastAsia="宋体"/>
      <w:b/>
      <w:bCs/>
      <w:kern w:val="44"/>
      <w:sz w:val="32"/>
      <w:szCs w:val="44"/>
      <w:lang w:val="en-US" w:eastAsia="zh-CN" w:bidi="ar-SA"/>
    </w:rPr>
  </w:style>
  <w:style w:type="character" w:customStyle="1" w:styleId="164">
    <w:name w:val="Balloon Text Char"/>
    <w:autoRedefine/>
    <w:qFormat/>
    <w:uiPriority w:val="0"/>
    <w:rPr>
      <w:sz w:val="18"/>
      <w:lang w:bidi="ar-SA"/>
    </w:rPr>
  </w:style>
  <w:style w:type="character" w:customStyle="1" w:styleId="165">
    <w:name w:val="文档结构图 Char"/>
    <w:autoRedefine/>
    <w:qFormat/>
    <w:uiPriority w:val="0"/>
    <w:rPr>
      <w:rFonts w:ascii="Times New Roman" w:hAnsi="Times New Roman" w:eastAsia="宋体" w:cs="Times New Roman"/>
      <w:kern w:val="0"/>
      <w:szCs w:val="20"/>
      <w:shd w:val="clear" w:color="auto" w:fill="000080"/>
    </w:rPr>
  </w:style>
  <w:style w:type="character" w:customStyle="1" w:styleId="166">
    <w:name w:val="纯文本 Char3"/>
    <w:autoRedefine/>
    <w:qFormat/>
    <w:uiPriority w:val="0"/>
    <w:rPr>
      <w:rFonts w:ascii="宋体" w:hAnsi="Courier New" w:eastAsia="宋体"/>
      <w:kern w:val="2"/>
      <w:sz w:val="21"/>
      <w:szCs w:val="24"/>
      <w:lang w:val="en-US" w:eastAsia="zh-CN" w:bidi="ar-SA"/>
    </w:rPr>
  </w:style>
  <w:style w:type="character" w:customStyle="1" w:styleId="167">
    <w:name w:val="标题 4 Char1"/>
    <w:link w:val="7"/>
    <w:autoRedefine/>
    <w:qFormat/>
    <w:uiPriority w:val="0"/>
    <w:rPr>
      <w:rFonts w:ascii="Arial" w:hAnsi="Arial" w:eastAsia="黑体"/>
      <w:sz w:val="28"/>
    </w:rPr>
  </w:style>
  <w:style w:type="character" w:customStyle="1" w:styleId="168">
    <w:name w:val="批注文字 Char2"/>
    <w:autoRedefine/>
    <w:qFormat/>
    <w:uiPriority w:val="0"/>
    <w:rPr>
      <w:kern w:val="2"/>
      <w:sz w:val="21"/>
      <w:szCs w:val="24"/>
      <w:lang w:bidi="ar-SA"/>
    </w:rPr>
  </w:style>
  <w:style w:type="character" w:customStyle="1" w:styleId="169">
    <w:name w:val="不明显强调1"/>
    <w:autoRedefine/>
    <w:qFormat/>
    <w:uiPriority w:val="0"/>
    <w:rPr>
      <w:i/>
      <w:iCs/>
      <w:color w:val="808080"/>
    </w:rPr>
  </w:style>
  <w:style w:type="character" w:customStyle="1" w:styleId="170">
    <w:name w:val="Char Char18"/>
    <w:autoRedefine/>
    <w:qFormat/>
    <w:uiPriority w:val="0"/>
    <w:rPr>
      <w:rFonts w:hint="default" w:ascii="Times New Roman" w:hAnsi="Times New Roman" w:eastAsia="宋体" w:cs="Times New Roman"/>
      <w:b/>
      <w:bCs/>
      <w:sz w:val="28"/>
      <w:szCs w:val="28"/>
    </w:rPr>
  </w:style>
  <w:style w:type="character" w:customStyle="1" w:styleId="171">
    <w:name w:val="正文文本缩进 3 Char1"/>
    <w:link w:val="43"/>
    <w:autoRedefine/>
    <w:qFormat/>
    <w:uiPriority w:val="0"/>
    <w:rPr>
      <w:sz w:val="16"/>
      <w:szCs w:val="16"/>
    </w:rPr>
  </w:style>
  <w:style w:type="character" w:customStyle="1" w:styleId="172">
    <w:name w:val="bds_more2"/>
    <w:autoRedefine/>
    <w:qFormat/>
    <w:uiPriority w:val="0"/>
  </w:style>
  <w:style w:type="character" w:customStyle="1" w:styleId="173">
    <w:name w:val="正文文本 3 Char1"/>
    <w:autoRedefine/>
    <w:qFormat/>
    <w:uiPriority w:val="0"/>
    <w:rPr>
      <w:b/>
      <w:bCs/>
      <w:sz w:val="24"/>
      <w:szCs w:val="24"/>
    </w:rPr>
  </w:style>
  <w:style w:type="character" w:customStyle="1" w:styleId="174">
    <w:name w:val="批注文字 Char Char"/>
    <w:autoRedefine/>
    <w:qFormat/>
    <w:uiPriority w:val="0"/>
    <w:rPr>
      <w:rFonts w:hint="eastAsia" w:ascii="宋体" w:hAnsi="Times New Roman" w:eastAsia="宋体" w:cs="Times New Roman"/>
      <w:sz w:val="28"/>
      <w:szCs w:val="20"/>
    </w:rPr>
  </w:style>
  <w:style w:type="character" w:customStyle="1" w:styleId="175">
    <w:name w:val="unnamed21"/>
    <w:autoRedefine/>
    <w:qFormat/>
    <w:uiPriority w:val="0"/>
    <w:rPr>
      <w:rFonts w:ascii="Tahoma" w:hAnsi="Tahoma" w:eastAsia="宋体"/>
      <w:kern w:val="2"/>
      <w:sz w:val="24"/>
      <w:szCs w:val="24"/>
      <w:lang w:val="en-US" w:eastAsia="zh-CN" w:bidi="ar-SA"/>
    </w:rPr>
  </w:style>
  <w:style w:type="character" w:customStyle="1" w:styleId="176">
    <w:name w:val="style31"/>
    <w:autoRedefine/>
    <w:qFormat/>
    <w:uiPriority w:val="0"/>
    <w:rPr>
      <w:rFonts w:ascii="Tahoma" w:hAnsi="Tahoma" w:eastAsia="宋体"/>
      <w:kern w:val="2"/>
      <w:sz w:val="18"/>
      <w:szCs w:val="18"/>
      <w:lang w:val="en-US" w:eastAsia="zh-CN" w:bidi="ar-SA"/>
    </w:rPr>
  </w:style>
  <w:style w:type="character" w:customStyle="1" w:styleId="177">
    <w:name w:val="标题5 Char Char"/>
    <w:link w:val="178"/>
    <w:autoRedefine/>
    <w:qFormat/>
    <w:uiPriority w:val="0"/>
    <w:rPr>
      <w:rFonts w:ascii="Arial" w:hAnsi="Arial"/>
      <w:b/>
      <w:bCs/>
      <w:sz w:val="24"/>
      <w:szCs w:val="32"/>
    </w:rPr>
  </w:style>
  <w:style w:type="paragraph" w:customStyle="1" w:styleId="178">
    <w:name w:val="标题5"/>
    <w:basedOn w:val="6"/>
    <w:link w:val="177"/>
    <w:autoRedefine/>
    <w:qFormat/>
    <w:uiPriority w:val="0"/>
    <w:pPr>
      <w:spacing w:line="413" w:lineRule="auto"/>
    </w:pPr>
    <w:rPr>
      <w:rFonts w:ascii="Arial" w:hAnsi="Arial"/>
      <w:kern w:val="0"/>
      <w:sz w:val="24"/>
    </w:rPr>
  </w:style>
  <w:style w:type="character" w:customStyle="1" w:styleId="179">
    <w:name w:val="标题 3 Char1"/>
    <w:autoRedefine/>
    <w:qFormat/>
    <w:uiPriority w:val="0"/>
    <w:rPr>
      <w:b/>
      <w:bCs/>
      <w:sz w:val="32"/>
      <w:szCs w:val="32"/>
    </w:rPr>
  </w:style>
  <w:style w:type="character" w:customStyle="1" w:styleId="180">
    <w:name w:val="标题 Char2"/>
    <w:autoRedefine/>
    <w:qFormat/>
    <w:uiPriority w:val="0"/>
    <w:rPr>
      <w:rFonts w:hint="default" w:ascii="Cambria" w:hAnsi="Cambria" w:eastAsia="宋体" w:cs="Times New Roman"/>
      <w:b/>
      <w:bCs/>
      <w:sz w:val="32"/>
      <w:szCs w:val="32"/>
    </w:rPr>
  </w:style>
  <w:style w:type="character" w:customStyle="1" w:styleId="181">
    <w:name w:val="apple-converted-space"/>
    <w:autoRedefine/>
    <w:qFormat/>
    <w:uiPriority w:val="0"/>
  </w:style>
  <w:style w:type="character" w:customStyle="1" w:styleId="182">
    <w:name w:val="f16b1"/>
    <w:autoRedefine/>
    <w:qFormat/>
    <w:uiPriority w:val="0"/>
    <w:rPr>
      <w:rFonts w:ascii="Tahoma" w:hAnsi="Tahoma" w:eastAsia="宋体"/>
      <w:b/>
      <w:bCs/>
      <w:color w:val="333333"/>
      <w:kern w:val="2"/>
      <w:sz w:val="24"/>
      <w:szCs w:val="24"/>
      <w:lang w:val="en-US" w:eastAsia="zh-CN" w:bidi="ar-SA"/>
    </w:rPr>
  </w:style>
  <w:style w:type="character" w:customStyle="1" w:styleId="183">
    <w:name w:val="bds_nopic"/>
    <w:autoRedefine/>
    <w:qFormat/>
    <w:uiPriority w:val="0"/>
  </w:style>
  <w:style w:type="character" w:customStyle="1" w:styleId="184">
    <w:name w:val="Char Char28"/>
    <w:autoRedefine/>
    <w:qFormat/>
    <w:uiPriority w:val="0"/>
    <w:rPr>
      <w:rFonts w:ascii="Arial" w:hAnsi="Arial" w:eastAsia="黑体"/>
      <w:b/>
      <w:bCs/>
      <w:kern w:val="2"/>
      <w:sz w:val="21"/>
      <w:szCs w:val="32"/>
    </w:rPr>
  </w:style>
  <w:style w:type="character" w:customStyle="1" w:styleId="185">
    <w:name w:val="正文文本缩进 2 Char1"/>
    <w:link w:val="31"/>
    <w:autoRedefine/>
    <w:qFormat/>
    <w:uiPriority w:val="0"/>
    <w:rPr>
      <w:sz w:val="32"/>
    </w:rPr>
  </w:style>
  <w:style w:type="character" w:customStyle="1" w:styleId="186">
    <w:name w:val="标题 7 字符"/>
    <w:autoRedefine/>
    <w:qFormat/>
    <w:uiPriority w:val="0"/>
    <w:rPr>
      <w:rFonts w:ascii="Calibri" w:hAnsi="Calibri" w:eastAsia="宋体" w:cs="Times New Roman"/>
      <w:b/>
      <w:bCs/>
      <w:sz w:val="24"/>
      <w:szCs w:val="24"/>
    </w:rPr>
  </w:style>
  <w:style w:type="character" w:customStyle="1" w:styleId="187">
    <w:name w:val="bds_more3"/>
    <w:autoRedefine/>
    <w:qFormat/>
    <w:uiPriority w:val="0"/>
    <w:rPr>
      <w:rFonts w:hint="eastAsia" w:ascii="宋体" w:hAnsi="宋体" w:eastAsia="宋体" w:cs="宋体"/>
    </w:rPr>
  </w:style>
  <w:style w:type="character" w:customStyle="1" w:styleId="188">
    <w:name w:val="正文文本缩进 2 Char"/>
    <w:autoRedefine/>
    <w:qFormat/>
    <w:uiPriority w:val="0"/>
    <w:rPr>
      <w:rFonts w:ascii="Times New Roman" w:hAnsi="Times New Roman" w:eastAsia="宋体" w:cs="Times New Roman"/>
      <w:sz w:val="32"/>
      <w:szCs w:val="20"/>
    </w:rPr>
  </w:style>
  <w:style w:type="character" w:customStyle="1" w:styleId="189">
    <w:name w:val="正文文本缩进 2 字符"/>
    <w:autoRedefine/>
    <w:semiHidden/>
    <w:qFormat/>
    <w:uiPriority w:val="99"/>
    <w:rPr>
      <w:rFonts w:ascii="Times New Roman" w:hAnsi="Times New Roman" w:eastAsia="宋体" w:cs="Times New Roman"/>
      <w:szCs w:val="24"/>
    </w:rPr>
  </w:style>
  <w:style w:type="character" w:customStyle="1" w:styleId="190">
    <w:name w:val="Char Char181"/>
    <w:autoRedefine/>
    <w:qFormat/>
    <w:uiPriority w:val="0"/>
    <w:rPr>
      <w:b/>
      <w:bCs/>
      <w:kern w:val="44"/>
      <w:sz w:val="44"/>
      <w:szCs w:val="44"/>
    </w:rPr>
  </w:style>
  <w:style w:type="character" w:customStyle="1" w:styleId="191">
    <w:name w:val="明显引用 Char"/>
    <w:link w:val="192"/>
    <w:autoRedefine/>
    <w:qFormat/>
    <w:uiPriority w:val="0"/>
    <w:rPr>
      <w:b/>
      <w:bCs/>
      <w:i/>
      <w:iCs/>
      <w:color w:val="4F81BD"/>
    </w:rPr>
  </w:style>
  <w:style w:type="paragraph" w:customStyle="1" w:styleId="192">
    <w:name w:val="明显引用1"/>
    <w:basedOn w:val="1"/>
    <w:next w:val="1"/>
    <w:link w:val="191"/>
    <w:autoRedefine/>
    <w:qFormat/>
    <w:uiPriority w:val="0"/>
    <w:pPr>
      <w:pBdr>
        <w:bottom w:val="single" w:color="4F81BD" w:sz="4" w:space="4"/>
      </w:pBdr>
      <w:spacing w:before="200" w:after="280"/>
      <w:ind w:left="936" w:right="936"/>
    </w:pPr>
    <w:rPr>
      <w:b/>
      <w:bCs/>
      <w:i/>
      <w:iCs/>
      <w:color w:val="4F81BD"/>
      <w:kern w:val="0"/>
      <w:sz w:val="20"/>
      <w:szCs w:val="20"/>
    </w:rPr>
  </w:style>
  <w:style w:type="character" w:customStyle="1" w:styleId="193">
    <w:name w:val="标题 4 字符"/>
    <w:autoRedefine/>
    <w:qFormat/>
    <w:uiPriority w:val="0"/>
    <w:rPr>
      <w:rFonts w:ascii="Arial" w:hAnsi="Arial" w:eastAsia="宋体" w:cs="Times New Roman"/>
      <w:b/>
      <w:bCs/>
      <w:szCs w:val="28"/>
    </w:rPr>
  </w:style>
  <w:style w:type="character" w:customStyle="1" w:styleId="194">
    <w:name w:val="checked"/>
    <w:autoRedefine/>
    <w:qFormat/>
    <w:uiPriority w:val="0"/>
  </w:style>
  <w:style w:type="character" w:customStyle="1" w:styleId="195">
    <w:name w:val="彩色列表 - 着色 1 Char"/>
    <w:link w:val="196"/>
    <w:autoRedefine/>
    <w:qFormat/>
    <w:locked/>
    <w:uiPriority w:val="0"/>
    <w:rPr>
      <w:kern w:val="2"/>
      <w:sz w:val="21"/>
    </w:rPr>
  </w:style>
  <w:style w:type="paragraph" w:customStyle="1" w:styleId="196">
    <w:name w:val="彩色列表 - 着色 11"/>
    <w:basedOn w:val="1"/>
    <w:link w:val="195"/>
    <w:autoRedefine/>
    <w:qFormat/>
    <w:uiPriority w:val="0"/>
    <w:pPr>
      <w:ind w:firstLine="420" w:firstLineChars="200"/>
    </w:pPr>
    <w:rPr>
      <w:szCs w:val="20"/>
    </w:rPr>
  </w:style>
  <w:style w:type="character" w:customStyle="1" w:styleId="197">
    <w:name w:val="h121"/>
    <w:autoRedefine/>
    <w:qFormat/>
    <w:uiPriority w:val="0"/>
    <w:rPr>
      <w:rFonts w:ascii="Tahoma" w:hAnsi="Tahoma" w:eastAsia="宋体"/>
      <w:color w:val="333333"/>
      <w:kern w:val="2"/>
      <w:sz w:val="24"/>
      <w:szCs w:val="24"/>
      <w:lang w:val="en-US" w:eastAsia="zh-CN" w:bidi="ar-SA"/>
    </w:rPr>
  </w:style>
  <w:style w:type="character" w:customStyle="1" w:styleId="198">
    <w:name w:val="Heading 1 Char"/>
    <w:autoRedefine/>
    <w:qFormat/>
    <w:uiPriority w:val="0"/>
    <w:rPr>
      <w:rFonts w:hint="eastAsia" w:ascii="宋体" w:hAnsi="宋体" w:eastAsia="宋体"/>
      <w:b/>
      <w:bCs/>
      <w:kern w:val="44"/>
      <w:sz w:val="32"/>
      <w:szCs w:val="44"/>
      <w:lang w:val="en-US" w:eastAsia="zh-CN" w:bidi="ar-SA"/>
    </w:rPr>
  </w:style>
  <w:style w:type="character" w:customStyle="1" w:styleId="199">
    <w:name w:val="页眉字符1"/>
    <w:autoRedefine/>
    <w:semiHidden/>
    <w:qFormat/>
    <w:uiPriority w:val="99"/>
    <w:rPr>
      <w:rFonts w:ascii="Times New Roman" w:hAnsi="Times New Roman" w:eastAsia="宋体" w:cs="Times New Roman"/>
      <w:sz w:val="18"/>
      <w:szCs w:val="18"/>
    </w:rPr>
  </w:style>
  <w:style w:type="character" w:customStyle="1" w:styleId="200">
    <w:name w:val="标题 1 Char1"/>
    <w:autoRedefine/>
    <w:qFormat/>
    <w:uiPriority w:val="99"/>
    <w:rPr>
      <w:b/>
      <w:bCs/>
      <w:kern w:val="44"/>
      <w:sz w:val="44"/>
      <w:szCs w:val="44"/>
    </w:rPr>
  </w:style>
  <w:style w:type="character" w:customStyle="1" w:styleId="201">
    <w:name w:val="引用 Char2"/>
    <w:autoRedefine/>
    <w:qFormat/>
    <w:uiPriority w:val="29"/>
    <w:rPr>
      <w:i/>
      <w:iCs/>
      <w:color w:val="000000"/>
      <w:kern w:val="2"/>
      <w:sz w:val="21"/>
      <w:szCs w:val="24"/>
    </w:rPr>
  </w:style>
  <w:style w:type="character" w:customStyle="1" w:styleId="202">
    <w:name w:val="引用 Char"/>
    <w:link w:val="203"/>
    <w:autoRedefine/>
    <w:qFormat/>
    <w:uiPriority w:val="0"/>
    <w:rPr>
      <w:i/>
      <w:iCs/>
      <w:color w:val="000000"/>
    </w:rPr>
  </w:style>
  <w:style w:type="paragraph" w:customStyle="1" w:styleId="203">
    <w:name w:val="引用1"/>
    <w:basedOn w:val="1"/>
    <w:next w:val="1"/>
    <w:link w:val="202"/>
    <w:autoRedefine/>
    <w:qFormat/>
    <w:uiPriority w:val="0"/>
    <w:rPr>
      <w:i/>
      <w:iCs/>
      <w:color w:val="000000"/>
      <w:kern w:val="0"/>
      <w:sz w:val="20"/>
      <w:szCs w:val="20"/>
    </w:rPr>
  </w:style>
  <w:style w:type="character" w:customStyle="1" w:styleId="204">
    <w:name w:val="标题 9 Char1"/>
    <w:link w:val="13"/>
    <w:autoRedefine/>
    <w:qFormat/>
    <w:uiPriority w:val="0"/>
    <w:rPr>
      <w:rFonts w:ascii="Arial" w:hAnsi="Arial" w:eastAsia="黑体"/>
      <w:kern w:val="2"/>
      <w:sz w:val="21"/>
      <w:szCs w:val="24"/>
    </w:rPr>
  </w:style>
  <w:style w:type="character" w:customStyle="1" w:styleId="205">
    <w:name w:val="普通文字 Char Char3"/>
    <w:autoRedefine/>
    <w:qFormat/>
    <w:uiPriority w:val="0"/>
    <w:rPr>
      <w:rFonts w:ascii="宋体" w:hAnsi="Courier New" w:eastAsia="宋体" w:cs="Courier New"/>
      <w:szCs w:val="21"/>
    </w:rPr>
  </w:style>
  <w:style w:type="character" w:customStyle="1" w:styleId="206">
    <w:name w:val="Body Text Indent 2 Char"/>
    <w:autoRedefine/>
    <w:qFormat/>
    <w:uiPriority w:val="0"/>
    <w:rPr>
      <w:rFonts w:hint="eastAsia" w:ascii="宋体" w:hAnsi="宋体" w:eastAsia="宋体"/>
      <w:kern w:val="2"/>
      <w:sz w:val="21"/>
      <w:szCs w:val="24"/>
      <w:lang w:val="en-US" w:eastAsia="zh-CN" w:bidi="ar-SA"/>
    </w:rPr>
  </w:style>
  <w:style w:type="character" w:customStyle="1" w:styleId="207">
    <w:name w:val="Char Char27"/>
    <w:autoRedefine/>
    <w:qFormat/>
    <w:uiPriority w:val="0"/>
    <w:rPr>
      <w:rFonts w:eastAsia="黑体"/>
      <w:b/>
      <w:bCs/>
      <w:kern w:val="2"/>
      <w:sz w:val="21"/>
      <w:szCs w:val="32"/>
      <w:lang w:bidi="ar-SA"/>
    </w:rPr>
  </w:style>
  <w:style w:type="character" w:customStyle="1" w:styleId="208">
    <w:name w:val="不明显参考1"/>
    <w:autoRedefine/>
    <w:qFormat/>
    <w:uiPriority w:val="0"/>
    <w:rPr>
      <w:smallCaps/>
      <w:color w:val="C0504D"/>
      <w:u w:val="single"/>
    </w:rPr>
  </w:style>
  <w:style w:type="character" w:customStyle="1" w:styleId="209">
    <w:name w:val="正文文本缩进 3 Char"/>
    <w:autoRedefine/>
    <w:qFormat/>
    <w:uiPriority w:val="0"/>
    <w:rPr>
      <w:rFonts w:ascii="Times New Roman" w:hAnsi="Times New Roman" w:eastAsia="宋体" w:cs="Times New Roman"/>
      <w:sz w:val="16"/>
      <w:szCs w:val="16"/>
    </w:rPr>
  </w:style>
  <w:style w:type="character" w:customStyle="1" w:styleId="210">
    <w:name w:val="标题6 Char"/>
    <w:link w:val="211"/>
    <w:autoRedefine/>
    <w:qFormat/>
    <w:uiPriority w:val="0"/>
    <w:rPr>
      <w:rFonts w:ascii="宋体" w:hAnsi="宋体" w:eastAsia="黑体"/>
      <w:kern w:val="2"/>
      <w:sz w:val="32"/>
      <w:szCs w:val="32"/>
    </w:rPr>
  </w:style>
  <w:style w:type="paragraph" w:customStyle="1" w:styleId="211">
    <w:name w:val="标题6"/>
    <w:basedOn w:val="1"/>
    <w:link w:val="210"/>
    <w:autoRedefine/>
    <w:qFormat/>
    <w:uiPriority w:val="0"/>
    <w:pPr>
      <w:keepNext/>
      <w:keepLines/>
      <w:spacing w:line="400" w:lineRule="exact"/>
      <w:jc w:val="center"/>
      <w:outlineLvl w:val="2"/>
    </w:pPr>
    <w:rPr>
      <w:rFonts w:ascii="宋体" w:hAnsi="宋体" w:eastAsia="黑体"/>
      <w:sz w:val="32"/>
      <w:szCs w:val="32"/>
    </w:rPr>
  </w:style>
  <w:style w:type="character" w:customStyle="1" w:styleId="212">
    <w:name w:val="Char Char16"/>
    <w:autoRedefine/>
    <w:qFormat/>
    <w:uiPriority w:val="0"/>
    <w:rPr>
      <w:rFonts w:ascii="Arial" w:hAnsi="Arial" w:eastAsia="黑体"/>
      <w:b/>
      <w:bCs/>
      <w:kern w:val="2"/>
      <w:sz w:val="21"/>
      <w:szCs w:val="32"/>
    </w:rPr>
  </w:style>
  <w:style w:type="character" w:customStyle="1" w:styleId="213">
    <w:name w:val="style51"/>
    <w:autoRedefine/>
    <w:qFormat/>
    <w:uiPriority w:val="0"/>
    <w:rPr>
      <w:rFonts w:ascii="Tahoma" w:hAnsi="Tahoma" w:eastAsia="宋体"/>
      <w:kern w:val="2"/>
      <w:sz w:val="24"/>
      <w:szCs w:val="24"/>
      <w:lang w:val="en-US" w:eastAsia="zh-CN" w:bidi="ar-SA"/>
    </w:rPr>
  </w:style>
  <w:style w:type="character" w:customStyle="1" w:styleId="214">
    <w:name w:val="标题 6 字符"/>
    <w:autoRedefine/>
    <w:qFormat/>
    <w:uiPriority w:val="0"/>
    <w:rPr>
      <w:rFonts w:ascii="Cambria" w:hAnsi="Cambria" w:eastAsia="宋体" w:cs="Times New Roman"/>
      <w:b/>
      <w:bCs/>
      <w:sz w:val="24"/>
      <w:szCs w:val="24"/>
    </w:rPr>
  </w:style>
  <w:style w:type="character" w:customStyle="1" w:styleId="215">
    <w:name w:val="批注框文本 字符"/>
    <w:autoRedefine/>
    <w:qFormat/>
    <w:uiPriority w:val="99"/>
    <w:rPr>
      <w:rFonts w:ascii="Times New Roman" w:hAnsi="Times New Roman" w:eastAsia="宋体" w:cs="Times New Roman"/>
      <w:sz w:val="18"/>
      <w:szCs w:val="18"/>
    </w:rPr>
  </w:style>
  <w:style w:type="character" w:customStyle="1" w:styleId="216">
    <w:name w:val="Heading 2 Char"/>
    <w:autoRedefine/>
    <w:qFormat/>
    <w:uiPriority w:val="0"/>
    <w:rPr>
      <w:rFonts w:hint="default" w:ascii="Arial" w:hAnsi="Arial" w:eastAsia="黑体" w:cs="Arial"/>
      <w:b/>
      <w:bCs/>
      <w:kern w:val="2"/>
      <w:sz w:val="32"/>
      <w:szCs w:val="32"/>
      <w:lang w:val="en-US" w:eastAsia="zh-CN" w:bidi="ar-SA"/>
    </w:rPr>
  </w:style>
  <w:style w:type="character" w:customStyle="1" w:styleId="217">
    <w:name w:val="Char Char23"/>
    <w:autoRedefine/>
    <w:qFormat/>
    <w:uiPriority w:val="0"/>
    <w:rPr>
      <w:rFonts w:ascii="Times New Roman" w:hAnsi="Times New Roman" w:eastAsia="宋体" w:cs="Times New Roman"/>
      <w:b/>
      <w:bCs/>
      <w:kern w:val="44"/>
      <w:sz w:val="44"/>
      <w:szCs w:val="44"/>
    </w:rPr>
  </w:style>
  <w:style w:type="character" w:customStyle="1" w:styleId="218">
    <w:name w:val="Char Char231"/>
    <w:autoRedefine/>
    <w:qFormat/>
    <w:uiPriority w:val="0"/>
    <w:rPr>
      <w:rFonts w:hint="eastAsia" w:ascii="宋体" w:hAnsi="宋体" w:eastAsia="宋体"/>
      <w:b/>
      <w:bCs/>
      <w:kern w:val="44"/>
      <w:sz w:val="32"/>
      <w:szCs w:val="44"/>
      <w:lang w:val="en-US" w:eastAsia="zh-CN" w:bidi="ar-SA"/>
    </w:rPr>
  </w:style>
  <w:style w:type="character" w:customStyle="1" w:styleId="219">
    <w:name w:val="Document Map Char"/>
    <w:autoRedefine/>
    <w:qFormat/>
    <w:uiPriority w:val="0"/>
    <w:rPr>
      <w:rFonts w:hint="eastAsia" w:ascii="宋体" w:hAnsi="宋体" w:eastAsia="宋体"/>
      <w:kern w:val="2"/>
      <w:sz w:val="21"/>
      <w:szCs w:val="24"/>
      <w:lang w:val="en-US" w:eastAsia="zh-CN" w:bidi="ar-SA"/>
    </w:rPr>
  </w:style>
  <w:style w:type="character" w:customStyle="1" w:styleId="220">
    <w:name w:val="标题4 Char Char"/>
    <w:link w:val="221"/>
    <w:autoRedefine/>
    <w:qFormat/>
    <w:uiPriority w:val="0"/>
    <w:rPr>
      <w:rFonts w:ascii="Arial" w:hAnsi="Arial"/>
      <w:b/>
      <w:bCs/>
      <w:sz w:val="24"/>
      <w:szCs w:val="32"/>
    </w:rPr>
  </w:style>
  <w:style w:type="paragraph" w:customStyle="1" w:styleId="221">
    <w:name w:val="标题4"/>
    <w:basedOn w:val="5"/>
    <w:next w:val="25"/>
    <w:link w:val="220"/>
    <w:autoRedefine/>
    <w:qFormat/>
    <w:uiPriority w:val="0"/>
    <w:pPr>
      <w:spacing w:before="60" w:after="60" w:line="413" w:lineRule="auto"/>
    </w:pPr>
    <w:rPr>
      <w:rFonts w:ascii="Arial" w:hAnsi="Arial"/>
      <w:kern w:val="0"/>
      <w:sz w:val="24"/>
    </w:rPr>
  </w:style>
  <w:style w:type="character" w:customStyle="1" w:styleId="222">
    <w:name w:val="case31"/>
    <w:autoRedefine/>
    <w:qFormat/>
    <w:uiPriority w:val="0"/>
    <w:rPr>
      <w:rFonts w:hint="default"/>
      <w:spacing w:val="390"/>
      <w:sz w:val="21"/>
      <w:szCs w:val="21"/>
    </w:rPr>
  </w:style>
  <w:style w:type="character" w:customStyle="1" w:styleId="223">
    <w:name w:val="注释文本字符"/>
    <w:autoRedefine/>
    <w:semiHidden/>
    <w:qFormat/>
    <w:uiPriority w:val="0"/>
    <w:rPr>
      <w:rFonts w:eastAsia="宋体"/>
      <w:kern w:val="2"/>
      <w:sz w:val="21"/>
      <w:szCs w:val="24"/>
      <w:lang w:val="en-US" w:eastAsia="zh-CN" w:bidi="ar-SA"/>
    </w:rPr>
  </w:style>
  <w:style w:type="character" w:customStyle="1" w:styleId="224">
    <w:name w:val="bsharetext"/>
    <w:basedOn w:val="56"/>
    <w:autoRedefine/>
    <w:qFormat/>
    <w:uiPriority w:val="0"/>
  </w:style>
  <w:style w:type="character" w:customStyle="1" w:styleId="225">
    <w:name w:val="标题 Char_0"/>
    <w:link w:val="226"/>
    <w:autoRedefine/>
    <w:qFormat/>
    <w:uiPriority w:val="0"/>
    <w:rPr>
      <w:rFonts w:ascii="Cambria" w:hAnsi="Cambria"/>
      <w:b/>
      <w:bCs/>
      <w:sz w:val="32"/>
      <w:szCs w:val="32"/>
    </w:rPr>
  </w:style>
  <w:style w:type="paragraph" w:customStyle="1" w:styleId="226">
    <w:name w:val="标题_0"/>
    <w:basedOn w:val="227"/>
    <w:next w:val="227"/>
    <w:link w:val="225"/>
    <w:autoRedefine/>
    <w:qFormat/>
    <w:uiPriority w:val="0"/>
    <w:pPr>
      <w:spacing w:before="240" w:after="60"/>
      <w:jc w:val="center"/>
      <w:outlineLvl w:val="0"/>
    </w:pPr>
    <w:rPr>
      <w:rFonts w:ascii="Cambria" w:hAnsi="Cambria"/>
      <w:b/>
      <w:bCs/>
      <w:kern w:val="0"/>
      <w:sz w:val="32"/>
      <w:szCs w:val="32"/>
    </w:rPr>
  </w:style>
  <w:style w:type="paragraph" w:customStyle="1" w:styleId="227">
    <w:name w:val="正文_0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228">
    <w:name w:val="Footer Char"/>
    <w:autoRedefine/>
    <w:qFormat/>
    <w:uiPriority w:val="0"/>
    <w:rPr>
      <w:rFonts w:hint="eastAsia" w:ascii="宋体" w:hAnsi="宋体" w:eastAsia="宋体"/>
      <w:kern w:val="2"/>
      <w:sz w:val="18"/>
      <w:szCs w:val="18"/>
      <w:lang w:val="en-US" w:eastAsia="zh-CN" w:bidi="ar-SA"/>
    </w:rPr>
  </w:style>
  <w:style w:type="character" w:customStyle="1" w:styleId="229">
    <w:name w:val="日期 Char2"/>
    <w:autoRedefine/>
    <w:semiHidden/>
    <w:qFormat/>
    <w:uiPriority w:val="99"/>
    <w:rPr>
      <w:kern w:val="2"/>
      <w:sz w:val="21"/>
      <w:szCs w:val="24"/>
    </w:rPr>
  </w:style>
  <w:style w:type="character" w:customStyle="1" w:styleId="230">
    <w:name w:val="ca-8"/>
    <w:autoRedefine/>
    <w:qFormat/>
    <w:uiPriority w:val="0"/>
  </w:style>
  <w:style w:type="character" w:customStyle="1" w:styleId="231">
    <w:name w:val="1ji Char"/>
    <w:link w:val="232"/>
    <w:autoRedefine/>
    <w:qFormat/>
    <w:uiPriority w:val="0"/>
    <w:rPr>
      <w:rFonts w:ascii="宋体" w:hAnsi="宋体"/>
      <w:b/>
      <w:bCs/>
      <w:sz w:val="36"/>
    </w:rPr>
  </w:style>
  <w:style w:type="paragraph" w:customStyle="1" w:styleId="232">
    <w:name w:val="1ji"/>
    <w:basedOn w:val="4"/>
    <w:link w:val="231"/>
    <w:autoRedefine/>
    <w:qFormat/>
    <w:uiPriority w:val="0"/>
    <w:pPr>
      <w:keepLines w:val="0"/>
      <w:widowControl/>
      <w:spacing w:before="0" w:after="0" w:line="240" w:lineRule="auto"/>
      <w:jc w:val="center"/>
    </w:pPr>
    <w:rPr>
      <w:rFonts w:ascii="宋体" w:hAnsi="宋体"/>
      <w:kern w:val="0"/>
      <w:sz w:val="36"/>
      <w:szCs w:val="20"/>
    </w:rPr>
  </w:style>
  <w:style w:type="character" w:customStyle="1" w:styleId="233">
    <w:name w:val="18h1"/>
    <w:autoRedefine/>
    <w:qFormat/>
    <w:uiPriority w:val="0"/>
    <w:rPr>
      <w:color w:val="3B3B3B"/>
    </w:rPr>
  </w:style>
  <w:style w:type="character" w:customStyle="1" w:styleId="234">
    <w:name w:val="明显强调1"/>
    <w:autoRedefine/>
    <w:qFormat/>
    <w:uiPriority w:val="0"/>
    <w:rPr>
      <w:b/>
      <w:bCs/>
      <w:i/>
      <w:iCs/>
      <w:color w:val="4F81BD"/>
    </w:rPr>
  </w:style>
  <w:style w:type="character" w:customStyle="1" w:styleId="235">
    <w:name w:val="Plain Text Char Char Char"/>
    <w:autoRedefine/>
    <w:qFormat/>
    <w:uiPriority w:val="0"/>
    <w:rPr>
      <w:rFonts w:ascii="宋体" w:hAnsi="Courier New" w:eastAsia="宋体"/>
      <w:kern w:val="2"/>
      <w:sz w:val="21"/>
      <w:szCs w:val="24"/>
      <w:lang w:val="en-US" w:eastAsia="zh-CN" w:bidi="ar-SA"/>
    </w:rPr>
  </w:style>
  <w:style w:type="character" w:customStyle="1" w:styleId="236">
    <w:name w:val="Comment Subject Char"/>
    <w:autoRedefine/>
    <w:qFormat/>
    <w:uiPriority w:val="0"/>
    <w:rPr>
      <w:b/>
      <w:sz w:val="24"/>
      <w:lang w:bidi="ar-SA"/>
    </w:rPr>
  </w:style>
  <w:style w:type="character" w:customStyle="1" w:styleId="237">
    <w:name w:val="引用 Char1"/>
    <w:link w:val="238"/>
    <w:autoRedefine/>
    <w:qFormat/>
    <w:uiPriority w:val="29"/>
    <w:rPr>
      <w:i/>
      <w:iCs/>
      <w:color w:val="000000"/>
      <w:kern w:val="2"/>
      <w:sz w:val="21"/>
      <w:szCs w:val="24"/>
    </w:rPr>
  </w:style>
  <w:style w:type="paragraph" w:styleId="238">
    <w:name w:val="Quote"/>
    <w:basedOn w:val="1"/>
    <w:next w:val="1"/>
    <w:link w:val="237"/>
    <w:autoRedefine/>
    <w:qFormat/>
    <w:uiPriority w:val="29"/>
    <w:rPr>
      <w:i/>
      <w:iCs/>
      <w:color w:val="000000"/>
    </w:rPr>
  </w:style>
  <w:style w:type="character" w:customStyle="1" w:styleId="239">
    <w:name w:val="ca-nav-next"/>
    <w:autoRedefine/>
    <w:qFormat/>
    <w:uiPriority w:val="0"/>
  </w:style>
  <w:style w:type="character" w:customStyle="1" w:styleId="240">
    <w:name w:val="Heading 4 Char"/>
    <w:autoRedefine/>
    <w:qFormat/>
    <w:uiPriority w:val="0"/>
    <w:rPr>
      <w:rFonts w:hint="default" w:ascii="Arial" w:hAnsi="Arial" w:eastAsia="宋体" w:cs="Arial"/>
      <w:b/>
      <w:bCs/>
      <w:kern w:val="2"/>
      <w:sz w:val="21"/>
      <w:szCs w:val="28"/>
      <w:lang w:val="en-US" w:eastAsia="zh-CN" w:bidi="ar-SA"/>
    </w:rPr>
  </w:style>
  <w:style w:type="character" w:customStyle="1" w:styleId="241">
    <w:name w:val="checked1"/>
    <w:autoRedefine/>
    <w:qFormat/>
    <w:uiPriority w:val="0"/>
    <w:rPr>
      <w:vanish/>
    </w:rPr>
  </w:style>
  <w:style w:type="character" w:customStyle="1" w:styleId="242">
    <w:name w:val="ca-7"/>
    <w:autoRedefine/>
    <w:qFormat/>
    <w:uiPriority w:val="0"/>
  </w:style>
  <w:style w:type="character" w:customStyle="1" w:styleId="243">
    <w:name w:val="paramname3"/>
    <w:autoRedefine/>
    <w:qFormat/>
    <w:uiPriority w:val="0"/>
    <w:rPr>
      <w:color w:val="999999"/>
    </w:rPr>
  </w:style>
  <w:style w:type="character" w:customStyle="1" w:styleId="244">
    <w:name w:val="unnamed3"/>
    <w:autoRedefine/>
    <w:qFormat/>
    <w:uiPriority w:val="0"/>
    <w:rPr>
      <w:rFonts w:ascii="Tahoma" w:hAnsi="Tahoma" w:eastAsia="宋体"/>
      <w:kern w:val="2"/>
      <w:sz w:val="24"/>
      <w:szCs w:val="24"/>
      <w:lang w:val="en-US" w:eastAsia="zh-CN" w:bidi="ar-SA"/>
    </w:rPr>
  </w:style>
  <w:style w:type="character" w:customStyle="1" w:styleId="245">
    <w:name w:val="标题 7 Char1"/>
    <w:link w:val="11"/>
    <w:autoRedefine/>
    <w:qFormat/>
    <w:uiPriority w:val="0"/>
    <w:rPr>
      <w:rFonts w:ascii="Calibri" w:hAnsi="Calibri"/>
      <w:b/>
      <w:kern w:val="2"/>
      <w:sz w:val="24"/>
      <w:szCs w:val="24"/>
    </w:rPr>
  </w:style>
  <w:style w:type="character" w:customStyle="1" w:styleId="246">
    <w:name w:val="批注文字 Char3"/>
    <w:autoRedefine/>
    <w:qFormat/>
    <w:locked/>
    <w:uiPriority w:val="0"/>
    <w:rPr>
      <w:kern w:val="2"/>
      <w:sz w:val="21"/>
      <w:szCs w:val="24"/>
    </w:rPr>
  </w:style>
  <w:style w:type="character" w:customStyle="1" w:styleId="247">
    <w:name w:val="批注框文本字符1"/>
    <w:autoRedefine/>
    <w:semiHidden/>
    <w:qFormat/>
    <w:uiPriority w:val="99"/>
    <w:rPr>
      <w:rFonts w:ascii="Heiti SC Light" w:hAnsi="Times New Roman" w:eastAsia="Heiti SC Light" w:cs="Times New Roman"/>
      <w:sz w:val="18"/>
      <w:szCs w:val="18"/>
    </w:rPr>
  </w:style>
  <w:style w:type="character" w:customStyle="1" w:styleId="248">
    <w:name w:val="纯文本字符1"/>
    <w:autoRedefine/>
    <w:semiHidden/>
    <w:qFormat/>
    <w:uiPriority w:val="99"/>
    <w:rPr>
      <w:rFonts w:ascii="宋体" w:hAnsi="Courier" w:eastAsia="宋体" w:cs="Times New Roman"/>
    </w:rPr>
  </w:style>
  <w:style w:type="character" w:customStyle="1" w:styleId="249">
    <w:name w:val="标题 1 Char_0"/>
    <w:link w:val="250"/>
    <w:autoRedefine/>
    <w:qFormat/>
    <w:uiPriority w:val="0"/>
    <w:rPr>
      <w:rFonts w:ascii="Calibri" w:hAnsi="Calibri"/>
      <w:b/>
      <w:bCs/>
      <w:kern w:val="44"/>
      <w:sz w:val="44"/>
      <w:szCs w:val="44"/>
    </w:rPr>
  </w:style>
  <w:style w:type="paragraph" w:customStyle="1" w:styleId="250">
    <w:name w:val="标题 1_0"/>
    <w:basedOn w:val="251"/>
    <w:next w:val="251"/>
    <w:link w:val="249"/>
    <w:autoRedefine/>
    <w:qFormat/>
    <w:uiPriority w:val="0"/>
    <w:pPr>
      <w:keepNext/>
      <w:keepLines/>
      <w:spacing w:before="340" w:after="330" w:line="578" w:lineRule="auto"/>
      <w:outlineLvl w:val="0"/>
    </w:pPr>
    <w:rPr>
      <w:rFonts w:ascii="Calibri" w:hAnsi="Calibri"/>
      <w:b/>
      <w:bCs/>
      <w:kern w:val="44"/>
      <w:sz w:val="44"/>
      <w:szCs w:val="44"/>
    </w:rPr>
  </w:style>
  <w:style w:type="paragraph" w:customStyle="1" w:styleId="251">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252">
    <w:name w:val="不明显参考2"/>
    <w:autoRedefine/>
    <w:qFormat/>
    <w:uiPriority w:val="0"/>
    <w:rPr>
      <w:smallCaps/>
      <w:color w:val="C0504D"/>
      <w:u w:val="single"/>
    </w:rPr>
  </w:style>
  <w:style w:type="character" w:customStyle="1" w:styleId="253">
    <w:name w:val="标题 5 Char1"/>
    <w:autoRedefine/>
    <w:qFormat/>
    <w:uiPriority w:val="0"/>
    <w:rPr>
      <w:rFonts w:ascii="Calibri" w:hAnsi="Calibri"/>
      <w:b/>
      <w:kern w:val="2"/>
      <w:sz w:val="28"/>
      <w:szCs w:val="24"/>
    </w:rPr>
  </w:style>
  <w:style w:type="character" w:customStyle="1" w:styleId="254">
    <w:name w:val="标题 Char1"/>
    <w:autoRedefine/>
    <w:qFormat/>
    <w:uiPriority w:val="0"/>
    <w:rPr>
      <w:rFonts w:ascii="Cambria" w:hAnsi="Cambria" w:cs="Times New Roman"/>
      <w:b/>
      <w:bCs/>
      <w:kern w:val="2"/>
      <w:sz w:val="32"/>
      <w:szCs w:val="32"/>
    </w:rPr>
  </w:style>
  <w:style w:type="character" w:customStyle="1" w:styleId="255">
    <w:name w:val="Char Char19"/>
    <w:autoRedefine/>
    <w:qFormat/>
    <w:uiPriority w:val="0"/>
    <w:rPr>
      <w:rFonts w:hint="default" w:ascii="Arial" w:hAnsi="Arial" w:eastAsia="宋体" w:cs="Times New Roman"/>
      <w:b/>
      <w:bCs/>
      <w:szCs w:val="28"/>
    </w:rPr>
  </w:style>
  <w:style w:type="character" w:customStyle="1" w:styleId="256">
    <w:name w:val="明显引用 字符1"/>
    <w:autoRedefine/>
    <w:qFormat/>
    <w:uiPriority w:val="99"/>
    <w:rPr>
      <w:i/>
      <w:iCs/>
      <w:color w:val="4472C4"/>
      <w:kern w:val="2"/>
      <w:sz w:val="21"/>
      <w:szCs w:val="24"/>
    </w:rPr>
  </w:style>
  <w:style w:type="character" w:customStyle="1" w:styleId="257">
    <w:name w:val="Comment Text Char"/>
    <w:autoRedefine/>
    <w:qFormat/>
    <w:uiPriority w:val="0"/>
    <w:rPr>
      <w:rFonts w:cs="Times New Roman"/>
      <w:sz w:val="24"/>
      <w:szCs w:val="24"/>
    </w:rPr>
  </w:style>
  <w:style w:type="character" w:customStyle="1" w:styleId="258">
    <w:name w:val="ca-6"/>
    <w:autoRedefine/>
    <w:qFormat/>
    <w:uiPriority w:val="0"/>
  </w:style>
  <w:style w:type="character" w:customStyle="1" w:styleId="259">
    <w:name w:val="小标1级 Char"/>
    <w:link w:val="260"/>
    <w:autoRedefine/>
    <w:qFormat/>
    <w:uiPriority w:val="0"/>
    <w:rPr>
      <w:rFonts w:ascii="仿宋_GB2312" w:hAnsi="宋体" w:eastAsia="仿宋_GB2312"/>
      <w:b/>
      <w:kern w:val="2"/>
      <w:sz w:val="28"/>
      <w:szCs w:val="28"/>
    </w:rPr>
  </w:style>
  <w:style w:type="paragraph" w:customStyle="1" w:styleId="260">
    <w:name w:val="小标1级"/>
    <w:basedOn w:val="1"/>
    <w:link w:val="259"/>
    <w:autoRedefine/>
    <w:qFormat/>
    <w:uiPriority w:val="0"/>
    <w:pPr>
      <w:tabs>
        <w:tab w:val="left" w:pos="720"/>
      </w:tabs>
      <w:spacing w:line="360" w:lineRule="auto"/>
    </w:pPr>
    <w:rPr>
      <w:rFonts w:ascii="仿宋_GB2312" w:hAnsi="宋体" w:eastAsia="仿宋_GB2312"/>
      <w:b/>
      <w:sz w:val="28"/>
      <w:szCs w:val="28"/>
    </w:rPr>
  </w:style>
  <w:style w:type="character" w:customStyle="1" w:styleId="261">
    <w:name w:val="标题 字符"/>
    <w:autoRedefine/>
    <w:qFormat/>
    <w:uiPriority w:val="10"/>
    <w:rPr>
      <w:rFonts w:ascii="Cambria" w:hAnsi="Cambria" w:eastAsia="宋体" w:cs="Times New Roman"/>
      <w:b/>
      <w:bCs/>
      <w:sz w:val="32"/>
      <w:szCs w:val="32"/>
    </w:rPr>
  </w:style>
  <w:style w:type="character" w:customStyle="1" w:styleId="262">
    <w:name w:val="标题 2 Char_0"/>
    <w:link w:val="263"/>
    <w:autoRedefine/>
    <w:qFormat/>
    <w:uiPriority w:val="9"/>
    <w:rPr>
      <w:rFonts w:ascii="Cambria" w:hAnsi="Cambria"/>
      <w:b/>
      <w:bCs/>
      <w:sz w:val="32"/>
      <w:szCs w:val="32"/>
    </w:rPr>
  </w:style>
  <w:style w:type="paragraph" w:customStyle="1" w:styleId="263">
    <w:name w:val="标题 2_0"/>
    <w:basedOn w:val="264"/>
    <w:next w:val="264"/>
    <w:link w:val="262"/>
    <w:autoRedefine/>
    <w:unhideWhenUsed/>
    <w:qFormat/>
    <w:uiPriority w:val="9"/>
    <w:pPr>
      <w:keepNext/>
      <w:keepLines/>
      <w:spacing w:before="260" w:after="260" w:line="416" w:lineRule="auto"/>
      <w:outlineLvl w:val="1"/>
    </w:pPr>
    <w:rPr>
      <w:rFonts w:ascii="Cambria" w:hAnsi="Cambria"/>
      <w:b/>
      <w:bCs/>
      <w:kern w:val="0"/>
      <w:sz w:val="32"/>
      <w:szCs w:val="32"/>
    </w:rPr>
  </w:style>
  <w:style w:type="paragraph" w:customStyle="1" w:styleId="264">
    <w:name w:val="正文_2"/>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265">
    <w:name w:val="Body Text Indent Char"/>
    <w:autoRedefine/>
    <w:qFormat/>
    <w:uiPriority w:val="0"/>
    <w:rPr>
      <w:rFonts w:hint="eastAsia" w:ascii="宋体" w:hAnsi="宋体" w:eastAsia="宋体"/>
      <w:kern w:val="2"/>
      <w:sz w:val="21"/>
      <w:lang w:val="en-US" w:eastAsia="zh-CN" w:bidi="ar-SA"/>
    </w:rPr>
  </w:style>
  <w:style w:type="character" w:customStyle="1" w:styleId="266">
    <w:name w:val="cjn1"/>
    <w:autoRedefine/>
    <w:qFormat/>
    <w:uiPriority w:val="0"/>
    <w:rPr>
      <w:rFonts w:hint="eastAsia" w:ascii="宋体" w:hAnsi="宋体" w:eastAsia="宋体"/>
      <w:kern w:val="2"/>
      <w:sz w:val="22"/>
      <w:szCs w:val="22"/>
      <w:u w:val="none"/>
      <w:lang w:val="en-US" w:eastAsia="zh-CN" w:bidi="ar-SA"/>
    </w:rPr>
  </w:style>
  <w:style w:type="character" w:customStyle="1" w:styleId="267">
    <w:name w:val="超级链接"/>
    <w:autoRedefine/>
    <w:qFormat/>
    <w:uiPriority w:val="0"/>
    <w:rPr>
      <w:rFonts w:ascii="Times New Roman" w:eastAsia="宋体"/>
      <w:color w:val="0000FF"/>
      <w:sz w:val="21"/>
      <w:u w:val="single" w:color="0000FF"/>
      <w:vertAlign w:val="baseline"/>
      <w:lang w:val="en-US" w:eastAsia="zh-CN"/>
    </w:rPr>
  </w:style>
  <w:style w:type="character" w:customStyle="1" w:styleId="268">
    <w:name w:val="unnamed11"/>
    <w:autoRedefine/>
    <w:qFormat/>
    <w:uiPriority w:val="0"/>
    <w:rPr>
      <w:color w:val="000000"/>
      <w:sz w:val="20"/>
    </w:rPr>
  </w:style>
  <w:style w:type="character" w:customStyle="1" w:styleId="269">
    <w:name w:val="访问过的超链接1"/>
    <w:autoRedefine/>
    <w:qFormat/>
    <w:uiPriority w:val="0"/>
    <w:rPr>
      <w:color w:val="666666"/>
      <w:u w:val="none"/>
    </w:rPr>
  </w:style>
  <w:style w:type="character" w:customStyle="1" w:styleId="270">
    <w:name w:val="文档结构图 字符"/>
    <w:autoRedefine/>
    <w:qFormat/>
    <w:uiPriority w:val="99"/>
    <w:rPr>
      <w:rFonts w:ascii="宋体" w:hAnsi="Times New Roman" w:eastAsia="宋体" w:cs="Times New Roman"/>
      <w:sz w:val="18"/>
      <w:szCs w:val="18"/>
    </w:rPr>
  </w:style>
  <w:style w:type="character" w:customStyle="1" w:styleId="271">
    <w:name w:val="书籍标题11"/>
    <w:autoRedefine/>
    <w:qFormat/>
    <w:uiPriority w:val="0"/>
    <w:rPr>
      <w:b/>
      <w:bCs/>
      <w:smallCaps/>
      <w:spacing w:val="5"/>
    </w:rPr>
  </w:style>
  <w:style w:type="character" w:customStyle="1" w:styleId="272">
    <w:name w:val="脚注文本 Char"/>
    <w:autoRedefine/>
    <w:qFormat/>
    <w:uiPriority w:val="0"/>
    <w:rPr>
      <w:sz w:val="18"/>
    </w:rPr>
  </w:style>
  <w:style w:type="character" w:customStyle="1" w:styleId="273">
    <w:name w:val="纯文本 Char_0"/>
    <w:link w:val="274"/>
    <w:autoRedefine/>
    <w:qFormat/>
    <w:uiPriority w:val="0"/>
    <w:rPr>
      <w:rFonts w:ascii="宋体" w:hAnsi="Courier New"/>
      <w:kern w:val="2"/>
      <w:sz w:val="21"/>
      <w:szCs w:val="24"/>
    </w:rPr>
  </w:style>
  <w:style w:type="paragraph" w:customStyle="1" w:styleId="274">
    <w:name w:val="纯文本_0"/>
    <w:basedOn w:val="275"/>
    <w:link w:val="273"/>
    <w:autoRedefine/>
    <w:unhideWhenUsed/>
    <w:qFormat/>
    <w:uiPriority w:val="0"/>
    <w:rPr>
      <w:rFonts w:ascii="宋体" w:hAnsi="Courier New"/>
      <w:szCs w:val="24"/>
    </w:rPr>
  </w:style>
  <w:style w:type="paragraph" w:customStyle="1" w:styleId="275">
    <w:name w:val="正文_3"/>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276">
    <w:name w:val="日期 字符1"/>
    <w:autoRedefine/>
    <w:semiHidden/>
    <w:qFormat/>
    <w:uiPriority w:val="99"/>
    <w:rPr>
      <w:rFonts w:hint="default" w:ascii="Calibri" w:hAnsi="Calibri" w:eastAsia="宋体" w:cs="Times New Roman"/>
      <w:szCs w:val="24"/>
    </w:rPr>
  </w:style>
  <w:style w:type="character" w:customStyle="1" w:styleId="277">
    <w:name w:val="Title Char"/>
    <w:autoRedefine/>
    <w:qFormat/>
    <w:uiPriority w:val="0"/>
    <w:rPr>
      <w:rFonts w:hint="default" w:ascii="Cambria" w:hAnsi="Cambria"/>
      <w:b/>
      <w:sz w:val="32"/>
      <w:lang w:bidi="ar-SA"/>
    </w:rPr>
  </w:style>
  <w:style w:type="character" w:customStyle="1" w:styleId="278">
    <w:name w:val="批注主题字符1"/>
    <w:autoRedefine/>
    <w:semiHidden/>
    <w:qFormat/>
    <w:uiPriority w:val="99"/>
    <w:rPr>
      <w:rFonts w:ascii="Times New Roman" w:hAnsi="Times New Roman" w:eastAsia="宋体" w:cs="Times New Roman"/>
      <w:b/>
      <w:bCs/>
      <w:sz w:val="21"/>
    </w:rPr>
  </w:style>
  <w:style w:type="character" w:customStyle="1" w:styleId="279">
    <w:name w:val="尾注文本 Char"/>
    <w:link w:val="32"/>
    <w:autoRedefine/>
    <w:qFormat/>
    <w:uiPriority w:val="0"/>
    <w:rPr>
      <w:kern w:val="2"/>
      <w:sz w:val="21"/>
      <w:szCs w:val="24"/>
    </w:rPr>
  </w:style>
  <w:style w:type="character" w:customStyle="1" w:styleId="280">
    <w:name w:val="标题 Char3"/>
    <w:autoRedefine/>
    <w:qFormat/>
    <w:uiPriority w:val="10"/>
    <w:rPr>
      <w:rFonts w:hint="default" w:ascii="Cambria" w:hAnsi="Cambria" w:cs="Times New Roman"/>
      <w:b/>
      <w:bCs/>
      <w:kern w:val="2"/>
      <w:sz w:val="32"/>
      <w:szCs w:val="32"/>
    </w:rPr>
  </w:style>
  <w:style w:type="character" w:customStyle="1" w:styleId="281">
    <w:name w:val="标题 3 Char_0"/>
    <w:link w:val="282"/>
    <w:autoRedefine/>
    <w:qFormat/>
    <w:locked/>
    <w:uiPriority w:val="0"/>
    <w:rPr>
      <w:b/>
      <w:bCs/>
      <w:sz w:val="32"/>
      <w:szCs w:val="32"/>
    </w:rPr>
  </w:style>
  <w:style w:type="paragraph" w:customStyle="1" w:styleId="282">
    <w:name w:val="标题 3_0"/>
    <w:basedOn w:val="275"/>
    <w:next w:val="275"/>
    <w:link w:val="281"/>
    <w:autoRedefine/>
    <w:qFormat/>
    <w:uiPriority w:val="0"/>
    <w:pPr>
      <w:keepNext/>
      <w:keepLines/>
      <w:spacing w:before="260" w:after="260" w:line="412" w:lineRule="auto"/>
      <w:outlineLvl w:val="2"/>
    </w:pPr>
    <w:rPr>
      <w:rFonts w:ascii="Times New Roman" w:hAnsi="Times New Roman"/>
      <w:b/>
      <w:bCs/>
      <w:kern w:val="0"/>
      <w:sz w:val="32"/>
      <w:szCs w:val="32"/>
    </w:rPr>
  </w:style>
  <w:style w:type="character" w:customStyle="1" w:styleId="283">
    <w:name w:val="标题 9 字符"/>
    <w:autoRedefine/>
    <w:qFormat/>
    <w:uiPriority w:val="0"/>
    <w:rPr>
      <w:rFonts w:ascii="Cambria" w:hAnsi="Cambria" w:eastAsia="宋体" w:cs="Times New Roman"/>
      <w:szCs w:val="21"/>
    </w:rPr>
  </w:style>
  <w:style w:type="character" w:customStyle="1" w:styleId="284">
    <w:name w:val="书籍标题1"/>
    <w:autoRedefine/>
    <w:qFormat/>
    <w:uiPriority w:val="0"/>
    <w:rPr>
      <w:b/>
      <w:bCs/>
      <w:smallCaps/>
      <w:spacing w:val="5"/>
    </w:rPr>
  </w:style>
  <w:style w:type="character" w:customStyle="1" w:styleId="285">
    <w:name w:val="页眉 Char1"/>
    <w:autoRedefine/>
    <w:qFormat/>
    <w:uiPriority w:val="99"/>
    <w:rPr>
      <w:sz w:val="18"/>
      <w:szCs w:val="18"/>
    </w:rPr>
  </w:style>
  <w:style w:type="character" w:customStyle="1" w:styleId="286">
    <w:name w:val="paramname"/>
    <w:autoRedefine/>
    <w:qFormat/>
    <w:uiPriority w:val="0"/>
  </w:style>
  <w:style w:type="character" w:customStyle="1" w:styleId="287">
    <w:name w:val="font41"/>
    <w:autoRedefine/>
    <w:qFormat/>
    <w:uiPriority w:val="0"/>
    <w:rPr>
      <w:rFonts w:hint="default" w:ascii="Times New Roman" w:hAnsi="Times New Roman" w:cs="Times New Roman"/>
      <w:color w:val="000000"/>
      <w:sz w:val="22"/>
      <w:szCs w:val="22"/>
      <w:u w:val="none"/>
    </w:rPr>
  </w:style>
  <w:style w:type="character" w:customStyle="1" w:styleId="288">
    <w:name w:val="Char Char20"/>
    <w:autoRedefine/>
    <w:qFormat/>
    <w:uiPriority w:val="0"/>
    <w:rPr>
      <w:rFonts w:hint="default" w:ascii="Times New Roman" w:hAnsi="Times New Roman" w:eastAsia="宋体" w:cs="Times New Roman"/>
      <w:b/>
      <w:bCs/>
      <w:sz w:val="24"/>
      <w:szCs w:val="32"/>
    </w:rPr>
  </w:style>
  <w:style w:type="character" w:customStyle="1" w:styleId="289">
    <w:name w:val="style54"/>
    <w:autoRedefine/>
    <w:qFormat/>
    <w:uiPriority w:val="0"/>
    <w:rPr>
      <w:rFonts w:ascii="Tahoma" w:hAnsi="Tahoma" w:eastAsia="宋体"/>
      <w:kern w:val="2"/>
      <w:sz w:val="24"/>
      <w:szCs w:val="24"/>
      <w:lang w:val="en-US" w:eastAsia="zh-CN" w:bidi="ar-SA"/>
    </w:rPr>
  </w:style>
  <w:style w:type="character" w:customStyle="1" w:styleId="290">
    <w:name w:val="HTML 预设格式 字符"/>
    <w:autoRedefine/>
    <w:qFormat/>
    <w:uiPriority w:val="0"/>
    <w:rPr>
      <w:rFonts w:ascii="宋体" w:hAnsi="宋体"/>
      <w:sz w:val="24"/>
      <w:szCs w:val="24"/>
    </w:rPr>
  </w:style>
  <w:style w:type="character" w:customStyle="1" w:styleId="291">
    <w:name w:val="Char Char6"/>
    <w:autoRedefine/>
    <w:qFormat/>
    <w:locked/>
    <w:uiPriority w:val="0"/>
    <w:rPr>
      <w:rFonts w:eastAsia="宋体"/>
      <w:b/>
      <w:bCs/>
      <w:kern w:val="44"/>
      <w:sz w:val="32"/>
      <w:szCs w:val="44"/>
      <w:lang w:val="en-US" w:eastAsia="zh-CN" w:bidi="ar-SA"/>
    </w:rPr>
  </w:style>
  <w:style w:type="character" w:customStyle="1" w:styleId="292">
    <w:name w:val="ca-0"/>
    <w:autoRedefine/>
    <w:qFormat/>
    <w:uiPriority w:val="0"/>
  </w:style>
  <w:style w:type="character" w:customStyle="1" w:styleId="293">
    <w:name w:val="正文缩进 Char"/>
    <w:autoRedefine/>
    <w:qFormat/>
    <w:uiPriority w:val="0"/>
    <w:rPr>
      <w:rFonts w:eastAsia="宋体"/>
      <w:kern w:val="2"/>
      <w:sz w:val="21"/>
      <w:lang w:val="en-US" w:eastAsia="zh-CN" w:bidi="ar-SA"/>
    </w:rPr>
  </w:style>
  <w:style w:type="character" w:customStyle="1" w:styleId="294">
    <w:name w:val="标题 Char"/>
    <w:link w:val="51"/>
    <w:autoRedefine/>
    <w:qFormat/>
    <w:uiPriority w:val="0"/>
    <w:rPr>
      <w:rFonts w:ascii="Arial" w:hAnsi="Arial" w:cs="Arial"/>
      <w:b/>
      <w:bCs/>
      <w:kern w:val="2"/>
      <w:sz w:val="32"/>
      <w:szCs w:val="32"/>
    </w:rPr>
  </w:style>
  <w:style w:type="character" w:customStyle="1" w:styleId="295">
    <w:name w:val="style23"/>
    <w:autoRedefine/>
    <w:qFormat/>
    <w:uiPriority w:val="0"/>
  </w:style>
  <w:style w:type="character" w:customStyle="1" w:styleId="296">
    <w:name w:val="正文文本缩进 Char1"/>
    <w:autoRedefine/>
    <w:qFormat/>
    <w:uiPriority w:val="0"/>
    <w:rPr>
      <w:rFonts w:ascii="仿宋_GB2312" w:eastAsia="仿宋_GB2312"/>
      <w:sz w:val="32"/>
    </w:rPr>
  </w:style>
  <w:style w:type="character" w:customStyle="1" w:styleId="297">
    <w:name w:val="页脚 Char1"/>
    <w:autoRedefine/>
    <w:qFormat/>
    <w:uiPriority w:val="99"/>
    <w:rPr>
      <w:rFonts w:ascii="Times New Roman" w:hAnsi="Times New Roman" w:eastAsia="宋体" w:cs="Times New Roman"/>
      <w:sz w:val="18"/>
      <w:szCs w:val="18"/>
    </w:rPr>
  </w:style>
  <w:style w:type="character" w:customStyle="1" w:styleId="298">
    <w:name w:val="hover15"/>
    <w:autoRedefine/>
    <w:qFormat/>
    <w:uiPriority w:val="0"/>
  </w:style>
  <w:style w:type="character" w:customStyle="1" w:styleId="299">
    <w:name w:val="表内文字 Char"/>
    <w:link w:val="98"/>
    <w:autoRedefine/>
    <w:qFormat/>
    <w:uiPriority w:val="0"/>
    <w:rPr>
      <w:rFonts w:ascii="仿宋_GB2312" w:hAnsi="宋体" w:eastAsia="仿宋_GB2312"/>
      <w:b/>
      <w:color w:val="000000"/>
      <w:kern w:val="2"/>
      <w:sz w:val="32"/>
      <w:szCs w:val="32"/>
    </w:rPr>
  </w:style>
  <w:style w:type="character" w:customStyle="1" w:styleId="300">
    <w:name w:val="HTML 预设格式 Char"/>
    <w:link w:val="48"/>
    <w:autoRedefine/>
    <w:qFormat/>
    <w:uiPriority w:val="0"/>
    <w:rPr>
      <w:rFonts w:ascii="Arial" w:hAnsi="Arial" w:cs="Arial"/>
      <w:sz w:val="21"/>
      <w:szCs w:val="21"/>
    </w:rPr>
  </w:style>
  <w:style w:type="character" w:customStyle="1" w:styleId="301">
    <w:name w:val="脚注文本 Char1"/>
    <w:autoRedefine/>
    <w:qFormat/>
    <w:locked/>
    <w:uiPriority w:val="0"/>
    <w:rPr>
      <w:rFonts w:ascii="Times New Roman" w:hAnsi="Times New Roman"/>
      <w:kern w:val="2"/>
      <w:sz w:val="18"/>
      <w:szCs w:val="18"/>
    </w:rPr>
  </w:style>
  <w:style w:type="character" w:customStyle="1" w:styleId="302">
    <w:name w:val="标题 6 Char1"/>
    <w:link w:val="10"/>
    <w:autoRedefine/>
    <w:qFormat/>
    <w:uiPriority w:val="0"/>
    <w:rPr>
      <w:rFonts w:ascii="Arial" w:hAnsi="Arial" w:eastAsia="黑体"/>
      <w:b/>
      <w:kern w:val="2"/>
      <w:sz w:val="24"/>
      <w:szCs w:val="24"/>
    </w:rPr>
  </w:style>
  <w:style w:type="character" w:customStyle="1" w:styleId="303">
    <w:name w:val="Char Char4"/>
    <w:autoRedefine/>
    <w:qFormat/>
    <w:uiPriority w:val="0"/>
    <w:rPr>
      <w:rFonts w:eastAsia="宋体"/>
      <w:b/>
      <w:bCs/>
      <w:kern w:val="2"/>
      <w:sz w:val="32"/>
      <w:szCs w:val="32"/>
      <w:lang w:val="en-US" w:eastAsia="zh-CN" w:bidi="ar-SA"/>
    </w:rPr>
  </w:style>
  <w:style w:type="character" w:customStyle="1" w:styleId="304">
    <w:name w:val="062"/>
    <w:autoRedefine/>
    <w:qFormat/>
    <w:uiPriority w:val="0"/>
    <w:rPr>
      <w:rFonts w:ascii="宋体" w:hAnsi="宋体"/>
      <w:b/>
      <w:bCs/>
      <w:sz w:val="32"/>
    </w:rPr>
  </w:style>
  <w:style w:type="character" w:customStyle="1" w:styleId="305">
    <w:name w:val="Char Char91"/>
    <w:autoRedefine/>
    <w:qFormat/>
    <w:uiPriority w:val="0"/>
    <w:rPr>
      <w:rFonts w:hint="eastAsia" w:ascii="宋体" w:hAnsi="宋体" w:eastAsia="宋体"/>
      <w:b/>
      <w:bCs/>
      <w:kern w:val="44"/>
      <w:sz w:val="32"/>
      <w:szCs w:val="44"/>
      <w:lang w:val="en-US" w:eastAsia="zh-CN" w:bidi="ar-SA"/>
    </w:rPr>
  </w:style>
  <w:style w:type="character" w:customStyle="1" w:styleId="306">
    <w:name w:val="脚注文本 Char2"/>
    <w:link w:val="40"/>
    <w:autoRedefine/>
    <w:qFormat/>
    <w:uiPriority w:val="99"/>
    <w:rPr>
      <w:sz w:val="18"/>
      <w:szCs w:val="18"/>
    </w:rPr>
  </w:style>
  <w:style w:type="character" w:customStyle="1" w:styleId="307">
    <w:name w:val="font11"/>
    <w:autoRedefine/>
    <w:qFormat/>
    <w:uiPriority w:val="0"/>
    <w:rPr>
      <w:rFonts w:hint="eastAsia" w:ascii="宋体" w:hAnsi="宋体" w:eastAsia="宋体" w:cs="宋体"/>
      <w:color w:val="000000"/>
      <w:sz w:val="22"/>
      <w:szCs w:val="22"/>
      <w:u w:val="none"/>
    </w:rPr>
  </w:style>
  <w:style w:type="character" w:customStyle="1" w:styleId="308">
    <w:name w:val="彩色列表 - 强调文字颜色 1 Char"/>
    <w:autoRedefine/>
    <w:qFormat/>
    <w:locked/>
    <w:uiPriority w:val="0"/>
    <w:rPr>
      <w:rFonts w:eastAsia="宋体"/>
      <w:kern w:val="2"/>
      <w:sz w:val="21"/>
      <w:lang w:val="en-US" w:eastAsia="zh-CN" w:bidi="ar-SA"/>
    </w:rPr>
  </w:style>
  <w:style w:type="character" w:customStyle="1" w:styleId="309">
    <w:name w:val="文档结构图 Char1"/>
    <w:link w:val="17"/>
    <w:autoRedefine/>
    <w:qFormat/>
    <w:uiPriority w:val="0"/>
    <w:rPr>
      <w:shd w:val="clear" w:color="auto" w:fill="000080"/>
    </w:rPr>
  </w:style>
  <w:style w:type="character" w:customStyle="1" w:styleId="310">
    <w:name w:val="Heading 5 Char"/>
    <w:autoRedefine/>
    <w:qFormat/>
    <w:uiPriority w:val="0"/>
    <w:rPr>
      <w:rFonts w:hint="eastAsia" w:ascii="宋体" w:hAnsi="宋体" w:eastAsia="宋体"/>
      <w:b/>
      <w:bCs/>
      <w:kern w:val="2"/>
      <w:sz w:val="28"/>
      <w:szCs w:val="28"/>
      <w:lang w:val="en-US" w:eastAsia="zh-CN" w:bidi="ar-SA"/>
    </w:rPr>
  </w:style>
  <w:style w:type="character" w:customStyle="1" w:styleId="311">
    <w:name w:val="font01"/>
    <w:autoRedefine/>
    <w:qFormat/>
    <w:uiPriority w:val="0"/>
    <w:rPr>
      <w:rFonts w:hint="eastAsia" w:ascii="宋体" w:hAnsi="宋体" w:eastAsia="宋体" w:cs="宋体"/>
      <w:color w:val="000000"/>
      <w:sz w:val="24"/>
      <w:szCs w:val="24"/>
      <w:u w:val="none"/>
    </w:rPr>
  </w:style>
  <w:style w:type="character" w:customStyle="1" w:styleId="312">
    <w:name w:val="H2 Char"/>
    <w:autoRedefine/>
    <w:qFormat/>
    <w:uiPriority w:val="0"/>
    <w:rPr>
      <w:rFonts w:ascii="Arial" w:hAnsi="Arial" w:eastAsia="黑体"/>
      <w:b/>
      <w:bCs/>
      <w:kern w:val="2"/>
      <w:sz w:val="32"/>
      <w:szCs w:val="32"/>
      <w:lang w:val="en-US" w:eastAsia="zh-CN" w:bidi="ar-SA"/>
    </w:rPr>
  </w:style>
  <w:style w:type="character" w:customStyle="1" w:styleId="313">
    <w:name w:val="标题 #4_"/>
    <w:link w:val="314"/>
    <w:autoRedefine/>
    <w:qFormat/>
    <w:locked/>
    <w:uiPriority w:val="0"/>
    <w:rPr>
      <w:rFonts w:ascii="MingLiU" w:eastAsia="MingLiU"/>
      <w:b/>
      <w:bCs/>
      <w:sz w:val="23"/>
      <w:szCs w:val="23"/>
      <w:shd w:val="clear" w:color="auto" w:fill="FFFFFF"/>
    </w:rPr>
  </w:style>
  <w:style w:type="paragraph" w:customStyle="1" w:styleId="314">
    <w:name w:val="标题 #4"/>
    <w:basedOn w:val="1"/>
    <w:link w:val="313"/>
    <w:autoRedefine/>
    <w:qFormat/>
    <w:uiPriority w:val="0"/>
    <w:pPr>
      <w:shd w:val="clear" w:color="auto" w:fill="FFFFFF"/>
      <w:spacing w:before="60" w:after="240" w:line="240" w:lineRule="atLeast"/>
      <w:jc w:val="distribute"/>
      <w:outlineLvl w:val="3"/>
    </w:pPr>
    <w:rPr>
      <w:rFonts w:ascii="MingLiU" w:eastAsia="MingLiU"/>
      <w:b/>
      <w:bCs/>
      <w:kern w:val="0"/>
      <w:sz w:val="23"/>
      <w:szCs w:val="23"/>
      <w:shd w:val="clear" w:color="auto" w:fill="FFFFFF"/>
    </w:rPr>
  </w:style>
  <w:style w:type="character" w:customStyle="1" w:styleId="315">
    <w:name w:val="标题 1 Char_1"/>
    <w:link w:val="316"/>
    <w:autoRedefine/>
    <w:qFormat/>
    <w:uiPriority w:val="0"/>
    <w:rPr>
      <w:b/>
      <w:bCs/>
      <w:kern w:val="44"/>
      <w:sz w:val="44"/>
      <w:szCs w:val="44"/>
    </w:rPr>
  </w:style>
  <w:style w:type="paragraph" w:customStyle="1" w:styleId="316">
    <w:name w:val="标题 1_1"/>
    <w:basedOn w:val="275"/>
    <w:next w:val="275"/>
    <w:link w:val="315"/>
    <w:autoRedefine/>
    <w:qFormat/>
    <w:uiPriority w:val="0"/>
    <w:pPr>
      <w:keepNext/>
      <w:keepLines/>
      <w:spacing w:before="340" w:after="330" w:line="578" w:lineRule="auto"/>
      <w:outlineLvl w:val="0"/>
    </w:pPr>
    <w:rPr>
      <w:rFonts w:ascii="Times New Roman" w:hAnsi="Times New Roman"/>
      <w:b/>
      <w:bCs/>
      <w:kern w:val="44"/>
      <w:sz w:val="44"/>
      <w:szCs w:val="44"/>
    </w:rPr>
  </w:style>
  <w:style w:type="character" w:customStyle="1" w:styleId="317">
    <w:name w:val="Char Char9"/>
    <w:autoRedefine/>
    <w:qFormat/>
    <w:uiPriority w:val="0"/>
    <w:rPr>
      <w:rFonts w:hint="eastAsia" w:ascii="宋体" w:hAnsi="宋体" w:eastAsia="宋体"/>
      <w:b/>
      <w:bCs/>
      <w:kern w:val="44"/>
      <w:sz w:val="32"/>
      <w:szCs w:val="44"/>
      <w:lang w:val="en-US" w:eastAsia="zh-CN" w:bidi="ar-SA"/>
    </w:rPr>
  </w:style>
  <w:style w:type="character" w:customStyle="1" w:styleId="318">
    <w:name w:val="正文文本 Char_0"/>
    <w:link w:val="319"/>
    <w:autoRedefine/>
    <w:qFormat/>
    <w:uiPriority w:val="0"/>
    <w:rPr>
      <w:kern w:val="2"/>
      <w:sz w:val="21"/>
      <w:szCs w:val="22"/>
    </w:rPr>
  </w:style>
  <w:style w:type="paragraph" w:customStyle="1" w:styleId="319">
    <w:name w:val="正文文本_0"/>
    <w:basedOn w:val="275"/>
    <w:link w:val="318"/>
    <w:autoRedefine/>
    <w:unhideWhenUsed/>
    <w:qFormat/>
    <w:uiPriority w:val="0"/>
    <w:pPr>
      <w:adjustRightInd w:val="0"/>
      <w:spacing w:after="60" w:line="360" w:lineRule="atLeast"/>
      <w:ind w:left="72" w:leftChars="30" w:right="30" w:rightChars="30"/>
      <w:jc w:val="center"/>
    </w:pPr>
    <w:rPr>
      <w:rFonts w:ascii="Times New Roman" w:hAnsi="Times New Roman"/>
    </w:rPr>
  </w:style>
  <w:style w:type="character" w:customStyle="1" w:styleId="320">
    <w:name w:val="正文缩进 Char1"/>
    <w:link w:val="9"/>
    <w:autoRedefine/>
    <w:qFormat/>
    <w:uiPriority w:val="0"/>
    <w:rPr>
      <w:kern w:val="2"/>
      <w:sz w:val="21"/>
    </w:rPr>
  </w:style>
  <w:style w:type="character" w:customStyle="1" w:styleId="321">
    <w:name w:val="Heading 3 Char1"/>
    <w:autoRedefine/>
    <w:qFormat/>
    <w:uiPriority w:val="0"/>
    <w:rPr>
      <w:rFonts w:hint="eastAsia" w:ascii="宋体" w:hAnsi="宋体" w:eastAsia="宋体"/>
      <w:b/>
      <w:bCs/>
      <w:kern w:val="2"/>
      <w:sz w:val="24"/>
      <w:szCs w:val="32"/>
      <w:lang w:val="en-US" w:eastAsia="zh-CN" w:bidi="ar-SA"/>
    </w:rPr>
  </w:style>
  <w:style w:type="character" w:customStyle="1" w:styleId="322">
    <w:name w:val="批注框文本 Char1"/>
    <w:autoRedefine/>
    <w:qFormat/>
    <w:uiPriority w:val="99"/>
    <w:rPr>
      <w:sz w:val="18"/>
      <w:szCs w:val="18"/>
    </w:rPr>
  </w:style>
  <w:style w:type="character" w:customStyle="1" w:styleId="323">
    <w:name w:val="明显引用 Char1"/>
    <w:link w:val="324"/>
    <w:autoRedefine/>
    <w:qFormat/>
    <w:uiPriority w:val="30"/>
    <w:rPr>
      <w:b/>
      <w:bCs/>
      <w:i/>
      <w:iCs/>
      <w:color w:val="4F81BD"/>
      <w:kern w:val="2"/>
      <w:sz w:val="21"/>
      <w:szCs w:val="24"/>
    </w:rPr>
  </w:style>
  <w:style w:type="paragraph" w:styleId="324">
    <w:name w:val="Intense Quote"/>
    <w:basedOn w:val="1"/>
    <w:next w:val="1"/>
    <w:link w:val="323"/>
    <w:autoRedefine/>
    <w:qFormat/>
    <w:uiPriority w:val="30"/>
    <w:pPr>
      <w:pBdr>
        <w:bottom w:val="single" w:color="4F81BD" w:sz="4" w:space="4"/>
      </w:pBdr>
      <w:spacing w:before="200" w:after="280"/>
      <w:ind w:left="936" w:right="936"/>
    </w:pPr>
    <w:rPr>
      <w:b/>
      <w:bCs/>
      <w:i/>
      <w:iCs/>
      <w:color w:val="4F81BD"/>
    </w:rPr>
  </w:style>
  <w:style w:type="character" w:customStyle="1" w:styleId="325">
    <w:name w:val="批注框文本 Char2"/>
    <w:autoRedefine/>
    <w:semiHidden/>
    <w:qFormat/>
    <w:uiPriority w:val="99"/>
    <w:rPr>
      <w:kern w:val="2"/>
      <w:sz w:val="18"/>
      <w:szCs w:val="18"/>
    </w:rPr>
  </w:style>
  <w:style w:type="character" w:customStyle="1" w:styleId="326">
    <w:name w:val="Char Char22"/>
    <w:autoRedefine/>
    <w:qFormat/>
    <w:uiPriority w:val="0"/>
    <w:rPr>
      <w:rFonts w:hint="default" w:ascii="Times New Roman" w:hAnsi="Times New Roman" w:eastAsia="宋体" w:cs="Times New Roman"/>
      <w:b/>
      <w:bCs/>
      <w:kern w:val="44"/>
      <w:sz w:val="32"/>
      <w:szCs w:val="44"/>
    </w:rPr>
  </w:style>
  <w:style w:type="character" w:customStyle="1" w:styleId="327">
    <w:name w:val="Char Char29"/>
    <w:autoRedefine/>
    <w:qFormat/>
    <w:uiPriority w:val="0"/>
    <w:rPr>
      <w:rFonts w:eastAsia="黑体"/>
      <w:b/>
      <w:bCs/>
      <w:kern w:val="44"/>
      <w:sz w:val="32"/>
      <w:szCs w:val="44"/>
      <w:lang w:bidi="ar-SA"/>
    </w:rPr>
  </w:style>
  <w:style w:type="character" w:customStyle="1" w:styleId="328">
    <w:name w:val="引用 字符1"/>
    <w:autoRedefine/>
    <w:qFormat/>
    <w:uiPriority w:val="99"/>
    <w:rPr>
      <w:i/>
      <w:iCs/>
      <w:color w:val="404040"/>
      <w:kern w:val="2"/>
      <w:sz w:val="21"/>
      <w:szCs w:val="24"/>
    </w:rPr>
  </w:style>
  <w:style w:type="character" w:customStyle="1" w:styleId="329">
    <w:name w:val="标题 2 Char_1"/>
    <w:link w:val="330"/>
    <w:autoRedefine/>
    <w:qFormat/>
    <w:uiPriority w:val="0"/>
    <w:rPr>
      <w:rFonts w:ascii="Cambria" w:hAnsi="Cambria"/>
      <w:b/>
      <w:bCs/>
      <w:sz w:val="32"/>
      <w:szCs w:val="32"/>
    </w:rPr>
  </w:style>
  <w:style w:type="paragraph" w:customStyle="1" w:styleId="330">
    <w:name w:val="标题 2_1"/>
    <w:basedOn w:val="275"/>
    <w:next w:val="275"/>
    <w:link w:val="329"/>
    <w:autoRedefine/>
    <w:qFormat/>
    <w:uiPriority w:val="0"/>
    <w:pPr>
      <w:keepNext/>
      <w:keepLines/>
      <w:spacing w:before="260" w:after="260" w:line="416" w:lineRule="auto"/>
      <w:outlineLvl w:val="1"/>
    </w:pPr>
    <w:rPr>
      <w:rFonts w:ascii="Cambria" w:hAnsi="Cambria"/>
      <w:b/>
      <w:bCs/>
      <w:kern w:val="0"/>
      <w:sz w:val="32"/>
      <w:szCs w:val="32"/>
    </w:rPr>
  </w:style>
  <w:style w:type="character" w:customStyle="1" w:styleId="331">
    <w:name w:val="Char Char12"/>
    <w:autoRedefine/>
    <w:qFormat/>
    <w:uiPriority w:val="0"/>
    <w:rPr>
      <w:rFonts w:ascii="Arial" w:hAnsi="Arial" w:eastAsia="宋体"/>
      <w:b/>
      <w:bCs/>
      <w:kern w:val="2"/>
      <w:sz w:val="21"/>
      <w:szCs w:val="21"/>
      <w:lang w:bidi="ar-SA"/>
    </w:rPr>
  </w:style>
  <w:style w:type="character" w:customStyle="1" w:styleId="332">
    <w:name w:val="列出段落 Char"/>
    <w:link w:val="99"/>
    <w:autoRedefine/>
    <w:qFormat/>
    <w:locked/>
    <w:uiPriority w:val="0"/>
    <w:rPr>
      <w:kern w:val="2"/>
      <w:sz w:val="21"/>
      <w:szCs w:val="24"/>
    </w:rPr>
  </w:style>
  <w:style w:type="character" w:customStyle="1" w:styleId="333">
    <w:name w:val="NormalCharacter"/>
    <w:autoRedefine/>
    <w:qFormat/>
    <w:uiPriority w:val="0"/>
    <w:rPr>
      <w:rFonts w:ascii="宋体" w:hAnsi="Courier New"/>
      <w:kern w:val="2"/>
      <w:sz w:val="21"/>
      <w:lang w:val="en-US" w:eastAsia="zh-CN" w:bidi="ar-SA"/>
    </w:rPr>
  </w:style>
  <w:style w:type="character" w:customStyle="1" w:styleId="334">
    <w:name w:val="正文文本 2 Char"/>
    <w:autoRedefine/>
    <w:qFormat/>
    <w:uiPriority w:val="0"/>
    <w:rPr>
      <w:rFonts w:ascii="Times New Roman" w:hAnsi="Times New Roman" w:eastAsia="宋体" w:cs="Times New Roman"/>
      <w:szCs w:val="24"/>
    </w:rPr>
  </w:style>
  <w:style w:type="character" w:customStyle="1" w:styleId="335">
    <w:name w:val="Footnote Text Char"/>
    <w:autoRedefine/>
    <w:qFormat/>
    <w:uiPriority w:val="0"/>
    <w:rPr>
      <w:rFonts w:hint="eastAsia" w:ascii="宋体" w:hAnsi="宋体" w:eastAsia="宋体"/>
      <w:sz w:val="18"/>
      <w:lang w:val="en-US" w:eastAsia="zh-CN" w:bidi="ar-SA"/>
    </w:rPr>
  </w:style>
  <w:style w:type="character" w:customStyle="1" w:styleId="336">
    <w:name w:val="Heading 3 Char"/>
    <w:autoRedefine/>
    <w:qFormat/>
    <w:uiPriority w:val="0"/>
    <w:rPr>
      <w:rFonts w:cs="Times New Roman"/>
      <w:b/>
      <w:bCs/>
      <w:kern w:val="2"/>
      <w:sz w:val="32"/>
      <w:szCs w:val="32"/>
    </w:rPr>
  </w:style>
  <w:style w:type="character" w:customStyle="1" w:styleId="337">
    <w:name w:val="明显参考1"/>
    <w:autoRedefine/>
    <w:qFormat/>
    <w:uiPriority w:val="0"/>
    <w:rPr>
      <w:b/>
      <w:bCs/>
      <w:smallCaps/>
      <w:color w:val="C0504D"/>
      <w:spacing w:val="5"/>
      <w:u w:val="single"/>
    </w:rPr>
  </w:style>
  <w:style w:type="character" w:customStyle="1" w:styleId="338">
    <w:name w:val="Char Char21"/>
    <w:autoRedefine/>
    <w:qFormat/>
    <w:uiPriority w:val="0"/>
    <w:rPr>
      <w:rFonts w:hint="default" w:ascii="Arial" w:hAnsi="Arial" w:eastAsia="黑体" w:cs="Times New Roman"/>
      <w:b/>
      <w:bCs/>
      <w:sz w:val="32"/>
      <w:szCs w:val="32"/>
    </w:rPr>
  </w:style>
  <w:style w:type="character" w:customStyle="1" w:styleId="339">
    <w:name w:val="small"/>
    <w:autoRedefine/>
    <w:qFormat/>
    <w:uiPriority w:val="0"/>
    <w:rPr>
      <w:rFonts w:ascii="Tahoma" w:hAnsi="Tahoma" w:eastAsia="宋体"/>
      <w:kern w:val="2"/>
      <w:sz w:val="24"/>
      <w:szCs w:val="24"/>
      <w:lang w:val="en-US" w:eastAsia="zh-CN" w:bidi="ar-SA"/>
    </w:rPr>
  </w:style>
  <w:style w:type="character" w:customStyle="1" w:styleId="340">
    <w:name w:val="明显强调2"/>
    <w:autoRedefine/>
    <w:qFormat/>
    <w:uiPriority w:val="0"/>
    <w:rPr>
      <w:b/>
      <w:bCs/>
      <w:i/>
      <w:iCs/>
      <w:color w:val="4F81BD"/>
    </w:rPr>
  </w:style>
  <w:style w:type="character" w:customStyle="1" w:styleId="341">
    <w:name w:val="15_0"/>
    <w:autoRedefine/>
    <w:qFormat/>
    <w:uiPriority w:val="0"/>
    <w:rPr>
      <w:rFonts w:hint="default" w:ascii="Times New Roman" w:hAnsi="Times New Roman" w:cs="Times New Roman"/>
    </w:rPr>
  </w:style>
  <w:style w:type="character" w:customStyle="1" w:styleId="342">
    <w:name w:val="日期 Char1"/>
    <w:autoRedefine/>
    <w:qFormat/>
    <w:uiPriority w:val="0"/>
    <w:rPr>
      <w:rFonts w:ascii="宋体" w:hAnsi="Courier New" w:cs="Courier New"/>
      <w:szCs w:val="21"/>
    </w:rPr>
  </w:style>
  <w:style w:type="character" w:customStyle="1" w:styleId="343">
    <w:name w:val="明显引用 Char2"/>
    <w:autoRedefine/>
    <w:qFormat/>
    <w:uiPriority w:val="0"/>
    <w:rPr>
      <w:b/>
      <w:bCs/>
      <w:i/>
      <w:iCs/>
      <w:color w:val="4F81BD"/>
      <w:kern w:val="2"/>
      <w:sz w:val="21"/>
      <w:szCs w:val="24"/>
    </w:rPr>
  </w:style>
  <w:style w:type="character" w:customStyle="1" w:styleId="344">
    <w:name w:val="textstyle1"/>
    <w:autoRedefine/>
    <w:qFormat/>
    <w:uiPriority w:val="0"/>
    <w:rPr>
      <w:rFonts w:hint="eastAsia" w:ascii="宋体" w:hAnsi="宋体" w:eastAsia="宋体"/>
      <w:sz w:val="18"/>
      <w:szCs w:val="18"/>
    </w:rPr>
  </w:style>
  <w:style w:type="character" w:customStyle="1" w:styleId="345">
    <w:name w:val="正文文本 2 Char1"/>
    <w:link w:val="46"/>
    <w:autoRedefine/>
    <w:qFormat/>
    <w:uiPriority w:val="0"/>
    <w:rPr>
      <w:szCs w:val="24"/>
    </w:rPr>
  </w:style>
  <w:style w:type="character" w:customStyle="1" w:styleId="346">
    <w:name w:val="Char Char271"/>
    <w:autoRedefine/>
    <w:qFormat/>
    <w:uiPriority w:val="0"/>
    <w:rPr>
      <w:rFonts w:eastAsia="黑体"/>
      <w:b/>
      <w:bCs/>
      <w:kern w:val="2"/>
      <w:sz w:val="21"/>
      <w:szCs w:val="32"/>
      <w:lang w:bidi="ar-SA"/>
    </w:rPr>
  </w:style>
  <w:style w:type="character" w:customStyle="1" w:styleId="347">
    <w:name w:val="font-25"/>
    <w:autoRedefine/>
    <w:qFormat/>
    <w:uiPriority w:val="0"/>
  </w:style>
  <w:style w:type="character" w:customStyle="1" w:styleId="348">
    <w:name w:val="btn-lnk-alignl2"/>
    <w:autoRedefine/>
    <w:qFormat/>
    <w:uiPriority w:val="0"/>
  </w:style>
  <w:style w:type="character" w:customStyle="1" w:styleId="349">
    <w:name w:val="graytext1"/>
    <w:autoRedefine/>
    <w:qFormat/>
    <w:uiPriority w:val="0"/>
    <w:rPr>
      <w:rFonts w:ascii="Tahoma" w:hAnsi="Tahoma" w:eastAsia="宋体"/>
      <w:color w:val="666666"/>
      <w:kern w:val="2"/>
      <w:sz w:val="24"/>
      <w:szCs w:val="24"/>
      <w:lang w:val="en-US" w:eastAsia="zh-CN" w:bidi="ar-SA"/>
    </w:rPr>
  </w:style>
  <w:style w:type="paragraph" w:customStyle="1" w:styleId="350">
    <w:name w:val="列出段落11"/>
    <w:basedOn w:val="1"/>
    <w:autoRedefine/>
    <w:qFormat/>
    <w:uiPriority w:val="34"/>
    <w:pPr>
      <w:ind w:firstLine="420" w:firstLineChars="200"/>
    </w:pPr>
    <w:rPr>
      <w:sz w:val="24"/>
    </w:rPr>
  </w:style>
  <w:style w:type="paragraph" w:customStyle="1" w:styleId="351">
    <w:name w:val="_Style 35"/>
    <w:basedOn w:val="17"/>
    <w:autoRedefine/>
    <w:qFormat/>
    <w:uiPriority w:val="0"/>
    <w:pPr>
      <w:widowControl/>
      <w:adjustRightInd/>
      <w:spacing w:line="240" w:lineRule="auto"/>
      <w:ind w:firstLine="454"/>
      <w:jc w:val="left"/>
      <w:textAlignment w:val="auto"/>
    </w:pPr>
    <w:rPr>
      <w:kern w:val="2"/>
      <w:sz w:val="21"/>
      <w:szCs w:val="24"/>
    </w:rPr>
  </w:style>
  <w:style w:type="paragraph" w:customStyle="1" w:styleId="352">
    <w:name w:val="F2"/>
    <w:basedOn w:val="1"/>
    <w:autoRedefine/>
    <w:qFormat/>
    <w:uiPriority w:val="0"/>
    <w:pPr>
      <w:autoSpaceDE w:val="0"/>
      <w:autoSpaceDN w:val="0"/>
      <w:adjustRightInd w:val="0"/>
      <w:ind w:firstLine="601"/>
      <w:textAlignment w:val="baseline"/>
    </w:pPr>
    <w:rPr>
      <w:kern w:val="0"/>
      <w:sz w:val="24"/>
      <w:szCs w:val="20"/>
    </w:rPr>
  </w:style>
  <w:style w:type="paragraph" w:customStyle="1" w:styleId="353">
    <w:name w:val="无间隔_0_0"/>
    <w:basedOn w:val="354"/>
    <w:autoRedefine/>
    <w:qFormat/>
    <w:uiPriority w:val="0"/>
    <w:rPr>
      <w:rFonts w:ascii="Times New Roman" w:hAnsi="Times New Roman"/>
      <w:szCs w:val="21"/>
    </w:rPr>
  </w:style>
  <w:style w:type="paragraph" w:customStyle="1" w:styleId="354">
    <w:name w:val="正文_3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5">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356">
    <w:name w:val="正文_2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7">
    <w:name w:val="表格样式 2"/>
    <w:autoRedefine/>
    <w:qFormat/>
    <w:uiPriority w:val="0"/>
    <w:pPr>
      <w:pBdr>
        <w:top w:val="none" w:color="FFFFFF" w:sz="0" w:space="31"/>
        <w:left w:val="none" w:color="FFFFFF" w:sz="0" w:space="31"/>
        <w:bottom w:val="none" w:color="FFFFFF" w:sz="0" w:space="31"/>
        <w:right w:val="none" w:color="FFFFFF" w:sz="0" w:space="31"/>
      </w:pBdr>
    </w:pPr>
    <w:rPr>
      <w:rFonts w:ascii="Helvetica" w:hAnsi="Helvetica" w:eastAsia="Times New Roman" w:cs="Helvetica"/>
      <w:color w:val="000000"/>
      <w:lang w:val="en-US" w:eastAsia="zh-CN" w:bidi="ar-SA"/>
    </w:rPr>
  </w:style>
  <w:style w:type="paragraph" w:customStyle="1" w:styleId="358">
    <w:name w:val="图号"/>
    <w:basedOn w:val="1"/>
    <w:autoRedefine/>
    <w:semiHidden/>
    <w:qFormat/>
    <w:uiPriority w:val="0"/>
    <w:pPr>
      <w:tabs>
        <w:tab w:val="left" w:pos="360"/>
      </w:tabs>
      <w:ind w:left="360" w:hanging="360"/>
    </w:pPr>
  </w:style>
  <w:style w:type="paragraph" w:customStyle="1" w:styleId="359">
    <w:name w:val="4"/>
    <w:basedOn w:val="1"/>
    <w:next w:val="31"/>
    <w:autoRedefine/>
    <w:qFormat/>
    <w:uiPriority w:val="0"/>
    <w:pPr>
      <w:spacing w:line="420" w:lineRule="exact"/>
      <w:ind w:firstLine="409" w:firstLineChars="195"/>
    </w:pPr>
  </w:style>
  <w:style w:type="paragraph" w:customStyle="1" w:styleId="360">
    <w:name w:val="默认段落字体 Para Char Char Char Char"/>
    <w:basedOn w:val="1"/>
    <w:autoRedefine/>
    <w:qFormat/>
    <w:uiPriority w:val="0"/>
  </w:style>
  <w:style w:type="character" w:customStyle="1" w:styleId="361">
    <w:name w:val="文档结构图 Char3"/>
    <w:basedOn w:val="56"/>
    <w:autoRedefine/>
    <w:semiHidden/>
    <w:qFormat/>
    <w:uiPriority w:val="99"/>
    <w:rPr>
      <w:rFonts w:ascii="宋体"/>
      <w:kern w:val="2"/>
      <w:sz w:val="18"/>
      <w:szCs w:val="18"/>
    </w:rPr>
  </w:style>
  <w:style w:type="paragraph" w:customStyle="1" w:styleId="362">
    <w:name w:val="正文_1_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63">
    <w:name w:val="标题 Char4"/>
    <w:basedOn w:val="56"/>
    <w:autoRedefine/>
    <w:qFormat/>
    <w:uiPriority w:val="10"/>
    <w:rPr>
      <w:rFonts w:asciiTheme="majorHAnsi" w:hAnsiTheme="majorHAnsi" w:cstheme="majorBidi"/>
      <w:b/>
      <w:bCs/>
      <w:kern w:val="2"/>
      <w:sz w:val="32"/>
      <w:szCs w:val="32"/>
    </w:rPr>
  </w:style>
  <w:style w:type="paragraph" w:customStyle="1" w:styleId="364">
    <w:name w:val="正文_5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365">
    <w:name w:val="HTML 预设格式 Char1"/>
    <w:basedOn w:val="56"/>
    <w:autoRedefine/>
    <w:semiHidden/>
    <w:qFormat/>
    <w:uiPriority w:val="99"/>
    <w:rPr>
      <w:rFonts w:ascii="Courier New" w:hAnsi="Courier New" w:cs="Courier New"/>
      <w:kern w:val="2"/>
    </w:rPr>
  </w:style>
  <w:style w:type="paragraph" w:customStyle="1" w:styleId="366">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67">
    <w:name w:val="Char"/>
    <w:basedOn w:val="1"/>
    <w:autoRedefine/>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368">
    <w:name w:val="font7"/>
    <w:basedOn w:val="1"/>
    <w:autoRedefine/>
    <w:qFormat/>
    <w:uiPriority w:val="0"/>
    <w:pPr>
      <w:widowControl/>
      <w:spacing w:before="100" w:beforeAutospacing="1" w:after="100" w:afterAutospacing="1"/>
      <w:jc w:val="left"/>
    </w:pPr>
    <w:rPr>
      <w:kern w:val="0"/>
      <w:sz w:val="20"/>
      <w:szCs w:val="20"/>
    </w:rPr>
  </w:style>
  <w:style w:type="paragraph" w:customStyle="1" w:styleId="369">
    <w:name w:val="文章总标题"/>
    <w:basedOn w:val="1"/>
    <w:next w:val="370"/>
    <w:autoRedefine/>
    <w:qFormat/>
    <w:uiPriority w:val="0"/>
    <w:pPr>
      <w:widowControl/>
      <w:spacing w:before="566" w:after="544" w:line="566" w:lineRule="atLeast"/>
      <w:jc w:val="center"/>
      <w:textAlignment w:val="baseline"/>
    </w:pPr>
    <w:rPr>
      <w:rFonts w:ascii="Arial" w:eastAsia="黑体"/>
      <w:color w:val="000000"/>
      <w:kern w:val="0"/>
      <w:sz w:val="54"/>
      <w:szCs w:val="20"/>
    </w:rPr>
  </w:style>
  <w:style w:type="paragraph" w:customStyle="1" w:styleId="370">
    <w:name w:val="文章附标题"/>
    <w:basedOn w:val="1"/>
    <w:next w:val="4"/>
    <w:autoRedefine/>
    <w:qFormat/>
    <w:uiPriority w:val="0"/>
    <w:pPr>
      <w:widowControl/>
      <w:spacing w:before="187" w:after="175" w:line="374" w:lineRule="atLeast"/>
      <w:jc w:val="center"/>
      <w:textAlignment w:val="baseline"/>
    </w:pPr>
    <w:rPr>
      <w:color w:val="000000"/>
      <w:kern w:val="0"/>
      <w:sz w:val="36"/>
      <w:szCs w:val="20"/>
    </w:rPr>
  </w:style>
  <w:style w:type="paragraph" w:customStyle="1" w:styleId="371">
    <w:name w:val="Char Char3 Char Char"/>
    <w:basedOn w:val="1"/>
    <w:autoRedefine/>
    <w:qFormat/>
    <w:uiPriority w:val="0"/>
    <w:pPr>
      <w:widowControl/>
      <w:spacing w:after="160" w:line="240" w:lineRule="exact"/>
      <w:jc w:val="left"/>
    </w:pPr>
    <w:rPr>
      <w:rFonts w:ascii="Verdana" w:hAnsi="Verdana"/>
      <w:kern w:val="0"/>
      <w:sz w:val="20"/>
      <w:szCs w:val="20"/>
      <w:lang w:eastAsia="en-US"/>
    </w:rPr>
  </w:style>
  <w:style w:type="character" w:customStyle="1" w:styleId="372">
    <w:name w:val="副标题 Char2"/>
    <w:basedOn w:val="56"/>
    <w:autoRedefine/>
    <w:qFormat/>
    <w:uiPriority w:val="11"/>
    <w:rPr>
      <w:rFonts w:asciiTheme="majorHAnsi" w:hAnsiTheme="majorHAnsi" w:cstheme="majorBidi"/>
      <w:b/>
      <w:bCs/>
      <w:kern w:val="28"/>
      <w:sz w:val="32"/>
      <w:szCs w:val="32"/>
    </w:rPr>
  </w:style>
  <w:style w:type="paragraph" w:customStyle="1" w:styleId="373">
    <w:name w:val="t11"/>
    <w:basedOn w:val="4"/>
    <w:autoRedefine/>
    <w:qFormat/>
    <w:uiPriority w:val="0"/>
    <w:pPr>
      <w:spacing w:line="400" w:lineRule="exact"/>
      <w:jc w:val="center"/>
    </w:pPr>
    <w:rPr>
      <w:rFonts w:hAnsi="宋体"/>
      <w:bCs w:val="0"/>
      <w:sz w:val="32"/>
      <w:szCs w:val="32"/>
    </w:rPr>
  </w:style>
  <w:style w:type="paragraph" w:customStyle="1" w:styleId="374">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0"/>
      <w:szCs w:val="20"/>
    </w:rPr>
  </w:style>
  <w:style w:type="character" w:customStyle="1" w:styleId="375">
    <w:name w:val="正文文本 3 Char2"/>
    <w:basedOn w:val="56"/>
    <w:autoRedefine/>
    <w:semiHidden/>
    <w:qFormat/>
    <w:uiPriority w:val="99"/>
    <w:rPr>
      <w:kern w:val="2"/>
      <w:sz w:val="16"/>
      <w:szCs w:val="16"/>
    </w:rPr>
  </w:style>
  <w:style w:type="paragraph" w:customStyle="1" w:styleId="376">
    <w:name w:val="目录1"/>
    <w:basedOn w:val="1"/>
    <w:next w:val="1"/>
    <w:autoRedefine/>
    <w:qFormat/>
    <w:uiPriority w:val="0"/>
    <w:pPr>
      <w:widowControl/>
      <w:tabs>
        <w:tab w:val="left" w:leader="dot" w:pos="8503"/>
      </w:tabs>
      <w:spacing w:after="136" w:line="289" w:lineRule="atLeast"/>
      <w:jc w:val="left"/>
      <w:textAlignment w:val="baseline"/>
    </w:pPr>
    <w:rPr>
      <w:rFonts w:ascii="Arial" w:eastAsia="黑体"/>
      <w:color w:val="000000"/>
      <w:kern w:val="0"/>
      <w:sz w:val="28"/>
      <w:szCs w:val="20"/>
    </w:rPr>
  </w:style>
  <w:style w:type="paragraph" w:customStyle="1" w:styleId="377">
    <w:name w:val="样式1"/>
    <w:basedOn w:val="1"/>
    <w:autoRedefine/>
    <w:qFormat/>
    <w:uiPriority w:val="0"/>
    <w:pPr>
      <w:spacing w:before="120" w:after="120" w:line="300" w:lineRule="auto"/>
    </w:pPr>
    <w:rPr>
      <w:rFonts w:ascii="宋体" w:hAnsi="宋体"/>
      <w:b/>
      <w:sz w:val="24"/>
      <w:szCs w:val="20"/>
    </w:rPr>
  </w:style>
  <w:style w:type="paragraph" w:customStyle="1" w:styleId="378">
    <w:name w:val="修订1"/>
    <w:autoRedefine/>
    <w:qFormat/>
    <w:uiPriority w:val="99"/>
    <w:rPr>
      <w:rFonts w:ascii="Calibri" w:hAnsi="Calibri" w:eastAsia="宋体" w:cs="Times New Roman"/>
      <w:kern w:val="2"/>
      <w:sz w:val="21"/>
      <w:szCs w:val="24"/>
      <w:lang w:val="en-US" w:eastAsia="zh-CN" w:bidi="ar-SA"/>
    </w:rPr>
  </w:style>
  <w:style w:type="paragraph" w:customStyle="1" w:styleId="379">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80">
    <w:name w:val="正文_1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1">
    <w:name w:val="msolistparagraph"/>
    <w:basedOn w:val="1"/>
    <w:autoRedefine/>
    <w:qFormat/>
    <w:uiPriority w:val="0"/>
    <w:pPr>
      <w:widowControl/>
      <w:ind w:firstLine="420"/>
      <w:jc w:val="left"/>
    </w:pPr>
    <w:rPr>
      <w:rFonts w:ascii="宋体" w:hAnsi="宋体" w:cs="宋体"/>
      <w:kern w:val="0"/>
      <w:sz w:val="24"/>
    </w:rPr>
  </w:style>
  <w:style w:type="paragraph" w:customStyle="1" w:styleId="382">
    <w:name w:val="Default Paragraph Font Para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83">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character" w:customStyle="1" w:styleId="384">
    <w:name w:val="正文文本缩进 3 Char2"/>
    <w:basedOn w:val="56"/>
    <w:autoRedefine/>
    <w:semiHidden/>
    <w:qFormat/>
    <w:uiPriority w:val="99"/>
    <w:rPr>
      <w:kern w:val="2"/>
      <w:sz w:val="16"/>
      <w:szCs w:val="16"/>
    </w:rPr>
  </w:style>
  <w:style w:type="paragraph" w:customStyle="1" w:styleId="385">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86">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szCs w:val="20"/>
    </w:rPr>
  </w:style>
  <w:style w:type="paragraph" w:customStyle="1" w:styleId="387">
    <w:name w:val="xl84"/>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38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0"/>
      <w:szCs w:val="20"/>
    </w:rPr>
  </w:style>
  <w:style w:type="character" w:customStyle="1" w:styleId="389">
    <w:name w:val="正文文本缩进 2 Char2"/>
    <w:basedOn w:val="56"/>
    <w:autoRedefine/>
    <w:semiHidden/>
    <w:qFormat/>
    <w:uiPriority w:val="99"/>
    <w:rPr>
      <w:kern w:val="2"/>
      <w:sz w:val="21"/>
      <w:szCs w:val="24"/>
    </w:rPr>
  </w:style>
  <w:style w:type="paragraph" w:customStyle="1" w:styleId="390">
    <w:name w:val="Char Char Char Char Char Char Char Char Char Char Char Char Char Char"/>
    <w:basedOn w:val="1"/>
    <w:autoRedefine/>
    <w:qFormat/>
    <w:uiPriority w:val="0"/>
  </w:style>
  <w:style w:type="paragraph" w:customStyle="1" w:styleId="391">
    <w:name w:val="正文段"/>
    <w:basedOn w:val="1"/>
    <w:autoRedefine/>
    <w:qFormat/>
    <w:uiPriority w:val="0"/>
    <w:pPr>
      <w:widowControl/>
      <w:snapToGrid w:val="0"/>
      <w:spacing w:afterLines="50"/>
      <w:ind w:firstLine="200" w:firstLineChars="200"/>
    </w:pPr>
    <w:rPr>
      <w:kern w:val="0"/>
      <w:sz w:val="24"/>
      <w:szCs w:val="20"/>
    </w:rPr>
  </w:style>
  <w:style w:type="paragraph" w:customStyle="1" w:styleId="392">
    <w:name w:val="_Style 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3">
    <w:name w:val="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94">
    <w:name w:val="列出段落2"/>
    <w:basedOn w:val="1"/>
    <w:autoRedefine/>
    <w:qFormat/>
    <w:uiPriority w:val="34"/>
    <w:pPr>
      <w:ind w:firstLine="420" w:firstLineChars="200"/>
    </w:pPr>
    <w:rPr>
      <w:sz w:val="24"/>
    </w:rPr>
  </w:style>
  <w:style w:type="paragraph" w:customStyle="1" w:styleId="395">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szCs w:val="20"/>
    </w:rPr>
  </w:style>
  <w:style w:type="paragraph" w:customStyle="1" w:styleId="396">
    <w:name w:val="正文_5"/>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397">
    <w:name w:val="批注框文本 Char3"/>
    <w:basedOn w:val="56"/>
    <w:autoRedefine/>
    <w:semiHidden/>
    <w:qFormat/>
    <w:uiPriority w:val="99"/>
    <w:rPr>
      <w:kern w:val="2"/>
      <w:sz w:val="18"/>
      <w:szCs w:val="18"/>
    </w:rPr>
  </w:style>
  <w:style w:type="paragraph" w:customStyle="1" w:styleId="398">
    <w:name w:val="无间隔_0"/>
    <w:basedOn w:val="362"/>
    <w:autoRedefine/>
    <w:qFormat/>
    <w:uiPriority w:val="0"/>
    <w:rPr>
      <w:rFonts w:ascii="Calibri" w:hAnsi="Calibri"/>
      <w:szCs w:val="21"/>
    </w:rPr>
  </w:style>
  <w:style w:type="paragraph" w:customStyle="1" w:styleId="39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00">
    <w:name w:val="Char Char Char Char Char Char Char"/>
    <w:basedOn w:val="1"/>
    <w:autoRedefine/>
    <w:qFormat/>
    <w:uiPriority w:val="0"/>
    <w:pPr>
      <w:snapToGrid w:val="0"/>
      <w:spacing w:line="360" w:lineRule="auto"/>
      <w:ind w:firstLine="200" w:firstLineChars="200"/>
    </w:pPr>
    <w:rPr>
      <w:rFonts w:eastAsia="仿宋_GB2312"/>
      <w:sz w:val="24"/>
    </w:rPr>
  </w:style>
  <w:style w:type="paragraph" w:customStyle="1" w:styleId="401">
    <w:name w:val="xl2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kern w:val="0"/>
      <w:sz w:val="20"/>
      <w:szCs w:val="20"/>
    </w:rPr>
  </w:style>
  <w:style w:type="paragraph" w:customStyle="1" w:styleId="402">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character" w:customStyle="1" w:styleId="403">
    <w:name w:val="正文文本缩进 Char2"/>
    <w:basedOn w:val="56"/>
    <w:autoRedefine/>
    <w:semiHidden/>
    <w:qFormat/>
    <w:uiPriority w:val="99"/>
    <w:rPr>
      <w:kern w:val="2"/>
      <w:sz w:val="21"/>
      <w:szCs w:val="24"/>
    </w:rPr>
  </w:style>
  <w:style w:type="paragraph" w:customStyle="1" w:styleId="404">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05">
    <w:name w:val="正文 A A"/>
    <w:autoRedefine/>
    <w:qFormat/>
    <w:uiPriority w:val="0"/>
    <w:pPr>
      <w:widowControl w:val="0"/>
      <w:pBdr>
        <w:top w:val="none" w:color="FFFFFF" w:sz="0" w:space="31"/>
        <w:left w:val="none" w:color="FFFFFF" w:sz="0" w:space="31"/>
        <w:bottom w:val="none" w:color="FFFFFF" w:sz="0" w:space="31"/>
        <w:right w:val="none" w:color="FFFFFF" w:sz="0" w:space="31"/>
      </w:pBdr>
      <w:jc w:val="both"/>
    </w:pPr>
    <w:rPr>
      <w:rFonts w:ascii="宋体" w:hAnsi="宋体" w:eastAsia="宋体" w:cs="宋体"/>
      <w:color w:val="000000"/>
      <w:kern w:val="2"/>
      <w:sz w:val="21"/>
      <w:szCs w:val="21"/>
      <w:lang w:val="en-US" w:eastAsia="zh-CN" w:bidi="ar-SA"/>
    </w:rPr>
  </w:style>
  <w:style w:type="paragraph" w:customStyle="1" w:styleId="406">
    <w:name w:val="Char1 Char Char Char Char Char Char1"/>
    <w:basedOn w:val="1"/>
    <w:autoRedefine/>
    <w:qFormat/>
    <w:uiPriority w:val="0"/>
    <w:pPr>
      <w:widowControl/>
      <w:spacing w:after="160" w:line="240" w:lineRule="exact"/>
      <w:jc w:val="left"/>
    </w:pPr>
  </w:style>
  <w:style w:type="character" w:customStyle="1" w:styleId="407">
    <w:name w:val="日期 Char3"/>
    <w:basedOn w:val="56"/>
    <w:autoRedefine/>
    <w:semiHidden/>
    <w:qFormat/>
    <w:uiPriority w:val="99"/>
    <w:rPr>
      <w:kern w:val="2"/>
      <w:sz w:val="21"/>
      <w:szCs w:val="24"/>
    </w:rPr>
  </w:style>
  <w:style w:type="paragraph" w:customStyle="1" w:styleId="408">
    <w:name w:val="样式 小四 段前: 5 磅 段后: 5 磅 首行缩进:  2 字符"/>
    <w:basedOn w:val="1"/>
    <w:autoRedefine/>
    <w:qFormat/>
    <w:uiPriority w:val="0"/>
    <w:pPr>
      <w:spacing w:before="100" w:afterLines="50"/>
      <w:ind w:firstLine="480" w:firstLineChars="200"/>
    </w:pPr>
    <w:rPr>
      <w:rFonts w:hAnsi="宋体"/>
      <w:kern w:val="0"/>
      <w:sz w:val="24"/>
      <w:szCs w:val="21"/>
    </w:rPr>
  </w:style>
  <w:style w:type="paragraph" w:customStyle="1" w:styleId="409">
    <w:name w:val="修订2"/>
    <w:autoRedefine/>
    <w:unhideWhenUsed/>
    <w:qFormat/>
    <w:uiPriority w:val="99"/>
    <w:rPr>
      <w:rFonts w:ascii="Times New Roman" w:hAnsi="Times New Roman" w:eastAsia="宋体" w:cs="Times New Roman"/>
      <w:kern w:val="2"/>
      <w:sz w:val="21"/>
      <w:szCs w:val="24"/>
      <w:lang w:val="en-US" w:eastAsia="zh-CN" w:bidi="ar-SA"/>
    </w:rPr>
  </w:style>
  <w:style w:type="paragraph" w:customStyle="1" w:styleId="410">
    <w:name w:val="xl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411">
    <w:name w:val="目录标题"/>
    <w:basedOn w:val="1"/>
    <w:next w:val="1"/>
    <w:autoRedefine/>
    <w:qFormat/>
    <w:uiPriority w:val="0"/>
    <w:pPr>
      <w:widowControl/>
      <w:spacing w:before="566" w:after="544" w:line="566" w:lineRule="atLeast"/>
      <w:ind w:firstLine="419"/>
      <w:jc w:val="center"/>
      <w:textAlignment w:val="baseline"/>
    </w:pPr>
    <w:rPr>
      <w:rFonts w:ascii="Arial" w:eastAsia="黑体"/>
      <w:color w:val="000000"/>
      <w:spacing w:val="566"/>
      <w:kern w:val="0"/>
      <w:sz w:val="54"/>
      <w:szCs w:val="20"/>
    </w:rPr>
  </w:style>
  <w:style w:type="paragraph" w:customStyle="1" w:styleId="412">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13">
    <w:name w:val="目录"/>
    <w:basedOn w:val="1"/>
    <w:autoRedefine/>
    <w:qFormat/>
    <w:uiPriority w:val="0"/>
    <w:pPr>
      <w:widowControl/>
      <w:jc w:val="center"/>
    </w:pPr>
    <w:rPr>
      <w:rFonts w:ascii="宋体"/>
      <w:b/>
      <w:kern w:val="0"/>
      <w:sz w:val="36"/>
      <w:szCs w:val="20"/>
    </w:rPr>
  </w:style>
  <w:style w:type="paragraph" w:customStyle="1" w:styleId="414">
    <w:name w:val="Normal1"/>
    <w:autoRedefine/>
    <w:qFormat/>
    <w:uiPriority w:val="99"/>
    <w:rPr>
      <w:rFonts w:ascii="Times New Roman" w:hAnsi="Times New Roman" w:eastAsia="宋体" w:cs="Times New Roman"/>
      <w:sz w:val="24"/>
      <w:szCs w:val="24"/>
      <w:lang w:val="en-US" w:eastAsia="zh-CN" w:bidi="ar-SA"/>
    </w:rPr>
  </w:style>
  <w:style w:type="paragraph" w:customStyle="1" w:styleId="415">
    <w:name w:val="reader-word-layer_0"/>
    <w:basedOn w:val="416"/>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16">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7">
    <w:name w:val="样式3"/>
    <w:basedOn w:val="3"/>
    <w:autoRedefine/>
    <w:qFormat/>
    <w:uiPriority w:val="0"/>
    <w:pPr>
      <w:spacing w:line="360" w:lineRule="auto"/>
    </w:pPr>
    <w:rPr>
      <w:rFonts w:ascii="宋体"/>
    </w:rPr>
  </w:style>
  <w:style w:type="paragraph" w:customStyle="1" w:styleId="418">
    <w:name w:val="页眉与页脚"/>
    <w:autoRedefine/>
    <w:qFormat/>
    <w:uiPriority w:val="0"/>
    <w:pPr>
      <w:tabs>
        <w:tab w:val="right" w:pos="9020"/>
      </w:tabs>
    </w:pPr>
    <w:rPr>
      <w:rFonts w:ascii="Helvetica" w:hAnsi="Arial Unicode MS" w:eastAsia="Arial Unicode MS" w:cs="Arial Unicode MS"/>
      <w:color w:val="000000"/>
      <w:sz w:val="24"/>
      <w:szCs w:val="24"/>
      <w:lang w:val="en-US" w:eastAsia="zh-CN" w:bidi="ar-SA"/>
    </w:rPr>
  </w:style>
  <w:style w:type="character" w:customStyle="1" w:styleId="419">
    <w:name w:val="页眉 Char2"/>
    <w:basedOn w:val="56"/>
    <w:autoRedefine/>
    <w:semiHidden/>
    <w:qFormat/>
    <w:uiPriority w:val="99"/>
    <w:rPr>
      <w:kern w:val="2"/>
      <w:sz w:val="18"/>
      <w:szCs w:val="18"/>
    </w:rPr>
  </w:style>
  <w:style w:type="paragraph" w:customStyle="1" w:styleId="420">
    <w:name w:val="xl82"/>
    <w:basedOn w:val="1"/>
    <w:autoRedefine/>
    <w:qFormat/>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4"/>
    </w:rPr>
  </w:style>
  <w:style w:type="paragraph" w:customStyle="1" w:styleId="421">
    <w:name w:val="2-2ji"/>
    <w:basedOn w:val="5"/>
    <w:autoRedefine/>
    <w:qFormat/>
    <w:uiPriority w:val="0"/>
    <w:pPr>
      <w:adjustRightInd w:val="0"/>
      <w:spacing w:before="0" w:after="0" w:line="360" w:lineRule="auto"/>
      <w:jc w:val="center"/>
      <w:textAlignment w:val="baseline"/>
    </w:pPr>
    <w:rPr>
      <w:rFonts w:ascii="宋体" w:hAnsi="宋体"/>
      <w:bCs w:val="0"/>
      <w:kern w:val="0"/>
      <w:sz w:val="36"/>
    </w:rPr>
  </w:style>
  <w:style w:type="paragraph" w:customStyle="1" w:styleId="422">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423">
    <w:name w:val="style24"/>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424">
    <w:name w:val="Char Char Char Char Char Char Char Char Char Char Char Char Char"/>
    <w:basedOn w:val="17"/>
    <w:autoRedefine/>
    <w:qFormat/>
    <w:uiPriority w:val="0"/>
    <w:pPr>
      <w:adjustRightInd/>
      <w:spacing w:line="240" w:lineRule="auto"/>
      <w:textAlignment w:val="auto"/>
    </w:pPr>
    <w:rPr>
      <w:rFonts w:ascii="Tahoma" w:hAnsi="Tahoma"/>
      <w:kern w:val="2"/>
      <w:sz w:val="24"/>
      <w:szCs w:val="24"/>
    </w:rPr>
  </w:style>
  <w:style w:type="paragraph" w:customStyle="1" w:styleId="425">
    <w:name w:val="空半行"/>
    <w:basedOn w:val="1"/>
    <w:autoRedefine/>
    <w:qFormat/>
    <w:uiPriority w:val="0"/>
    <w:pPr>
      <w:adjustRightInd w:val="0"/>
      <w:spacing w:line="120" w:lineRule="exact"/>
    </w:pPr>
    <w:rPr>
      <w:rFonts w:eastAsia="仿宋_GB2312"/>
      <w:color w:val="FFFFFF"/>
      <w:kern w:val="0"/>
      <w:sz w:val="30"/>
      <w:szCs w:val="20"/>
    </w:rPr>
  </w:style>
  <w:style w:type="character" w:customStyle="1" w:styleId="426">
    <w:name w:val="引用 Char3"/>
    <w:basedOn w:val="56"/>
    <w:autoRedefine/>
    <w:qFormat/>
    <w:uiPriority w:val="29"/>
    <w:rPr>
      <w:i/>
      <w:iCs/>
      <w:color w:val="000000" w:themeColor="text1"/>
      <w:kern w:val="2"/>
      <w:sz w:val="21"/>
      <w:szCs w:val="24"/>
      <w14:textFill>
        <w14:solidFill>
          <w14:schemeClr w14:val="tx1"/>
        </w14:solidFill>
      </w14:textFill>
    </w:rPr>
  </w:style>
  <w:style w:type="paragraph" w:customStyle="1" w:styleId="427">
    <w:name w:val="Char Char Char1 Char"/>
    <w:basedOn w:val="1"/>
    <w:autoRedefine/>
    <w:qFormat/>
    <w:uiPriority w:val="0"/>
    <w:rPr>
      <w:szCs w:val="21"/>
    </w:rPr>
  </w:style>
  <w:style w:type="paragraph" w:customStyle="1" w:styleId="428">
    <w:name w:val="pa-0"/>
    <w:basedOn w:val="1"/>
    <w:autoRedefine/>
    <w:qFormat/>
    <w:uiPriority w:val="0"/>
    <w:pPr>
      <w:widowControl/>
      <w:spacing w:before="125" w:after="125"/>
      <w:jc w:val="left"/>
    </w:pPr>
    <w:rPr>
      <w:rFonts w:ascii="宋体" w:hAnsi="宋体" w:cs="宋体"/>
      <w:kern w:val="0"/>
      <w:sz w:val="24"/>
    </w:rPr>
  </w:style>
  <w:style w:type="character" w:customStyle="1" w:styleId="429">
    <w:name w:val="纯文本 Char4"/>
    <w:basedOn w:val="56"/>
    <w:autoRedefine/>
    <w:semiHidden/>
    <w:qFormat/>
    <w:uiPriority w:val="99"/>
    <w:rPr>
      <w:rFonts w:ascii="宋体" w:hAnsi="Courier New" w:cs="Courier New"/>
      <w:kern w:val="2"/>
      <w:sz w:val="21"/>
      <w:szCs w:val="21"/>
    </w:rPr>
  </w:style>
  <w:style w:type="paragraph" w:customStyle="1" w:styleId="430">
    <w:name w:val="样式 标题 2 + Times New Roman 四号 非加粗 段前: 5 磅 段后: 0 磅 行距: 固定值 20..."/>
    <w:basedOn w:val="5"/>
    <w:autoRedefine/>
    <w:qFormat/>
    <w:uiPriority w:val="0"/>
    <w:pPr>
      <w:spacing w:before="100" w:after="0" w:line="400" w:lineRule="exact"/>
    </w:pPr>
    <w:rPr>
      <w:rFonts w:ascii="Times New Roman" w:hAnsi="Times New Roman" w:eastAsia="黑体" w:cs="宋体"/>
      <w:b w:val="0"/>
      <w:bCs w:val="0"/>
      <w:kern w:val="0"/>
      <w:sz w:val="28"/>
      <w:szCs w:val="20"/>
    </w:rPr>
  </w:style>
  <w:style w:type="paragraph" w:customStyle="1" w:styleId="431">
    <w:name w:val="p0"/>
    <w:basedOn w:val="1"/>
    <w:autoRedefine/>
    <w:qFormat/>
    <w:uiPriority w:val="0"/>
    <w:pPr>
      <w:widowControl/>
    </w:pPr>
    <w:rPr>
      <w:kern w:val="0"/>
      <w:szCs w:val="21"/>
    </w:rPr>
  </w:style>
  <w:style w:type="paragraph" w:customStyle="1" w:styleId="432">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33">
    <w:name w:val="正文缩进2"/>
    <w:basedOn w:val="1"/>
    <w:autoRedefine/>
    <w:qFormat/>
    <w:uiPriority w:val="0"/>
    <w:pPr>
      <w:tabs>
        <w:tab w:val="left" w:pos="0"/>
      </w:tabs>
      <w:snapToGrid w:val="0"/>
      <w:spacing w:line="360" w:lineRule="auto"/>
      <w:ind w:firstLine="502"/>
    </w:pPr>
    <w:rPr>
      <w:rFonts w:ascii="宋体" w:hAnsi="宋体"/>
      <w:szCs w:val="21"/>
    </w:rPr>
  </w:style>
  <w:style w:type="character" w:customStyle="1" w:styleId="434">
    <w:name w:val="脚注文本 Char3"/>
    <w:basedOn w:val="56"/>
    <w:autoRedefine/>
    <w:semiHidden/>
    <w:qFormat/>
    <w:uiPriority w:val="99"/>
    <w:rPr>
      <w:kern w:val="2"/>
      <w:sz w:val="18"/>
      <w:szCs w:val="18"/>
    </w:rPr>
  </w:style>
  <w:style w:type="paragraph" w:customStyle="1" w:styleId="435">
    <w:name w:val="Char11"/>
    <w:basedOn w:val="1"/>
    <w:autoRedefine/>
    <w:qFormat/>
    <w:uiPriority w:val="0"/>
    <w:rPr>
      <w:szCs w:val="21"/>
    </w:rPr>
  </w:style>
  <w:style w:type="paragraph" w:customStyle="1" w:styleId="436">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7">
    <w:name w:val="正文 A"/>
    <w:autoRedefine/>
    <w:qFormat/>
    <w:uiPriority w:val="0"/>
    <w:pPr>
      <w:widowControl w:val="0"/>
      <w:pBdr>
        <w:top w:val="none" w:color="FFFFFF" w:sz="0" w:space="31"/>
        <w:left w:val="none" w:color="FFFFFF" w:sz="0" w:space="31"/>
        <w:bottom w:val="none" w:color="FFFFFF" w:sz="0" w:space="31"/>
        <w:right w:val="none" w:color="FFFFFF" w:sz="0" w:space="31"/>
      </w:pBdr>
      <w:jc w:val="both"/>
    </w:pPr>
    <w:rPr>
      <w:rFonts w:ascii="Times New Roman" w:hAnsi="Arial Unicode MS" w:eastAsia="Times New Roman" w:cs="Arial Unicode MS"/>
      <w:color w:val="000000"/>
      <w:kern w:val="2"/>
      <w:sz w:val="21"/>
      <w:szCs w:val="21"/>
      <w:lang w:val="en-US" w:eastAsia="zh-CN" w:bidi="ar-SA"/>
    </w:rPr>
  </w:style>
  <w:style w:type="paragraph" w:customStyle="1" w:styleId="438">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styleId="439">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0">
    <w:name w:val="xl4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41">
    <w:name w:val="Char1"/>
    <w:basedOn w:val="1"/>
    <w:autoRedefine/>
    <w:qFormat/>
    <w:uiPriority w:val="0"/>
    <w:pPr>
      <w:widowControl/>
      <w:tabs>
        <w:tab w:val="left" w:pos="509"/>
      </w:tabs>
      <w:spacing w:after="160" w:line="240" w:lineRule="exact"/>
      <w:ind w:left="252"/>
      <w:jc w:val="left"/>
    </w:pPr>
    <w:rPr>
      <w:rFonts w:ascii="Verdana" w:hAnsi="Verdana" w:eastAsia="仿宋_GB2312"/>
      <w:kern w:val="0"/>
      <w:sz w:val="24"/>
      <w:szCs w:val="20"/>
      <w:lang w:eastAsia="en-US"/>
    </w:rPr>
  </w:style>
  <w:style w:type="paragraph" w:customStyle="1" w:styleId="442">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443">
    <w:name w:val="1级"/>
    <w:basedOn w:val="4"/>
    <w:autoRedefine/>
    <w:qFormat/>
    <w:uiPriority w:val="0"/>
    <w:pPr>
      <w:keepNext w:val="0"/>
      <w:spacing w:line="520" w:lineRule="exact"/>
      <w:jc w:val="center"/>
    </w:pPr>
    <w:rPr>
      <w:rFonts w:ascii="黑体" w:eastAsia="黑体"/>
      <w:b w:val="0"/>
    </w:rPr>
  </w:style>
  <w:style w:type="paragraph" w:customStyle="1" w:styleId="444">
    <w:name w:val="默认段落字体 Para Char Char Char Char Char Char Char Char Char Char"/>
    <w:basedOn w:val="1"/>
    <w:autoRedefine/>
    <w:qFormat/>
    <w:uiPriority w:val="0"/>
    <w:rPr>
      <w:rFonts w:ascii="Tahoma" w:hAnsi="Tahoma"/>
      <w:sz w:val="24"/>
      <w:u w:val="single"/>
    </w:rPr>
  </w:style>
  <w:style w:type="paragraph" w:customStyle="1" w:styleId="445">
    <w:name w:val="xl85"/>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rPr>
  </w:style>
  <w:style w:type="paragraph" w:customStyle="1" w:styleId="446">
    <w:name w:val="Char1 Char Char Char Char Char Char"/>
    <w:basedOn w:val="1"/>
    <w:autoRedefine/>
    <w:qFormat/>
    <w:uiPriority w:val="0"/>
    <w:rPr>
      <w:rFonts w:ascii="Tahoma" w:hAnsi="Tahoma"/>
      <w:sz w:val="24"/>
      <w:szCs w:val="20"/>
    </w:rPr>
  </w:style>
  <w:style w:type="paragraph" w:customStyle="1" w:styleId="447">
    <w:name w:val="TOC 标题11"/>
    <w:basedOn w:val="4"/>
    <w:next w:val="1"/>
    <w:autoRedefine/>
    <w:qFormat/>
    <w:uiPriority w:val="0"/>
    <w:pPr>
      <w:spacing w:line="576" w:lineRule="auto"/>
      <w:outlineLvl w:val="9"/>
    </w:pPr>
    <w:rPr>
      <w:rFonts w:ascii="Calibri" w:hAnsi="Calibri" w:eastAsia="黑体"/>
    </w:rPr>
  </w:style>
  <w:style w:type="paragraph" w:customStyle="1" w:styleId="448">
    <w:name w:val="slStyle10"/>
    <w:basedOn w:val="1"/>
    <w:next w:val="1"/>
    <w:autoRedefine/>
    <w:qFormat/>
    <w:uiPriority w:val="0"/>
    <w:pPr>
      <w:suppressAutoHyphens/>
      <w:kinsoku w:val="0"/>
      <w:overflowPunct w:val="0"/>
      <w:autoSpaceDE w:val="0"/>
      <w:autoSpaceDN w:val="0"/>
      <w:adjustRightInd w:val="0"/>
      <w:spacing w:line="440" w:lineRule="exact"/>
      <w:jc w:val="center"/>
    </w:pPr>
    <w:rPr>
      <w:rFonts w:ascii="宋体" w:hAnsi="宋体"/>
      <w:color w:val="000000"/>
      <w:sz w:val="24"/>
    </w:rPr>
  </w:style>
  <w:style w:type="paragraph" w:customStyle="1" w:styleId="449">
    <w:name w:val="font6"/>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450">
    <w:name w:val="正文_3_0_0"/>
    <w:basedOn w:val="354"/>
    <w:autoRedefine/>
    <w:qFormat/>
    <w:uiPriority w:val="0"/>
    <w:rPr>
      <w:rFonts w:cs="宋体"/>
      <w:szCs w:val="21"/>
    </w:rPr>
  </w:style>
  <w:style w:type="character" w:customStyle="1" w:styleId="451">
    <w:name w:val="正文文本 Char3"/>
    <w:basedOn w:val="56"/>
    <w:autoRedefine/>
    <w:semiHidden/>
    <w:qFormat/>
    <w:uiPriority w:val="99"/>
    <w:rPr>
      <w:kern w:val="2"/>
      <w:sz w:val="21"/>
      <w:szCs w:val="24"/>
    </w:rPr>
  </w:style>
  <w:style w:type="paragraph" w:customStyle="1" w:styleId="452">
    <w:name w:val="xl79"/>
    <w:basedOn w:val="1"/>
    <w:autoRedefine/>
    <w:qFormat/>
    <w:uiPriority w:val="0"/>
    <w:pPr>
      <w:widowControl/>
      <w:spacing w:before="100" w:beforeAutospacing="1" w:after="100" w:afterAutospacing="1"/>
      <w:jc w:val="left"/>
      <w:textAlignment w:val="bottom"/>
    </w:pPr>
    <w:rPr>
      <w:rFonts w:ascii="Helv" w:hAnsi="Helv" w:cs="宋体"/>
      <w:kern w:val="0"/>
      <w:sz w:val="20"/>
      <w:szCs w:val="20"/>
    </w:rPr>
  </w:style>
  <w:style w:type="paragraph" w:customStyle="1" w:styleId="453">
    <w:name w:val="表格正文"/>
    <w:basedOn w:val="1"/>
    <w:autoRedefine/>
    <w:qFormat/>
    <w:uiPriority w:val="0"/>
    <w:pPr>
      <w:spacing w:before="62" w:after="62" w:line="300" w:lineRule="auto"/>
      <w:jc w:val="left"/>
    </w:pPr>
    <w:rPr>
      <w:rFonts w:ascii="Verdana" w:hAnsi="Verdana" w:cs="宋体"/>
      <w:szCs w:val="21"/>
    </w:rPr>
  </w:style>
  <w:style w:type="paragraph" w:customStyle="1" w:styleId="454">
    <w:name w:val="Copyright"/>
    <w:basedOn w:val="1"/>
    <w:autoRedefine/>
    <w:qFormat/>
    <w:uiPriority w:val="99"/>
    <w:pPr>
      <w:widowControl/>
      <w:spacing w:before="480" w:after="60" w:line="300" w:lineRule="auto"/>
      <w:ind w:firstLine="200" w:firstLineChars="200"/>
      <w:jc w:val="center"/>
    </w:pPr>
    <w:rPr>
      <w:rFonts w:ascii="Trebuchet MS" w:hAnsi="Trebuchet MS" w:cs="Trebuchet MS"/>
      <w:b/>
      <w:color w:val="042D56"/>
      <w:kern w:val="0"/>
      <w:sz w:val="20"/>
      <w:lang w:val="en-AU" w:eastAsia="en-AU"/>
    </w:rPr>
  </w:style>
  <w:style w:type="paragraph" w:customStyle="1" w:styleId="455">
    <w:name w:val="目录2"/>
    <w:basedOn w:val="1"/>
    <w:next w:val="1"/>
    <w:autoRedefine/>
    <w:qFormat/>
    <w:uiPriority w:val="0"/>
    <w:pPr>
      <w:widowControl/>
      <w:tabs>
        <w:tab w:val="left" w:leader="dot" w:pos="8503"/>
      </w:tabs>
      <w:spacing w:line="317" w:lineRule="atLeast"/>
      <w:ind w:firstLine="209"/>
      <w:textAlignment w:val="baseline"/>
    </w:pPr>
    <w:rPr>
      <w:color w:val="000000"/>
      <w:kern w:val="0"/>
      <w:szCs w:val="20"/>
    </w:rPr>
  </w:style>
  <w:style w:type="paragraph" w:customStyle="1" w:styleId="456">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57">
    <w:name w:val="xl8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rPr>
  </w:style>
  <w:style w:type="paragraph" w:customStyle="1" w:styleId="458">
    <w:name w:val="表格"/>
    <w:basedOn w:val="1"/>
    <w:autoRedefine/>
    <w:qFormat/>
    <w:uiPriority w:val="0"/>
    <w:pPr>
      <w:spacing w:line="400" w:lineRule="exact"/>
    </w:pPr>
    <w:rPr>
      <w:sz w:val="24"/>
    </w:rPr>
  </w:style>
  <w:style w:type="paragraph" w:customStyle="1" w:styleId="459">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60">
    <w:name w:val="TOC 标题1"/>
    <w:basedOn w:val="4"/>
    <w:next w:val="1"/>
    <w:autoRedefine/>
    <w:qFormat/>
    <w:uiPriority w:val="0"/>
    <w:pPr>
      <w:spacing w:line="576" w:lineRule="auto"/>
      <w:outlineLvl w:val="9"/>
    </w:pPr>
    <w:rPr>
      <w:rFonts w:eastAsia="黑体"/>
    </w:rPr>
  </w:style>
  <w:style w:type="paragraph" w:customStyle="1" w:styleId="461">
    <w:name w:val="paragraph1"/>
    <w:basedOn w:val="1"/>
    <w:autoRedefine/>
    <w:qFormat/>
    <w:uiPriority w:val="0"/>
    <w:pPr>
      <w:spacing w:afterLines="20" w:line="300" w:lineRule="auto"/>
      <w:ind w:firstLine="200" w:firstLineChars="200"/>
    </w:pPr>
    <w:rPr>
      <w:sz w:val="24"/>
    </w:rPr>
  </w:style>
  <w:style w:type="paragraph" w:customStyle="1" w:styleId="462">
    <w:name w:val="目录文字"/>
    <w:basedOn w:val="1"/>
    <w:autoRedefine/>
    <w:qFormat/>
    <w:uiPriority w:val="0"/>
    <w:pPr>
      <w:widowControl/>
      <w:spacing w:line="480" w:lineRule="auto"/>
      <w:jc w:val="left"/>
    </w:pPr>
    <w:rPr>
      <w:rFonts w:ascii="宋体" w:hAnsi="宋体"/>
      <w:kern w:val="0"/>
      <w:sz w:val="24"/>
      <w:szCs w:val="20"/>
    </w:rPr>
  </w:style>
  <w:style w:type="paragraph" w:customStyle="1" w:styleId="463">
    <w:name w:val="无间隔2_0"/>
    <w:basedOn w:val="362"/>
    <w:autoRedefine/>
    <w:qFormat/>
    <w:uiPriority w:val="0"/>
    <w:rPr>
      <w:rFonts w:ascii="Calibri" w:hAnsi="Calibri"/>
      <w:szCs w:val="21"/>
    </w:rPr>
  </w:style>
  <w:style w:type="paragraph" w:customStyle="1" w:styleId="464">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0"/>
      <w:szCs w:val="20"/>
    </w:rPr>
  </w:style>
  <w:style w:type="paragraph" w:customStyle="1" w:styleId="465">
    <w:name w:val="正文_3_0"/>
    <w:basedOn w:val="354"/>
    <w:autoRedefine/>
    <w:qFormat/>
    <w:uiPriority w:val="0"/>
    <w:rPr>
      <w:szCs w:val="21"/>
    </w:rPr>
  </w:style>
  <w:style w:type="paragraph" w:customStyle="1" w:styleId="466">
    <w:name w:val="修订11"/>
    <w:autoRedefine/>
    <w:qFormat/>
    <w:uiPriority w:val="0"/>
    <w:rPr>
      <w:rFonts w:ascii="Times New Roman" w:hAnsi="Times New Roman" w:eastAsia="宋体" w:cs="Times New Roman"/>
      <w:kern w:val="2"/>
      <w:sz w:val="21"/>
      <w:szCs w:val="24"/>
      <w:lang w:val="en-US" w:eastAsia="zh-CN" w:bidi="ar-SA"/>
    </w:rPr>
  </w:style>
  <w:style w:type="paragraph" w:customStyle="1" w:styleId="467">
    <w:name w:val="Char Char Char Char Char Char1 Char"/>
    <w:basedOn w:val="1"/>
    <w:autoRedefine/>
    <w:qFormat/>
    <w:uiPriority w:val="0"/>
    <w:pPr>
      <w:widowControl/>
      <w:spacing w:after="160" w:line="240" w:lineRule="exact"/>
      <w:jc w:val="left"/>
    </w:pPr>
    <w:rPr>
      <w:rFonts w:eastAsia="仿宋_GB2312" w:cs="宋体"/>
      <w:kern w:val="0"/>
      <w:szCs w:val="20"/>
      <w:lang w:eastAsia="en-US"/>
    </w:rPr>
  </w:style>
  <w:style w:type="paragraph" w:customStyle="1" w:styleId="468">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69">
    <w:name w:val="目录3"/>
    <w:basedOn w:val="1"/>
    <w:next w:val="1"/>
    <w:autoRedefine/>
    <w:qFormat/>
    <w:uiPriority w:val="0"/>
    <w:pPr>
      <w:widowControl/>
      <w:tabs>
        <w:tab w:val="left" w:leader="dot" w:pos="8503"/>
      </w:tabs>
      <w:spacing w:line="317" w:lineRule="atLeast"/>
      <w:ind w:firstLine="419"/>
      <w:textAlignment w:val="baseline"/>
    </w:pPr>
    <w:rPr>
      <w:color w:val="000000"/>
      <w:kern w:val="0"/>
      <w:szCs w:val="20"/>
    </w:rPr>
  </w:style>
  <w:style w:type="paragraph" w:customStyle="1" w:styleId="470">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character" w:customStyle="1" w:styleId="471">
    <w:name w:val="批注文字 Char4"/>
    <w:basedOn w:val="56"/>
    <w:autoRedefine/>
    <w:semiHidden/>
    <w:qFormat/>
    <w:uiPriority w:val="99"/>
    <w:rPr>
      <w:kern w:val="2"/>
      <w:sz w:val="21"/>
      <w:szCs w:val="24"/>
    </w:rPr>
  </w:style>
  <w:style w:type="character" w:customStyle="1" w:styleId="472">
    <w:name w:val="批注主题 Char1"/>
    <w:basedOn w:val="471"/>
    <w:autoRedefine/>
    <w:semiHidden/>
    <w:qFormat/>
    <w:uiPriority w:val="99"/>
    <w:rPr>
      <w:b/>
      <w:bCs/>
      <w:kern w:val="2"/>
      <w:sz w:val="21"/>
      <w:szCs w:val="24"/>
    </w:rPr>
  </w:style>
  <w:style w:type="paragraph" w:customStyle="1" w:styleId="473">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74">
    <w:name w:val="TOC 标题2"/>
    <w:basedOn w:val="4"/>
    <w:next w:val="1"/>
    <w:autoRedefine/>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75">
    <w:name w:val="样式 标题 3 + (中文) 黑体 小四 非加粗 段前: 7.8 磅 段后: 0 磅 行距: 固定值 20 磅"/>
    <w:basedOn w:val="6"/>
    <w:autoRedefine/>
    <w:qFormat/>
    <w:uiPriority w:val="0"/>
    <w:pPr>
      <w:spacing w:before="0" w:after="0" w:line="400" w:lineRule="exact"/>
    </w:pPr>
    <w:rPr>
      <w:rFonts w:eastAsia="黑体" w:cs="宋体"/>
      <w:b w:val="0"/>
      <w:bCs w:val="0"/>
      <w:kern w:val="0"/>
      <w:sz w:val="24"/>
      <w:szCs w:val="20"/>
    </w:rPr>
  </w:style>
  <w:style w:type="paragraph" w:customStyle="1" w:styleId="476">
    <w:name w:val="Char Char Char Char Char Char Char Char Char Char"/>
    <w:basedOn w:val="17"/>
    <w:autoRedefine/>
    <w:qFormat/>
    <w:uiPriority w:val="0"/>
    <w:pPr>
      <w:keepNext/>
      <w:numPr>
        <w:ilvl w:val="0"/>
        <w:numId w:val="1"/>
      </w:numPr>
      <w:adjustRightInd/>
      <w:spacing w:beforeLines="100" w:line="240" w:lineRule="auto"/>
      <w:textAlignment w:val="auto"/>
    </w:pPr>
    <w:rPr>
      <w:rFonts w:ascii="Tahoma" w:hAnsi="Tahoma"/>
      <w:kern w:val="2"/>
      <w:sz w:val="24"/>
      <w:szCs w:val="24"/>
    </w:rPr>
  </w:style>
  <w:style w:type="paragraph" w:customStyle="1" w:styleId="477">
    <w:name w:val="_Style 37"/>
    <w:basedOn w:val="1"/>
    <w:next w:val="1"/>
    <w:autoRedefine/>
    <w:qFormat/>
    <w:uiPriority w:val="0"/>
  </w:style>
  <w:style w:type="paragraph" w:customStyle="1" w:styleId="478">
    <w:name w:val="样式 标题 2 + 宋体 黑色"/>
    <w:basedOn w:val="5"/>
    <w:autoRedefine/>
    <w:qFormat/>
    <w:uiPriority w:val="0"/>
    <w:pPr>
      <w:adjustRightInd w:val="0"/>
      <w:snapToGrid w:val="0"/>
      <w:spacing w:before="0" w:after="0" w:line="360" w:lineRule="auto"/>
      <w:ind w:left="50" w:leftChars="50" w:right="50" w:rightChars="50"/>
    </w:pPr>
    <w:rPr>
      <w:rFonts w:ascii="宋体" w:hAnsi="宋体"/>
      <w:color w:val="000000"/>
    </w:rPr>
  </w:style>
  <w:style w:type="paragraph" w:customStyle="1" w:styleId="479">
    <w:name w:val="444"/>
    <w:basedOn w:val="1"/>
    <w:autoRedefine/>
    <w:qFormat/>
    <w:uiPriority w:val="0"/>
    <w:pPr>
      <w:adjustRightInd w:val="0"/>
      <w:spacing w:line="312" w:lineRule="atLeast"/>
      <w:jc w:val="center"/>
      <w:textAlignment w:val="baseline"/>
    </w:pPr>
    <w:rPr>
      <w:b/>
      <w:kern w:val="0"/>
      <w:sz w:val="36"/>
      <w:szCs w:val="36"/>
    </w:rPr>
  </w:style>
  <w:style w:type="paragraph" w:customStyle="1" w:styleId="480">
    <w:name w:val="正文1"/>
    <w:autoRedefine/>
    <w:qFormat/>
    <w:uiPriority w:val="0"/>
    <w:rPr>
      <w:rFonts w:ascii="Times New Roman" w:hAnsi="Times New Roman" w:eastAsia="Times New Roman" w:cs="Times New Roman"/>
      <w:sz w:val="24"/>
      <w:szCs w:val="24"/>
      <w:lang w:val="en-US" w:eastAsia="zh-CN" w:bidi="ar-SA"/>
    </w:rPr>
  </w:style>
  <w:style w:type="paragraph" w:customStyle="1" w:styleId="481">
    <w:name w:val="Char Char Char Char1"/>
    <w:basedOn w:val="17"/>
    <w:autoRedefine/>
    <w:qFormat/>
    <w:uiPriority w:val="0"/>
    <w:pPr>
      <w:snapToGrid w:val="0"/>
      <w:spacing w:line="360" w:lineRule="auto"/>
      <w:textAlignment w:val="auto"/>
    </w:pPr>
    <w:rPr>
      <w:rFonts w:ascii="Tahoma" w:hAnsi="Tahoma"/>
      <w:kern w:val="2"/>
      <w:sz w:val="24"/>
      <w:szCs w:val="24"/>
    </w:rPr>
  </w:style>
  <w:style w:type="paragraph" w:customStyle="1" w:styleId="482">
    <w:name w:val="font0"/>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483">
    <w:name w:val="正文文本 2 Char2"/>
    <w:basedOn w:val="56"/>
    <w:autoRedefine/>
    <w:semiHidden/>
    <w:qFormat/>
    <w:uiPriority w:val="99"/>
    <w:rPr>
      <w:kern w:val="2"/>
      <w:sz w:val="21"/>
      <w:szCs w:val="24"/>
    </w:rPr>
  </w:style>
  <w:style w:type="paragraph" w:customStyle="1" w:styleId="484">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485">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486">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487">
    <w:name w:val="样式 标题 2 + (西文) 宋体 非加粗 居中"/>
    <w:basedOn w:val="5"/>
    <w:autoRedefine/>
    <w:qFormat/>
    <w:uiPriority w:val="0"/>
    <w:pPr>
      <w:jc w:val="center"/>
    </w:pPr>
    <w:rPr>
      <w:rFonts w:ascii="宋体" w:hAnsi="宋体" w:eastAsia="黑体" w:cs="宋体"/>
      <w:b w:val="0"/>
      <w:bCs w:val="0"/>
      <w:spacing w:val="2"/>
      <w:kern w:val="0"/>
      <w:sz w:val="28"/>
      <w:szCs w:val="20"/>
    </w:rPr>
  </w:style>
  <w:style w:type="paragraph" w:customStyle="1" w:styleId="488">
    <w:name w:val="纯文本1"/>
    <w:basedOn w:val="1"/>
    <w:autoRedefine/>
    <w:qFormat/>
    <w:uiPriority w:val="0"/>
    <w:pPr>
      <w:suppressAutoHyphens/>
    </w:pPr>
    <w:rPr>
      <w:rFonts w:ascii="宋体" w:hAnsi="宋体" w:cs="Calibri"/>
      <w:kern w:val="1"/>
      <w:sz w:val="20"/>
      <w:szCs w:val="21"/>
      <w:lang w:eastAsia="ar-SA"/>
    </w:rPr>
  </w:style>
  <w:style w:type="paragraph" w:customStyle="1" w:styleId="489">
    <w:name w:val="默认段落字体 Para Char1"/>
    <w:next w:val="1"/>
    <w:autoRedefine/>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490">
    <w:name w:val="2ji"/>
    <w:basedOn w:val="5"/>
    <w:autoRedefine/>
    <w:qFormat/>
    <w:uiPriority w:val="0"/>
    <w:pPr>
      <w:adjustRightInd w:val="0"/>
      <w:spacing w:before="0" w:after="0" w:line="360" w:lineRule="auto"/>
      <w:textAlignment w:val="baseline"/>
    </w:pPr>
    <w:rPr>
      <w:rFonts w:ascii="宋体" w:hAnsi="宋体"/>
      <w:kern w:val="0"/>
      <w:sz w:val="21"/>
      <w:szCs w:val="21"/>
    </w:rPr>
  </w:style>
  <w:style w:type="paragraph" w:customStyle="1" w:styleId="491">
    <w:name w:val="修订211"/>
    <w:autoRedefine/>
    <w:semiHidden/>
    <w:qFormat/>
    <w:uiPriority w:val="99"/>
    <w:rPr>
      <w:rFonts w:ascii="Times New Roman" w:hAnsi="Times New Roman" w:eastAsia="宋体" w:cs="Times New Roman"/>
      <w:kern w:val="2"/>
      <w:sz w:val="21"/>
      <w:szCs w:val="24"/>
      <w:lang w:val="en-US" w:eastAsia="zh-CN" w:bidi="ar-SA"/>
    </w:rPr>
  </w:style>
  <w:style w:type="paragraph" w:customStyle="1" w:styleId="492">
    <w:name w:val="font10"/>
    <w:basedOn w:val="1"/>
    <w:autoRedefine/>
    <w:qFormat/>
    <w:uiPriority w:val="0"/>
    <w:pPr>
      <w:widowControl/>
      <w:spacing w:before="100" w:beforeAutospacing="1" w:after="100" w:afterAutospacing="1"/>
      <w:jc w:val="left"/>
    </w:pPr>
    <w:rPr>
      <w:rFonts w:ascii="宋体" w:hAnsi="宋体" w:cs="宋体"/>
      <w:b/>
      <w:bCs/>
      <w:szCs w:val="21"/>
    </w:rPr>
  </w:style>
  <w:style w:type="paragraph" w:customStyle="1" w:styleId="493">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94">
    <w:name w:val="Char Char Char Char Char Char1 Char1"/>
    <w:basedOn w:val="1"/>
    <w:autoRedefine/>
    <w:qFormat/>
    <w:uiPriority w:val="0"/>
    <w:pPr>
      <w:widowControl/>
      <w:spacing w:after="160" w:line="240" w:lineRule="exact"/>
      <w:jc w:val="left"/>
    </w:pPr>
    <w:rPr>
      <w:rFonts w:ascii="Arial" w:hAnsi="Arial" w:eastAsia="楷体_GB2312" w:cs="Verdana"/>
      <w:b/>
      <w:kern w:val="0"/>
      <w:sz w:val="24"/>
      <w:lang w:eastAsia="en-US"/>
    </w:rPr>
  </w:style>
  <w:style w:type="paragraph" w:customStyle="1" w:styleId="495">
    <w:name w:val="xl77"/>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4"/>
    </w:rPr>
  </w:style>
  <w:style w:type="character" w:customStyle="1" w:styleId="496">
    <w:name w:val="尾注文本 Char1"/>
    <w:basedOn w:val="56"/>
    <w:autoRedefine/>
    <w:semiHidden/>
    <w:qFormat/>
    <w:uiPriority w:val="99"/>
    <w:rPr>
      <w:kern w:val="2"/>
      <w:sz w:val="21"/>
      <w:szCs w:val="24"/>
    </w:rPr>
  </w:style>
  <w:style w:type="paragraph" w:customStyle="1" w:styleId="497">
    <w:name w:val="节标题"/>
    <w:basedOn w:val="1"/>
    <w:next w:val="498"/>
    <w:autoRedefine/>
    <w:qFormat/>
    <w:uiPriority w:val="0"/>
    <w:pPr>
      <w:widowControl/>
      <w:spacing w:line="289" w:lineRule="atLeast"/>
      <w:jc w:val="center"/>
      <w:textAlignment w:val="baseline"/>
    </w:pPr>
    <w:rPr>
      <w:color w:val="000000"/>
      <w:kern w:val="0"/>
      <w:sz w:val="28"/>
      <w:szCs w:val="20"/>
    </w:rPr>
  </w:style>
  <w:style w:type="paragraph" w:customStyle="1" w:styleId="498">
    <w:name w:val="小节标题"/>
    <w:basedOn w:val="1"/>
    <w:next w:val="1"/>
    <w:autoRedefine/>
    <w:qFormat/>
    <w:uiPriority w:val="0"/>
    <w:pPr>
      <w:widowControl/>
      <w:spacing w:before="175" w:after="102" w:line="351" w:lineRule="atLeast"/>
      <w:textAlignment w:val="baseline"/>
    </w:pPr>
    <w:rPr>
      <w:rFonts w:eastAsia="黑体"/>
      <w:color w:val="000000"/>
      <w:kern w:val="0"/>
      <w:szCs w:val="20"/>
    </w:rPr>
  </w:style>
  <w:style w:type="paragraph" w:customStyle="1" w:styleId="499">
    <w:name w:val="xl4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00">
    <w:name w:val="2级"/>
    <w:basedOn w:val="1"/>
    <w:autoRedefine/>
    <w:qFormat/>
    <w:uiPriority w:val="0"/>
    <w:pPr>
      <w:tabs>
        <w:tab w:val="left" w:pos="360"/>
      </w:tabs>
      <w:spacing w:beforeLines="50" w:line="360" w:lineRule="auto"/>
      <w:ind w:left="360" w:hanging="360"/>
      <w:outlineLvl w:val="1"/>
    </w:pPr>
    <w:rPr>
      <w:rFonts w:eastAsia="黑体"/>
      <w:sz w:val="32"/>
    </w:rPr>
  </w:style>
  <w:style w:type="paragraph" w:customStyle="1" w:styleId="501">
    <w:name w:val="样式 样式 首行缩进: 2 字符"/>
    <w:basedOn w:val="1"/>
    <w:autoRedefine/>
    <w:qFormat/>
    <w:uiPriority w:val="0"/>
    <w:pPr>
      <w:widowControl/>
      <w:ind w:firstLine="480" w:firstLineChars="200"/>
      <w:jc w:val="left"/>
    </w:pPr>
    <w:rPr>
      <w:rFonts w:cs="宋体"/>
      <w:kern w:val="0"/>
      <w:sz w:val="24"/>
      <w:szCs w:val="20"/>
    </w:rPr>
  </w:style>
  <w:style w:type="paragraph" w:customStyle="1" w:styleId="502">
    <w:name w:val="P_MsoNormal"/>
    <w:basedOn w:val="1"/>
    <w:autoRedefine/>
    <w:qFormat/>
    <w:uiPriority w:val="0"/>
    <w:pPr>
      <w:widowControl/>
    </w:pPr>
    <w:rPr>
      <w:rFonts w:eastAsia="Times New Roman"/>
      <w:kern w:val="0"/>
    </w:rPr>
  </w:style>
  <w:style w:type="paragraph" w:customStyle="1" w:styleId="503">
    <w:name w:val="正文_0_0_0"/>
    <w:basedOn w:val="362"/>
    <w:autoRedefine/>
    <w:qFormat/>
    <w:uiPriority w:val="0"/>
    <w:rPr>
      <w:rFonts w:ascii="Calibri" w:hAnsi="Calibri"/>
      <w:szCs w:val="21"/>
    </w:rPr>
  </w:style>
  <w:style w:type="paragraph" w:customStyle="1" w:styleId="504">
    <w:name w:val="Normal_0_0"/>
    <w:basedOn w:val="362"/>
    <w:autoRedefine/>
    <w:qFormat/>
    <w:uiPriority w:val="0"/>
    <w:pPr>
      <w:widowControl/>
    </w:pPr>
    <w:rPr>
      <w:rFonts w:ascii="Calibri" w:hAnsi="Calibri"/>
      <w:szCs w:val="21"/>
    </w:rPr>
  </w:style>
  <w:style w:type="paragraph" w:customStyle="1" w:styleId="505">
    <w:name w:val="缺省文本"/>
    <w:basedOn w:val="1"/>
    <w:autoRedefine/>
    <w:qFormat/>
    <w:uiPriority w:val="0"/>
    <w:pPr>
      <w:autoSpaceDE w:val="0"/>
      <w:autoSpaceDN w:val="0"/>
      <w:adjustRightInd w:val="0"/>
      <w:spacing w:line="360" w:lineRule="auto"/>
      <w:jc w:val="left"/>
    </w:pPr>
    <w:rPr>
      <w:kern w:val="0"/>
      <w:sz w:val="24"/>
      <w:szCs w:val="20"/>
    </w:rPr>
  </w:style>
  <w:style w:type="paragraph" w:customStyle="1" w:styleId="506">
    <w:name w:val="目录4"/>
    <w:basedOn w:val="1"/>
    <w:next w:val="1"/>
    <w:autoRedefine/>
    <w:qFormat/>
    <w:uiPriority w:val="0"/>
    <w:pPr>
      <w:widowControl/>
      <w:tabs>
        <w:tab w:val="left" w:leader="dot" w:pos="8503"/>
      </w:tabs>
      <w:spacing w:line="317" w:lineRule="atLeast"/>
      <w:ind w:firstLine="629"/>
      <w:textAlignment w:val="baseline"/>
    </w:pPr>
    <w:rPr>
      <w:color w:val="000000"/>
      <w:kern w:val="0"/>
      <w:szCs w:val="20"/>
    </w:rPr>
  </w:style>
  <w:style w:type="paragraph" w:customStyle="1" w:styleId="507">
    <w:name w:val="修订21"/>
    <w:autoRedefine/>
    <w:semiHidden/>
    <w:qFormat/>
    <w:uiPriority w:val="99"/>
    <w:rPr>
      <w:rFonts w:ascii="Calibri" w:hAnsi="Calibri" w:eastAsia="宋体" w:cs="Times New Roman"/>
      <w:kern w:val="2"/>
      <w:sz w:val="21"/>
      <w:szCs w:val="24"/>
      <w:lang w:val="en-US" w:eastAsia="zh-CN" w:bidi="ar-SA"/>
    </w:rPr>
  </w:style>
  <w:style w:type="paragraph" w:customStyle="1" w:styleId="508">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09">
    <w:name w:val="flNote"/>
    <w:basedOn w:val="1"/>
    <w:autoRedefine/>
    <w:qFormat/>
    <w:uiPriority w:val="0"/>
    <w:pPr>
      <w:adjustRightInd w:val="0"/>
      <w:spacing w:before="320" w:after="160" w:line="360" w:lineRule="atLeast"/>
      <w:jc w:val="center"/>
    </w:pPr>
    <w:rPr>
      <w:rFonts w:ascii="Arial" w:eastAsia="黑体"/>
      <w:kern w:val="0"/>
      <w:sz w:val="30"/>
      <w:szCs w:val="20"/>
    </w:rPr>
  </w:style>
  <w:style w:type="paragraph" w:customStyle="1" w:styleId="510">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1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2">
    <w:name w:val="xl89"/>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513">
    <w:name w:val="1"/>
    <w:basedOn w:val="1"/>
    <w:next w:val="28"/>
    <w:autoRedefine/>
    <w:qFormat/>
    <w:uiPriority w:val="0"/>
    <w:rPr>
      <w:rFonts w:ascii="宋体" w:hAnsi="Courier New"/>
      <w:szCs w:val="20"/>
    </w:rPr>
  </w:style>
  <w:style w:type="paragraph" w:customStyle="1" w:styleId="514">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15">
    <w:name w:val="正文_4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6">
    <w:name w:val="p15"/>
    <w:basedOn w:val="1"/>
    <w:autoRedefine/>
    <w:qFormat/>
    <w:uiPriority w:val="0"/>
    <w:pPr>
      <w:widowControl/>
    </w:pPr>
    <w:rPr>
      <w:rFonts w:ascii="宋体" w:hAnsi="宋体" w:cs="宋体"/>
      <w:kern w:val="0"/>
      <w:szCs w:val="21"/>
    </w:rPr>
  </w:style>
  <w:style w:type="paragraph" w:customStyle="1" w:styleId="517">
    <w:name w:val="style1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18">
    <w:name w:val="List Paragraph1"/>
    <w:basedOn w:val="1"/>
    <w:autoRedefine/>
    <w:qFormat/>
    <w:uiPriority w:val="0"/>
    <w:pPr>
      <w:ind w:firstLine="420" w:firstLineChars="200"/>
    </w:pPr>
    <w:rPr>
      <w:rFonts w:ascii="Calibri" w:hAnsi="Calibri"/>
      <w:szCs w:val="22"/>
    </w:rPr>
  </w:style>
  <w:style w:type="paragraph" w:customStyle="1" w:styleId="519">
    <w:name w:val="菲页1"/>
    <w:basedOn w:val="5"/>
    <w:autoRedefine/>
    <w:qFormat/>
    <w:uiPriority w:val="0"/>
    <w:pPr>
      <w:widowControl/>
      <w:jc w:val="center"/>
    </w:pPr>
    <w:rPr>
      <w:rFonts w:ascii="黑体" w:hAnsi="宋体"/>
      <w:b w:val="0"/>
      <w:bCs w:val="0"/>
      <w:kern w:val="0"/>
      <w:sz w:val="52"/>
      <w:szCs w:val="20"/>
    </w:rPr>
  </w:style>
  <w:style w:type="paragraph" w:customStyle="1" w:styleId="520">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521">
    <w:name w:val="无间隔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22">
    <w:name w:val="正文首行缩进两字符"/>
    <w:basedOn w:val="1"/>
    <w:autoRedefine/>
    <w:qFormat/>
    <w:uiPriority w:val="0"/>
    <w:pPr>
      <w:spacing w:line="360" w:lineRule="auto"/>
      <w:ind w:firstLine="200" w:firstLineChars="200"/>
    </w:pPr>
  </w:style>
  <w:style w:type="character" w:customStyle="1" w:styleId="523">
    <w:name w:val="明显引用 Char3"/>
    <w:basedOn w:val="56"/>
    <w:autoRedefine/>
    <w:qFormat/>
    <w:uiPriority w:val="30"/>
    <w:rPr>
      <w:b/>
      <w:bCs/>
      <w:i/>
      <w:iCs/>
      <w:color w:val="4F81BD" w:themeColor="accent1"/>
      <w:kern w:val="2"/>
      <w:sz w:val="21"/>
      <w:szCs w:val="24"/>
      <w14:textFill>
        <w14:solidFill>
          <w14:schemeClr w14:val="accent1"/>
        </w14:solidFill>
      </w14:textFill>
    </w:rPr>
  </w:style>
  <w:style w:type="paragraph" w:customStyle="1" w:styleId="524">
    <w:name w:val="Char1 Char Char Char"/>
    <w:basedOn w:val="1"/>
    <w:autoRedefine/>
    <w:qFormat/>
    <w:uiPriority w:val="0"/>
    <w:rPr>
      <w:rFonts w:ascii="Tahoma" w:hAnsi="Tahoma"/>
      <w:sz w:val="24"/>
      <w:szCs w:val="20"/>
    </w:rPr>
  </w:style>
  <w:style w:type="paragraph" w:customStyle="1" w:styleId="525">
    <w:name w:val="默认"/>
    <w:autoRedefine/>
    <w:qFormat/>
    <w:uiPriority w:val="0"/>
    <w:pPr>
      <w:pBdr>
        <w:top w:val="none" w:color="FFFFFF" w:sz="0" w:space="31"/>
        <w:left w:val="none" w:color="FFFFFF" w:sz="0" w:space="31"/>
        <w:bottom w:val="none" w:color="FFFFFF" w:sz="0" w:space="31"/>
        <w:right w:val="none" w:color="FFFFFF" w:sz="0" w:space="31"/>
      </w:pBdr>
    </w:pPr>
    <w:rPr>
      <w:rFonts w:ascii="Helvetica" w:hAnsi="Arial Unicode MS" w:eastAsia="Times New Roman" w:cs="Arial Unicode MS"/>
      <w:color w:val="000000"/>
      <w:sz w:val="22"/>
      <w:szCs w:val="22"/>
      <w:lang w:val="zh-TW" w:eastAsia="zh-TW" w:bidi="ar-SA"/>
    </w:rPr>
  </w:style>
  <w:style w:type="paragraph" w:customStyle="1" w:styleId="526">
    <w:name w:val="Char Char Char Char Char Char Char Char Char Char Char Char Char Char Char Char"/>
    <w:basedOn w:val="1"/>
    <w:autoRedefine/>
    <w:qFormat/>
    <w:uiPriority w:val="0"/>
    <w:pPr>
      <w:tabs>
        <w:tab w:val="left" w:pos="360"/>
      </w:tabs>
      <w:spacing w:line="360" w:lineRule="auto"/>
      <w:ind w:left="482" w:firstLine="200" w:firstLineChars="200"/>
    </w:pPr>
    <w:rPr>
      <w:rFonts w:ascii="宋体"/>
      <w:sz w:val="24"/>
    </w:rPr>
  </w:style>
  <w:style w:type="paragraph" w:customStyle="1" w:styleId="527">
    <w:name w:val="样式 正文文本缩进 + 左侧:  2 字符"/>
    <w:basedOn w:val="1"/>
    <w:next w:val="1"/>
    <w:autoRedefine/>
    <w:qFormat/>
    <w:uiPriority w:val="0"/>
    <w:pPr>
      <w:adjustRightInd w:val="0"/>
      <w:spacing w:line="360" w:lineRule="auto"/>
      <w:ind w:firstLine="200" w:firstLineChars="200"/>
      <w:jc w:val="left"/>
    </w:pPr>
    <w:rPr>
      <w:rFonts w:ascii="宋体" w:cs="宋体"/>
      <w:sz w:val="24"/>
      <w:szCs w:val="20"/>
    </w:rPr>
  </w:style>
  <w:style w:type="paragraph" w:customStyle="1" w:styleId="528">
    <w:name w:val="菲页(卷)"/>
    <w:basedOn w:val="4"/>
    <w:next w:val="480"/>
    <w:autoRedefine/>
    <w:qFormat/>
    <w:uiPriority w:val="0"/>
    <w:pPr>
      <w:keepLines w:val="0"/>
      <w:widowControl/>
      <w:tabs>
        <w:tab w:val="left" w:pos="900"/>
      </w:tabs>
      <w:spacing w:before="0" w:after="0" w:line="240" w:lineRule="auto"/>
      <w:ind w:left="900" w:hanging="360"/>
      <w:jc w:val="center"/>
      <w:outlineLvl w:val="1"/>
    </w:pPr>
    <w:rPr>
      <w:rFonts w:ascii="黑体" w:eastAsia="黑体"/>
      <w:b w:val="0"/>
      <w:bCs w:val="0"/>
      <w:kern w:val="0"/>
      <w:sz w:val="52"/>
      <w:szCs w:val="20"/>
    </w:rPr>
  </w:style>
  <w:style w:type="paragraph" w:customStyle="1" w:styleId="529">
    <w:name w:val="3级"/>
    <w:basedOn w:val="1"/>
    <w:autoRedefine/>
    <w:qFormat/>
    <w:uiPriority w:val="0"/>
    <w:pPr>
      <w:spacing w:line="360" w:lineRule="auto"/>
      <w:outlineLvl w:val="2"/>
    </w:pPr>
    <w:rPr>
      <w:rFonts w:eastAsia="华文仿宋"/>
      <w:sz w:val="30"/>
    </w:rPr>
  </w:style>
  <w:style w:type="paragraph" w:customStyle="1" w:styleId="530">
    <w:name w:val="表号"/>
    <w:basedOn w:val="1"/>
    <w:autoRedefine/>
    <w:semiHidden/>
    <w:qFormat/>
    <w:uiPriority w:val="0"/>
  </w:style>
  <w:style w:type="paragraph" w:customStyle="1" w:styleId="531">
    <w:name w:val="_Style 2"/>
    <w:basedOn w:val="1"/>
    <w:autoRedefine/>
    <w:qFormat/>
    <w:uiPriority w:val="0"/>
  </w:style>
  <w:style w:type="paragraph" w:customStyle="1" w:styleId="532">
    <w:name w:val="标题_0_0"/>
    <w:basedOn w:val="362"/>
    <w:next w:val="362"/>
    <w:autoRedefine/>
    <w:qFormat/>
    <w:uiPriority w:val="0"/>
    <w:pPr>
      <w:spacing w:before="240" w:after="60"/>
      <w:jc w:val="center"/>
      <w:outlineLvl w:val="0"/>
    </w:pPr>
    <w:rPr>
      <w:rFonts w:ascii="Cambria" w:hAnsi="Cambria"/>
      <w:b/>
      <w:bCs/>
      <w:sz w:val="32"/>
      <w:szCs w:val="32"/>
    </w:rPr>
  </w:style>
  <w:style w:type="paragraph" w:customStyle="1" w:styleId="533">
    <w:name w:val="Char3"/>
    <w:basedOn w:val="1"/>
    <w:autoRedefine/>
    <w:qFormat/>
    <w:uiPriority w:val="0"/>
    <w:rPr>
      <w:szCs w:val="20"/>
    </w:rPr>
  </w:style>
  <w:style w:type="paragraph" w:customStyle="1" w:styleId="534">
    <w:name w:val="Body text|1"/>
    <w:basedOn w:val="1"/>
    <w:autoRedefine/>
    <w:qFormat/>
    <w:uiPriority w:val="0"/>
    <w:pPr>
      <w:spacing w:after="40" w:line="360" w:lineRule="auto"/>
      <w:ind w:firstLine="400"/>
    </w:pPr>
    <w:rPr>
      <w:rFonts w:ascii="宋体" w:hAnsi="宋体" w:cs="宋体"/>
      <w:sz w:val="30"/>
      <w:szCs w:val="30"/>
      <w:lang w:val="zh-TW" w:eastAsia="zh-TW" w:bidi="zh-TW"/>
    </w:rPr>
  </w:style>
  <w:style w:type="paragraph" w:customStyle="1" w:styleId="535">
    <w:name w:val="菲页2"/>
    <w:basedOn w:val="6"/>
    <w:autoRedefine/>
    <w:qFormat/>
    <w:uiPriority w:val="0"/>
    <w:pPr>
      <w:widowControl/>
      <w:tabs>
        <w:tab w:val="left" w:pos="1800"/>
      </w:tabs>
      <w:spacing w:before="120" w:after="120" w:line="360" w:lineRule="auto"/>
      <w:ind w:left="1800" w:hanging="420"/>
      <w:jc w:val="center"/>
    </w:pPr>
    <w:rPr>
      <w:rFonts w:ascii="黑体" w:hAnsi="宋体" w:eastAsia="黑体"/>
      <w:b w:val="0"/>
      <w:bCs w:val="0"/>
      <w:kern w:val="0"/>
      <w:sz w:val="44"/>
      <w:szCs w:val="20"/>
    </w:rPr>
  </w:style>
  <w:style w:type="paragraph" w:customStyle="1" w:styleId="536">
    <w:name w:val="BodyTextIndent"/>
    <w:basedOn w:val="1"/>
    <w:autoRedefine/>
    <w:qFormat/>
    <w:uiPriority w:val="0"/>
    <w:pPr>
      <w:spacing w:line="200" w:lineRule="exact"/>
      <w:ind w:firstLine="301"/>
      <w:textAlignment w:val="baseline"/>
    </w:pPr>
    <w:rPr>
      <w:rFonts w:ascii="宋体" w:hAnsi="Courier New"/>
      <w:spacing w:val="-4"/>
      <w:sz w:val="18"/>
      <w:szCs w:val="20"/>
    </w:rPr>
  </w:style>
  <w:style w:type="paragraph" w:customStyle="1" w:styleId="537">
    <w:name w:val="MsoNormal"/>
    <w:basedOn w:val="480"/>
    <w:autoRedefine/>
    <w:qFormat/>
    <w:uiPriority w:val="0"/>
    <w:rPr>
      <w:rFonts w:ascii="Calibri" w:hAnsi="Calibri" w:eastAsia="Calibri"/>
      <w:sz w:val="21"/>
    </w:rPr>
  </w:style>
  <w:style w:type="paragraph" w:customStyle="1" w:styleId="538">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39">
    <w:name w:val="bb"/>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540">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41">
    <w:name w:val="Char Char Char Char Char Char Char Char Char Char Char Char Char Char Char Char1"/>
    <w:basedOn w:val="1"/>
    <w:autoRedefine/>
    <w:qFormat/>
    <w:uiPriority w:val="0"/>
    <w:pPr>
      <w:tabs>
        <w:tab w:val="left" w:pos="360"/>
      </w:tabs>
      <w:spacing w:line="360" w:lineRule="auto"/>
      <w:ind w:left="482" w:firstLine="200" w:firstLineChars="200"/>
    </w:pPr>
    <w:rPr>
      <w:rFonts w:ascii="宋体"/>
      <w:sz w:val="24"/>
    </w:rPr>
  </w:style>
  <w:style w:type="paragraph" w:customStyle="1" w:styleId="542">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43">
    <w:name w:val="标题 1_2"/>
    <w:basedOn w:val="416"/>
    <w:next w:val="416"/>
    <w:autoRedefine/>
    <w:qFormat/>
    <w:uiPriority w:val="0"/>
    <w:pPr>
      <w:keepNext/>
      <w:keepLines/>
      <w:spacing w:line="360" w:lineRule="auto"/>
      <w:outlineLvl w:val="0"/>
    </w:pPr>
    <w:rPr>
      <w:rFonts w:ascii="Times New Roman" w:hAnsi="Times New Roman"/>
      <w:b/>
      <w:bCs/>
      <w:kern w:val="44"/>
      <w:sz w:val="32"/>
      <w:szCs w:val="44"/>
    </w:rPr>
  </w:style>
  <w:style w:type="paragraph" w:customStyle="1" w:styleId="544">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45">
    <w:name w:val="Char Char Char"/>
    <w:basedOn w:val="1"/>
    <w:autoRedefine/>
    <w:qFormat/>
    <w:uiPriority w:val="0"/>
  </w:style>
  <w:style w:type="paragraph" w:customStyle="1" w:styleId="546">
    <w:name w:val="font8"/>
    <w:basedOn w:val="1"/>
    <w:autoRedefine/>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547">
    <w:name w:val="无间隔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48">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49">
    <w:name w:val="Char Char Char Char Char Char Char Char Char Char1"/>
    <w:basedOn w:val="17"/>
    <w:autoRedefine/>
    <w:qFormat/>
    <w:uiPriority w:val="0"/>
    <w:pPr>
      <w:keepNext/>
      <w:adjustRightInd/>
      <w:spacing w:beforeLines="100" w:line="240" w:lineRule="auto"/>
      <w:textAlignment w:val="auto"/>
    </w:pPr>
    <w:rPr>
      <w:rFonts w:ascii="Tahoma" w:hAnsi="Tahoma"/>
      <w:kern w:val="2"/>
      <w:sz w:val="24"/>
      <w:szCs w:val="24"/>
    </w:rPr>
  </w:style>
  <w:style w:type="paragraph" w:customStyle="1" w:styleId="550">
    <w:name w:val="正文_4_0_0"/>
    <w:basedOn w:val="1"/>
    <w:autoRedefine/>
    <w:qFormat/>
    <w:uiPriority w:val="0"/>
    <w:rPr>
      <w:rFonts w:ascii="Calibri" w:hAnsi="Calibri"/>
      <w:szCs w:val="21"/>
    </w:rPr>
  </w:style>
  <w:style w:type="paragraph" w:customStyle="1" w:styleId="551">
    <w:name w:val="样式 首行缩进:  2 字符"/>
    <w:basedOn w:val="1"/>
    <w:autoRedefine/>
    <w:qFormat/>
    <w:uiPriority w:val="0"/>
    <w:pPr>
      <w:spacing w:line="400" w:lineRule="exact"/>
      <w:ind w:firstLine="200" w:firstLineChars="200"/>
    </w:pPr>
    <w:rPr>
      <w:rFonts w:cs="宋体"/>
      <w:sz w:val="24"/>
    </w:rPr>
  </w:style>
  <w:style w:type="paragraph" w:customStyle="1" w:styleId="552">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53">
    <w:name w:val="xl87"/>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rPr>
  </w:style>
  <w:style w:type="table" w:customStyle="1" w:styleId="554">
    <w:name w:val="网格型1"/>
    <w:basedOn w:val="53"/>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55">
    <w:name w:val="Table Normal"/>
    <w:autoRedefine/>
    <w:qFormat/>
    <w:uiPriority w:val="0"/>
    <w:tblPr>
      <w:tblCellMar>
        <w:top w:w="0" w:type="dxa"/>
        <w:left w:w="0" w:type="dxa"/>
        <w:bottom w:w="0" w:type="dxa"/>
        <w:right w:w="0" w:type="dxa"/>
      </w:tblCellMar>
    </w:tblPr>
  </w:style>
  <w:style w:type="table" w:customStyle="1" w:styleId="556">
    <w:name w:val="网格型11"/>
    <w:basedOn w:val="53"/>
    <w:autoRedefine/>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57">
    <w:name w:val="网格型111"/>
    <w:basedOn w:val="5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58">
    <w:name w:val="正文文本1"/>
    <w:qFormat/>
    <w:uiPriority w:val="0"/>
    <w:pPr>
      <w:widowControl w:val="0"/>
      <w:spacing w:after="120"/>
      <w:jc w:val="both"/>
    </w:pPr>
    <w:rPr>
      <w:rFonts w:ascii="Arial Unicode MS" w:hAnsi="Arial Unicode MS" w:eastAsia="Arial Unicode MS" w:cs="Arial Unicode MS"/>
      <w:color w:val="000000"/>
      <w:kern w:val="2"/>
      <w:sz w:val="21"/>
      <w:szCs w:val="21"/>
      <w:lang w:val="en-US" w:eastAsia="zh-CN" w:bidi="ar-SA"/>
    </w:rPr>
  </w:style>
  <w:style w:type="character" w:customStyle="1" w:styleId="559">
    <w:name w:val="heading 1 Char"/>
    <w:basedOn w:val="56"/>
    <w:link w:val="4"/>
    <w:qFormat/>
    <w:uiPriority w:val="0"/>
    <w:rPr>
      <w:rFonts w:ascii="Times New Roman" w:hAnsi="Times New Roman" w:eastAsia="宋体" w:cs="Times New Roman"/>
      <w:b/>
      <w:bCs/>
      <w:kern w:val="44"/>
      <w:sz w:val="32"/>
      <w:szCs w:val="44"/>
      <w:lang w:val="en-US" w:eastAsia="zh-CN" w:bidi="ar-SA"/>
    </w:rPr>
  </w:style>
  <w:style w:type="character" w:customStyle="1" w:styleId="560">
    <w:name w:val="10_0"/>
    <w:basedOn w:val="56"/>
    <w:qFormat/>
    <w:uiPriority w:val="0"/>
    <w:rPr>
      <w:rFonts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5.wmf"/><Relationship Id="rId22" Type="http://schemas.openxmlformats.org/officeDocument/2006/relationships/oleObject" Target="embeddings/oleObject5.bin"/><Relationship Id="rId21" Type="http://schemas.openxmlformats.org/officeDocument/2006/relationships/image" Target="media/image4.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3.wmf"/><Relationship Id="rId18" Type="http://schemas.openxmlformats.org/officeDocument/2006/relationships/oleObject" Target="embeddings/oleObject3.bin"/><Relationship Id="rId17" Type="http://schemas.openxmlformats.org/officeDocument/2006/relationships/image" Target="media/image2.wmf"/><Relationship Id="rId16" Type="http://schemas.openxmlformats.org/officeDocument/2006/relationships/oleObject" Target="embeddings/oleObject2.bin"/><Relationship Id="rId15" Type="http://schemas.openxmlformats.org/officeDocument/2006/relationships/image" Target="media/image1.w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EF7EC0-7284-4B50-AA40-EF79CD2646A3}">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195</Pages>
  <Words>4175</Words>
  <Characters>4974</Characters>
  <Lines>495</Lines>
  <Paragraphs>139</Paragraphs>
  <TotalTime>3</TotalTime>
  <ScaleCrop>false</ScaleCrop>
  <LinksUpToDate>false</LinksUpToDate>
  <CharactersWithSpaces>5033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2023-10-18T14:02:00Z</dcterms:created>
  <dc:creator>唐冰</dc:creator>
  <cp:lastModifiedBy>WYY</cp:lastModifiedBy>
  <cp:lastPrinted>2021-08-26T02:26:00Z</cp:lastPrinted>
  <dcterms:modified xsi:type="dcterms:W3CDTF">2026-06-10T12:56:09Z</dcterms:modified>
  <dc:title>竞争性谈判文件规范</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2D4F6AB421C740FEBA5F05F7A943EF77_13</vt:lpwstr>
  </property>
  <property fmtid="{D5CDD505-2E9C-101B-9397-08002B2CF9AE}" pid="4" name="KSOTemplateDocerSaveRecord">
    <vt:lpwstr>eyJoZGlkIjoiNWEwOGQ5Y2VmZmFlOGI2YWRmOTdlMTQ3OGU0MjYyODgiLCJ1c2VySWQiOiIxNTMyMDEwNjI5In0=</vt:lpwstr>
  </property>
</Properties>
</file>