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A93DA">
      <w:pPr>
        <w:wordWrap w:val="0"/>
        <w:spacing w:line="360" w:lineRule="auto"/>
        <w:jc w:val="center"/>
        <w:rPr>
          <w:rFonts w:ascii="宋体" w:hAnsi="宋体" w:cs="宋体"/>
          <w:color w:val="auto"/>
          <w:sz w:val="52"/>
          <w:szCs w:val="52"/>
          <w:highlight w:val="none"/>
        </w:rPr>
      </w:pPr>
      <w:permStart w:id="0" w:edGrp="everyone"/>
      <w:permEnd w:id="0"/>
    </w:p>
    <w:p w14:paraId="2E52E2AD">
      <w:pPr>
        <w:pStyle w:val="14"/>
        <w:rPr>
          <w:color w:val="auto"/>
          <w:highlight w:val="none"/>
        </w:rPr>
      </w:pPr>
    </w:p>
    <w:p w14:paraId="621959E3">
      <w:pPr>
        <w:wordWrap w:val="0"/>
        <w:spacing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1361C674">
      <w:pPr>
        <w:wordWrap w:val="0"/>
        <w:spacing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rPr>
        <w:t>公开招标文件（服务类）</w:t>
      </w:r>
    </w:p>
    <w:p w14:paraId="3703A1FC">
      <w:pPr>
        <w:wordWrap w:val="0"/>
        <w:spacing w:line="360" w:lineRule="auto"/>
        <w:jc w:val="center"/>
        <w:rPr>
          <w:rFonts w:ascii="宋体" w:hAnsi="宋体" w:cs="宋体"/>
          <w:b/>
          <w:color w:val="auto"/>
          <w:sz w:val="48"/>
          <w:szCs w:val="48"/>
          <w:highlight w:val="none"/>
        </w:rPr>
      </w:pPr>
    </w:p>
    <w:p w14:paraId="6E1B0F3B">
      <w:pPr>
        <w:wordWrap w:val="0"/>
        <w:spacing w:line="360" w:lineRule="auto"/>
        <w:jc w:val="center"/>
        <w:rPr>
          <w:rFonts w:ascii="宋体" w:hAnsi="宋体" w:cs="宋体"/>
          <w:b/>
          <w:color w:val="auto"/>
          <w:sz w:val="48"/>
          <w:szCs w:val="48"/>
          <w:highlight w:val="none"/>
        </w:rPr>
      </w:pPr>
    </w:p>
    <w:p w14:paraId="2BCB2ACE">
      <w:pPr>
        <w:wordWrap w:val="0"/>
        <w:snapToGrid w:val="0"/>
        <w:spacing w:line="360" w:lineRule="auto"/>
        <w:jc w:val="center"/>
        <w:rPr>
          <w:rFonts w:ascii="宋体" w:hAnsi="宋体" w:cs="宋体"/>
          <w:color w:val="auto"/>
          <w:sz w:val="72"/>
          <w:szCs w:val="72"/>
          <w:highlight w:val="none"/>
        </w:rPr>
      </w:pPr>
      <w:r>
        <w:rPr>
          <w:rFonts w:hint="eastAsia" w:ascii="宋体" w:hAnsi="宋体" w:cs="宋体"/>
          <w:color w:val="auto"/>
          <w:sz w:val="72"/>
          <w:szCs w:val="72"/>
          <w:highlight w:val="none"/>
        </w:rPr>
        <w:t>招 标 文 件</w:t>
      </w:r>
    </w:p>
    <w:p w14:paraId="7B50F7C3">
      <w:pPr>
        <w:wordWrap w:val="0"/>
        <w:snapToGrid w:val="0"/>
        <w:spacing w:line="360" w:lineRule="auto"/>
        <w:jc w:val="center"/>
        <w:rPr>
          <w:rFonts w:ascii="宋体" w:hAnsi="宋体" w:cs="宋体"/>
          <w:color w:val="auto"/>
          <w:sz w:val="30"/>
          <w:szCs w:val="72"/>
          <w:highlight w:val="none"/>
        </w:rPr>
      </w:pPr>
      <w:r>
        <w:rPr>
          <w:rFonts w:hint="eastAsia" w:ascii="宋体" w:hAnsi="宋体" w:cs="宋体"/>
          <w:color w:val="auto"/>
          <w:sz w:val="30"/>
          <w:szCs w:val="72"/>
          <w:highlight w:val="none"/>
        </w:rPr>
        <w:t>（全流程电子化评标）</w:t>
      </w:r>
    </w:p>
    <w:p w14:paraId="26107265">
      <w:pPr>
        <w:spacing w:line="800" w:lineRule="exact"/>
        <w:ind w:firstLine="1506" w:firstLineChars="500"/>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drawing>
          <wp:anchor distT="0" distB="0" distL="114300" distR="114300" simplePos="0" relativeHeight="251661312" behindDoc="0" locked="0" layoutInCell="1" allowOverlap="1">
            <wp:simplePos x="0" y="0"/>
            <wp:positionH relativeFrom="column">
              <wp:posOffset>-706120</wp:posOffset>
            </wp:positionH>
            <wp:positionV relativeFrom="paragraph">
              <wp:posOffset>168910</wp:posOffset>
            </wp:positionV>
            <wp:extent cx="7579360" cy="3485515"/>
            <wp:effectExtent l="0" t="0" r="2540" b="635"/>
            <wp:wrapNone/>
            <wp:docPr id="5" name="图片 5" descr="552c6925-97f1-402d-a837-74cbd4893f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52c6925-97f1-402d-a837-74cbd4893f0a"/>
                    <pic:cNvPicPr>
                      <a:picLocks noChangeAspect="1"/>
                    </pic:cNvPicPr>
                  </pic:nvPicPr>
                  <pic:blipFill>
                    <a:blip r:embed="rId12"/>
                    <a:stretch>
                      <a:fillRect/>
                    </a:stretch>
                  </pic:blipFill>
                  <pic:spPr>
                    <a:xfrm>
                      <a:off x="0" y="0"/>
                      <a:ext cx="7579360" cy="3485515"/>
                    </a:xfrm>
                    <a:prstGeom prst="rect">
                      <a:avLst/>
                    </a:prstGeom>
                  </pic:spPr>
                </pic:pic>
              </a:graphicData>
            </a:graphic>
          </wp:anchor>
        </w:drawing>
      </w:r>
      <w:r>
        <w:rPr>
          <w:rFonts w:hint="eastAsia" w:ascii="宋体" w:hAnsi="宋体" w:cs="宋体"/>
          <w:b/>
          <w:bCs/>
          <w:color w:val="auto"/>
          <w:sz w:val="30"/>
          <w:szCs w:val="30"/>
          <w:highlight w:val="none"/>
        </w:rPr>
        <w:t>项目名称：</w:t>
      </w:r>
      <w:r>
        <w:rPr>
          <w:rFonts w:hint="eastAsia" w:ascii="宋体" w:hAnsi="宋体" w:cs="宋体"/>
          <w:b/>
          <w:bCs/>
          <w:color w:val="auto"/>
          <w:sz w:val="30"/>
          <w:szCs w:val="30"/>
          <w:highlight w:val="none"/>
          <w:lang w:eastAsia="zh-CN"/>
        </w:rPr>
        <w:t>自治区级职业教育专业资源库</w:t>
      </w:r>
    </w:p>
    <w:p w14:paraId="410BA237">
      <w:pPr>
        <w:pStyle w:val="12"/>
        <w:snapToGrid w:val="0"/>
        <w:spacing w:line="800" w:lineRule="exact"/>
        <w:ind w:firstLine="1506" w:firstLineChars="5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bCs/>
          <w:color w:val="auto"/>
          <w:sz w:val="30"/>
          <w:szCs w:val="30"/>
          <w:highlight w:val="none"/>
          <w:lang w:eastAsia="zh-CN"/>
        </w:rPr>
        <w:t>NNZC2026-G3-990620-GXYZ</w:t>
      </w:r>
    </w:p>
    <w:p w14:paraId="04AFEA6A">
      <w:pPr>
        <w:pStyle w:val="12"/>
        <w:snapToGrid w:val="0"/>
        <w:spacing w:line="800" w:lineRule="exact"/>
        <w:ind w:firstLine="1506" w:firstLineChars="500"/>
        <w:rPr>
          <w:rFonts w:hAnsi="宋体" w:cs="宋体"/>
          <w:b/>
          <w:bCs/>
          <w:color w:val="auto"/>
          <w:sz w:val="30"/>
          <w:szCs w:val="30"/>
          <w:highlight w:val="none"/>
        </w:rPr>
      </w:pPr>
      <w:r>
        <w:rPr>
          <w:rFonts w:hint="eastAsia" w:hAnsi="宋体" w:cs="宋体"/>
          <w:b/>
          <w:bCs/>
          <w:color w:val="auto"/>
          <w:sz w:val="30"/>
          <w:szCs w:val="30"/>
          <w:highlight w:val="none"/>
        </w:rPr>
        <w:t>项目所属区划：</w:t>
      </w:r>
      <w:r>
        <w:rPr>
          <w:rFonts w:hint="eastAsia" w:hAnsi="宋体" w:cs="宋体"/>
          <w:b/>
          <w:bCs/>
          <w:color w:val="auto"/>
          <w:sz w:val="30"/>
          <w:szCs w:val="30"/>
          <w:highlight w:val="none"/>
          <w:u w:val="none"/>
        </w:rPr>
        <w:t>南宁市市本级</w:t>
      </w:r>
    </w:p>
    <w:p w14:paraId="3DA18216">
      <w:pPr>
        <w:pStyle w:val="12"/>
        <w:snapToGrid w:val="0"/>
        <w:spacing w:line="800" w:lineRule="exact"/>
        <w:ind w:firstLine="1205" w:firstLineChars="400"/>
        <w:rPr>
          <w:rFonts w:hint="eastAsia" w:hAnsi="宋体" w:eastAsia="宋体" w:cs="宋体"/>
          <w:b/>
          <w:bCs/>
          <w:color w:val="auto"/>
          <w:sz w:val="30"/>
          <w:szCs w:val="30"/>
          <w:highlight w:val="none"/>
          <w:lang w:eastAsia="zh-CN"/>
        </w:rPr>
      </w:pPr>
    </w:p>
    <w:p w14:paraId="2666B488">
      <w:pPr>
        <w:pStyle w:val="12"/>
        <w:snapToGrid w:val="0"/>
        <w:spacing w:line="800" w:lineRule="exact"/>
        <w:ind w:firstLine="1506" w:firstLineChars="500"/>
        <w:rPr>
          <w:rFonts w:hint="eastAsia" w:hAnsi="宋体" w:eastAsia="宋体" w:cs="宋体"/>
          <w:b/>
          <w:bCs/>
          <w:color w:val="auto"/>
          <w:w w:val="95"/>
          <w:sz w:val="30"/>
          <w:szCs w:val="30"/>
          <w:highlight w:val="none"/>
          <w:lang w:eastAsia="zh-CN"/>
        </w:rPr>
      </w:pPr>
      <w:r>
        <w:rPr>
          <w:rFonts w:hint="eastAsia" w:hAnsi="宋体" w:cs="宋体"/>
          <w:b/>
          <w:bCs/>
          <w:color w:val="auto"/>
          <w:sz w:val="30"/>
          <w:szCs w:val="30"/>
          <w:highlight w:val="none"/>
        </w:rPr>
        <w:t>采 购 人：</w:t>
      </w:r>
      <w:r>
        <w:rPr>
          <w:rFonts w:hint="eastAsia" w:hAnsi="宋体" w:cs="宋体"/>
          <w:b/>
          <w:bCs/>
          <w:color w:val="auto"/>
          <w:w w:val="95"/>
          <w:sz w:val="30"/>
          <w:szCs w:val="30"/>
          <w:highlight w:val="none"/>
          <w:lang w:eastAsia="zh-CN"/>
        </w:rPr>
        <w:t>南宁市第一职业技术学校</w:t>
      </w:r>
    </w:p>
    <w:p w14:paraId="23D5C80C">
      <w:pPr>
        <w:snapToGrid w:val="0"/>
        <w:spacing w:line="800" w:lineRule="exact"/>
        <w:ind w:firstLine="1431" w:firstLineChars="500"/>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采购代理机构：广西邕政采购代理有限公司</w:t>
      </w:r>
    </w:p>
    <w:p w14:paraId="3392CAC0">
      <w:pPr>
        <w:wordWrap w:val="0"/>
        <w:snapToGrid w:val="0"/>
        <w:spacing w:line="800" w:lineRule="exact"/>
        <w:jc w:val="center"/>
        <w:rPr>
          <w:rFonts w:ascii="宋体" w:hAnsi="宋体" w:cs="宋体"/>
          <w:color w:val="auto"/>
          <w:sz w:val="30"/>
          <w:szCs w:val="72"/>
          <w:highlight w:val="none"/>
        </w:rPr>
      </w:pPr>
      <w:r>
        <w:rPr>
          <w:rFonts w:hint="eastAsia" w:ascii="宋体" w:hAnsi="宋体" w:cs="宋体"/>
          <w:b/>
          <w:bCs/>
          <w:color w:val="auto"/>
          <w:sz w:val="30"/>
          <w:szCs w:val="30"/>
          <w:highlight w:val="none"/>
        </w:rPr>
        <w:t>2026年</w:t>
      </w:r>
      <w:r>
        <w:rPr>
          <w:rFonts w:hint="eastAsia" w:ascii="宋体" w:hAnsi="宋体" w:cs="宋体"/>
          <w:b/>
          <w:bCs/>
          <w:color w:val="auto"/>
          <w:sz w:val="30"/>
          <w:szCs w:val="30"/>
          <w:highlight w:val="none"/>
          <w:lang w:val="en-US" w:eastAsia="zh-CN"/>
        </w:rPr>
        <w:t>8</w:t>
      </w:r>
      <w:r>
        <w:rPr>
          <w:rFonts w:hint="eastAsia" w:ascii="宋体" w:hAnsi="宋体" w:cs="宋体"/>
          <w:b/>
          <w:bCs/>
          <w:color w:val="auto"/>
          <w:sz w:val="30"/>
          <w:szCs w:val="30"/>
          <w:highlight w:val="none"/>
        </w:rPr>
        <w:t>月</w:t>
      </w:r>
    </w:p>
    <w:p w14:paraId="34155520">
      <w:pPr>
        <w:pStyle w:val="22"/>
        <w:ind w:firstLine="600"/>
        <w:rPr>
          <w:rFonts w:ascii="宋体" w:hAnsi="宋体" w:cs="宋体"/>
          <w:color w:val="auto"/>
          <w:sz w:val="30"/>
          <w:szCs w:val="72"/>
          <w:highlight w:val="none"/>
        </w:rPr>
      </w:pPr>
    </w:p>
    <w:p w14:paraId="468E2522">
      <w:pPr>
        <w:pStyle w:val="12"/>
        <w:wordWrap w:val="0"/>
        <w:spacing w:line="360" w:lineRule="auto"/>
        <w:jc w:val="center"/>
        <w:rPr>
          <w:rFonts w:hAnsi="宋体" w:cs="宋体"/>
          <w:b/>
          <w:color w:val="auto"/>
          <w:sz w:val="48"/>
          <w:szCs w:val="48"/>
          <w:highlight w:val="none"/>
        </w:rPr>
        <w:sectPr>
          <w:headerReference r:id="rId3" w:type="default"/>
          <w:pgSz w:w="11906" w:h="16838"/>
          <w:pgMar w:top="1440" w:right="1080" w:bottom="1440" w:left="1080" w:header="720" w:footer="720" w:gutter="0"/>
          <w:pgNumType w:start="1"/>
          <w:cols w:space="720" w:num="1"/>
          <w:docGrid w:type="lines" w:linePitch="331" w:charSpace="0"/>
        </w:sectPr>
      </w:pPr>
    </w:p>
    <w:p w14:paraId="4D1A0959">
      <w:pPr>
        <w:pStyle w:val="12"/>
        <w:wordWrap w:val="0"/>
        <w:spacing w:line="360" w:lineRule="auto"/>
        <w:jc w:val="center"/>
        <w:rPr>
          <w:rFonts w:hAnsi="宋体" w:cs="宋体"/>
          <w:b/>
          <w:color w:val="auto"/>
          <w:sz w:val="48"/>
          <w:szCs w:val="48"/>
          <w:highlight w:val="none"/>
        </w:rPr>
      </w:pPr>
      <w:r>
        <w:rPr>
          <w:rFonts w:hint="eastAsia" w:hAnsi="宋体" w:cs="宋体"/>
          <w:b/>
          <w:color w:val="auto"/>
          <w:sz w:val="48"/>
          <w:szCs w:val="48"/>
          <w:highlight w:val="none"/>
        </w:rPr>
        <w:t>目     录</w:t>
      </w:r>
    </w:p>
    <w:p w14:paraId="364B60FC">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TOC \o "1-3" \h \z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_Toc5894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第一章  招标公告</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_Toc5894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2</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70FE6FF1">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_Toc22850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第二章  采购需求</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_Toc22850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7</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2777A384">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_Toc10629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第三章  投标人须知</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_Toc10629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67</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5AA38B90">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_Toc10583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第一节 投标人须知前附表</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_Toc10583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67</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12497CA1">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_Toc624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第二节 投标人须知正文</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_Toc624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73</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04BEDCA1">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_Toc4908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一、总  则</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_Toc4908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73</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43624332">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_Toc23507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二、招标文件</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_Toc23507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76</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1D20A154">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_Toc25725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三、投标文件的编制</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_Toc25725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77</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09B43A13">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_Toc26899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四、开    标</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_Toc26899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79</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0467553C">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_Toc27719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五、资格审查</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_Toc27719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80</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3BD9BED8">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_Toc10681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六、评   标</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_Toc10681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81</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0204AEB2">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_Toc28260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七、中标和合同</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_Toc28260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82</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0CD0A672">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_Toc29384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八、验收</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_Toc29384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87</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3CD305BE">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_Toc21021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九、其他事项</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_Toc21021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88</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6DEF9058">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_Toc909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第四章  评标方法及评分标准</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_Toc909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90</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3333C505">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_Toc547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第一节 评标方法</w:t>
      </w:r>
      <w:r>
        <w:rPr>
          <w:rFonts w:hint="eastAsia" w:ascii="宋体" w:hAnsi="宋体" w:eastAsia="宋体" w:cs="宋体"/>
          <w:color w:val="auto"/>
          <w:sz w:val="22"/>
          <w:szCs w:val="22"/>
          <w:highlight w:val="none"/>
        </w:rPr>
        <w:tab/>
      </w:r>
      <w:permStart w:id="1" w:edGrp="everyone"/>
      <w:permEnd w:id="1"/>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_Toc547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90</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34B1BF4A">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_Toc2595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第二节 评标程序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_Toc2595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90</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156E5C76">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_Toc29067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第三节 评分标准</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_Toc29067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94</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6AD83EF8">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_Toc23822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第四节 中标候选人推荐原则</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_Toc23822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98</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50002F33">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_Toc5509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第五节 评标报告</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_Toc5509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107</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09AA632D">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_Toc6796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第五章 拟签订的合同文本</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_Toc6796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108</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35C9E811">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_Toc25059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第六章 投标文件格式</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_Toc25059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121</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0D31155B">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_Toc9103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第一节 投标文件外层包装封面</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_Toc9103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122</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117A8DFF">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_Toc1700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第二节 资格证明文件格式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_Toc1700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123</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7B1A4341">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_Toc22407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第三节 商务文件格式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_Toc22407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132</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5340801B">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_Toc24361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第四节 技术文件格式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_Toc24361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144</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11F359F2">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_Toc24408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第五节 报价文件格式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_Toc24408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152</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3F9C535C">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_Toc18362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第六节 其他文书、文件格式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_Toc18362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159</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2FCBC840">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HYPERLINK \l _Toc2360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第七章 质疑、投诉证明材料格式</w:t>
      </w:r>
      <w:r>
        <w:rPr>
          <w:rFonts w:hint="eastAsia" w:ascii="宋体" w:hAnsi="宋体" w:eastAsia="宋体" w:cs="宋体"/>
          <w:b/>
          <w:bCs/>
          <w:color w:val="auto"/>
          <w:sz w:val="22"/>
          <w:szCs w:val="22"/>
          <w:highlight w:val="none"/>
        </w:rPr>
        <w:tab/>
      </w:r>
      <w:r>
        <w:rPr>
          <w:rFonts w:hint="eastAsia" w:ascii="宋体" w:hAnsi="宋体" w:eastAsia="宋体" w:cs="宋体"/>
          <w:b/>
          <w:bCs/>
          <w:color w:val="auto"/>
          <w:sz w:val="22"/>
          <w:szCs w:val="22"/>
          <w:highlight w:val="none"/>
        </w:rPr>
        <w:fldChar w:fldCharType="begin"/>
      </w:r>
      <w:r>
        <w:rPr>
          <w:rFonts w:hint="eastAsia" w:ascii="宋体" w:hAnsi="宋体" w:eastAsia="宋体" w:cs="宋体"/>
          <w:b/>
          <w:bCs/>
          <w:color w:val="auto"/>
          <w:sz w:val="22"/>
          <w:szCs w:val="22"/>
          <w:highlight w:val="none"/>
        </w:rPr>
        <w:instrText xml:space="preserve"> PAGEREF _Toc2360 \h </w:instrText>
      </w:r>
      <w:r>
        <w:rPr>
          <w:rFonts w:hint="eastAsia" w:ascii="宋体" w:hAnsi="宋体" w:eastAsia="宋体" w:cs="宋体"/>
          <w:b/>
          <w:bCs/>
          <w:color w:val="auto"/>
          <w:sz w:val="22"/>
          <w:szCs w:val="22"/>
          <w:highlight w:val="none"/>
        </w:rPr>
        <w:fldChar w:fldCharType="separate"/>
      </w:r>
      <w:r>
        <w:rPr>
          <w:rFonts w:hint="eastAsia" w:ascii="宋体" w:hAnsi="宋体" w:eastAsia="宋体" w:cs="宋体"/>
          <w:b/>
          <w:bCs/>
          <w:color w:val="auto"/>
          <w:sz w:val="22"/>
          <w:szCs w:val="22"/>
          <w:highlight w:val="none"/>
        </w:rPr>
        <w:t>160</w:t>
      </w:r>
      <w:r>
        <w:rPr>
          <w:rFonts w:hint="eastAsia" w:ascii="宋体" w:hAnsi="宋体" w:eastAsia="宋体" w:cs="宋体"/>
          <w:b/>
          <w:bCs/>
          <w:color w:val="auto"/>
          <w:sz w:val="22"/>
          <w:szCs w:val="22"/>
          <w:highlight w:val="none"/>
        </w:rPr>
        <w:fldChar w:fldCharType="end"/>
      </w:r>
      <w:r>
        <w:rPr>
          <w:rFonts w:hint="eastAsia" w:ascii="宋体" w:hAnsi="宋体" w:eastAsia="宋体" w:cs="宋体"/>
          <w:b/>
          <w:bCs/>
          <w:color w:val="auto"/>
          <w:sz w:val="22"/>
          <w:szCs w:val="22"/>
          <w:highlight w:val="none"/>
        </w:rPr>
        <w:fldChar w:fldCharType="end"/>
      </w:r>
    </w:p>
    <w:p w14:paraId="21F68680">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_Toc29826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第一节 质疑函（格式）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_Toc29826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161</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3DA5A173">
      <w:pPr>
        <w:pStyle w:val="11"/>
        <w:keepNext w:val="0"/>
        <w:keepLines w:val="0"/>
        <w:pageBreakBefore w:val="0"/>
        <w:widowControl w:val="0"/>
        <w:tabs>
          <w:tab w:val="right" w:leader="dot" w:pos="9746"/>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\l _Toc1097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第二节 投诉书（格式）</w:t>
      </w:r>
      <w:r>
        <w:rPr>
          <w:rFonts w:hint="eastAsia" w:ascii="宋体" w:hAnsi="宋体" w:eastAsia="宋体" w:cs="宋体"/>
          <w:color w:val="auto"/>
          <w:sz w:val="22"/>
          <w:szCs w:val="22"/>
          <w:highlight w:val="none"/>
        </w:rPr>
        <w:tab/>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PAGEREF _Toc1097 \h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163</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fldChar w:fldCharType="end"/>
      </w:r>
    </w:p>
    <w:p w14:paraId="2E144637">
      <w:pPr>
        <w:pStyle w:val="11"/>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Ansi="宋体" w:cs="宋体"/>
          <w:color w:val="auto"/>
          <w:highlight w:val="none"/>
        </w:rPr>
        <w:sectPr>
          <w:footerReference r:id="rId4" w:type="default"/>
          <w:pgSz w:w="11906" w:h="16838"/>
          <w:pgMar w:top="1440" w:right="1080" w:bottom="1440" w:left="1080" w:header="720" w:footer="720" w:gutter="0"/>
          <w:pgNumType w:fmt="decimal" w:start="1"/>
          <w:cols w:space="720" w:num="1"/>
          <w:docGrid w:type="lines" w:linePitch="331" w:charSpace="0"/>
        </w:sectPr>
      </w:pPr>
      <w:r>
        <w:rPr>
          <w:rFonts w:hint="eastAsia" w:ascii="宋体" w:hAnsi="宋体" w:eastAsia="宋体" w:cs="宋体"/>
          <w:color w:val="auto"/>
          <w:sz w:val="28"/>
          <w:szCs w:val="28"/>
          <w:highlight w:val="none"/>
        </w:rPr>
        <w:fldChar w:fldCharType="end"/>
      </w:r>
      <w:bookmarkStart w:id="0" w:name="_Toc532545041"/>
    </w:p>
    <w:bookmarkEnd w:id="0"/>
    <w:p w14:paraId="7E0C0CE5">
      <w:pPr>
        <w:pStyle w:val="12"/>
        <w:wordWrap w:val="0"/>
        <w:spacing w:line="360" w:lineRule="auto"/>
        <w:jc w:val="center"/>
        <w:outlineLvl w:val="0"/>
        <w:rPr>
          <w:rFonts w:hAnsi="宋体" w:cs="宋体"/>
          <w:b/>
          <w:color w:val="auto"/>
          <w:sz w:val="36"/>
          <w:szCs w:val="36"/>
          <w:highlight w:val="none"/>
        </w:rPr>
      </w:pPr>
      <w:bookmarkStart w:id="1" w:name="_Toc5894"/>
      <w:bookmarkStart w:id="2" w:name="_Toc532545042"/>
      <w:r>
        <w:rPr>
          <w:rFonts w:hint="eastAsia" w:hAnsi="宋体" w:cs="宋体"/>
          <w:b/>
          <w:color w:val="auto"/>
          <w:sz w:val="36"/>
          <w:highlight w:val="none"/>
        </w:rPr>
        <w:t>第一章  招标公告</w:t>
      </w:r>
      <w:bookmarkEnd w:id="1"/>
    </w:p>
    <w:p w14:paraId="68A67309">
      <w:pPr>
        <w:pStyle w:val="12"/>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t>公开招标公告</w:t>
      </w:r>
    </w:p>
    <w:p w14:paraId="0E7D4769">
      <w:pPr>
        <w:pBdr>
          <w:top w:val="single" w:color="auto" w:sz="4" w:space="1"/>
          <w:left w:val="single" w:color="auto" w:sz="4" w:space="4"/>
          <w:bottom w:val="single" w:color="auto" w:sz="4" w:space="1"/>
          <w:right w:val="single" w:color="auto" w:sz="4" w:space="4"/>
        </w:pBd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70F561BB">
      <w:pPr>
        <w:pBdr>
          <w:top w:val="single" w:color="auto" w:sz="4" w:space="1"/>
          <w:left w:val="single" w:color="auto" w:sz="4" w:space="4"/>
          <w:bottom w:val="single" w:color="auto" w:sz="4" w:space="1"/>
          <w:right w:val="single" w:color="auto" w:sz="4" w:space="4"/>
        </w:pBdr>
        <w:wordWrap w:val="0"/>
        <w:spacing w:line="360" w:lineRule="auto"/>
        <w:ind w:firstLine="525" w:firstLineChars="250"/>
        <w:rPr>
          <w:rFonts w:ascii="宋体" w:hAnsi="宋体" w:cs="宋体"/>
          <w:color w:val="auto"/>
          <w:szCs w:val="21"/>
          <w:highlight w:val="none"/>
          <w:u w:val="single"/>
        </w:rPr>
      </w:pPr>
      <w:r>
        <w:rPr>
          <w:rFonts w:hint="eastAsia" w:ascii="宋体" w:hAnsi="宋体" w:cs="宋体"/>
          <w:color w:val="auto"/>
          <w:szCs w:val="21"/>
          <w:highlight w:val="none"/>
          <w:u w:val="single"/>
          <w:lang w:eastAsia="zh-CN"/>
        </w:rPr>
        <w:t>自治区级职业教育专业资源库</w:t>
      </w:r>
      <w:r>
        <w:rPr>
          <w:rFonts w:hint="eastAsia" w:ascii="宋体" w:hAnsi="宋体" w:cs="宋体"/>
          <w:color w:val="auto"/>
          <w:szCs w:val="21"/>
          <w:highlight w:val="none"/>
        </w:rPr>
        <w:t>招标项目的潜在投标人应在</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rPr>
        <w:t>获取（下载）招标文件，并于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分00秒</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2FCA2DA6">
      <w:pPr>
        <w:wordWrap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一、项目基本情况</w:t>
      </w:r>
    </w:p>
    <w:p w14:paraId="5F4DEDCB">
      <w:pPr>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NNZC2026-G3-990620-GXYZ</w:t>
      </w:r>
    </w:p>
    <w:p w14:paraId="092AB6CD">
      <w:pPr>
        <w:wordWrap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采购计划文号：NNZC[2026]3743号004</w:t>
      </w:r>
      <w:r>
        <w:rPr>
          <w:rFonts w:hint="eastAsia" w:ascii="宋体" w:hAnsi="宋体" w:cs="宋体"/>
          <w:color w:val="auto"/>
          <w:szCs w:val="21"/>
          <w:highlight w:val="none"/>
          <w:lang w:eastAsia="zh-CN"/>
        </w:rPr>
        <w:t>、NNZC[2026]3743号003 、NNZC[2026]3743号00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、NNZC[2026]3743号00</w:t>
      </w:r>
      <w:r>
        <w:rPr>
          <w:rFonts w:hint="eastAsia" w:ascii="宋体" w:hAnsi="宋体" w:cs="宋体"/>
          <w:color w:val="auto"/>
          <w:szCs w:val="21"/>
          <w:highlight w:val="none"/>
          <w:lang w:val="en-US" w:eastAsia="zh-CN"/>
        </w:rPr>
        <w:t>1</w:t>
      </w:r>
    </w:p>
    <w:p w14:paraId="2989FD59">
      <w:pPr>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自治区级职业教育专业资源库</w:t>
      </w:r>
    </w:p>
    <w:p w14:paraId="0EDBFE5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预算金额：人民币壹佰伍拾万元整（¥1500000.00）[其中分标1：人民币玖拾万元整（¥900000.00）；分标2：人民币贰拾伍万元整（¥250000.00）；分标3：人民币</w:t>
      </w:r>
      <w:r>
        <w:rPr>
          <w:rFonts w:hint="eastAsia" w:ascii="宋体" w:hAnsi="宋体" w:cs="宋体"/>
          <w:color w:val="auto"/>
          <w:szCs w:val="21"/>
          <w:highlight w:val="none"/>
          <w:lang w:val="en-US" w:eastAsia="zh-CN"/>
        </w:rPr>
        <w:t>贰拾万元整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0000.00）</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分标4：</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壹拾伍万元整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0000.00）]。</w:t>
      </w:r>
    </w:p>
    <w:p w14:paraId="3014046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最高限价：人民币壹佰伍拾万元整（¥1500000.00）[其中分标1：人民币玖拾万元整（¥900000.00）；分标2：人民币贰拾伍万元整（¥250000.00）；分标3：人民币</w:t>
      </w:r>
      <w:r>
        <w:rPr>
          <w:rFonts w:hint="eastAsia" w:ascii="宋体" w:hAnsi="宋体" w:cs="宋体"/>
          <w:color w:val="auto"/>
          <w:szCs w:val="21"/>
          <w:highlight w:val="none"/>
          <w:lang w:val="en-US" w:eastAsia="zh-CN"/>
        </w:rPr>
        <w:t>贰拾万元整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0000.00）</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分标4：</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壹拾伍万元整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0000.00）]。</w:t>
      </w:r>
    </w:p>
    <w:p w14:paraId="5E3DD926">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32756324">
      <w:pPr>
        <w:wordWrap w:val="0"/>
        <w:spacing w:line="360" w:lineRule="auto"/>
        <w:ind w:firstLine="422" w:firstLineChars="200"/>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分标1（2026年高星级饭店运行与管理专业群资源库）</w:t>
      </w:r>
    </w:p>
    <w:tbl>
      <w:tblPr>
        <w:tblStyle w:val="23"/>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918"/>
        <w:gridCol w:w="889"/>
        <w:gridCol w:w="862"/>
        <w:gridCol w:w="5711"/>
      </w:tblGrid>
      <w:tr w14:paraId="2C8F0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0F17FEB">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18" w:type="dxa"/>
            <w:tcBorders>
              <w:top w:val="single" w:color="auto" w:sz="4" w:space="0"/>
              <w:left w:val="single" w:color="auto" w:sz="4" w:space="0"/>
              <w:bottom w:val="single" w:color="auto" w:sz="4" w:space="0"/>
              <w:right w:val="single" w:color="auto" w:sz="4" w:space="0"/>
            </w:tcBorders>
            <w:vAlign w:val="center"/>
          </w:tcPr>
          <w:p w14:paraId="645C9B0C">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889" w:type="dxa"/>
            <w:tcBorders>
              <w:top w:val="single" w:color="auto" w:sz="4" w:space="0"/>
              <w:left w:val="single" w:color="auto" w:sz="4" w:space="0"/>
              <w:bottom w:val="single" w:color="auto" w:sz="4" w:space="0"/>
              <w:right w:val="single" w:color="auto" w:sz="4" w:space="0"/>
            </w:tcBorders>
            <w:vAlign w:val="center"/>
          </w:tcPr>
          <w:p w14:paraId="3E644455">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62" w:type="dxa"/>
            <w:tcBorders>
              <w:top w:val="single" w:color="auto" w:sz="4" w:space="0"/>
              <w:left w:val="single" w:color="auto" w:sz="4" w:space="0"/>
              <w:bottom w:val="single" w:color="auto" w:sz="4" w:space="0"/>
              <w:right w:val="single" w:color="auto" w:sz="4" w:space="0"/>
            </w:tcBorders>
            <w:vAlign w:val="center"/>
          </w:tcPr>
          <w:p w14:paraId="37C58A2E">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5711" w:type="dxa"/>
            <w:tcBorders>
              <w:top w:val="single" w:color="auto" w:sz="4" w:space="0"/>
              <w:left w:val="single" w:color="auto" w:sz="4" w:space="0"/>
              <w:bottom w:val="single" w:color="auto" w:sz="4" w:space="0"/>
              <w:right w:val="single" w:color="auto" w:sz="4" w:space="0"/>
            </w:tcBorders>
            <w:vAlign w:val="center"/>
          </w:tcPr>
          <w:p w14:paraId="3A84DFED">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简要服务要求或者技术需求</w:t>
            </w:r>
          </w:p>
        </w:tc>
      </w:tr>
      <w:tr w14:paraId="06FC3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0C7E4A4C">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918" w:type="dxa"/>
            <w:tcBorders>
              <w:top w:val="single" w:color="auto" w:sz="4" w:space="0"/>
              <w:left w:val="single" w:color="auto" w:sz="4" w:space="0"/>
              <w:bottom w:val="single" w:color="auto" w:sz="4" w:space="0"/>
              <w:right w:val="single" w:color="auto" w:sz="4" w:space="0"/>
            </w:tcBorders>
            <w:vAlign w:val="center"/>
          </w:tcPr>
          <w:p w14:paraId="3BCFF4CF">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专业教学资源库平台运行维护</w:t>
            </w:r>
          </w:p>
        </w:tc>
        <w:tc>
          <w:tcPr>
            <w:tcW w:w="889" w:type="dxa"/>
            <w:tcBorders>
              <w:top w:val="single" w:color="auto" w:sz="4" w:space="0"/>
              <w:left w:val="single" w:color="auto" w:sz="4" w:space="0"/>
              <w:bottom w:val="single" w:color="auto" w:sz="4" w:space="0"/>
              <w:right w:val="single" w:color="auto" w:sz="4" w:space="0"/>
            </w:tcBorders>
            <w:vAlign w:val="center"/>
          </w:tcPr>
          <w:p w14:paraId="35784BAB">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315A3BDE">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5DB13B59">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一、服务总体要求</w:t>
            </w:r>
          </w:p>
          <w:p w14:paraId="7170961E">
            <w:pPr>
              <w:wordWrap w:val="0"/>
              <w:snapToGrid w:val="0"/>
              <w:spacing w:line="360" w:lineRule="auto"/>
              <w:jc w:val="left"/>
              <w:rPr>
                <w:rFonts w:ascii="宋体" w:hAnsi="宋体" w:cs="宋体"/>
                <w:color w:val="auto"/>
                <w:szCs w:val="21"/>
                <w:highlight w:val="none"/>
              </w:rPr>
            </w:pPr>
            <w:r>
              <w:rPr>
                <w:rFonts w:hint="eastAsia" w:ascii="宋体" w:hAnsi="宋体" w:cs="宋体"/>
                <w:b w:val="0"/>
                <w:bCs w:val="0"/>
                <w:color w:val="auto"/>
                <w:szCs w:val="21"/>
                <w:highlight w:val="none"/>
              </w:rPr>
              <w:t>提供教学资源库平台，该平台能为我校自治区级高星级饭店运行与管理专业教学资源库提供为期3年的全程运行维护服务（从验收合格之日起算），保障平台长期稳定、高效、安全运行，全面满足学校专业教学、实训培训、资源建设、日常管理等全场景使用需求。</w:t>
            </w:r>
            <w:r>
              <w:rPr>
                <w:rFonts w:hint="eastAsia" w:ascii="宋体" w:hAnsi="宋体" w:cs="宋体"/>
                <w:b/>
                <w:bCs/>
                <w:color w:val="auto"/>
                <w:szCs w:val="21"/>
                <w:highlight w:val="none"/>
              </w:rPr>
              <w:t>……具体详见公开招标文件。</w:t>
            </w:r>
          </w:p>
        </w:tc>
      </w:tr>
      <w:tr w14:paraId="786C23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5E10AAC9">
            <w:pPr>
              <w:wordWrap w:val="0"/>
              <w:snapToGrid w:val="0"/>
              <w:spacing w:line="360" w:lineRule="auto"/>
              <w:jc w:val="center"/>
              <w:rPr>
                <w:rFonts w:hint="eastAsia" w:ascii="宋体" w:hAnsi="宋体" w:cs="宋体"/>
                <w:b w:val="0"/>
                <w:bCs w:val="0"/>
                <w:color w:val="auto"/>
                <w:szCs w:val="21"/>
                <w:highlight w:val="none"/>
              </w:rPr>
            </w:pPr>
            <w:r>
              <w:rPr>
                <w:rFonts w:hint="eastAsia" w:ascii="宋体" w:hAnsi="宋体" w:eastAsia="宋体" w:cs="宋体"/>
                <w:b w:val="0"/>
                <w:bCs w:val="0"/>
                <w:color w:val="auto"/>
                <w:sz w:val="24"/>
                <w:szCs w:val="24"/>
                <w:highlight w:val="none"/>
              </w:rPr>
              <w:t>…</w:t>
            </w:r>
          </w:p>
        </w:tc>
        <w:tc>
          <w:tcPr>
            <w:tcW w:w="1918" w:type="dxa"/>
            <w:tcBorders>
              <w:top w:val="single" w:color="auto" w:sz="4" w:space="0"/>
              <w:left w:val="single" w:color="auto" w:sz="4" w:space="0"/>
              <w:bottom w:val="single" w:color="auto" w:sz="4" w:space="0"/>
              <w:right w:val="single" w:color="auto" w:sz="4" w:space="0"/>
            </w:tcBorders>
            <w:vAlign w:val="center"/>
          </w:tcPr>
          <w:p w14:paraId="51A6F23D">
            <w:pPr>
              <w:wordWrap w:val="0"/>
              <w:snapToGrid w:val="0"/>
              <w:spacing w:line="360" w:lineRule="auto"/>
              <w:jc w:val="center"/>
              <w:rPr>
                <w:rFonts w:hint="eastAsia" w:ascii="宋体" w:hAnsi="宋体" w:cs="宋体"/>
                <w:b w:val="0"/>
                <w:bCs w:val="0"/>
                <w:color w:val="auto"/>
                <w:szCs w:val="21"/>
                <w:highlight w:val="none"/>
                <w:lang w:eastAsia="zh-CN"/>
              </w:rPr>
            </w:pPr>
            <w:r>
              <w:rPr>
                <w:rFonts w:hint="eastAsia" w:ascii="宋体" w:hAnsi="宋体" w:eastAsia="宋体" w:cs="宋体"/>
                <w:b w:val="0"/>
                <w:bCs w:val="0"/>
                <w:color w:val="auto"/>
                <w:sz w:val="24"/>
                <w:szCs w:val="24"/>
                <w:highlight w:val="none"/>
              </w:rPr>
              <w:t>…</w:t>
            </w:r>
          </w:p>
        </w:tc>
        <w:tc>
          <w:tcPr>
            <w:tcW w:w="889" w:type="dxa"/>
            <w:tcBorders>
              <w:top w:val="single" w:color="auto" w:sz="4" w:space="0"/>
              <w:left w:val="single" w:color="auto" w:sz="4" w:space="0"/>
              <w:bottom w:val="single" w:color="auto" w:sz="4" w:space="0"/>
              <w:right w:val="single" w:color="auto" w:sz="4" w:space="0"/>
            </w:tcBorders>
            <w:vAlign w:val="center"/>
          </w:tcPr>
          <w:p w14:paraId="30B74DFF">
            <w:pPr>
              <w:wordWrap w:val="0"/>
              <w:snapToGrid w:val="0"/>
              <w:spacing w:line="360" w:lineRule="auto"/>
              <w:jc w:val="center"/>
              <w:rPr>
                <w:rFonts w:hint="eastAsia" w:ascii="宋体" w:hAnsi="宋体" w:cs="宋体"/>
                <w:b w:val="0"/>
                <w:bCs w:val="0"/>
                <w:color w:val="auto"/>
                <w:szCs w:val="21"/>
                <w:highlight w:val="none"/>
                <w:lang w:val="en-US" w:eastAsia="zh-CN"/>
              </w:rPr>
            </w:pPr>
            <w:r>
              <w:rPr>
                <w:rFonts w:hint="eastAsia" w:ascii="宋体" w:hAnsi="宋体" w:eastAsia="宋体" w:cs="宋体"/>
                <w:b w:val="0"/>
                <w:bCs w:val="0"/>
                <w:color w:val="auto"/>
                <w:sz w:val="24"/>
                <w:szCs w:val="24"/>
                <w:highlight w:val="none"/>
              </w:rPr>
              <w:t>…</w:t>
            </w:r>
          </w:p>
        </w:tc>
        <w:tc>
          <w:tcPr>
            <w:tcW w:w="862" w:type="dxa"/>
            <w:tcBorders>
              <w:top w:val="single" w:color="auto" w:sz="4" w:space="0"/>
              <w:left w:val="single" w:color="auto" w:sz="4" w:space="0"/>
              <w:bottom w:val="single" w:color="auto" w:sz="4" w:space="0"/>
              <w:right w:val="single" w:color="auto" w:sz="4" w:space="0"/>
            </w:tcBorders>
            <w:vAlign w:val="center"/>
          </w:tcPr>
          <w:p w14:paraId="72E3DB86">
            <w:pPr>
              <w:wordWrap w:val="0"/>
              <w:snapToGrid w:val="0"/>
              <w:spacing w:line="360" w:lineRule="auto"/>
              <w:jc w:val="center"/>
              <w:rPr>
                <w:rFonts w:hint="eastAsia" w:ascii="宋体" w:hAnsi="宋体" w:cs="宋体"/>
                <w:b w:val="0"/>
                <w:bCs w:val="0"/>
                <w:color w:val="auto"/>
                <w:szCs w:val="21"/>
                <w:highlight w:val="none"/>
                <w:lang w:val="en-US" w:eastAsia="zh-CN"/>
              </w:rPr>
            </w:pPr>
            <w:r>
              <w:rPr>
                <w:rFonts w:hint="eastAsia" w:ascii="宋体" w:hAnsi="宋体" w:eastAsia="宋体" w:cs="宋体"/>
                <w:b w:val="0"/>
                <w:bCs w:val="0"/>
                <w:color w:val="auto"/>
                <w:sz w:val="24"/>
                <w:szCs w:val="24"/>
                <w:highlight w:val="none"/>
              </w:rPr>
              <w:t>…</w:t>
            </w:r>
          </w:p>
        </w:tc>
        <w:tc>
          <w:tcPr>
            <w:tcW w:w="5711" w:type="dxa"/>
            <w:tcBorders>
              <w:top w:val="single" w:color="auto" w:sz="4" w:space="0"/>
              <w:left w:val="single" w:color="auto" w:sz="4" w:space="0"/>
              <w:bottom w:val="single" w:color="auto" w:sz="4" w:space="0"/>
              <w:right w:val="single" w:color="auto" w:sz="4" w:space="0"/>
            </w:tcBorders>
            <w:vAlign w:val="center"/>
          </w:tcPr>
          <w:p w14:paraId="574BDCB9">
            <w:pPr>
              <w:wordWrap w:val="0"/>
              <w:snapToGrid w:val="0"/>
              <w:spacing w:line="360" w:lineRule="auto"/>
              <w:jc w:val="left"/>
              <w:rPr>
                <w:rFonts w:hint="eastAsia" w:ascii="宋体" w:hAnsi="宋体" w:cs="宋体"/>
                <w:b w:val="0"/>
                <w:bCs w:val="0"/>
                <w:color w:val="auto"/>
                <w:szCs w:val="21"/>
                <w:highlight w:val="none"/>
              </w:rPr>
            </w:pPr>
            <w:r>
              <w:rPr>
                <w:rFonts w:hint="eastAsia" w:ascii="宋体" w:hAnsi="宋体" w:eastAsia="宋体" w:cs="宋体"/>
                <w:b w:val="0"/>
                <w:bCs w:val="0"/>
                <w:color w:val="auto"/>
                <w:sz w:val="24"/>
                <w:szCs w:val="24"/>
                <w:highlight w:val="none"/>
              </w:rPr>
              <w:t>…</w:t>
            </w:r>
          </w:p>
        </w:tc>
      </w:tr>
      <w:tr w14:paraId="170BC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331EDF3C">
            <w:pPr>
              <w:wordWrap w:val="0"/>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918" w:type="dxa"/>
            <w:tcBorders>
              <w:top w:val="single" w:color="auto" w:sz="4" w:space="0"/>
              <w:left w:val="single" w:color="auto" w:sz="4" w:space="0"/>
              <w:bottom w:val="single" w:color="auto" w:sz="4" w:space="0"/>
              <w:right w:val="single" w:color="auto" w:sz="4" w:space="0"/>
            </w:tcBorders>
            <w:vAlign w:val="center"/>
          </w:tcPr>
          <w:p w14:paraId="4E6F4604">
            <w:pPr>
              <w:wordWrap w:val="0"/>
              <w:snapToGrid w:val="0"/>
              <w:spacing w:line="360" w:lineRule="auto"/>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数字化教材建设</w:t>
            </w:r>
          </w:p>
        </w:tc>
        <w:tc>
          <w:tcPr>
            <w:tcW w:w="889" w:type="dxa"/>
            <w:tcBorders>
              <w:top w:val="single" w:color="auto" w:sz="4" w:space="0"/>
              <w:left w:val="single" w:color="auto" w:sz="4" w:space="0"/>
              <w:bottom w:val="single" w:color="auto" w:sz="4" w:space="0"/>
              <w:right w:val="single" w:color="auto" w:sz="4" w:space="0"/>
            </w:tcBorders>
            <w:vAlign w:val="center"/>
          </w:tcPr>
          <w:p w14:paraId="3E79CAA7">
            <w:pPr>
              <w:wordWrap w:val="0"/>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0DD5D75A">
            <w:pPr>
              <w:wordWrap w:val="0"/>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1FCBC5B2">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一、整体要求</w:t>
            </w:r>
          </w:p>
          <w:p w14:paraId="1DD54427">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rPr>
              <w:t>1.开发《康养休闲酒店服务》数字教材 1 部，字数不少于10万字，提供完整的数字教材审校、封面设计、数字教材管理、数字教材平台技术支持等服务。</w:t>
            </w:r>
            <w:r>
              <w:rPr>
                <w:rFonts w:hint="eastAsia" w:ascii="宋体" w:hAnsi="宋体" w:cs="宋体"/>
                <w:b/>
                <w:bCs/>
                <w:color w:val="auto"/>
                <w:szCs w:val="21"/>
                <w:highlight w:val="none"/>
              </w:rPr>
              <w:t>……具体详见公开招标文件。</w:t>
            </w:r>
          </w:p>
        </w:tc>
      </w:tr>
    </w:tbl>
    <w:p w14:paraId="0B4BDDFB">
      <w:pPr>
        <w:wordWrap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合同履行期限：详见公开招标文件。</w:t>
      </w:r>
    </w:p>
    <w:p w14:paraId="4908EF97">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是否接受联合体投标：本项目不接受联合体。</w:t>
      </w:r>
    </w:p>
    <w:p w14:paraId="16A65D2C">
      <w:pPr>
        <w:pStyle w:val="2"/>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分标2（餐旅专业群人才培养方案修订及培训服务）</w:t>
      </w:r>
    </w:p>
    <w:tbl>
      <w:tblPr>
        <w:tblStyle w:val="23"/>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918"/>
        <w:gridCol w:w="889"/>
        <w:gridCol w:w="862"/>
        <w:gridCol w:w="5711"/>
      </w:tblGrid>
      <w:tr w14:paraId="1A0E0C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6A5798B6">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18" w:type="dxa"/>
            <w:tcBorders>
              <w:top w:val="single" w:color="auto" w:sz="4" w:space="0"/>
              <w:left w:val="single" w:color="auto" w:sz="4" w:space="0"/>
              <w:bottom w:val="single" w:color="auto" w:sz="4" w:space="0"/>
              <w:right w:val="single" w:color="auto" w:sz="4" w:space="0"/>
            </w:tcBorders>
            <w:vAlign w:val="center"/>
          </w:tcPr>
          <w:p w14:paraId="6A440E9B">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889" w:type="dxa"/>
            <w:tcBorders>
              <w:top w:val="single" w:color="auto" w:sz="4" w:space="0"/>
              <w:left w:val="single" w:color="auto" w:sz="4" w:space="0"/>
              <w:bottom w:val="single" w:color="auto" w:sz="4" w:space="0"/>
              <w:right w:val="single" w:color="auto" w:sz="4" w:space="0"/>
            </w:tcBorders>
            <w:vAlign w:val="center"/>
          </w:tcPr>
          <w:p w14:paraId="3C0B5830">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62" w:type="dxa"/>
            <w:tcBorders>
              <w:top w:val="single" w:color="auto" w:sz="4" w:space="0"/>
              <w:left w:val="single" w:color="auto" w:sz="4" w:space="0"/>
              <w:bottom w:val="single" w:color="auto" w:sz="4" w:space="0"/>
              <w:right w:val="single" w:color="auto" w:sz="4" w:space="0"/>
            </w:tcBorders>
            <w:vAlign w:val="center"/>
          </w:tcPr>
          <w:p w14:paraId="2875A61C">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5711" w:type="dxa"/>
            <w:tcBorders>
              <w:top w:val="single" w:color="auto" w:sz="4" w:space="0"/>
              <w:left w:val="single" w:color="auto" w:sz="4" w:space="0"/>
              <w:bottom w:val="single" w:color="auto" w:sz="4" w:space="0"/>
              <w:right w:val="single" w:color="auto" w:sz="4" w:space="0"/>
            </w:tcBorders>
            <w:vAlign w:val="center"/>
          </w:tcPr>
          <w:p w14:paraId="2286C772">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简要服务要求或者技术需求</w:t>
            </w:r>
          </w:p>
        </w:tc>
      </w:tr>
      <w:tr w14:paraId="67070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60F076E4">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918" w:type="dxa"/>
            <w:tcBorders>
              <w:top w:val="single" w:color="auto" w:sz="4" w:space="0"/>
              <w:left w:val="single" w:color="auto" w:sz="4" w:space="0"/>
              <w:bottom w:val="single" w:color="auto" w:sz="4" w:space="0"/>
              <w:right w:val="single" w:color="auto" w:sz="4" w:space="0"/>
            </w:tcBorders>
            <w:vAlign w:val="center"/>
          </w:tcPr>
          <w:p w14:paraId="29FDB28C">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方案修订</w:t>
            </w:r>
          </w:p>
        </w:tc>
        <w:tc>
          <w:tcPr>
            <w:tcW w:w="889" w:type="dxa"/>
            <w:tcBorders>
              <w:top w:val="single" w:color="auto" w:sz="4" w:space="0"/>
              <w:left w:val="single" w:color="auto" w:sz="4" w:space="0"/>
              <w:bottom w:val="single" w:color="auto" w:sz="4" w:space="0"/>
              <w:right w:val="single" w:color="auto" w:sz="4" w:space="0"/>
            </w:tcBorders>
            <w:vAlign w:val="center"/>
          </w:tcPr>
          <w:p w14:paraId="0D20B914">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206BBF7F">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5711" w:type="dxa"/>
            <w:tcBorders>
              <w:top w:val="single" w:color="auto" w:sz="4" w:space="0"/>
              <w:left w:val="single" w:color="auto" w:sz="4" w:space="0"/>
              <w:bottom w:val="single" w:color="auto" w:sz="4" w:space="0"/>
              <w:right w:val="single" w:color="auto" w:sz="4" w:space="0"/>
            </w:tcBorders>
            <w:vAlign w:val="center"/>
          </w:tcPr>
          <w:p w14:paraId="0021232B">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一、整体要求：</w:t>
            </w:r>
          </w:p>
          <w:p w14:paraId="56D76B34">
            <w:pPr>
              <w:wordWrap w:val="0"/>
              <w:snapToGrid w:val="0"/>
              <w:spacing w:line="360" w:lineRule="auto"/>
              <w:jc w:val="left"/>
              <w:rPr>
                <w:rFonts w:ascii="宋体" w:hAnsi="宋体" w:cs="宋体"/>
                <w:color w:val="auto"/>
                <w:szCs w:val="21"/>
                <w:highlight w:val="none"/>
              </w:rPr>
            </w:pPr>
            <w:r>
              <w:rPr>
                <w:rFonts w:hint="eastAsia" w:ascii="宋体" w:hAnsi="宋体" w:cs="宋体"/>
                <w:b w:val="0"/>
                <w:bCs w:val="0"/>
                <w:color w:val="auto"/>
                <w:szCs w:val="21"/>
                <w:highlight w:val="none"/>
              </w:rPr>
              <w:t>▲修订餐旅专业群以下5个专业的人才培养方案</w:t>
            </w:r>
            <w:r>
              <w:rPr>
                <w:rFonts w:hint="eastAsia" w:ascii="宋体" w:hAnsi="宋体" w:cs="宋体"/>
                <w:b/>
                <w:bCs/>
                <w:color w:val="auto"/>
                <w:szCs w:val="21"/>
                <w:highlight w:val="none"/>
              </w:rPr>
              <w:t>……具体详见公开招标文件。</w:t>
            </w:r>
          </w:p>
        </w:tc>
      </w:tr>
      <w:tr w14:paraId="13DFF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70785C98">
            <w:pPr>
              <w:wordWrap w:val="0"/>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918" w:type="dxa"/>
            <w:tcBorders>
              <w:top w:val="single" w:color="auto" w:sz="4" w:space="0"/>
              <w:left w:val="single" w:color="auto" w:sz="4" w:space="0"/>
              <w:bottom w:val="single" w:color="auto" w:sz="4" w:space="0"/>
              <w:right w:val="single" w:color="auto" w:sz="4" w:space="0"/>
            </w:tcBorders>
            <w:vAlign w:val="center"/>
          </w:tcPr>
          <w:p w14:paraId="5C733A65">
            <w:pPr>
              <w:wordWrap w:val="0"/>
              <w:snapToGrid w:val="0"/>
              <w:spacing w:line="360" w:lineRule="auto"/>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培训</w:t>
            </w:r>
          </w:p>
        </w:tc>
        <w:tc>
          <w:tcPr>
            <w:tcW w:w="889" w:type="dxa"/>
            <w:tcBorders>
              <w:top w:val="single" w:color="auto" w:sz="4" w:space="0"/>
              <w:left w:val="single" w:color="auto" w:sz="4" w:space="0"/>
              <w:bottom w:val="single" w:color="auto" w:sz="4" w:space="0"/>
              <w:right w:val="single" w:color="auto" w:sz="4" w:space="0"/>
            </w:tcBorders>
            <w:vAlign w:val="center"/>
          </w:tcPr>
          <w:p w14:paraId="21834FF7">
            <w:pPr>
              <w:wordWrap w:val="0"/>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20C32C48">
            <w:pPr>
              <w:wordWrap w:val="0"/>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5711" w:type="dxa"/>
            <w:tcBorders>
              <w:top w:val="single" w:color="auto" w:sz="4" w:space="0"/>
              <w:left w:val="single" w:color="auto" w:sz="4" w:space="0"/>
              <w:bottom w:val="single" w:color="auto" w:sz="4" w:space="0"/>
              <w:right w:val="single" w:color="auto" w:sz="4" w:space="0"/>
            </w:tcBorders>
            <w:vAlign w:val="center"/>
          </w:tcPr>
          <w:p w14:paraId="783FA0DC">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一、整体要求：</w:t>
            </w:r>
          </w:p>
          <w:p w14:paraId="5A73061F">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rPr>
              <w:t>进行以下2个板块内容的集中培训，每项培训内容不少于4课时。</w:t>
            </w:r>
            <w:r>
              <w:rPr>
                <w:rFonts w:hint="eastAsia" w:ascii="宋体" w:hAnsi="宋体" w:cs="宋体"/>
                <w:b/>
                <w:bCs/>
                <w:color w:val="auto"/>
                <w:szCs w:val="21"/>
                <w:highlight w:val="none"/>
              </w:rPr>
              <w:t>……具体详见公开招标文件。</w:t>
            </w:r>
          </w:p>
        </w:tc>
      </w:tr>
    </w:tbl>
    <w:p w14:paraId="1E812E04">
      <w:pPr>
        <w:wordWrap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合同履行期限：详见公开招标文件。</w:t>
      </w:r>
    </w:p>
    <w:p w14:paraId="7039D6D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是否接受联合体投标：本项目不接受联合体。</w:t>
      </w:r>
    </w:p>
    <w:p w14:paraId="4F28E5A4">
      <w:pPr>
        <w:pStyle w:val="2"/>
        <w:rPr>
          <w:color w:val="auto"/>
          <w:highlight w:val="none"/>
        </w:rPr>
      </w:pPr>
      <w:r>
        <w:rPr>
          <w:rFonts w:hint="eastAsia" w:ascii="宋体" w:hAnsi="宋体" w:cs="宋体"/>
          <w:b/>
          <w:bCs/>
          <w:color w:val="auto"/>
          <w:szCs w:val="21"/>
          <w:highlight w:val="none"/>
          <w:lang w:val="en-US" w:eastAsia="zh-CN"/>
        </w:rPr>
        <w:t>分标3（2本活页式教材采购服务）</w:t>
      </w:r>
    </w:p>
    <w:tbl>
      <w:tblPr>
        <w:tblStyle w:val="23"/>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918"/>
        <w:gridCol w:w="889"/>
        <w:gridCol w:w="862"/>
        <w:gridCol w:w="5711"/>
      </w:tblGrid>
      <w:tr w14:paraId="0E482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14B6E3AC">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18" w:type="dxa"/>
            <w:tcBorders>
              <w:top w:val="single" w:color="auto" w:sz="4" w:space="0"/>
              <w:left w:val="single" w:color="auto" w:sz="4" w:space="0"/>
              <w:bottom w:val="single" w:color="auto" w:sz="4" w:space="0"/>
              <w:right w:val="single" w:color="auto" w:sz="4" w:space="0"/>
            </w:tcBorders>
            <w:vAlign w:val="center"/>
          </w:tcPr>
          <w:p w14:paraId="51BDF23F">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889" w:type="dxa"/>
            <w:tcBorders>
              <w:top w:val="single" w:color="auto" w:sz="4" w:space="0"/>
              <w:left w:val="single" w:color="auto" w:sz="4" w:space="0"/>
              <w:bottom w:val="single" w:color="auto" w:sz="4" w:space="0"/>
              <w:right w:val="single" w:color="auto" w:sz="4" w:space="0"/>
            </w:tcBorders>
            <w:vAlign w:val="center"/>
          </w:tcPr>
          <w:p w14:paraId="3323D71F">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62" w:type="dxa"/>
            <w:tcBorders>
              <w:top w:val="single" w:color="auto" w:sz="4" w:space="0"/>
              <w:left w:val="single" w:color="auto" w:sz="4" w:space="0"/>
              <w:bottom w:val="single" w:color="auto" w:sz="4" w:space="0"/>
              <w:right w:val="single" w:color="auto" w:sz="4" w:space="0"/>
            </w:tcBorders>
            <w:vAlign w:val="center"/>
          </w:tcPr>
          <w:p w14:paraId="1264D7B2">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5711" w:type="dxa"/>
            <w:tcBorders>
              <w:top w:val="single" w:color="auto" w:sz="4" w:space="0"/>
              <w:left w:val="single" w:color="auto" w:sz="4" w:space="0"/>
              <w:bottom w:val="single" w:color="auto" w:sz="4" w:space="0"/>
              <w:right w:val="single" w:color="auto" w:sz="4" w:space="0"/>
            </w:tcBorders>
            <w:vAlign w:val="center"/>
          </w:tcPr>
          <w:p w14:paraId="38E1C9A9">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简要服务要求或者技术需求</w:t>
            </w:r>
          </w:p>
        </w:tc>
      </w:tr>
      <w:tr w14:paraId="6C9FC0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6720BF54">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918" w:type="dxa"/>
            <w:tcBorders>
              <w:top w:val="single" w:color="auto" w:sz="4" w:space="0"/>
              <w:left w:val="single" w:color="auto" w:sz="4" w:space="0"/>
              <w:bottom w:val="single" w:color="auto" w:sz="4" w:space="0"/>
              <w:right w:val="single" w:color="auto" w:sz="4" w:space="0"/>
            </w:tcBorders>
            <w:vAlign w:val="center"/>
          </w:tcPr>
          <w:p w14:paraId="4749D956">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《东南亚菜肴制作》活页式教材编写服务</w:t>
            </w:r>
          </w:p>
        </w:tc>
        <w:tc>
          <w:tcPr>
            <w:tcW w:w="889" w:type="dxa"/>
            <w:tcBorders>
              <w:top w:val="single" w:color="auto" w:sz="4" w:space="0"/>
              <w:left w:val="single" w:color="auto" w:sz="4" w:space="0"/>
              <w:bottom w:val="single" w:color="auto" w:sz="4" w:space="0"/>
              <w:right w:val="single" w:color="auto" w:sz="4" w:space="0"/>
            </w:tcBorders>
            <w:vAlign w:val="center"/>
          </w:tcPr>
          <w:p w14:paraId="627DB5D7">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1A72DB43">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3F27E3D4">
            <w:pPr>
              <w:wordWrap w:val="0"/>
              <w:snapToGrid w:val="0"/>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《东南亚菜肴制作》活页式教材编写服务完整服务参数</w:t>
            </w:r>
          </w:p>
          <w:p w14:paraId="60484BD1">
            <w:pPr>
              <w:wordWrap w:val="0"/>
              <w:snapToGrid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……具体详见公开招标文件。</w:t>
            </w:r>
          </w:p>
        </w:tc>
      </w:tr>
      <w:tr w14:paraId="5CB13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48D4A12C">
            <w:pPr>
              <w:wordWrap w:val="0"/>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918" w:type="dxa"/>
            <w:tcBorders>
              <w:top w:val="single" w:color="auto" w:sz="4" w:space="0"/>
              <w:left w:val="single" w:color="auto" w:sz="4" w:space="0"/>
              <w:bottom w:val="single" w:color="auto" w:sz="4" w:space="0"/>
              <w:right w:val="single" w:color="auto" w:sz="4" w:space="0"/>
            </w:tcBorders>
            <w:vAlign w:val="center"/>
          </w:tcPr>
          <w:p w14:paraId="295091EF">
            <w:pPr>
              <w:wordWrap w:val="0"/>
              <w:snapToGrid w:val="0"/>
              <w:spacing w:line="360" w:lineRule="auto"/>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《品牌数字化推广应用》活页式教材编写服务</w:t>
            </w:r>
          </w:p>
        </w:tc>
        <w:tc>
          <w:tcPr>
            <w:tcW w:w="889" w:type="dxa"/>
            <w:tcBorders>
              <w:top w:val="single" w:color="auto" w:sz="4" w:space="0"/>
              <w:left w:val="single" w:color="auto" w:sz="4" w:space="0"/>
              <w:bottom w:val="single" w:color="auto" w:sz="4" w:space="0"/>
              <w:right w:val="single" w:color="auto" w:sz="4" w:space="0"/>
            </w:tcBorders>
            <w:vAlign w:val="center"/>
          </w:tcPr>
          <w:p w14:paraId="46435C60">
            <w:pPr>
              <w:wordWrap w:val="0"/>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308DB9AD">
            <w:pPr>
              <w:wordWrap w:val="0"/>
              <w:snapToGrid w:val="0"/>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3E2AF8BF">
            <w:pPr>
              <w:wordWrap w:val="0"/>
              <w:snapToGrid w:val="0"/>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《品牌数字化推广应用》活页式教材编写服务完整参数</w:t>
            </w:r>
          </w:p>
          <w:p w14:paraId="417723C0">
            <w:pPr>
              <w:wordWrap w:val="0"/>
              <w:snapToGrid w:val="0"/>
              <w:spacing w:line="360" w:lineRule="auto"/>
              <w:jc w:val="left"/>
              <w:rPr>
                <w:rFonts w:hint="eastAsia" w:ascii="宋体" w:hAnsi="宋体" w:cs="宋体"/>
                <w:b/>
                <w:bCs/>
                <w:color w:val="auto"/>
                <w:szCs w:val="21"/>
                <w:highlight w:val="none"/>
              </w:rPr>
            </w:pPr>
            <w:r>
              <w:rPr>
                <w:rFonts w:hint="eastAsia" w:ascii="宋体" w:hAnsi="宋体" w:cs="宋体"/>
                <w:b/>
                <w:bCs/>
                <w:color w:val="auto"/>
                <w:szCs w:val="21"/>
                <w:highlight w:val="none"/>
              </w:rPr>
              <w:t>……具体详见公开招标文件。</w:t>
            </w:r>
          </w:p>
        </w:tc>
      </w:tr>
    </w:tbl>
    <w:p w14:paraId="77A49EF0">
      <w:pPr>
        <w:wordWrap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合同履行期限：详见公开招标文件。</w:t>
      </w:r>
    </w:p>
    <w:p w14:paraId="2451C57F">
      <w:pPr>
        <w:ind w:firstLine="420" w:firstLineChars="200"/>
        <w:rPr>
          <w:color w:val="auto"/>
          <w:highlight w:val="none"/>
        </w:rPr>
      </w:pPr>
      <w:r>
        <w:rPr>
          <w:rFonts w:hint="eastAsia" w:ascii="宋体" w:hAnsi="宋体" w:cs="宋体"/>
          <w:color w:val="auto"/>
          <w:szCs w:val="21"/>
          <w:highlight w:val="none"/>
        </w:rPr>
        <w:t>是否接受联合体投标：本项目不接受联合体。</w:t>
      </w:r>
    </w:p>
    <w:p w14:paraId="33C6C835">
      <w:pPr>
        <w:rPr>
          <w:color w:val="auto"/>
          <w:highlight w:val="none"/>
        </w:rPr>
      </w:pPr>
      <w:r>
        <w:rPr>
          <w:rFonts w:hint="eastAsia" w:ascii="宋体" w:hAnsi="宋体" w:cs="宋体"/>
          <w:b/>
          <w:bCs/>
          <w:color w:val="auto"/>
          <w:szCs w:val="21"/>
          <w:highlight w:val="none"/>
          <w:lang w:val="en-US" w:eastAsia="zh-CN"/>
        </w:rPr>
        <w:t>分标4（1门精品课程采购服务）</w:t>
      </w:r>
    </w:p>
    <w:tbl>
      <w:tblPr>
        <w:tblStyle w:val="23"/>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918"/>
        <w:gridCol w:w="889"/>
        <w:gridCol w:w="862"/>
        <w:gridCol w:w="5711"/>
      </w:tblGrid>
      <w:tr w14:paraId="11C90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FBF20E0">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918" w:type="dxa"/>
            <w:tcBorders>
              <w:top w:val="single" w:color="auto" w:sz="4" w:space="0"/>
              <w:left w:val="single" w:color="auto" w:sz="4" w:space="0"/>
              <w:bottom w:val="single" w:color="auto" w:sz="4" w:space="0"/>
              <w:right w:val="single" w:color="auto" w:sz="4" w:space="0"/>
            </w:tcBorders>
            <w:vAlign w:val="center"/>
          </w:tcPr>
          <w:p w14:paraId="3C628E79">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889" w:type="dxa"/>
            <w:tcBorders>
              <w:top w:val="single" w:color="auto" w:sz="4" w:space="0"/>
              <w:left w:val="single" w:color="auto" w:sz="4" w:space="0"/>
              <w:bottom w:val="single" w:color="auto" w:sz="4" w:space="0"/>
              <w:right w:val="single" w:color="auto" w:sz="4" w:space="0"/>
            </w:tcBorders>
            <w:vAlign w:val="center"/>
          </w:tcPr>
          <w:p w14:paraId="627D8A95">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62" w:type="dxa"/>
            <w:tcBorders>
              <w:top w:val="single" w:color="auto" w:sz="4" w:space="0"/>
              <w:left w:val="single" w:color="auto" w:sz="4" w:space="0"/>
              <w:bottom w:val="single" w:color="auto" w:sz="4" w:space="0"/>
              <w:right w:val="single" w:color="auto" w:sz="4" w:space="0"/>
            </w:tcBorders>
            <w:vAlign w:val="center"/>
          </w:tcPr>
          <w:p w14:paraId="1F49B170">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5711" w:type="dxa"/>
            <w:tcBorders>
              <w:top w:val="single" w:color="auto" w:sz="4" w:space="0"/>
              <w:left w:val="single" w:color="auto" w:sz="4" w:space="0"/>
              <w:bottom w:val="single" w:color="auto" w:sz="4" w:space="0"/>
              <w:right w:val="single" w:color="auto" w:sz="4" w:space="0"/>
            </w:tcBorders>
            <w:vAlign w:val="center"/>
          </w:tcPr>
          <w:p w14:paraId="21B950CF">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简要服务要求或者技术需求</w:t>
            </w:r>
          </w:p>
        </w:tc>
      </w:tr>
      <w:tr w14:paraId="1D207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120C493F">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918" w:type="dxa"/>
            <w:tcBorders>
              <w:top w:val="single" w:color="auto" w:sz="4" w:space="0"/>
              <w:left w:val="single" w:color="auto" w:sz="4" w:space="0"/>
              <w:bottom w:val="single" w:color="auto" w:sz="4" w:space="0"/>
              <w:right w:val="single" w:color="auto" w:sz="4" w:space="0"/>
            </w:tcBorders>
            <w:vAlign w:val="center"/>
          </w:tcPr>
          <w:p w14:paraId="4703E112">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《图案设计》 精品课程开发建设服务</w:t>
            </w:r>
          </w:p>
        </w:tc>
        <w:tc>
          <w:tcPr>
            <w:tcW w:w="889" w:type="dxa"/>
            <w:tcBorders>
              <w:top w:val="single" w:color="auto" w:sz="4" w:space="0"/>
              <w:left w:val="single" w:color="auto" w:sz="4" w:space="0"/>
              <w:bottom w:val="single" w:color="auto" w:sz="4" w:space="0"/>
              <w:right w:val="single" w:color="auto" w:sz="4" w:space="0"/>
            </w:tcBorders>
            <w:vAlign w:val="center"/>
          </w:tcPr>
          <w:p w14:paraId="5D8085E1">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44E079C3">
            <w:pPr>
              <w:wordWrap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08BAFD64">
            <w:pPr>
              <w:wordWrap w:val="0"/>
              <w:snapToGrid w:val="0"/>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《图案设计》精品课程开发建设服务完整参数</w:t>
            </w:r>
          </w:p>
          <w:p w14:paraId="1C68CA27">
            <w:pPr>
              <w:wordWrap w:val="0"/>
              <w:snapToGrid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……具体详见公开招标文件。</w:t>
            </w:r>
          </w:p>
        </w:tc>
      </w:tr>
    </w:tbl>
    <w:p w14:paraId="23FFFC82">
      <w:pPr>
        <w:wordWrap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合同履行期限：详见公开招标文件。</w:t>
      </w:r>
    </w:p>
    <w:p w14:paraId="4282E76B">
      <w:pPr>
        <w:ind w:firstLine="420" w:firstLineChars="200"/>
        <w:rPr>
          <w:color w:val="auto"/>
          <w:highlight w:val="none"/>
        </w:rPr>
      </w:pPr>
      <w:r>
        <w:rPr>
          <w:rFonts w:hint="eastAsia" w:ascii="宋体" w:hAnsi="宋体" w:cs="宋体"/>
          <w:color w:val="auto"/>
          <w:szCs w:val="21"/>
          <w:highlight w:val="none"/>
        </w:rPr>
        <w:t>是否接受联合体投标：本项目不接受联合体。</w:t>
      </w:r>
    </w:p>
    <w:p w14:paraId="75949FEF">
      <w:pPr>
        <w:wordWrap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二、</w:t>
      </w:r>
      <w:r>
        <w:rPr>
          <w:rFonts w:hint="eastAsia" w:ascii="宋体" w:hAnsi="宋体" w:cs="宋体"/>
          <w:b/>
          <w:bCs/>
          <w:color w:val="auto"/>
          <w:szCs w:val="21"/>
          <w:highlight w:val="none"/>
          <w:lang w:val="en-US" w:eastAsia="zh-CN"/>
        </w:rPr>
        <w:t>1、2、3、4分标</w:t>
      </w:r>
      <w:r>
        <w:rPr>
          <w:rFonts w:hint="eastAsia" w:ascii="宋体" w:hAnsi="宋体" w:cs="宋体"/>
          <w:b/>
          <w:bCs/>
          <w:color w:val="auto"/>
          <w:szCs w:val="21"/>
          <w:highlight w:val="none"/>
        </w:rPr>
        <w:t>投标人的资格要求：</w:t>
      </w:r>
    </w:p>
    <w:p w14:paraId="695D4138">
      <w:pPr>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1.满足《中华人民共和国政府采购法》第二十二条规定</w:t>
      </w:r>
      <w:r>
        <w:rPr>
          <w:rFonts w:hint="eastAsia" w:ascii="宋体" w:hAnsi="宋体" w:cs="宋体"/>
          <w:color w:val="auto"/>
          <w:szCs w:val="21"/>
          <w:highlight w:val="none"/>
          <w:lang w:eastAsia="zh-CN"/>
        </w:rPr>
        <w:t>。</w:t>
      </w:r>
    </w:p>
    <w:p w14:paraId="0076CE3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2B03A9AB">
      <w:pPr>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专门面向中小企业采购的项目（供应商应为中小企业、监狱企业、残疾人福利性单位)</w:t>
      </w:r>
      <w:r>
        <w:rPr>
          <w:rFonts w:hint="eastAsia" w:ascii="宋体" w:hAnsi="宋体" w:cs="宋体"/>
          <w:color w:val="auto"/>
          <w:szCs w:val="21"/>
          <w:highlight w:val="none"/>
          <w:lang w:eastAsia="zh-CN"/>
        </w:rPr>
        <w:t>；</w:t>
      </w:r>
    </w:p>
    <w:p w14:paraId="6B3312E8">
      <w:pPr>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非专门面向中小企业采购的项目</w:t>
      </w:r>
      <w:r>
        <w:rPr>
          <w:rFonts w:hint="eastAsia" w:ascii="宋体" w:hAnsi="宋体" w:cs="宋体"/>
          <w:color w:val="auto"/>
          <w:szCs w:val="21"/>
          <w:highlight w:val="none"/>
          <w:lang w:eastAsia="zh-CN"/>
        </w:rPr>
        <w:t>。</w:t>
      </w:r>
    </w:p>
    <w:p w14:paraId="0E2220CF">
      <w:pPr>
        <w:wordWrap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val="en-US" w:eastAsia="zh-CN"/>
        </w:rPr>
        <w:t>无；</w:t>
      </w:r>
    </w:p>
    <w:p w14:paraId="69C3BDF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4.本项目的特定条件：无。</w:t>
      </w:r>
    </w:p>
    <w:p w14:paraId="5C11152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B437E8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2518163">
      <w:pPr>
        <w:wordWrap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三、获取招标文件</w:t>
      </w:r>
    </w:p>
    <w:p w14:paraId="145CF1FA">
      <w:pPr>
        <w:wordWrap w:val="0"/>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时间：自公告发布之日起。</w:t>
      </w:r>
    </w:p>
    <w:p w14:paraId="468C15EF">
      <w:pPr>
        <w:wordWrap w:val="0"/>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https://www.gcy.zfcg.gxzf.gov.cn/</w:t>
      </w:r>
      <w:r>
        <w:rPr>
          <w:rFonts w:hint="eastAsia" w:ascii="宋体" w:hAnsi="宋体" w:cs="宋体"/>
          <w:color w:val="auto"/>
          <w:szCs w:val="21"/>
          <w:highlight w:val="none"/>
        </w:rPr>
        <w:t>）下载招标文件（操作路径：登录“广西政府采购云”平台-项目采购-获取采购文件-找到本项目-点击“申请获取采购文件”），电子投标文件制作需要基于“广西政府采购云”平台获取的招标文件编制。</w:t>
      </w:r>
    </w:p>
    <w:p w14:paraId="22175F26">
      <w:pPr>
        <w:wordWrap w:val="0"/>
        <w:snapToGrid w:val="0"/>
        <w:spacing w:line="360" w:lineRule="auto"/>
        <w:ind w:firstLine="472" w:firstLineChars="225"/>
        <w:rPr>
          <w:rFonts w:ascii="宋体" w:hAnsi="宋体" w:cs="宋体"/>
          <w:color w:val="auto"/>
          <w:szCs w:val="21"/>
          <w:highlight w:val="none"/>
        </w:rPr>
      </w:pPr>
      <w:r>
        <w:rPr>
          <w:rFonts w:hint="eastAsia" w:ascii="宋体" w:hAnsi="宋体" w:cs="宋体"/>
          <w:color w:val="auto"/>
          <w:szCs w:val="21"/>
          <w:highlight w:val="none"/>
        </w:rPr>
        <w:t>售价：0元。</w:t>
      </w:r>
    </w:p>
    <w:p w14:paraId="32E65F5F">
      <w:pPr>
        <w:wordWrap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四、提交投标文件截止时间、开标时间和地点</w:t>
      </w:r>
    </w:p>
    <w:p w14:paraId="3D83A33A">
      <w:pPr>
        <w:wordWrap w:val="0"/>
        <w:spacing w:line="360" w:lineRule="auto"/>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1.提交投标文件截止时间和开标时间：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时30分00秒</w:t>
      </w:r>
      <w:r>
        <w:rPr>
          <w:rFonts w:hint="eastAsia" w:ascii="宋体" w:hAnsi="宋体" w:cs="宋体"/>
          <w:bCs/>
          <w:color w:val="auto"/>
          <w:szCs w:val="21"/>
          <w:highlight w:val="none"/>
        </w:rPr>
        <w:t>（北京时间）</w:t>
      </w:r>
    </w:p>
    <w:p w14:paraId="4F93E4A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2.投标和开标地点：</w:t>
      </w:r>
    </w:p>
    <w:p w14:paraId="705D9936">
      <w:pPr>
        <w:widowControl/>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（1）投标文件提交方式：本项目为南宁市全流程电子化项目，通过“广西政府采购云”平台（</w:t>
      </w:r>
      <w:r>
        <w:rPr>
          <w:rFonts w:hint="eastAsia" w:ascii="宋体" w:hAnsi="宋体" w:cs="宋体"/>
          <w:color w:val="auto"/>
          <w:kern w:val="0"/>
          <w:szCs w:val="21"/>
          <w:highlight w:val="none"/>
        </w:rPr>
        <w:t>https://www.gcy.zfcg.gxzf.gov.cn/</w:t>
      </w:r>
      <w:r>
        <w:rPr>
          <w:rFonts w:hint="eastAsia" w:ascii="宋体" w:hAnsi="宋体" w:cs="宋体"/>
          <w:color w:val="auto"/>
          <w:szCs w:val="21"/>
          <w:highlight w:val="none"/>
        </w:rPr>
        <w:t>）实行在线电子投标，供应商应先安装“广西政府采购云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cs="宋体"/>
          <w:b/>
          <w:color w:val="auto"/>
          <w:szCs w:val="21"/>
          <w:highlight w:val="none"/>
        </w:rPr>
        <w:t>供应商在“广西政府采购云”平台提交电子版投标文件时，请填写参加远程开标活动经办人联系方式，</w:t>
      </w:r>
      <w:r>
        <w:rPr>
          <w:rFonts w:hint="eastAsia" w:ascii="宋体" w:hAnsi="宋体" w:cs="宋体"/>
          <w:color w:val="auto"/>
          <w:szCs w:val="21"/>
          <w:highlight w:val="none"/>
        </w:rPr>
        <w:t>电子投标具体操作流程详见本公告附件 。</w:t>
      </w:r>
    </w:p>
    <w:p w14:paraId="2DA3A1D8">
      <w:pPr>
        <w:widowControl/>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3639D961">
      <w:pPr>
        <w:widowControl/>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（3）为确保网上操作合法、有效和安全，请投标人确保在电子投标过程中能够对相关数据电文进行加密和使用电子签章，妥善保管CA数字证书并使用有效的CA数字证书参与整个招标活动。</w:t>
      </w:r>
    </w:p>
    <w:p w14:paraId="6625EA83">
      <w:pPr>
        <w:wordWrap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E459056">
      <w:pPr>
        <w:widowControl/>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（4）开标地点：本次招标将于2026年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日9时30分00秒在“广西政府采购云”平台电子开标大厅开标。</w:t>
      </w:r>
    </w:p>
    <w:p w14:paraId="1554AF09">
      <w:pPr>
        <w:wordWrap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CA证书在线解密：供应商投标时，需携带制作投标文件时用来加密的有效数字证书（CA认证）登录“广西政府采购云”平台电子开标大厅现场按规定时间对加密的投标文件进行解密，未能按要求进行解密的，由此产生的后果由投标人自行承担。</w:t>
      </w:r>
    </w:p>
    <w:p w14:paraId="11CCCC13">
      <w:pPr>
        <w:wordWrap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五、公告期限</w:t>
      </w:r>
    </w:p>
    <w:p w14:paraId="6137D92E">
      <w:pPr>
        <w:wordWrap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4EBD4DE">
      <w:pPr>
        <w:wordWrap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六、其他补充事宜</w:t>
      </w:r>
    </w:p>
    <w:p w14:paraId="1AC33B4C">
      <w:pPr>
        <w:wordWrap w:val="0"/>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1.投标保证金：本项目不收取投标保证金。</w:t>
      </w:r>
    </w:p>
    <w:p w14:paraId="0F6B9955">
      <w:pPr>
        <w:wordWrap w:val="0"/>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2.采购意向公开链接：南宁市教育局2026年5月至12月政府采购意向（http://www.ccgp-guangxi.gov.cn/site/detail?parentId=66485&amp;articleId=bdRQY2enY+soXY5RN6UEZA==)</w:t>
      </w:r>
    </w:p>
    <w:p w14:paraId="7BCEDD53">
      <w:pPr>
        <w:wordWrap w:val="0"/>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3.网上查询地址：中国政府采购网（www.ccgp.gov.cn）、广西壮族自治区政府采购网（http://zfcg.gxzf.gov.cn/）、全国公共资源交易平台（广西·南宁）（http://ggzy.jgswj.gxzf.gov.cn/nnggzy/）。</w:t>
      </w:r>
    </w:p>
    <w:p w14:paraId="7F3964B2">
      <w:pPr>
        <w:wordWrap w:val="0"/>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4.本项目需要落实的政府采购政策：</w:t>
      </w:r>
    </w:p>
    <w:p w14:paraId="531F2A73">
      <w:pPr>
        <w:wordWrap w:val="0"/>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DCE85BC">
      <w:pPr>
        <w:wordWrap w:val="0"/>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47720F1C">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（3）政府采购促进残疾人就业政策。</w:t>
      </w:r>
    </w:p>
    <w:p w14:paraId="445E5B7A">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（4）政府采购支持监狱企业发展。</w:t>
      </w:r>
    </w:p>
    <w:p w14:paraId="4441FE41">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6B4D3BA1">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302C7EA">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6.若对项目采购电子交易系统操作有疑问，可登录“广西政府采购云”平台（https://www.gcy.zfcg.gxzf.gov.cn/），点击右侧咨询小采，获取采小蜜智能服务管家帮助，或拨打广西政府采购云服务热线95763获取热线服务帮助。</w:t>
      </w:r>
    </w:p>
    <w:p w14:paraId="725B23B6">
      <w:pPr>
        <w:keepNext w:val="0"/>
        <w:keepLines w:val="0"/>
        <w:pageBreakBefore w:val="0"/>
        <w:widowControl w:val="0"/>
        <w:kinsoku/>
        <w:wordWrap w:val="0"/>
        <w:overflowPunct/>
        <w:topLinePunct w:val="0"/>
        <w:autoSpaceDE/>
        <w:autoSpaceDN/>
        <w:bidi w:val="0"/>
        <w:adjustRightInd/>
        <w:snapToGrid/>
        <w:spacing w:line="336" w:lineRule="auto"/>
        <w:textAlignment w:val="auto"/>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p>
    <w:p w14:paraId="4121A7FA">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0345AA71">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eastAsia="zh-CN"/>
        </w:rPr>
        <w:t>南宁市第一职业技术学校</w:t>
      </w:r>
    </w:p>
    <w:p w14:paraId="4A8C28B0">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lang w:eastAsia="zh-CN"/>
        </w:rPr>
        <w:t>南宁市新阳北一路19号</w:t>
      </w:r>
    </w:p>
    <w:p w14:paraId="0FCFE46F">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项目联系人：梁老师</w:t>
      </w:r>
    </w:p>
    <w:p w14:paraId="47B4C9BF">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联系电话：0771-2418141</w:t>
      </w:r>
    </w:p>
    <w:p w14:paraId="36568B9A">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5C916C0E">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名 称：</w:t>
      </w:r>
      <w:bookmarkStart w:id="3" w:name="PO_3000001866_PM031_1"/>
      <w:r>
        <w:rPr>
          <w:rFonts w:hint="eastAsia" w:ascii="宋体" w:hAnsi="宋体" w:cs="宋体"/>
          <w:color w:val="auto"/>
          <w:kern w:val="0"/>
          <w:szCs w:val="21"/>
          <w:highlight w:val="none"/>
        </w:rPr>
        <w:t>广西邕政采购代理有限公司</w:t>
      </w:r>
      <w:bookmarkEnd w:id="3"/>
    </w:p>
    <w:p w14:paraId="44EE9558">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地　址：南宁市青秀区民族大道180号（威壮大厦）22层2210～2217室</w:t>
      </w:r>
    </w:p>
    <w:p w14:paraId="030EA9B4">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联系电话：</w:t>
      </w:r>
      <w:bookmarkStart w:id="4" w:name="PO_3000001866_PM033"/>
      <w:r>
        <w:rPr>
          <w:rFonts w:hint="eastAsia" w:ascii="宋体" w:hAnsi="宋体" w:cs="宋体"/>
          <w:color w:val="auto"/>
          <w:kern w:val="0"/>
          <w:szCs w:val="21"/>
          <w:highlight w:val="none"/>
        </w:rPr>
        <w:t>0771-</w:t>
      </w:r>
      <w:bookmarkEnd w:id="4"/>
      <w:r>
        <w:rPr>
          <w:rFonts w:hint="eastAsia" w:ascii="宋体" w:hAnsi="宋体" w:cs="宋体"/>
          <w:color w:val="auto"/>
          <w:kern w:val="0"/>
          <w:szCs w:val="21"/>
          <w:highlight w:val="none"/>
        </w:rPr>
        <w:t>2225338</w:t>
      </w:r>
    </w:p>
    <w:p w14:paraId="3ADD4137">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3.项目联系方式</w:t>
      </w:r>
    </w:p>
    <w:p w14:paraId="12F9E5B0">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项目联系人：</w:t>
      </w:r>
      <w:r>
        <w:rPr>
          <w:rFonts w:hint="eastAsia" w:ascii="宋体" w:hAnsi="宋体" w:cs="宋体"/>
          <w:color w:val="auto"/>
          <w:kern w:val="0"/>
          <w:szCs w:val="21"/>
          <w:highlight w:val="none"/>
          <w:lang w:eastAsia="zh-CN"/>
        </w:rPr>
        <w:t>覃锦锈、黄秋梅、罗霞</w:t>
      </w:r>
    </w:p>
    <w:p w14:paraId="5D75D43D">
      <w:pPr>
        <w:keepNext w:val="0"/>
        <w:keepLines w:val="0"/>
        <w:pageBreakBefore w:val="0"/>
        <w:widowControl w:val="0"/>
        <w:kinsoku/>
        <w:wordWrap w:val="0"/>
        <w:overflowPunct/>
        <w:topLinePunct w:val="0"/>
        <w:autoSpaceDE/>
        <w:autoSpaceDN/>
        <w:bidi w:val="0"/>
        <w:adjustRightInd/>
        <w:snapToGrid/>
        <w:spacing w:line="336" w:lineRule="auto"/>
        <w:ind w:firstLine="315" w:firstLineChars="150"/>
        <w:textAlignment w:val="auto"/>
        <w:rPr>
          <w:rFonts w:ascii="宋体" w:hAnsi="宋体" w:cs="宋体"/>
          <w:color w:val="auto"/>
          <w:szCs w:val="21"/>
          <w:highlight w:val="none"/>
          <w:u w:val="single"/>
        </w:rPr>
      </w:pPr>
      <w:r>
        <w:rPr>
          <w:rFonts w:hint="eastAsia" w:ascii="宋体" w:hAnsi="宋体" w:cs="宋体"/>
          <w:color w:val="auto"/>
          <w:kern w:val="0"/>
          <w:szCs w:val="21"/>
          <w:highlight w:val="none"/>
        </w:rPr>
        <w:t xml:space="preserve">电    话：0771-2225338 </w:t>
      </w:r>
    </w:p>
    <w:p w14:paraId="1B0AEBDA">
      <w:pPr>
        <w:keepNext w:val="0"/>
        <w:keepLines w:val="0"/>
        <w:pageBreakBefore w:val="0"/>
        <w:widowControl w:val="0"/>
        <w:kinsoku/>
        <w:overflowPunct/>
        <w:topLinePunct w:val="0"/>
        <w:autoSpaceDE/>
        <w:autoSpaceDN/>
        <w:bidi w:val="0"/>
        <w:adjustRightInd/>
        <w:snapToGrid/>
        <w:spacing w:line="336" w:lineRule="auto"/>
        <w:jc w:val="left"/>
        <w:textAlignment w:val="auto"/>
        <w:rPr>
          <w:rFonts w:ascii="宋体" w:hAnsi="宋体" w:cs="宋体"/>
          <w:color w:val="auto"/>
          <w:szCs w:val="21"/>
          <w:highlight w:val="none"/>
          <w:u w:val="single"/>
        </w:rPr>
      </w:pPr>
      <w:r>
        <w:rPr>
          <w:rFonts w:hint="eastAsia" w:ascii="宋体" w:hAnsi="宋体" w:cs="宋体"/>
          <w:color w:val="auto"/>
          <w:szCs w:val="21"/>
          <w:highlight w:val="none"/>
          <w:u w:val="single"/>
        </w:rPr>
        <w:t>附件： 1.CA证书申请方式及操作指南下载地址（登陆http://nncz.nanning.gov.cn/（南宁市财政局官网）-业务专题-政府采购监督管理-资料下载-“广西政采云西部CA办理方式”或“南宁市政采云CA证书办理操作指南”）</w:t>
      </w:r>
    </w:p>
    <w:p w14:paraId="79176CC2">
      <w:pPr>
        <w:keepNext w:val="0"/>
        <w:keepLines w:val="0"/>
        <w:pageBreakBefore w:val="0"/>
        <w:widowControl w:val="0"/>
        <w:kinsoku/>
        <w:overflowPunct/>
        <w:topLinePunct w:val="0"/>
        <w:autoSpaceDE/>
        <w:autoSpaceDN/>
        <w:bidi w:val="0"/>
        <w:adjustRightInd/>
        <w:snapToGrid/>
        <w:spacing w:line="336" w:lineRule="auto"/>
        <w:jc w:val="left"/>
        <w:textAlignment w:val="auto"/>
        <w:rPr>
          <w:rFonts w:ascii="宋体" w:hAnsi="宋体" w:cs="宋体"/>
          <w:color w:val="auto"/>
          <w:szCs w:val="21"/>
          <w:highlight w:val="none"/>
          <w:u w:val="single"/>
        </w:rPr>
      </w:pPr>
      <w:r>
        <w:rPr>
          <w:rFonts w:hint="eastAsia" w:ascii="宋体" w:hAnsi="宋体" w:cs="宋体"/>
          <w:color w:val="auto"/>
          <w:szCs w:val="21"/>
          <w:highlight w:val="none"/>
          <w:u w:val="single"/>
        </w:rPr>
        <w:t>2.电子投标文件制作与投送教程（在此网址下载：http://nncz.nanning.gov.cn/（南宁市财政局官网）-业务专题-政府采购监督管理-资料下载-南宁市政府采购项目全流程电子化交易操作指南）</w:t>
      </w:r>
    </w:p>
    <w:p w14:paraId="3149ADB4">
      <w:pPr>
        <w:wordWrap w:val="0"/>
        <w:spacing w:line="360" w:lineRule="auto"/>
        <w:ind w:firstLine="210" w:firstLineChars="100"/>
        <w:jc w:val="right"/>
        <w:rPr>
          <w:rFonts w:ascii="宋体" w:hAnsi="宋体" w:cs="宋体"/>
          <w:color w:val="auto"/>
          <w:szCs w:val="21"/>
          <w:highlight w:val="none"/>
        </w:rPr>
      </w:pPr>
      <w:r>
        <w:rPr>
          <w:rFonts w:hint="eastAsia" w:ascii="宋体" w:hAnsi="宋体" w:cs="宋体"/>
          <w:color w:val="auto"/>
          <w:szCs w:val="21"/>
          <w:highlight w:val="none"/>
          <w:u w:val="none"/>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日</w:t>
      </w:r>
    </w:p>
    <w:p w14:paraId="535B1AFA">
      <w:pPr>
        <w:wordWrap w:val="0"/>
        <w:spacing w:line="360" w:lineRule="auto"/>
        <w:rPr>
          <w:rFonts w:ascii="宋体" w:hAnsi="宋体" w:cs="宋体"/>
          <w:color w:val="auto"/>
          <w:highlight w:val="none"/>
        </w:rPr>
      </w:pPr>
      <w:r>
        <w:rPr>
          <w:rFonts w:hint="eastAsia" w:ascii="宋体" w:hAnsi="宋体" w:cs="宋体"/>
          <w:color w:val="auto"/>
          <w:sz w:val="24"/>
          <w:highlight w:val="none"/>
        </w:rPr>
        <w:br w:type="page"/>
      </w:r>
    </w:p>
    <w:p w14:paraId="4C0AD6BC">
      <w:pPr>
        <w:pStyle w:val="12"/>
        <w:wordWrap w:val="0"/>
        <w:spacing w:line="360" w:lineRule="auto"/>
        <w:jc w:val="center"/>
        <w:outlineLvl w:val="0"/>
        <w:rPr>
          <w:rFonts w:hAnsi="宋体" w:cs="宋体"/>
          <w:b/>
          <w:color w:val="auto"/>
          <w:szCs w:val="21"/>
          <w:highlight w:val="none"/>
        </w:rPr>
      </w:pPr>
      <w:bookmarkStart w:id="5" w:name="_Toc22850"/>
      <w:r>
        <w:rPr>
          <w:rFonts w:hint="eastAsia" w:hAnsi="宋体" w:cs="宋体"/>
          <w:b/>
          <w:color w:val="auto"/>
          <w:sz w:val="36"/>
          <w:highlight w:val="none"/>
        </w:rPr>
        <w:t xml:space="preserve">第二章  </w:t>
      </w:r>
      <w:bookmarkEnd w:id="2"/>
      <w:r>
        <w:rPr>
          <w:rFonts w:hint="eastAsia" w:hAnsi="宋体" w:cs="宋体"/>
          <w:b/>
          <w:color w:val="auto"/>
          <w:sz w:val="36"/>
          <w:highlight w:val="none"/>
        </w:rPr>
        <w:t>采购需求</w:t>
      </w:r>
      <w:bookmarkEnd w:id="5"/>
    </w:p>
    <w:p w14:paraId="797E1FDF">
      <w:pPr>
        <w:wordWrap w:val="0"/>
        <w:adjustRightInd w:val="0"/>
        <w:spacing w:line="360" w:lineRule="auto"/>
        <w:rPr>
          <w:rFonts w:ascii="宋体" w:hAnsi="宋体" w:cs="宋体"/>
          <w:b/>
          <w:color w:val="auto"/>
          <w:szCs w:val="21"/>
          <w:highlight w:val="none"/>
        </w:rPr>
      </w:pPr>
      <w:r>
        <w:rPr>
          <w:rFonts w:hint="eastAsia" w:ascii="宋体" w:hAnsi="宋体" w:cs="宋体"/>
          <w:b/>
          <w:color w:val="auto"/>
          <w:szCs w:val="21"/>
          <w:highlight w:val="none"/>
        </w:rPr>
        <w:t>说明：</w:t>
      </w:r>
    </w:p>
    <w:p w14:paraId="72819601">
      <w:pPr>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3D621E36">
      <w:pPr>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68F72F26">
      <w:pPr>
        <w:wordWrap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2），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3A6C7F29">
      <w:pPr>
        <w:wordWrap w:val="0"/>
        <w:spacing w:line="360" w:lineRule="auto"/>
        <w:ind w:firstLine="426" w:firstLineChars="202"/>
        <w:jc w:val="left"/>
        <w:rPr>
          <w:rFonts w:ascii="宋体" w:hAnsi="宋体" w:cs="宋体"/>
          <w:b/>
          <w:bCs/>
          <w:color w:val="auto"/>
          <w:szCs w:val="21"/>
          <w:highlight w:val="none"/>
        </w:rPr>
      </w:pPr>
      <w:r>
        <w:rPr>
          <w:rFonts w:hint="eastAsia" w:ascii="宋体" w:hAnsi="宋体" w:cs="宋体"/>
          <w:b/>
          <w:bCs/>
          <w:color w:val="auto"/>
          <w:szCs w:val="21"/>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20D42BF7">
      <w:pPr>
        <w:wordWrap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17289044">
      <w:pPr>
        <w:pStyle w:val="9"/>
        <w:wordWrap w:val="0"/>
        <w:spacing w:line="336"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bookmarkStart w:id="6" w:name="_Hlk54774389"/>
      <w:r>
        <w:rPr>
          <w:rFonts w:hint="eastAsia" w:ascii="宋体" w:hAnsi="宋体" w:cs="宋体"/>
          <w:color w:val="auto"/>
          <w:szCs w:val="21"/>
          <w:highlight w:val="none"/>
        </w:rPr>
        <w:t>服务项目中伴随货物的，</w:t>
      </w:r>
      <w:bookmarkEnd w:id="6"/>
      <w:r>
        <w:rPr>
          <w:rFonts w:hint="eastAsia" w:ascii="宋体" w:hAnsi="宋体" w:cs="宋体"/>
          <w:color w:val="auto"/>
          <w:szCs w:val="21"/>
          <w:highlight w:val="none"/>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759585DA">
      <w:pPr>
        <w:pStyle w:val="9"/>
        <w:wordWrap w:val="0"/>
        <w:spacing w:line="336"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4.如投标人投标产品存在侵犯他人的知识产权或者专利成果行为的，应承担相应法律责任</w:t>
      </w:r>
      <w:bookmarkStart w:id="7" w:name="PO_TDCUS_ITEM_PB_REQ_TITLE_1"/>
      <w:r>
        <w:rPr>
          <w:rFonts w:hint="eastAsia" w:ascii="宋体" w:hAnsi="宋体" w:cs="宋体"/>
          <w:color w:val="auto"/>
          <w:szCs w:val="21"/>
          <w:highlight w:val="none"/>
        </w:rPr>
        <w:t>。</w:t>
      </w:r>
    </w:p>
    <w:p w14:paraId="55E62667">
      <w:pPr>
        <w:pStyle w:val="9"/>
        <w:wordWrap w:val="0"/>
        <w:spacing w:line="336"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5.本采购需求中内容如与第五章“拟签订的合同文本”相关条款不一致的，以本表为准。</w:t>
      </w:r>
    </w:p>
    <w:p w14:paraId="4C651C55">
      <w:pPr>
        <w:pStyle w:val="9"/>
        <w:wordWrap w:val="0"/>
        <w:spacing w:line="336"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采购需求中</w:t>
      </w:r>
      <w:r>
        <w:rPr>
          <w:rFonts w:hint="eastAsia" w:ascii="宋体" w:hAnsi="宋体" w:cs="宋体"/>
          <w:color w:val="auto"/>
          <w:szCs w:val="21"/>
          <w:highlight w:val="none"/>
          <w:lang w:val="en-US" w:eastAsia="zh-CN"/>
        </w:rPr>
        <w:t>标“█”和</w:t>
      </w:r>
      <w:r>
        <w:rPr>
          <w:rFonts w:hint="eastAsia" w:ascii="宋体" w:hAnsi="宋体" w:cs="宋体"/>
          <w:color w:val="auto"/>
          <w:szCs w:val="21"/>
          <w:highlight w:val="none"/>
        </w:rPr>
        <w:t>“</w:t>
      </w:r>
      <w:r>
        <w:rPr>
          <w:rFonts w:hint="eastAsia" w:ascii="宋体" w:hAnsi="宋体" w:eastAsia="宋体" w:cs="宋体"/>
          <w:color w:val="auto"/>
          <w:highlight w:val="none"/>
          <w:lang w:val="en-US" w:eastAsia="zh-CN"/>
        </w:rPr>
        <w:t>◆</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为重要参数要求和条件，非实质性要求，仅作为评分标准评分条件。</w:t>
      </w:r>
    </w:p>
    <w:p w14:paraId="4F66190C">
      <w:pPr>
        <w:pStyle w:val="9"/>
        <w:wordWrap w:val="0"/>
        <w:spacing w:line="336" w:lineRule="auto"/>
        <w:ind w:firstLine="422" w:firstLineChars="200"/>
        <w:outlineLvl w:val="1"/>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分标1</w:t>
      </w:r>
    </w:p>
    <w:tbl>
      <w:tblPr>
        <w:tblStyle w:val="23"/>
        <w:tblW w:w="10482" w:type="dxa"/>
        <w:tblInd w:w="-2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8"/>
        <w:gridCol w:w="315"/>
        <w:gridCol w:w="957"/>
        <w:gridCol w:w="562"/>
        <w:gridCol w:w="590"/>
        <w:gridCol w:w="5315"/>
        <w:gridCol w:w="1270"/>
        <w:gridCol w:w="1045"/>
      </w:tblGrid>
      <w:tr w14:paraId="197815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482" w:type="dxa"/>
            <w:gridSpan w:val="8"/>
            <w:tcBorders>
              <w:top w:val="single" w:color="auto" w:sz="4" w:space="0"/>
              <w:left w:val="single" w:color="auto" w:sz="4" w:space="0"/>
              <w:bottom w:val="nil"/>
              <w:right w:val="single" w:color="auto" w:sz="4" w:space="0"/>
            </w:tcBorders>
            <w:vAlign w:val="center"/>
          </w:tcPr>
          <w:p w14:paraId="077D917E">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服务需求一览表</w:t>
            </w:r>
          </w:p>
        </w:tc>
      </w:tr>
      <w:tr w14:paraId="0085D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700" w:type="dxa"/>
            <w:gridSpan w:val="3"/>
            <w:tcBorders>
              <w:top w:val="single" w:color="auto" w:sz="4" w:space="0"/>
              <w:left w:val="single" w:color="auto" w:sz="4" w:space="0"/>
              <w:bottom w:val="nil"/>
              <w:right w:val="single" w:color="auto" w:sz="4" w:space="0"/>
            </w:tcBorders>
            <w:vAlign w:val="center"/>
          </w:tcPr>
          <w:p w14:paraId="6981B31F">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标段</w:t>
            </w:r>
          </w:p>
        </w:tc>
        <w:tc>
          <w:tcPr>
            <w:tcW w:w="8782" w:type="dxa"/>
            <w:gridSpan w:val="5"/>
            <w:tcBorders>
              <w:top w:val="single" w:color="auto" w:sz="4" w:space="0"/>
              <w:left w:val="single" w:color="auto" w:sz="4" w:space="0"/>
              <w:bottom w:val="nil"/>
              <w:right w:val="single" w:color="auto" w:sz="4" w:space="0"/>
            </w:tcBorders>
            <w:vAlign w:val="center"/>
          </w:tcPr>
          <w:p w14:paraId="11C68389">
            <w:pPr>
              <w:spacing w:line="500" w:lineRule="exact"/>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分标1</w:t>
            </w:r>
            <w:r>
              <w:rPr>
                <w:rFonts w:hint="eastAsia" w:ascii="宋体" w:hAnsi="宋体" w:cs="宋体"/>
                <w:b/>
                <w:bCs/>
                <w:color w:val="auto"/>
                <w:szCs w:val="21"/>
                <w:highlight w:val="none"/>
                <w:lang w:val="en-US" w:eastAsia="zh-CN"/>
              </w:rPr>
              <w:t>（2026年高星级饭店运行与管理专业群资源库）</w:t>
            </w:r>
          </w:p>
        </w:tc>
      </w:tr>
      <w:tr w14:paraId="5B8D7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428" w:type="dxa"/>
            <w:vMerge w:val="restart"/>
            <w:tcBorders>
              <w:top w:val="single" w:color="auto" w:sz="4" w:space="0"/>
              <w:left w:val="single" w:color="auto" w:sz="4" w:space="0"/>
              <w:right w:val="single" w:color="auto" w:sz="4" w:space="0"/>
            </w:tcBorders>
          </w:tcPr>
          <w:p w14:paraId="62194B4E">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采购清单及服务参数</w:t>
            </w:r>
          </w:p>
        </w:tc>
        <w:tc>
          <w:tcPr>
            <w:tcW w:w="31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6A50D6B">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957" w:type="dxa"/>
            <w:tcBorders>
              <w:top w:val="single" w:color="auto" w:sz="4" w:space="0"/>
              <w:left w:val="single" w:color="auto" w:sz="4" w:space="0"/>
              <w:bottom w:val="single" w:color="auto" w:sz="4" w:space="0"/>
              <w:right w:val="single" w:color="auto" w:sz="4" w:space="0"/>
            </w:tcBorders>
            <w:vAlign w:val="center"/>
          </w:tcPr>
          <w:p w14:paraId="760393F5">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562" w:type="dxa"/>
            <w:tcBorders>
              <w:top w:val="single" w:color="auto" w:sz="4" w:space="0"/>
              <w:left w:val="single" w:color="auto" w:sz="4" w:space="0"/>
              <w:bottom w:val="single" w:color="auto" w:sz="4" w:space="0"/>
              <w:right w:val="single" w:color="auto" w:sz="4" w:space="0"/>
            </w:tcBorders>
            <w:vAlign w:val="center"/>
          </w:tcPr>
          <w:p w14:paraId="47F32197">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590" w:type="dxa"/>
            <w:tcBorders>
              <w:top w:val="single" w:color="auto" w:sz="4" w:space="0"/>
              <w:left w:val="single" w:color="auto" w:sz="4" w:space="0"/>
              <w:bottom w:val="single" w:color="auto" w:sz="4" w:space="0"/>
              <w:right w:val="single" w:color="auto" w:sz="4" w:space="0"/>
            </w:tcBorders>
            <w:vAlign w:val="center"/>
          </w:tcPr>
          <w:p w14:paraId="03FD91B0">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5315" w:type="dxa"/>
            <w:tcBorders>
              <w:top w:val="single" w:color="auto" w:sz="4" w:space="0"/>
              <w:left w:val="single" w:color="auto" w:sz="4" w:space="0"/>
              <w:bottom w:val="single" w:color="auto" w:sz="4" w:space="0"/>
              <w:right w:val="single" w:color="auto" w:sz="4" w:space="0"/>
            </w:tcBorders>
            <w:vAlign w:val="center"/>
          </w:tcPr>
          <w:p w14:paraId="0AF55A00">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服务参数</w:t>
            </w:r>
          </w:p>
        </w:tc>
        <w:tc>
          <w:tcPr>
            <w:tcW w:w="1270" w:type="dxa"/>
            <w:tcBorders>
              <w:top w:val="single" w:color="auto" w:sz="4" w:space="0"/>
              <w:left w:val="single" w:color="auto" w:sz="4" w:space="0"/>
              <w:bottom w:val="single" w:color="auto" w:sz="4" w:space="0"/>
              <w:right w:val="single" w:color="auto" w:sz="4" w:space="0"/>
            </w:tcBorders>
            <w:vAlign w:val="center"/>
          </w:tcPr>
          <w:p w14:paraId="3F352402">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分项预算合计（元）</w:t>
            </w:r>
          </w:p>
        </w:tc>
        <w:tc>
          <w:tcPr>
            <w:tcW w:w="1045" w:type="dxa"/>
            <w:tcBorders>
              <w:top w:val="single" w:color="auto" w:sz="4" w:space="0"/>
              <w:left w:val="single" w:color="auto" w:sz="4" w:space="0"/>
              <w:bottom w:val="single" w:color="auto" w:sz="4" w:space="0"/>
              <w:right w:val="single" w:color="auto" w:sz="4" w:space="0"/>
            </w:tcBorders>
            <w:vAlign w:val="center"/>
          </w:tcPr>
          <w:p w14:paraId="2E6B6B8B">
            <w:pPr>
              <w:spacing w:line="240" w:lineRule="auto"/>
              <w:jc w:val="center"/>
              <w:rPr>
                <w:rFonts w:ascii="宋体" w:hAnsi="宋体" w:cs="宋体"/>
                <w:b/>
                <w:bCs/>
                <w:color w:val="auto"/>
                <w:szCs w:val="21"/>
                <w:highlight w:val="none"/>
              </w:rPr>
            </w:pPr>
            <w:r>
              <w:rPr>
                <w:rFonts w:hint="eastAsia" w:ascii="宋体" w:hAnsi="宋体" w:cs="宋体"/>
                <w:b/>
                <w:bCs/>
                <w:color w:val="auto"/>
                <w:szCs w:val="21"/>
                <w:highlight w:val="none"/>
              </w:rPr>
              <w:t>中小企业划分标准所属行业名称（行业名称及划分见本章附件2）</w:t>
            </w:r>
          </w:p>
        </w:tc>
      </w:tr>
      <w:tr w14:paraId="4A9484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428" w:type="dxa"/>
            <w:vMerge w:val="continue"/>
            <w:tcBorders>
              <w:left w:val="single" w:color="auto" w:sz="4" w:space="0"/>
              <w:right w:val="single" w:color="auto" w:sz="4" w:space="0"/>
            </w:tcBorders>
            <w:vAlign w:val="center"/>
          </w:tcPr>
          <w:p w14:paraId="6D34EF1E">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681FD260">
            <w:pPr>
              <w:spacing w:line="5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957" w:type="dxa"/>
            <w:tcBorders>
              <w:top w:val="single" w:color="auto" w:sz="4" w:space="0"/>
              <w:left w:val="single" w:color="auto" w:sz="4" w:space="0"/>
              <w:bottom w:val="single" w:color="auto" w:sz="4" w:space="0"/>
              <w:right w:val="single" w:color="auto" w:sz="4" w:space="0"/>
            </w:tcBorders>
            <w:vAlign w:val="center"/>
          </w:tcPr>
          <w:p w14:paraId="5A09DCD5">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专业教学资源库平台运行维护</w:t>
            </w:r>
          </w:p>
        </w:tc>
        <w:tc>
          <w:tcPr>
            <w:tcW w:w="562" w:type="dxa"/>
            <w:tcBorders>
              <w:top w:val="single" w:color="auto" w:sz="4" w:space="0"/>
              <w:left w:val="single" w:color="auto" w:sz="4" w:space="0"/>
              <w:bottom w:val="single" w:color="auto" w:sz="4" w:space="0"/>
              <w:right w:val="single" w:color="auto" w:sz="4" w:space="0"/>
            </w:tcBorders>
            <w:vAlign w:val="center"/>
          </w:tcPr>
          <w:p w14:paraId="3677E68B">
            <w:pPr>
              <w:pStyle w:val="40"/>
              <w:spacing w:before="0" w:beforeAutospacing="0" w:after="0" w:afterAutospacing="0" w:line="500" w:lineRule="exact"/>
              <w:ind w:firstLine="0" w:firstLineChars="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5DB683DD">
            <w:pPr>
              <w:spacing w:line="5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45F8B714">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一、服务总体要求</w:t>
            </w:r>
          </w:p>
          <w:p w14:paraId="3EE77CD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提供教学资源库平台，该平台能为我校自治区级高星级饭店运行与管理专业教学资源库提供为期3年的全程运行维护服务（从验收合格之日起算），保障平台长期稳定、高效、安全运行，全面满足学校专业教学、实训培训、资源建设、日常管理等全场景使用需求。</w:t>
            </w:r>
          </w:p>
          <w:p w14:paraId="6DC8587E">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二、平台需具体以下核心功能</w:t>
            </w:r>
          </w:p>
          <w:p w14:paraId="4E5C252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（一）资源库专业站点管理</w:t>
            </w:r>
          </w:p>
          <w:p w14:paraId="1B8AF1D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1.支持基础站点权限管理，涵盖专业管理、分类管理、用户管理、门户管理、权限配置等全套管理功能。</w:t>
            </w:r>
          </w:p>
          <w:p w14:paraId="285BC28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▲2.支持专业负责人权限可视化管理，可查看所负责的专业站点，自主设置或修改站点名称、站点负责人、站点封面图等基础信息。</w:t>
            </w:r>
          </w:p>
          <w:p w14:paraId="74FBD44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▲3.支持独立站点架构管理，每个专业站点配备独立导航栏与栏目体系，素材导航栏目支持最多 5 级分类管理。</w:t>
            </w:r>
          </w:p>
          <w:p w14:paraId="00B51FD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4.支持专业体系标准化配置，可设置专业层次、专业目录，对齐最新教育部专业建设政策；支持区分主持单位、参建单位建设类型，可绑定所属专业、服务专业范围。</w:t>
            </w:r>
          </w:p>
          <w:p w14:paraId="3772A8E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5.支持专业建设资料上传与在线编辑，可上传、更新、维护人才培养方案、专业建设标准、专业介绍视频（视频支持 m4v、mp4 主流格式）、资源库介绍附件等资料。</w:t>
            </w:r>
          </w:p>
          <w:p w14:paraId="57320DD5">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（二）资源库门户管理</w:t>
            </w:r>
          </w:p>
          <w:p w14:paraId="389C5C5F">
            <w:pPr>
              <w:spacing w:line="420" w:lineRule="exact"/>
              <w:ind w:firstLine="420"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全程维护资源库门户全模块功能正常运行，保障门户页面展示、数据更新、模块访问稳定，涵盖以下核心模块：数据总览、素材分布、资源库简介、人才培养方案展示、专业建设标准展示、课程中心、素材中心、题库中心、岗位能力模型、知识图谱、数字教材、专业介绍、资源统计、建设单位展示等。</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1CD5D641">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（三）资源上传与审核功能</w:t>
            </w:r>
          </w:p>
          <w:p w14:paraId="71428E2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1.常态化维护素材、课程、试题三类核心资源上传功能，全程协助学校完成各类教学资源的规整上传与上架工作。</w:t>
            </w:r>
          </w:p>
          <w:p w14:paraId="2EC68A2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2.支持多类型资源上传兼容，包含文档、图片、音视频、课件、题库、虚拟仿真资源等各类教学资源格式。</w:t>
            </w:r>
          </w:p>
          <w:p w14:paraId="77171A9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 按需协助学校完成栏目搭建、资源规整、编目管理、资源审核、资源分类、题库建设、知识图谱关联等配套工作。</w:t>
            </w:r>
          </w:p>
          <w:p w14:paraId="5FE4832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▲4.支持多终端人工审核机制，遵循国家教学资源库建设标准，适配PC端、移动端审核操作；移动端审核任务支持即时消息推送，精准通知对应栏目负责人完成审核。</w:t>
            </w:r>
          </w:p>
          <w:p w14:paraId="1F3D37C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5.搭载智能审核功能，可实现资源智能纠错、敏感内容识别筛查，为管理员资源审核、内容质控提供有效依据。</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664BF815">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（四）资源应用功能</w:t>
            </w:r>
          </w:p>
          <w:p w14:paraId="2160861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1.保障资源全场景应用，支撑专业课堂教学、实习实训、技能培训、学生自主学习、教师备课教研等场景的资源访问与正常使用。</w:t>
            </w:r>
          </w:p>
          <w:p w14:paraId="775A80B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▲2.支持多维度资源检索与应用，可通过关键词、分类、标签、知识点等方式快速检索资源，支持资源在线预览、下载、收藏、分享等基础应用功能。</w:t>
            </w:r>
          </w:p>
          <w:p w14:paraId="0E1B382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3.支持精细化权限管控，可根据学校管理需求，为教师、学生、管理员、访客等不同用户角色，配置差异化资源访问与应用权限。</w:t>
            </w:r>
          </w:p>
          <w:p w14:paraId="75BD278E">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（五）全维度数据统计服务</w:t>
            </w:r>
          </w:p>
          <w:p w14:paraId="58060A9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常态化维护平台数据统计功能，保障数据实时更新、精准有效，支持多维度数据统计分析，具体包含以下</w:t>
            </w:r>
            <w:r>
              <w:rPr>
                <w:rFonts w:hint="eastAsia" w:ascii="宋体" w:hAnsi="宋体" w:cs="宋体"/>
                <w:color w:val="auto"/>
                <w:kern w:val="0"/>
                <w:sz w:val="21"/>
                <w:szCs w:val="21"/>
                <w:highlight w:val="none"/>
                <w:lang w:val="en-US" w:eastAsia="zh-CN" w:bidi="ar-SA"/>
              </w:rPr>
              <w:t>11</w:t>
            </w:r>
            <w:r>
              <w:rPr>
                <w:rFonts w:hint="default" w:ascii="宋体" w:hAnsi="宋体" w:eastAsia="宋体" w:cs="宋体"/>
                <w:color w:val="auto"/>
                <w:kern w:val="0"/>
                <w:sz w:val="21"/>
                <w:szCs w:val="21"/>
                <w:highlight w:val="none"/>
                <w:lang w:val="en-US" w:eastAsia="zh-CN" w:bidi="ar-SA"/>
              </w:rPr>
              <w:t>类统计模块：</w:t>
            </w:r>
          </w:p>
          <w:p w14:paraId="475545E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基础数据统计：统计资源总数、各类资源分项数量、课程总数、存储总量、微课数量、视频总时长、试题总数等基础数据；支持查看资源更新动态、终端访问类型、媒体类型占比、存储占比、原创资源占比、活跃资源占比、适用对象分布等数据。</w:t>
            </w:r>
          </w:p>
          <w:p w14:paraId="26414CC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2.资源使用统计：实时统计素材总量、资源浏览量、下载量、收藏量、评论数及各类资源使用明细数据。</w:t>
            </w:r>
          </w:p>
          <w:p w14:paraId="75E48A5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▲3.资源引用统计：统计素材总数、资源引用量、引用次数、课程组课率等核心建设数据。</w:t>
            </w:r>
          </w:p>
          <w:p w14:paraId="2D3ED51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4.访问量统计：统计资源浏览次数（PV）、独立访问IP数、页面点击量、累计使用时长、师生互动交流次数等运营数据。</w:t>
            </w:r>
          </w:p>
          <w:p w14:paraId="27A41BF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5.用户数据统计：展示用户分布、用户活跃度，精准统计单个用户资源收藏、引用、浏览、下载、评论等行为数据。</w:t>
            </w:r>
          </w:p>
          <w:p w14:paraId="1C24422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6.课程排行统计：自动生成访问量、授课学生数、作业发布数、讨论数、回帖数、资料数量、任务点数、题目数量等维度的TOP10课程排行。</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7458327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7.课程详情统计：单课程精准统计访问数、授课班级数、授课学生数、作业/考试发布数量、PBL教学数量、发帖回帖数量、讨论总量、音视频总时长、专题阅读总时长。</w:t>
            </w:r>
          </w:p>
          <w:p w14:paraId="0E323B3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▲8.教学行为统计：统计备课课程访问量、授课班级与学生数量、作业考试发布量、留言发帖、回帖及课堂讨论数据。</w:t>
            </w:r>
          </w:p>
          <w:p w14:paraId="5704722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▲9.学生学习统计：统计学生任务点完成数、作业/考试/章节测验完成情况、视频观看数量与时长、互动发帖回帖数据、考试平均分等学情数据。</w:t>
            </w:r>
          </w:p>
          <w:p w14:paraId="2E0E103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10.运行日志统计：自动记录平台用户变动、访问量波动、资源更新频次等日常运行动态。</w:t>
            </w:r>
          </w:p>
          <w:p w14:paraId="59A03AA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11.学生学情综合统计：汇总学生累计使用时长、人均使用时长、平台参与度、学习完成率、平均学习进度等综合教学数据。</w:t>
            </w:r>
          </w:p>
        </w:tc>
        <w:tc>
          <w:tcPr>
            <w:tcW w:w="1270" w:type="dxa"/>
            <w:tcBorders>
              <w:top w:val="single" w:color="auto" w:sz="4" w:space="0"/>
              <w:left w:val="single" w:color="auto" w:sz="4" w:space="0"/>
              <w:bottom w:val="single" w:color="auto" w:sz="4" w:space="0"/>
              <w:right w:val="single" w:color="auto" w:sz="4" w:space="0"/>
            </w:tcBorders>
            <w:vAlign w:val="center"/>
          </w:tcPr>
          <w:p w14:paraId="4909B8BF">
            <w:pPr>
              <w:spacing w:line="360" w:lineRule="auto"/>
              <w:jc w:val="center"/>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100000.0</w:t>
            </w:r>
            <w:r>
              <w:rPr>
                <w:rFonts w:hint="eastAsia" w:ascii="宋体" w:hAnsi="宋体" w:cs="宋体"/>
                <w:color w:val="auto"/>
                <w:szCs w:val="21"/>
                <w:highlight w:val="none"/>
                <w:lang w:val="en-US" w:eastAsia="zh-CN"/>
              </w:rPr>
              <w:t>0</w:t>
            </w:r>
          </w:p>
        </w:tc>
        <w:tc>
          <w:tcPr>
            <w:tcW w:w="1045" w:type="dxa"/>
            <w:tcBorders>
              <w:top w:val="single" w:color="auto" w:sz="4" w:space="0"/>
              <w:left w:val="single" w:color="auto" w:sz="4" w:space="0"/>
              <w:bottom w:val="single" w:color="auto" w:sz="4" w:space="0"/>
              <w:right w:val="single" w:color="auto" w:sz="4" w:space="0"/>
            </w:tcBorders>
            <w:vAlign w:val="center"/>
          </w:tcPr>
          <w:p w14:paraId="1F0463A5">
            <w:pPr>
              <w:spacing w:line="500" w:lineRule="exact"/>
              <w:jc w:val="center"/>
              <w:rPr>
                <w:rFonts w:ascii="宋体" w:hAnsi="宋体" w:cs="宋体"/>
                <w:color w:val="auto"/>
                <w:szCs w:val="21"/>
                <w:highlight w:val="none"/>
              </w:rPr>
            </w:pPr>
            <w:r>
              <w:rPr>
                <w:rFonts w:hint="eastAsia" w:ascii="宋体" w:hAnsi="宋体" w:eastAsia="宋体" w:cs="宋体"/>
                <w:color w:val="auto"/>
                <w:sz w:val="21"/>
                <w:szCs w:val="21"/>
                <w:highlight w:val="none"/>
              </w:rPr>
              <w:t>软件和信息技术服务业</w:t>
            </w:r>
          </w:p>
        </w:tc>
      </w:tr>
      <w:tr w14:paraId="644E9F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4" w:hRule="atLeast"/>
        </w:trPr>
        <w:tc>
          <w:tcPr>
            <w:tcW w:w="428" w:type="dxa"/>
            <w:vMerge w:val="continue"/>
            <w:tcBorders>
              <w:left w:val="single" w:color="auto" w:sz="4" w:space="0"/>
              <w:right w:val="single" w:color="auto" w:sz="4" w:space="0"/>
            </w:tcBorders>
            <w:vAlign w:val="center"/>
          </w:tcPr>
          <w:p w14:paraId="683FB56F">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0D029A5">
            <w:pPr>
              <w:spacing w:line="5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957" w:type="dxa"/>
            <w:tcBorders>
              <w:top w:val="single" w:color="auto" w:sz="4" w:space="0"/>
              <w:left w:val="single" w:color="auto" w:sz="4" w:space="0"/>
              <w:bottom w:val="single" w:color="auto" w:sz="4" w:space="0"/>
              <w:right w:val="single" w:color="auto" w:sz="4" w:space="0"/>
            </w:tcBorders>
            <w:vAlign w:val="center"/>
          </w:tcPr>
          <w:p w14:paraId="5D0FEF32">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专业群知识图谱建设</w:t>
            </w:r>
          </w:p>
        </w:tc>
        <w:tc>
          <w:tcPr>
            <w:tcW w:w="562" w:type="dxa"/>
            <w:tcBorders>
              <w:top w:val="single" w:color="auto" w:sz="4" w:space="0"/>
              <w:left w:val="single" w:color="auto" w:sz="4" w:space="0"/>
              <w:bottom w:val="single" w:color="auto" w:sz="4" w:space="0"/>
              <w:right w:val="single" w:color="auto" w:sz="4" w:space="0"/>
            </w:tcBorders>
            <w:vAlign w:val="center"/>
          </w:tcPr>
          <w:p w14:paraId="06519B81">
            <w:pPr>
              <w:pStyle w:val="40"/>
              <w:spacing w:before="0" w:beforeAutospacing="0" w:after="0" w:afterAutospacing="0" w:line="500" w:lineRule="exact"/>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1D5E5B98">
            <w:pPr>
              <w:spacing w:line="50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4CECED3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一、服务总体要求</w:t>
            </w:r>
          </w:p>
          <w:p w14:paraId="45941F8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依据《职业教育专业教学资源库建设指南》（2023年版）标准，完成高星级饭店运行与管理专业群知识图谱体系建设，为本专业资源库内20门在线精品课程配套完整知识图谱功能。本项服务运维期限为5年（从验收合格之日起算），所有图谱功能权限为长期开通、永久可用。</w:t>
            </w:r>
          </w:p>
          <w:p w14:paraId="19B5A3B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系统需通过知识图谱体系串联全专业课程知识脉络，形成可视化、可检索、可关联、可学习的专业知识体系全景，整体覆盖专业体系、课程体系、岗位体系、竞赛体系、证书体系、人才培养目标体系、问题导学体系及多维统计分析能力，支撑专业资源库标准化、体系化、可视化建设。</w:t>
            </w:r>
          </w:p>
          <w:p w14:paraId="4AAF547A">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二、核心功能建设要求</w:t>
            </w:r>
          </w:p>
          <w:p w14:paraId="225E647C">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（一）专业图谱门户建设</w:t>
            </w:r>
          </w:p>
          <w:p w14:paraId="7F5CE95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1.门户首页支持展示院校及专业基础信息，包含学校LOGO、学校名称、专业名称、专业类型、专业简介、教师团队介绍等内容。</w:t>
            </w:r>
          </w:p>
          <w:p w14:paraId="06483CE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▲2.首页导航模块完整覆盖：课程体系、岗位图谱、竞赛图谱、证书图谱、目标图谱、统计分析、课程图谱、问题图谱。</w:t>
            </w:r>
          </w:p>
          <w:p w14:paraId="67E3CEF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3.支持导航栏目可视化管理，所有模块支持拖拽排序、单独展示、隐藏关闭等自定义操作。</w:t>
            </w:r>
          </w:p>
          <w:p w14:paraId="30F7D4F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4.首页自动汇总展示本专业已建设知识点总量、教学资源总量、课程总数等核心建设数据。</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71A1D2CC">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（二）课程体系图谱建设</w:t>
            </w:r>
          </w:p>
          <w:p w14:paraId="6318AA2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1.支持搭建标准化专业课程体系，区分专业基础课程、专业核心课程，支持课程新增、删除、顺序调整、层级排序。</w:t>
            </w:r>
          </w:p>
          <w:p w14:paraId="025A441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2.纳入体系管理的课程，其对应知识点、教学资源可自动纳入平台统计分析维度，实现数据联动统计。</w:t>
            </w:r>
          </w:p>
          <w:p w14:paraId="082E2ED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3.支持本专业各类图谱之间相互关联、相互跳转，实现知识体系贯通学习。</w:t>
            </w:r>
          </w:p>
          <w:p w14:paraId="3EE6A79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4.▲支持点击课程体系内对应课程，直接跳转至课程门户，实现课程在线浏览、内容查看、在线学习。</w:t>
            </w:r>
          </w:p>
          <w:p w14:paraId="3580B20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5.▲须为本项目20门在线精品课程全面配套图谱功能，每门课程完整搭载知识图谱、问题图谱、目标图谱、自定义图谱四类图谱体系。</w:t>
            </w:r>
          </w:p>
          <w:p w14:paraId="4BEE45F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（三）岗位图谱建设</w:t>
            </w:r>
          </w:p>
          <w:p w14:paraId="53D91BF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▲1.系统内置岗位图谱专属维护模块，支持管理人员自主维护岗位信息、岗位技能、课程知识点、对应关联课程，维护完成后一键导入生成标准化岗位图谱。</w:t>
            </w:r>
          </w:p>
          <w:p w14:paraId="0D2D8B7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▲2.图谱支持3D可视化结构展示，各层级节点通过关联线条呈现逻辑关系，点击任意节点可展开完整上下游关联链路。</w:t>
            </w:r>
          </w:p>
          <w:p w14:paraId="642F1D4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▲3.支持自定义图谱层级，最大支持4级自定义层级，层级名称可自主编辑、按需命名，层级指 “岗位 - 岗位技能 -知识点- 课程”</w:t>
            </w:r>
            <w:r>
              <w:rPr>
                <w:rFonts w:hint="eastAsia" w:ascii="宋体" w:hAnsi="宋体" w:cs="宋体"/>
                <w:color w:val="auto"/>
                <w:kern w:val="0"/>
                <w:sz w:val="21"/>
                <w:szCs w:val="21"/>
                <w:highlight w:val="none"/>
                <w:lang w:val="en-US" w:eastAsia="zh-CN" w:bidi="ar-SA"/>
              </w:rPr>
              <w:t>。</w:t>
            </w:r>
          </w:p>
          <w:p w14:paraId="03689C3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4.支持岗位精准检索：可查询对应岗位关联的岗位技能数量、知识点数量、支撑课程清单。</w:t>
            </w:r>
          </w:p>
          <w:p w14:paraId="3F4AD22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5.支持岗位技能反向检索：通过岗位技能查询对应关联知识点及配套课程，精准匹配岗位能力需求。</w:t>
            </w:r>
          </w:p>
          <w:p w14:paraId="73EF7B5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▲6.支持知识点反向检索：通过课程知识点查询对应支撑岗位、岗位技能及关联课程。</w:t>
            </w:r>
          </w:p>
          <w:p w14:paraId="36ABC03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7.支持课程反向检索：通过课程查询其支撑的岗位数量、岗位技能数量、知识点数量。</w:t>
            </w:r>
          </w:p>
          <w:p w14:paraId="0DD3B88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▲8.支持根据目标岗位自动生成岗位专属学习路径，支持学生在线报名、按知识点顺序递进式学习。</w:t>
            </w:r>
          </w:p>
          <w:p w14:paraId="1E52D12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（四）竞赛图谱建设</w:t>
            </w:r>
          </w:p>
          <w:p w14:paraId="4C81AC1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1.支持通过专属维护模块，自主录入技能竞赛项目、关联知识点、对应课程，导入系统后自动生成竞赛图谱体系。</w:t>
            </w:r>
          </w:p>
          <w:p w14:paraId="5B8CDCD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2.图谱采用3D可视化结构展示，节点关联关系清晰，点击节点可展开完整竞赛知识链路。</w:t>
            </w:r>
          </w:p>
          <w:p w14:paraId="4ADD866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3.支持图谱4级以内自定义层级，层级名称可自定义编辑。</w:t>
            </w:r>
          </w:p>
          <w:p w14:paraId="1D080D8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4.支持竞赛项目检索，可展示竞赛对应的关联知识点、配套课程数量。</w:t>
            </w:r>
          </w:p>
          <w:p w14:paraId="064F552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5.支持知识点反向检索，展示知识点对应的支撑竞赛项目。</w:t>
            </w:r>
          </w:p>
          <w:p w14:paraId="4B5635F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6.支持课程反向检索，展示课程可支撑的知识点数量、竞赛项目数量。</w:t>
            </w:r>
          </w:p>
          <w:p w14:paraId="6506D3F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▲7.支持根据竞赛项目自动生成竞赛学习路径，支持学生按路径顺序开展针对性备赛学习。</w:t>
            </w:r>
          </w:p>
          <w:p w14:paraId="60A87D36">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（五）证书图谱建设</w:t>
            </w:r>
          </w:p>
          <w:p w14:paraId="7552F97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1.支持通过专属维护模块，录入职业证书、对应知识点、关联课程，导入系统后自动生成证书图谱体系。</w:t>
            </w:r>
          </w:p>
          <w:p w14:paraId="650CB90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2.图谱支持3D可视化结构展示，层级关联清晰，支持节点展开、链路查看。</w:t>
            </w:r>
          </w:p>
          <w:p w14:paraId="5F7121D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3.支持图谱4级以内自定义层级，层级名称可自由定义。</w:t>
            </w:r>
          </w:p>
          <w:p w14:paraId="08DEE0A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4.支持证书检索，可展示证书对应的关联知识点、配套课程数量。</w:t>
            </w:r>
          </w:p>
          <w:p w14:paraId="5B22927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5.支持知识点反向检索，展示知识点对应的支撑证书体系。</w:t>
            </w:r>
          </w:p>
          <w:p w14:paraId="6A942FF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6.支持课程反向检索，展示课程可支撑的知识点数量、证书品类数量。</w:t>
            </w:r>
          </w:p>
          <w:p w14:paraId="409D8FB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▲7.支持根据目标证书自动生成证书学习路径，学生可在线报名，按照知识点顺序递进式学习，支撑书证融通教学。</w:t>
            </w:r>
          </w:p>
          <w:p w14:paraId="08BD38F9">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（六）目标图谱建设</w:t>
            </w:r>
          </w:p>
          <w:p w14:paraId="2B8662A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1.支持通过专属维护模块，录入人才培养目标、对应知识点、关联课程，导入系统后自动生成培养目标图谱。</w:t>
            </w:r>
          </w:p>
          <w:p w14:paraId="70863BA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2.图谱支持3D可视化结构展示，完整呈现培养目标、课程、知识点之间的对应关系。</w:t>
            </w:r>
          </w:p>
          <w:p w14:paraId="08B72A2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3.支持图谱5级以内自定义层级，层级名称可自主命名、按需调整。</w:t>
            </w:r>
          </w:p>
          <w:p w14:paraId="1BB12AA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4.支持培养目标检索，展示目标对应的关联知识点、支撑课程数量。</w:t>
            </w:r>
          </w:p>
          <w:p w14:paraId="1A3309E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5.支持知识点反向检索，展示知识点对应的人才培养目标支撑关系。</w:t>
            </w:r>
          </w:p>
          <w:p w14:paraId="056F2A2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6.支持课程反向检索，展示课程对应的支撑知识点、培养目标维度。</w:t>
            </w:r>
          </w:p>
          <w:p w14:paraId="45B4098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▲7.支持根据人才培养目标自动生成目标导向学习路径，支撑学生按培养标准系统化学习。</w:t>
            </w:r>
          </w:p>
          <w:p w14:paraId="1B9BAD16">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（七）问题图谱建设</w:t>
            </w:r>
          </w:p>
          <w:p w14:paraId="35F6EA7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1.支持搭建全专业课程问题图谱体系，实现问题导学、问题串联式教学。</w:t>
            </w:r>
          </w:p>
          <w:p w14:paraId="72DF31B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2.支持教师自主建设问题图谱，可自定义问题名称、问题描述、新增问题卡片。</w:t>
            </w:r>
          </w:p>
          <w:p w14:paraId="4C8D01F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▲3.支持同层级问题卡片拖拽移动、自由连线、关联串联、删除关联等快捷编辑操作。</w:t>
            </w:r>
          </w:p>
          <w:p w14:paraId="7EDD57C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▲4.支持问题卡片绑定标签、关联对应课程知识点，建立问题—知识点精准对应关系。</w:t>
            </w:r>
          </w:p>
          <w:p w14:paraId="01ABF8E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5.支持单点查看问题关联知识点小图谱，实现以问题为导向的知识串联学习，契合OBE成果导向教学理念，助力学生场景化、问题化深度学习。</w:t>
            </w:r>
          </w:p>
          <w:p w14:paraId="55EE29C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（八）多维统计分析功能</w:t>
            </w:r>
          </w:p>
          <w:p w14:paraId="436D828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▲1.支持可视化汇总展示专业课程总量、图谱建设总量、知识点总数、教学资源总数等核心建设数据。</w:t>
            </w:r>
          </w:p>
          <w:p w14:paraId="3981CBE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2.支持展示单门课程图谱详情，包含知识点分布、重点、难点、考点、思政知识点分类统计。</w:t>
            </w:r>
          </w:p>
          <w:p w14:paraId="1C6427B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3.支持课程资源数据可视化，以柱状图展示各课程资源数量分布情况。</w:t>
            </w:r>
          </w:p>
          <w:p w14:paraId="7C68E96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4.支持资源结构占比分析，以饼状图展示任务点、作业、考试、试题、课程资源的整体占比及单课程独立占比。</w:t>
            </w:r>
          </w:p>
          <w:p w14:paraId="2C0FADD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5.支持按岗位图谱、竞赛图谱、证书图谱、目标图谱多维度分类统计、数据可视化展示。</w:t>
            </w:r>
          </w:p>
          <w:p w14:paraId="63BACB27">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（九）知识图谱展示模式</w:t>
            </w:r>
          </w:p>
          <w:p w14:paraId="296BED8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1.支持课程导航模式，可按单门课程独立查看对应图谱建设详情。</w:t>
            </w:r>
          </w:p>
          <w:p w14:paraId="7539BFA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2.支持专业全景基础展示模式，集中呈现本专业所有课程图谱、知识点图谱集合全貌。</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tc>
        <w:tc>
          <w:tcPr>
            <w:tcW w:w="1270" w:type="dxa"/>
            <w:tcBorders>
              <w:top w:val="single" w:color="auto" w:sz="4" w:space="0"/>
              <w:left w:val="single" w:color="auto" w:sz="4" w:space="0"/>
              <w:bottom w:val="single" w:color="auto" w:sz="4" w:space="0"/>
              <w:right w:val="single" w:color="auto" w:sz="4" w:space="0"/>
            </w:tcBorders>
            <w:vAlign w:val="center"/>
          </w:tcPr>
          <w:p w14:paraId="7929F52C">
            <w:pPr>
              <w:spacing w:line="360" w:lineRule="auto"/>
              <w:jc w:val="center"/>
              <w:rPr>
                <w:rFonts w:hint="eastAsia" w:ascii="宋体" w:hAnsi="宋体" w:cs="宋体"/>
                <w:bCs/>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 xml:space="preserve">200000.00 </w:t>
            </w:r>
          </w:p>
        </w:tc>
        <w:tc>
          <w:tcPr>
            <w:tcW w:w="1045" w:type="dxa"/>
            <w:tcBorders>
              <w:top w:val="single" w:color="auto" w:sz="4" w:space="0"/>
              <w:left w:val="single" w:color="auto" w:sz="4" w:space="0"/>
              <w:bottom w:val="single" w:color="auto" w:sz="4" w:space="0"/>
              <w:right w:val="single" w:color="auto" w:sz="4" w:space="0"/>
            </w:tcBorders>
            <w:vAlign w:val="center"/>
          </w:tcPr>
          <w:p w14:paraId="5C9E9A83">
            <w:pPr>
              <w:spacing w:line="500" w:lineRule="exact"/>
              <w:jc w:val="center"/>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rPr>
              <w:t>软件和信息技术服务业</w:t>
            </w:r>
          </w:p>
        </w:tc>
      </w:tr>
      <w:tr w14:paraId="11BF16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28" w:type="dxa"/>
            <w:vMerge w:val="continue"/>
            <w:tcBorders>
              <w:left w:val="single" w:color="auto" w:sz="4" w:space="0"/>
              <w:right w:val="single" w:color="auto" w:sz="4" w:space="0"/>
            </w:tcBorders>
            <w:vAlign w:val="center"/>
          </w:tcPr>
          <w:p w14:paraId="319E50FB">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3A5D3A6F">
            <w:pPr>
              <w:spacing w:line="5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957" w:type="dxa"/>
            <w:tcBorders>
              <w:top w:val="single" w:color="auto" w:sz="4" w:space="0"/>
              <w:left w:val="single" w:color="auto" w:sz="4" w:space="0"/>
              <w:bottom w:val="single" w:color="auto" w:sz="4" w:space="0"/>
              <w:right w:val="single" w:color="auto" w:sz="4" w:space="0"/>
            </w:tcBorders>
            <w:vAlign w:val="center"/>
          </w:tcPr>
          <w:p w14:paraId="288DC7DD">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智慧课程建设</w:t>
            </w:r>
          </w:p>
        </w:tc>
        <w:tc>
          <w:tcPr>
            <w:tcW w:w="562" w:type="dxa"/>
            <w:tcBorders>
              <w:top w:val="single" w:color="auto" w:sz="4" w:space="0"/>
              <w:left w:val="single" w:color="auto" w:sz="4" w:space="0"/>
              <w:bottom w:val="single" w:color="auto" w:sz="4" w:space="0"/>
              <w:right w:val="single" w:color="auto" w:sz="4" w:space="0"/>
            </w:tcBorders>
            <w:vAlign w:val="center"/>
          </w:tcPr>
          <w:p w14:paraId="5D0C4186">
            <w:pPr>
              <w:pStyle w:val="40"/>
              <w:spacing w:before="0" w:beforeAutospacing="0" w:after="0" w:afterAutospacing="0" w:line="500" w:lineRule="exact"/>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门</w:t>
            </w:r>
          </w:p>
        </w:tc>
        <w:tc>
          <w:tcPr>
            <w:tcW w:w="590" w:type="dxa"/>
            <w:tcBorders>
              <w:top w:val="single" w:color="auto" w:sz="4" w:space="0"/>
              <w:left w:val="single" w:color="auto" w:sz="4" w:space="0"/>
              <w:bottom w:val="single" w:color="auto" w:sz="4" w:space="0"/>
              <w:right w:val="single" w:color="auto" w:sz="4" w:space="0"/>
            </w:tcBorders>
            <w:vAlign w:val="center"/>
          </w:tcPr>
          <w:p w14:paraId="51ED955D">
            <w:pPr>
              <w:spacing w:line="50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78DAD6A7">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一、服务总体要求</w:t>
            </w:r>
          </w:p>
          <w:p w14:paraId="0237325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本项目需为资源库内17门精品课程搭建全套AI智慧教学功能体系，覆盖AI批阅、智能出题、试卷评估、自测练习、教学备课、语音生成、口语测评、智能组卷、文档视频解析、查重检测、OCR识别、AI学情分析、智能助教等全链条AI教学工具。所有功能需适配课堂教学、课后练习、学情研判、备课教研、学生自主学习全场景，功能稳定、逻辑完整、可量化、可验收，全面支撑智慧化课程教学改革。</w:t>
            </w:r>
          </w:p>
          <w:p w14:paraId="29EB5E91">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二、核心AI功能建设标准</w:t>
            </w:r>
          </w:p>
          <w:p w14:paraId="1D4EAB34">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（一）AI智能批阅服务</w:t>
            </w:r>
          </w:p>
          <w:p w14:paraId="71CECA1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█1.支持教师自主设置AI评分标准、评价维度，系统可对课程写作类题型实现自动化智能批阅。</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7A24A75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2.批阅完成后自动生成班级整体写作学情报告，直观呈现班级整体作答水平、共性问题、薄弱点。</w:t>
            </w:r>
          </w:p>
          <w:p w14:paraId="075DA76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3.系统自动配套优质范文、关键词词云展示、个性化写作提升建议，为教师课堂讲评、学生优化作答提供数据支撑与教学参考。</w:t>
            </w:r>
          </w:p>
          <w:p w14:paraId="1F1B651A">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（二）AI试题识别服务</w:t>
            </w:r>
          </w:p>
          <w:p w14:paraId="68B0AF7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1.支持主流文档格式智能识别，兼容WPS、Word、PDF格式试题资料的快速解析与导入。</w:t>
            </w:r>
          </w:p>
          <w:p w14:paraId="105F909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2.精准识别WPS、Word文档中LaTeX公式源码，支持识别完成后对公式内容进行二次编辑、修改、调整，适配各类数理题型录入需求。</w:t>
            </w:r>
          </w:p>
          <w:p w14:paraId="66BF03BE">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（三）AI智能出题服务</w:t>
            </w:r>
          </w:p>
          <w:p w14:paraId="06DD8E4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1.知识点智能出题：支持根据课程知识点、题型分类、难度系数、题目数量等自定义参数，自动生成贴合教学目标的标准化试题。</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50F3245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2.材料智能出题：支持上传课程教学材料、文本素材，结合选定题型、难度要求，智能衍生适配的配套练习题、测试题。</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493497EC">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（四）AI试卷质量评估服务</w:t>
            </w:r>
          </w:p>
          <w:p w14:paraId="34077B3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1.支持对成套试卷进行全方位质量分析，自动拆解试卷结构、题型分布、难度梯度、知识点覆盖范围、分值配比等核心维度数据。</w:t>
            </w:r>
          </w:p>
          <w:p w14:paraId="17F5286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2.基于分析结果自动生成试卷优化改进建议，辅助教师完善试卷命题质量，提升试卷科学性、适配性、合理性。</w:t>
            </w:r>
          </w:p>
          <w:p w14:paraId="0BD36892">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（五）AI自测练习服务</w:t>
            </w:r>
          </w:p>
          <w:p w14:paraId="55BD398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▲支持学生基于个人知识点掌握情况开展个性化自测练习，系统自动抓取学生错题数据，针对性推送同类变式题型，实现“错题复盘、举一反三、精准补强”的个性化学习效果。</w:t>
            </w:r>
          </w:p>
          <w:p w14:paraId="301FC82E">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（六）AI拓展工具全套服务</w:t>
            </w:r>
          </w:p>
          <w:p w14:paraId="492D186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集成一站式AI备课、AI助学工具，覆盖教案、课件、语音、测评、解析、查重、识别、学情分析等全场景功能，具体要求如下：</w:t>
            </w:r>
          </w:p>
          <w:p w14:paraId="0837882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▲1.AI智能教案服务</w:t>
            </w:r>
          </w:p>
          <w:p w14:paraId="0F74F4A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█支持教师通过输入教学主题、教学文本、教学重难点，自主选择标准化教案模板，自定义教学风格、教学环节与内容要求，系统一键生成结构完整、规范适配的课程教案，支持二次编辑修改。</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4BC356C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2.AI智能课件服务</w:t>
            </w:r>
          </w:p>
          <w:p w14:paraId="175B511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█支持教师输入课件主题、教学内容、教学重点，自主选择PPT风格模板，系统一键生成版式规范、内容贴合课程教学需求的教学PPT课件，可自由编辑调整。</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3924E20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3.听力题AI语音生成服务</w:t>
            </w:r>
          </w:p>
          <w:p w14:paraId="14F2702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（1）文本自定义输入：支持教师自主录入听力对话、听力素材、考试文本等各类教学文本。</w:t>
            </w:r>
          </w:p>
          <w:p w14:paraId="6DEB95D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█（2）智能音频生成：系统基于输入文本自动生成标准语音音频，支持男声、女声多音色切换，音质清晰、语速适中，适配课堂听力练习、课后训练、考试测评场景。</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4B469B6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4.AI口语测评服务</w:t>
            </w:r>
          </w:p>
          <w:p w14:paraId="535F155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教师可预设学生跟读标准文本，学生通过系统完成音频跟读录制，系统自动开展语音智能分析，从完整度、准确度、流利度多维度量化评分，并生成针对性纠错意见、优化建议，实现口语智能化考评。</w:t>
            </w:r>
          </w:p>
          <w:p w14:paraId="22AC68F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5.AI智能组卷服务</w:t>
            </w:r>
          </w:p>
          <w:p w14:paraId="18C550B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▲支持教师输入个性化、场景化组卷自定义指令，AI组卷助手可精准匹配教学目标、课程重难点、学生学情水平，智能组合生成适配课堂测验、单元考试、期末考核的标准化试卷。</w:t>
            </w:r>
          </w:p>
          <w:p w14:paraId="3CED763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6.章节文档AI解析服务</w:t>
            </w:r>
          </w:p>
          <w:p w14:paraId="2641960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针对课程章节教学文档、学习资料开展智能化解析，自动提炼文档核心摘要、知识脑图、关键词词云，梳理知识框架，助力师生快速掌握章节核心内容。</w:t>
            </w:r>
          </w:p>
          <w:p w14:paraId="6CC507E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7.视频AI解析服务</w:t>
            </w:r>
          </w:p>
          <w:p w14:paraId="2EB4E16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▲（1）智能提取教学视频核心关键词，自动生成关键词词云图，通过字体大小区分关键词出现频率与重要程度。</w:t>
            </w:r>
          </w:p>
          <w:p w14:paraId="18A4BDD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▲（2）支持自动识别、生成视频标准字幕，修正字幕误差，适配教学播放需求。</w:t>
            </w:r>
          </w:p>
          <w:p w14:paraId="15AEB7C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█（3）自动完成视频内容拆解，生成视频内容摘要、分段知识点总结、核心考点提炼，实现视频资源结构化解析。</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7DBA55B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8.作业智能查重服务</w:t>
            </w:r>
          </w:p>
          <w:p w14:paraId="62BBF1D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▲（1）依托平台内置资源数据库对学生作业全文智能比对查重，精准识别重复内容。</w:t>
            </w:r>
          </w:p>
          <w:p w14:paraId="0BFDEF3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（2）支持班级内比对、课程内比对、校内自建资源库多维度交叉比对，查重覆盖面广、精准度高。</w:t>
            </w:r>
          </w:p>
          <w:p w14:paraId="1989136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█（3）自动生成详细查重检测报告，标注重复片段、重复来源、重复率数据，支撑作业规范化管理。</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0DE0B65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9.AIGC内容检测服务</w:t>
            </w:r>
          </w:p>
          <w:p w14:paraId="3FAB8F5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█支持智能检测文本内容是否为AI生成内容，精准识别人工撰写与AI生成内容差异，辅助教师甄别学生作业、论文、报告的原创性。</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1A1A92D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10.OCR公式识别服务</w:t>
            </w:r>
          </w:p>
          <w:p w14:paraId="0D79168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（1）支持数学公式图片上传识别，依托OCR技术与主流深度学习 OCR 算法完成精准解析。</w:t>
            </w:r>
          </w:p>
          <w:p w14:paraId="6E84C70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（2）可精准识别图片内数学符号、运算公式、数字、特殊字符，自动拼接生成可编辑、可复用的完整数学公式。</w:t>
            </w:r>
          </w:p>
          <w:p w14:paraId="6A3B90B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11.AI学情分析助手服务</w:t>
            </w:r>
          </w:p>
          <w:p w14:paraId="79EE2C1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支持教师通过智能问答方式获取个性化学情数据分析结论，覆盖多维度核心教学数据，具体包含：综合成绩数据、学生学习进度、任务点完成情况、章节测验完成数据、作业完成质量、考试完成情况、课堂签到数据、课程活动参与数据等。</w:t>
            </w:r>
          </w:p>
          <w:p w14:paraId="7810AB0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学情分析输出形式包含：可视化数据图表、统计报表、量化数据、文字性分析结论、教学优化建议，数据直观、结论清晰、可用于教学研判。</w:t>
            </w:r>
          </w:p>
          <w:p w14:paraId="2CC517AD">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（七）AI智能助教服务</w:t>
            </w:r>
          </w:p>
          <w:p w14:paraId="785B493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1.为每门课程配置专属AI智能教学助手，自动梳理课程整体知识点框架、学生个人学习进度、未完成学习任务、薄弱知识点清单。</w:t>
            </w:r>
          </w:p>
          <w:p w14:paraId="22B0EA6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▲2.集成三大核心助学功能：智能学习答疑、定时智能学习提醒、个性化学习资源精准推荐，全方位辅助学生自主学习、查漏补缺、高效进阶。</w:t>
            </w:r>
          </w:p>
        </w:tc>
        <w:tc>
          <w:tcPr>
            <w:tcW w:w="1270" w:type="dxa"/>
            <w:tcBorders>
              <w:top w:val="single" w:color="auto" w:sz="4" w:space="0"/>
              <w:left w:val="single" w:color="auto" w:sz="4" w:space="0"/>
              <w:bottom w:val="single" w:color="auto" w:sz="4" w:space="0"/>
              <w:right w:val="single" w:color="auto" w:sz="4" w:space="0"/>
            </w:tcBorders>
            <w:vAlign w:val="center"/>
          </w:tcPr>
          <w:p w14:paraId="376B143D">
            <w:pPr>
              <w:spacing w:line="360" w:lineRule="auto"/>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225000.00</w:t>
            </w:r>
          </w:p>
        </w:tc>
        <w:tc>
          <w:tcPr>
            <w:tcW w:w="1045" w:type="dxa"/>
            <w:tcBorders>
              <w:top w:val="single" w:color="auto" w:sz="4" w:space="0"/>
              <w:left w:val="single" w:color="auto" w:sz="4" w:space="0"/>
              <w:bottom w:val="single" w:color="auto" w:sz="4" w:space="0"/>
              <w:right w:val="single" w:color="auto" w:sz="4" w:space="0"/>
            </w:tcBorders>
            <w:vAlign w:val="center"/>
          </w:tcPr>
          <w:p w14:paraId="469E9C3A">
            <w:pPr>
              <w:spacing w:line="500" w:lineRule="exact"/>
              <w:jc w:val="center"/>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rPr>
              <w:t>软件和信息技术服务业</w:t>
            </w:r>
          </w:p>
        </w:tc>
      </w:tr>
      <w:tr w14:paraId="324F7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27" w:hRule="atLeast"/>
        </w:trPr>
        <w:tc>
          <w:tcPr>
            <w:tcW w:w="428" w:type="dxa"/>
            <w:vMerge w:val="continue"/>
            <w:tcBorders>
              <w:left w:val="single" w:color="auto" w:sz="4" w:space="0"/>
              <w:right w:val="single" w:color="auto" w:sz="4" w:space="0"/>
            </w:tcBorders>
            <w:vAlign w:val="center"/>
          </w:tcPr>
          <w:p w14:paraId="7FCFC0A1">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1BFE67C4">
            <w:pPr>
              <w:spacing w:line="5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957" w:type="dxa"/>
            <w:tcBorders>
              <w:top w:val="single" w:color="auto" w:sz="4" w:space="0"/>
              <w:left w:val="single" w:color="auto" w:sz="4" w:space="0"/>
              <w:bottom w:val="single" w:color="auto" w:sz="4" w:space="0"/>
              <w:right w:val="single" w:color="auto" w:sz="4" w:space="0"/>
            </w:tcBorders>
            <w:vAlign w:val="center"/>
          </w:tcPr>
          <w:p w14:paraId="5BD7E01E">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视频资源制作</w:t>
            </w:r>
          </w:p>
        </w:tc>
        <w:tc>
          <w:tcPr>
            <w:tcW w:w="562" w:type="dxa"/>
            <w:tcBorders>
              <w:top w:val="single" w:color="auto" w:sz="4" w:space="0"/>
              <w:left w:val="single" w:color="auto" w:sz="4" w:space="0"/>
              <w:bottom w:val="single" w:color="auto" w:sz="4" w:space="0"/>
              <w:right w:val="single" w:color="auto" w:sz="4" w:space="0"/>
            </w:tcBorders>
            <w:vAlign w:val="center"/>
          </w:tcPr>
          <w:p w14:paraId="4F75633C">
            <w:pPr>
              <w:pStyle w:val="40"/>
              <w:spacing w:before="0" w:beforeAutospacing="0" w:after="0" w:afterAutospacing="0" w:line="500" w:lineRule="exact"/>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分钟</w:t>
            </w:r>
          </w:p>
        </w:tc>
        <w:tc>
          <w:tcPr>
            <w:tcW w:w="590" w:type="dxa"/>
            <w:tcBorders>
              <w:top w:val="single" w:color="auto" w:sz="4" w:space="0"/>
              <w:left w:val="single" w:color="auto" w:sz="4" w:space="0"/>
              <w:bottom w:val="single" w:color="auto" w:sz="4" w:space="0"/>
              <w:right w:val="single" w:color="auto" w:sz="4" w:space="0"/>
            </w:tcBorders>
            <w:vAlign w:val="center"/>
          </w:tcPr>
          <w:p w14:paraId="3379B021">
            <w:pPr>
              <w:spacing w:line="50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750</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221D51BF">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一、</w:t>
            </w:r>
            <w:r>
              <w:rPr>
                <w:rFonts w:hint="default" w:ascii="宋体" w:hAnsi="宋体" w:eastAsia="宋体" w:cs="宋体"/>
                <w:b/>
                <w:bCs/>
                <w:color w:val="auto"/>
                <w:kern w:val="0"/>
                <w:sz w:val="21"/>
                <w:szCs w:val="21"/>
                <w:highlight w:val="none"/>
                <w:lang w:val="en-US" w:eastAsia="zh-CN" w:bidi="ar-SA"/>
              </w:rPr>
              <w:t>共需开发课程视频不低于750分钟，重点拍摄内容如下：</w:t>
            </w:r>
          </w:p>
          <w:p w14:paraId="4AAB742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餐饮服务与管理课程新增会议服务、展会服务视频；</w:t>
            </w:r>
          </w:p>
          <w:p w14:paraId="50DF8C9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康养酒店服务、康养旅游服务新增课程内容（含中英文双语版）；</w:t>
            </w:r>
          </w:p>
          <w:p w14:paraId="6EEFBD0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新媒体营销/直播、非遗活态传承技艺、营养学/中医药康养新增课程内容；</w:t>
            </w:r>
          </w:p>
          <w:p w14:paraId="79B1BBE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其他内容根据建设课程更新情况拍摄。</w:t>
            </w:r>
          </w:p>
          <w:p w14:paraId="27B39E17">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（一）视频开发整体要求</w:t>
            </w:r>
          </w:p>
          <w:p w14:paraId="4970576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1.根据老师提供的知识点和技能点进行拍摄和制作，视频不涉及二维或三维动画设计，含片头、片尾、教师出镜拍摄、动画包转、后期剪辑合成。</w:t>
            </w:r>
          </w:p>
          <w:p w14:paraId="3EBFD60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2.微课的开发脚本由课程老师提供。</w:t>
            </w:r>
          </w:p>
          <w:p w14:paraId="0186158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3.课程编导与教师制定拍摄方式，商定拍摄方式和拍摄环境，及时联系教师，确定拍摄场地和时间。</w:t>
            </w:r>
          </w:p>
          <w:p w14:paraId="5E04EEB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4.根据拍摄技术标准和课程内容，设计贴合教师授课特点的拍摄形式，与老师沟通说明拍摄要求。</w:t>
            </w:r>
          </w:p>
          <w:p w14:paraId="1057D79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5.根据老师的课程内容，设计教学场景并安排布景。背景的颜色、图案不易过多，会保持静态，画面会简洁、明快，营造课堂气氛。</w:t>
            </w:r>
          </w:p>
          <w:p w14:paraId="0A66EDE8">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（二）视频拍摄和制作</w:t>
            </w:r>
          </w:p>
          <w:p w14:paraId="356C239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1.拍摄</w:t>
            </w:r>
          </w:p>
          <w:p w14:paraId="7773101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(1)根据课程的性质，制作团队与教师一起确定在线精品课程视频最合理的拍摄方式，提供不少于4种的拍摄模式可供老师选择:如内录模式(录屏)，场景搭建模式，抠像模式，PPT+配音等模式。</w:t>
            </w:r>
          </w:p>
          <w:p w14:paraId="1353BEE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▲(2)根据在线精品课程制作需要，提供拍摄场地，也可以根据学校需求到学校搭建拍摄环境，需配置专业灯光，提供提词器、灯具、摄像机等相关设备。</w:t>
            </w:r>
          </w:p>
          <w:p w14:paraId="56F762B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▲(3)采用2机位或以上进行拍摄，所用摄像机分辨率1920+1080，录制视频宽高比16:9，视频帧率为25帧/秒，配备专业录音设备。</w:t>
            </w:r>
          </w:p>
          <w:p w14:paraId="1773326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(4)在拍摄时应针对实际情况选择适当的拍摄方式，与后期制作统筹策划，确保成片中的多媒体演示及板书完整、清晰。</w:t>
            </w:r>
          </w:p>
          <w:p w14:paraId="27C3976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(5)录制环境光线充足、安静，教师衣着得体，拍摄前需简单化妆，保持最佳状态。</w:t>
            </w:r>
          </w:p>
          <w:p w14:paraId="021D306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(6)拍摄设备：根据需要安排专业拍摄设备。</w:t>
            </w:r>
          </w:p>
          <w:p w14:paraId="29E9788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(7)音频设备：专业无线麦。</w:t>
            </w:r>
          </w:p>
          <w:p w14:paraId="6F3A5AB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(8)灯光设备:专业影视摄影镝灯，LED面光灯等。</w:t>
            </w:r>
          </w:p>
          <w:p w14:paraId="232FEB0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(9)辅助记忆设备（提词器）1套。</w:t>
            </w:r>
          </w:p>
          <w:p w14:paraId="7E687F4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2.后期制作</w:t>
            </w:r>
          </w:p>
          <w:p w14:paraId="015503F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▲(1)使用专业非线性视频编辑系统完成剪辑、调色、音视频处理。进行视频降噪，音频降噪。</w:t>
            </w:r>
          </w:p>
          <w:p w14:paraId="08A6B16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每个课程视频须制作课程片头:长度10-20秒。使用专业的后期合成软件:平面设计+后期合成+3D渲染等进行设计与制作能够体现课程特色、形式新颖的片头。内容包括：学校LOGO、课程名称、讲次、主讲教师姓名、专业技术职务、单位等信息。</w:t>
            </w:r>
          </w:p>
          <w:p w14:paraId="36DEC46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(3)按照拍摄方案，根据不同的拍摄方式和每讲的课程内容，使用专业的后期合成软件和图片处理软件进行片花背景设计、配乐，并且主色调要和片头、尾还有内容相协调。</w:t>
            </w:r>
          </w:p>
          <w:p w14:paraId="56E6CDF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(4)使用专业的后期合成软件进行课题条、简介条设计：根据课程内容不同，设计符合本课程的课题简介的模版，以此来介绍本讲的主要内容和老师名称。</w:t>
            </w:r>
          </w:p>
          <w:p w14:paraId="343B321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编导通篇观看源视频，根据主讲人所讲内容，理清脉络，划分片子结构，确定片子整体风格，查找相关素材资料，标记与课程内容关系不大的内容时间点，并且确保不存在涉及政治和民族矛盾等字眼出现，最后编辑出最终的制作脚本。</w:t>
            </w:r>
          </w:p>
          <w:p w14:paraId="22CA457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(6)后期制作人员根据编导所提供的制作脚本进行片花和引文等的编辑与制作，主要有背景板、特定的背景音乐、音乐场景特效、引文字体、字体颜色、构图排版、转场特效、基本剪辑、音视频调整与衔接等。</w:t>
            </w:r>
          </w:p>
          <w:p w14:paraId="0D940C9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(7)使用专业非线性编辑系统剪掉不必要的废镜头，制作完之后，添加必要的背景音乐，保证制作的片花无错误、无硬伤，画面美观，排版规范、逻辑完整。所有内容编辑结束之后，最后渲染成片。</w:t>
            </w:r>
          </w:p>
          <w:p w14:paraId="6231E7B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(8)使用专业的后期合成软件制作片尾：根据版权所有，制定相关的片尾，包括版权单位、制作单位等信息.。</w:t>
            </w:r>
          </w:p>
          <w:p w14:paraId="7D70974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(9)使用专业非线性编辑系统渲染成片:所有内容编辑结束之后，生成成片，成品为高清制式，所有视频均为MP4格式。</w:t>
            </w:r>
          </w:p>
          <w:p w14:paraId="0838B0F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3.视频技术指标</w:t>
            </w:r>
          </w:p>
          <w:p w14:paraId="738266F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（1）视频信号源</w:t>
            </w:r>
          </w:p>
          <w:p w14:paraId="454715E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▲稳定性：全片图像同步性能稳定，无失帧现象，CTL同步控制信号必须连续；图像无抖动跳跃，色彩无突变，编辑点处图像稳定。</w:t>
            </w:r>
          </w:p>
          <w:p w14:paraId="7A855BE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信噪比：图像信噪比不低于55dB，无明显杂波。</w:t>
            </w:r>
          </w:p>
          <w:p w14:paraId="0CD7E9E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色调：白平衡正确，无明显偏色，多机拍摄的镜头衔接处无明显色差。</w:t>
            </w:r>
          </w:p>
          <w:p w14:paraId="7484613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视频电平：视频全讯号幅度为1.0Ⅴp-p，最大不超过1.1Ⅴp-p。其中，消隐电平为0V时，白电平幅度0.7Ⅴp-p，同步信号-0.3V，色同步信号幅度0.3V p-p (以消隐线上下对称)，全片一致。</w:t>
            </w:r>
          </w:p>
          <w:p w14:paraId="5C0184E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（2）音频信号源</w:t>
            </w:r>
          </w:p>
          <w:p w14:paraId="5B100FB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声道：中文内容音频信号记录于第1声道，音乐、音效、同期声记录于第2声道，若有其他文字解说记录于第3声道（如录音设备无第3声道，则录于第2声道）。</w:t>
            </w:r>
          </w:p>
          <w:p w14:paraId="2936158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电平指标：-2db — -8db声音应无明显失真、放音过冲、过弱。</w:t>
            </w:r>
          </w:p>
          <w:p w14:paraId="3933C34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音频信噪比不低于48db。</w:t>
            </w:r>
          </w:p>
          <w:p w14:paraId="3D6F2D8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声音和画面要求同步，无交流声或其他杂音等缺陷。</w:t>
            </w:r>
          </w:p>
          <w:p w14:paraId="44425DF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伴音清晰、饱满、圆润，无失真、噪声杂音干扰、音量忽大忽小现象。解说声与现场声无明显比例失调，解说声与背景音乐无明显比例失调。</w:t>
            </w:r>
          </w:p>
          <w:p w14:paraId="6A673FC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（3）视、音频交付文件</w:t>
            </w:r>
          </w:p>
          <w:p w14:paraId="442D856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▲交付载体。所有视频文件以拷贝形式交付学校。</w:t>
            </w:r>
            <w:r>
              <w:rPr>
                <w:rFonts w:hint="eastAsia" w:ascii="宋体" w:hAnsi="宋体" w:cs="宋体"/>
                <w:color w:val="auto"/>
                <w:kern w:val="0"/>
                <w:sz w:val="21"/>
                <w:szCs w:val="21"/>
                <w:highlight w:val="none"/>
                <w:lang w:val="en-US" w:eastAsia="zh-CN" w:bidi="ar-SA"/>
              </w:rPr>
              <w:t>中标</w:t>
            </w:r>
            <w:r>
              <w:rPr>
                <w:rFonts w:hint="default" w:ascii="宋体" w:hAnsi="宋体" w:eastAsia="宋体" w:cs="宋体"/>
                <w:color w:val="auto"/>
                <w:kern w:val="0"/>
                <w:sz w:val="21"/>
                <w:szCs w:val="21"/>
                <w:highlight w:val="none"/>
                <w:lang w:val="en-US" w:eastAsia="zh-CN" w:bidi="ar-SA"/>
              </w:rPr>
              <w:t>供应商应保留全部母带级别文件，至少一年。</w:t>
            </w:r>
          </w:p>
          <w:p w14:paraId="2B3DDE6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视频压缩格式及技术参数：</w:t>
            </w:r>
          </w:p>
          <w:p w14:paraId="4B3711E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视频压缩采用H.264(MPEG-4Part10：profile=main,level=3.0)编码、使用二次编码、不包含字幕的 MP4格式。</w:t>
            </w:r>
          </w:p>
          <w:p w14:paraId="7B0F1E3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视频码流率：码流率5000kbps以上。</w:t>
            </w:r>
          </w:p>
          <w:p w14:paraId="7438E52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视频分辨率：前期采用高清16:9拍摄。在同一课程中，各讲的视频分辨率统一，不得混用。</w:t>
            </w:r>
          </w:p>
          <w:p w14:paraId="7443F95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视频画幅宽高比：分辨率设定为 1920×1080的，录制视频宽高比为16:9。在同一课程中，各讲画幅的宽高比统一，不得混用。</w:t>
            </w:r>
          </w:p>
          <w:p w14:paraId="644250E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视频帧率为25帧/秒。</w:t>
            </w:r>
          </w:p>
          <w:p w14:paraId="0F7F8D2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扫描方式采用逐行扫描。</w:t>
            </w:r>
          </w:p>
          <w:p w14:paraId="540B8EA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音频压缩格式及技术参数：音频压缩采用AAC(MPEG4 Part3)格式，采样率48KHz，音频码流率256Kbps (恒定)，必须是双声道，必须做混音处理。</w:t>
            </w:r>
          </w:p>
          <w:p w14:paraId="4ABA5095">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二、教师专业调研</w:t>
            </w:r>
          </w:p>
          <w:p w14:paraId="444D4FF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为高星级饭店运行与管理专业配套行业调研及专家咨询服务，包含人员薪酬、差旅、交通、食宿、会务、专家劳务、资料设计、印制、影像采集、税费、售后等全部费用，合同履行期间不再追加任何费用。服务周期与本项目整体服务周期一致。</w:t>
            </w:r>
          </w:p>
          <w:p w14:paraId="1B77A3AE">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（一）企业实地调研</w:t>
            </w:r>
          </w:p>
          <w:p w14:paraId="15F1A22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1.安排国内文旅服务业发达地区的供应商不少于 5 家，它们须为依法设立、正常存续且具备独立经营资格的企业法人，其中四星级及以上高星级酒店、康养酒店合计不少于 3 家，餐饮龙头企业不少于 2 家。</w:t>
            </w:r>
          </w:p>
          <w:p w14:paraId="77FB6CB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2.调研形式：现场座谈、岗位观摩、流程记录、资料访谈相结合，每组调研人员不少于 2 人。</w:t>
            </w:r>
          </w:p>
          <w:p w14:paraId="4A360FB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3.调研维度：行业业态、组织架构、运营管理、标准化服务流程、数字化系统应用、岗位技能清单、职业素养要求、企业用人标准。</w:t>
            </w:r>
          </w:p>
          <w:p w14:paraId="164DEDA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（二）行业专业展会调研</w:t>
            </w:r>
          </w:p>
          <w:p w14:paraId="0760AFD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1.展会要求：参加由省级及以上行业主管部门、依法登记的行业协会主办的酒店、文旅、康养、餐饮类专业展会。</w:t>
            </w:r>
          </w:p>
          <w:p w14:paraId="2116D63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2.调研重点：智能服务设备、新型服务模式、行业发展趋势、标杆企业运营经验。</w:t>
            </w:r>
          </w:p>
          <w:p w14:paraId="7131DE6F">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（三）专家咨询指导服务</w:t>
            </w:r>
          </w:p>
          <w:p w14:paraId="1D573D2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1.专家准入标准 专家需具备：酒店 / 文旅行业高级管理经验，或职业教育资源库、数字教材建设相关从业经验，具备对应领域专业能力。</w:t>
            </w:r>
          </w:p>
          <w:p w14:paraId="4549857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2.服务形式：可采用线下现场或线上视频会议形式，共开展 2 场专项咨询，每场培训不少于2小时。</w:t>
            </w:r>
          </w:p>
          <w:p w14:paraId="0A4A8CE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3.服务内容：《康养休闲酒店服务》教材大纲论证、课程教学内容审定、专业教学资源库内容优化、专业群知识图谱建设咨询。</w:t>
            </w:r>
          </w:p>
        </w:tc>
        <w:tc>
          <w:tcPr>
            <w:tcW w:w="1270" w:type="dxa"/>
            <w:tcBorders>
              <w:top w:val="single" w:color="auto" w:sz="4" w:space="0"/>
              <w:left w:val="single" w:color="auto" w:sz="4" w:space="0"/>
              <w:bottom w:val="single" w:color="auto" w:sz="4" w:space="0"/>
              <w:right w:val="single" w:color="auto" w:sz="4" w:space="0"/>
            </w:tcBorders>
            <w:vAlign w:val="center"/>
          </w:tcPr>
          <w:p w14:paraId="36F8BCB6">
            <w:pPr>
              <w:spacing w:line="360" w:lineRule="auto"/>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 xml:space="preserve">275000.00 </w:t>
            </w:r>
          </w:p>
        </w:tc>
        <w:tc>
          <w:tcPr>
            <w:tcW w:w="1045" w:type="dxa"/>
            <w:tcBorders>
              <w:top w:val="single" w:color="auto" w:sz="4" w:space="0"/>
              <w:left w:val="single" w:color="auto" w:sz="4" w:space="0"/>
              <w:bottom w:val="single" w:color="auto" w:sz="4" w:space="0"/>
              <w:right w:val="single" w:color="auto" w:sz="4" w:space="0"/>
            </w:tcBorders>
            <w:vAlign w:val="center"/>
          </w:tcPr>
          <w:p w14:paraId="68FA3BA6">
            <w:pPr>
              <w:spacing w:line="500" w:lineRule="exact"/>
              <w:jc w:val="center"/>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rPr>
              <w:t>软件和信息技术服务业</w:t>
            </w:r>
          </w:p>
        </w:tc>
      </w:tr>
      <w:tr w14:paraId="55383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28" w:type="dxa"/>
            <w:vMerge w:val="continue"/>
            <w:tcBorders>
              <w:left w:val="single" w:color="auto" w:sz="4" w:space="0"/>
              <w:bottom w:val="single" w:color="auto" w:sz="4" w:space="0"/>
              <w:right w:val="single" w:color="auto" w:sz="4" w:space="0"/>
            </w:tcBorders>
            <w:vAlign w:val="center"/>
          </w:tcPr>
          <w:p w14:paraId="191C4520">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8C08981">
            <w:pPr>
              <w:spacing w:line="50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957" w:type="dxa"/>
            <w:tcBorders>
              <w:top w:val="single" w:color="auto" w:sz="4" w:space="0"/>
              <w:left w:val="single" w:color="auto" w:sz="4" w:space="0"/>
              <w:bottom w:val="single" w:color="auto" w:sz="4" w:space="0"/>
              <w:right w:val="single" w:color="auto" w:sz="4" w:space="0"/>
            </w:tcBorders>
            <w:vAlign w:val="center"/>
          </w:tcPr>
          <w:p w14:paraId="79B6AF58">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数字化教材建设</w:t>
            </w:r>
          </w:p>
        </w:tc>
        <w:tc>
          <w:tcPr>
            <w:tcW w:w="562" w:type="dxa"/>
            <w:tcBorders>
              <w:top w:val="single" w:color="auto" w:sz="4" w:space="0"/>
              <w:left w:val="single" w:color="auto" w:sz="4" w:space="0"/>
              <w:bottom w:val="single" w:color="auto" w:sz="4" w:space="0"/>
              <w:right w:val="single" w:color="auto" w:sz="4" w:space="0"/>
            </w:tcBorders>
            <w:vAlign w:val="center"/>
          </w:tcPr>
          <w:p w14:paraId="3A5C05DE">
            <w:pPr>
              <w:pStyle w:val="40"/>
              <w:spacing w:before="0" w:beforeAutospacing="0" w:after="0" w:afterAutospacing="0" w:line="500" w:lineRule="exact"/>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3C7DE4D3">
            <w:pPr>
              <w:spacing w:line="50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1D0474A9">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一、整体要求</w:t>
            </w:r>
          </w:p>
          <w:p w14:paraId="19E2E9D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1.开发《康养休闲酒店服务》数字教材 1 部，字数不少于10万字，提供完整的数字教材审校、封面设计、数字教材管理、数字教材平台技术支持等服务。</w:t>
            </w:r>
          </w:p>
          <w:p w14:paraId="6BCCB75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2.按出版规范完成三审三校全流程审校服务，确保教材内容不触碰政治、专业知识错误的红线。</w:t>
            </w:r>
          </w:p>
          <w:p w14:paraId="0168C0A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▲3.确保数字教材可在指定教学平台上架使用，配套提供平台技术支持服务，保障教材稳定访问与应用。</w:t>
            </w:r>
          </w:p>
          <w:p w14:paraId="2DD25BE0">
            <w:pPr>
              <w:spacing w:line="420" w:lineRule="exact"/>
              <w:ind w:firstLine="420"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为教材开发提供具备餐旅行业高级以上专业职业技能等级证书的行业专家或者院校具有副高级及以上职称的专家或者具备出版专业相关证书的教材专家指导2次，提供对应的职业技能等级证书或职称证书或出版专业技术人员职业资格证书，单次指导时长不少于2小时。</w:t>
            </w:r>
          </w:p>
          <w:p w14:paraId="26EC949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▲5.为本项目实施阶段调研资料归集、教学配套材料编制等工作提供耗材及印刷服务，涵盖会议文件、调研报告等各类材料的印制、装订，以及教材资源开发所需全部耗材供给。</w:t>
            </w:r>
          </w:p>
          <w:p w14:paraId="66F93E84">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二、教材管理服务</w:t>
            </w:r>
          </w:p>
          <w:p w14:paraId="685952C7">
            <w:pPr>
              <w:spacing w:line="420" w:lineRule="exact"/>
              <w:ind w:firstLine="420"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1.数字教材平台支持展示教材的版权信息、内容简介。支持在线查看教材主要内容，如章节目录、配套PPT、题库等资源的预览及配套数字资源的在线观看。</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提供功能截图并加盖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2E2A66B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▲2.支持定期更新教材学习人数，支持导出教材引用详情数据，包括教材引用数、开设班级数等。</w:t>
            </w:r>
          </w:p>
          <w:p w14:paraId="434A06A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▲3.供应商应根据市场同类数字教材定价水平，向采购人提供不少于三个定价方案建议，由采购人审定最终定价。交付的数字教材须具备教材购买记录、使用情况数据的实时统计。</w:t>
            </w:r>
          </w:p>
          <w:p w14:paraId="1F2AA44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4.数字教材活页式、可交互式、富媒体化，融合 PPT、音视频、测验等资源，支持多终端适配，实现全内容大数据化分析，学练测一体，覆盖课前课中课后教学闭环。</w:t>
            </w:r>
          </w:p>
          <w:p w14:paraId="1758C0E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三、数字教材编辑服务</w:t>
            </w:r>
          </w:p>
          <w:p w14:paraId="522F1E5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1.提供数字教材平台使用和教材编辑培训，邀请技术专家进行教材编写、教材案例分享专项培训1次，单次培训时长不少于1小时。</w:t>
            </w:r>
          </w:p>
          <w:p w14:paraId="2CCCB40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2.需要根据教材内容要求和上线审核流程以及标准，进行视频质量审查、课件质量审查以及资源数量等的质量审核与修改工作。</w:t>
            </w:r>
          </w:p>
          <w:p w14:paraId="66589F4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default" w:ascii="宋体" w:hAnsi="宋体" w:eastAsia="宋体" w:cs="宋体"/>
                <w:color w:val="auto"/>
                <w:kern w:val="0"/>
                <w:sz w:val="21"/>
                <w:szCs w:val="21"/>
                <w:highlight w:val="none"/>
                <w:lang w:val="en-US" w:eastAsia="zh-CN" w:bidi="ar-SA"/>
              </w:rPr>
              <w:t>3.为教材资源提供内容安全检测服务，针对教材文本、图片、视频素材进行意识形态和内容安全检测。</w:t>
            </w:r>
            <w:r>
              <w:rPr>
                <w:rFonts w:hint="default"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w:t>
            </w:r>
            <w:r>
              <w:rPr>
                <w:rFonts w:hint="eastAsia" w:ascii="宋体" w:hAnsi="宋体" w:cs="宋体"/>
                <w:b/>
                <w:bCs/>
                <w:color w:val="auto"/>
                <w:kern w:val="0"/>
                <w:sz w:val="21"/>
                <w:szCs w:val="21"/>
                <w:highlight w:val="none"/>
                <w:lang w:val="en-US" w:eastAsia="zh-CN" w:bidi="ar-SA"/>
              </w:rPr>
              <w:t>检测报告样例</w:t>
            </w:r>
            <w:r>
              <w:rPr>
                <w:rFonts w:hint="default" w:ascii="宋体" w:hAnsi="宋体" w:eastAsia="宋体" w:cs="宋体"/>
                <w:b/>
                <w:bCs/>
                <w:color w:val="auto"/>
                <w:kern w:val="0"/>
                <w:sz w:val="21"/>
                <w:szCs w:val="21"/>
                <w:highlight w:val="none"/>
                <w:lang w:val="en-US" w:eastAsia="zh-CN" w:bidi="ar-SA"/>
              </w:rPr>
              <w:t>并加盖</w:t>
            </w:r>
            <w:r>
              <w:rPr>
                <w:rFonts w:hint="eastAsia" w:ascii="宋体" w:hAnsi="宋体" w:cs="宋体"/>
                <w:b/>
                <w:bCs/>
                <w:color w:val="auto"/>
                <w:kern w:val="0"/>
                <w:sz w:val="21"/>
                <w:szCs w:val="21"/>
                <w:highlight w:val="none"/>
                <w:lang w:val="en-US" w:eastAsia="zh-CN" w:bidi="ar-SA"/>
              </w:rPr>
              <w:t>投标人</w:t>
            </w:r>
            <w:r>
              <w:rPr>
                <w:rFonts w:hint="default" w:ascii="宋体" w:hAnsi="宋体" w:eastAsia="宋体" w:cs="宋体"/>
                <w:b/>
                <w:bCs/>
                <w:color w:val="auto"/>
                <w:kern w:val="0"/>
                <w:sz w:val="21"/>
                <w:szCs w:val="21"/>
                <w:highlight w:val="none"/>
                <w:lang w:val="en-US" w:eastAsia="zh-CN" w:bidi="ar-SA"/>
              </w:rPr>
              <w:t>公章）</w:t>
            </w:r>
          </w:p>
          <w:p w14:paraId="788FD62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（1）文本检测</w:t>
            </w:r>
          </w:p>
          <w:p w14:paraId="70035D1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①支持基于快速规则算法过滤特定敏感文本。</w:t>
            </w:r>
          </w:p>
          <w:p w14:paraId="3DDF9FF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②支持基于文本模型，通过对文本进行聚类和语义分析进行敏感识别。</w:t>
            </w:r>
          </w:p>
          <w:p w14:paraId="6A84A2C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③支持检测涉政、谩骂、灌水等七种类型的敏感文本。</w:t>
            </w:r>
          </w:p>
          <w:p w14:paraId="036F0F2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④支持对变种敏感文本检测。</w:t>
            </w:r>
          </w:p>
          <w:p w14:paraId="687F0FA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⑤支持对用户自定义的敏感内容进行检测。</w:t>
            </w:r>
          </w:p>
          <w:p w14:paraId="5BE7E03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（2）图片检测</w:t>
            </w:r>
          </w:p>
          <w:p w14:paraId="03381B8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①支持根据图片分类模型对敏感图片进行识别。</w:t>
            </w:r>
          </w:p>
          <w:p w14:paraId="2D5B367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②支持根据图片目标检测对图片中小目标敏感内容识别。</w:t>
            </w:r>
          </w:p>
          <w:p w14:paraId="7635CB6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③支持根据用户自定义的敏感图片进行敏感识别比对。</w:t>
            </w:r>
          </w:p>
          <w:p w14:paraId="2A4E908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▲④支持根据人像 AI 模型对涉政、违禁人物进行人脸识别。</w:t>
            </w:r>
          </w:p>
          <w:p w14:paraId="187F7E6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⑤支持检测涉政、色情、违禁等六种类型的敏感图片检测。</w:t>
            </w:r>
          </w:p>
          <w:p w14:paraId="1C1C0AE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（3）视频检测</w:t>
            </w:r>
          </w:p>
          <w:p w14:paraId="457D60A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①支持对离线视频进行敏感内容检测。</w:t>
            </w:r>
          </w:p>
          <w:p w14:paraId="11DFD27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②视频的分类识别基于图片检测识别进行，</w:t>
            </w:r>
          </w:p>
          <w:p w14:paraId="4EA6601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③可实现图片检测的全类检测。</w:t>
            </w:r>
          </w:p>
          <w:p w14:paraId="45718FC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（4）文档检测</w:t>
            </w:r>
          </w:p>
          <w:p w14:paraId="5B83459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▲①支持对 word、txt、ppt 等多种格式文档内容进行解析，并还原文档位置。</w:t>
            </w:r>
          </w:p>
          <w:p w14:paraId="2CB4BB3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②文档检测模型基于文本检测与图片检测，可实现文本检测与图片检测的全类检测。</w:t>
            </w:r>
          </w:p>
          <w:p w14:paraId="613A9D2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4.数字教材平台技术要求</w:t>
            </w:r>
          </w:p>
          <w:p w14:paraId="607A424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▲(1)教材编写团队管理：教材总编辑可管理教材编写团队，包括添加成员、设置成员权限、移除成员等。</w:t>
            </w:r>
          </w:p>
          <w:p w14:paraId="5440F6D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(2)支持标题、子标题等文档结构的创建和管理。</w:t>
            </w:r>
          </w:p>
          <w:p w14:paraId="26CA676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▲(3)支持导出章节目录，支持导出PDF版或Word版。</w:t>
            </w:r>
          </w:p>
          <w:p w14:paraId="69FE34A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(4)支持设置目录标签页的复用模板，供其他章节沿用。</w:t>
            </w:r>
          </w:p>
          <w:p w14:paraId="7E0BFD1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(5)支持对素材分类形成目录，设置可见权限。</w:t>
            </w:r>
          </w:p>
          <w:p w14:paraId="7455E8D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(6)支持素材库新建文件夹、刷新、删除、移动、下载等操作。</w:t>
            </w:r>
          </w:p>
          <w:p w14:paraId="481AF40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(7)支持2G以上超大文件资源上传至素材库，并在教材建设中引用。</w:t>
            </w:r>
          </w:p>
          <w:p w14:paraId="004A9DA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(8)素材库支持缩略图、列表模式展示。</w:t>
            </w:r>
          </w:p>
          <w:p w14:paraId="1ABF156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(9)支持基本文本格式：标题层级、字号、加粗、斜体、下划线、删除线、上标下标、颜色、背景色等。支持格式刷。</w:t>
            </w:r>
          </w:p>
          <w:p w14:paraId="4A81536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(10)支持段落格式：对齐方式、缩进、行距等。</w:t>
            </w:r>
          </w:p>
          <w:p w14:paraId="056B50C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(11)支持列表：符号列表、数字列表、多级列表等。</w:t>
            </w:r>
          </w:p>
          <w:p w14:paraId="07AAAAC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(12)支持上传视频、音频、图片、word、excel、pdf、ppt等素材。支持附件在线全屏查看或下载。</w:t>
            </w:r>
          </w:p>
          <w:p w14:paraId="55C2CD7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(13)视频：支持 mp4、mov 等主流格式。支持本地上传，自动转码在线播放。</w:t>
            </w:r>
          </w:p>
          <w:p w14:paraId="6C6FDC0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▲(14)支持在已上传视频的任意时间点插入图片、互动测验、ppt等，支持导入字幕，设置片头片尾。</w:t>
            </w:r>
          </w:p>
          <w:p w14:paraId="12C9C85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▲(15)支持对已上传的视频进行虚拟剪辑。</w:t>
            </w:r>
          </w:p>
          <w:p w14:paraId="4B4CB74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(16)图片：支持jpg、jpeg、png、gif、svg、tif、bmp多种图片格式，支持本地上传、粘贴链接。</w:t>
            </w:r>
          </w:p>
          <w:p w14:paraId="17A80A4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(17)面向教材编辑者，统计编辑情况，比如版本更新时间、更新日志等等。支持统计章节、题库资源，包括章节视频总数及总时长、章节音频、文档等资料的总数、题库总数情况。</w:t>
            </w:r>
          </w:p>
          <w:p w14:paraId="04F78B94">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四、数字教材教学应用</w:t>
            </w:r>
          </w:p>
          <w:p w14:paraId="5EF6B4A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▲1.数字教材需满足信息化教学的多终端适配需求。</w:t>
            </w:r>
          </w:p>
          <w:p w14:paraId="1494A37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数字教材可通过平板、移动、电脑端应用于教学，支持辅助教学、翻转课堂、纯网络教学、直播课堂等多种教学模式。</w:t>
            </w:r>
          </w:p>
          <w:p w14:paraId="69BB296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2.支持教师选择数字教材进行课堂教学。</w:t>
            </w:r>
          </w:p>
          <w:p w14:paraId="46DB3BD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3.支持单位统一采购和学生个人采购两种教材采购模式。</w:t>
            </w:r>
          </w:p>
          <w:p w14:paraId="7E10978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▲4.经过教师身份认证的用户可直接获取教材的内容，并基于教材创建一门课程。</w:t>
            </w:r>
          </w:p>
          <w:p w14:paraId="19D76A4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5.支持自学和跟班学习两种模式。学生获取教材后，可选择自学或跟随任课老师基于教材创建的课程班级进行同步学习。不限教材学习人数。</w:t>
            </w:r>
          </w:p>
          <w:p w14:paraId="7BEDB65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▲6.数字教材的运行承载和教学使用可以通过安卓、iOS 、鸿蒙等主流操作系统移动端 APP 访问。形成课前、课中、课后各环节闭环。</w:t>
            </w:r>
          </w:p>
          <w:p w14:paraId="09B9832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课前，教师可将章节知识点视频、拓展阅读书目等发放给学生进行自主学习；课中，教师可利用各类活动控件发起教学活动，激活课堂；课后，教师可发放作业库中的作业给学生，及时检验学生的学习效果。</w:t>
            </w:r>
          </w:p>
          <w:p w14:paraId="59302D0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7.针对教师、学生不同的角色，可呈现不同的教材内容。</w:t>
            </w:r>
          </w:p>
        </w:tc>
        <w:tc>
          <w:tcPr>
            <w:tcW w:w="1270" w:type="dxa"/>
            <w:tcBorders>
              <w:top w:val="single" w:color="auto" w:sz="4" w:space="0"/>
              <w:left w:val="single" w:color="auto" w:sz="4" w:space="0"/>
              <w:bottom w:val="single" w:color="auto" w:sz="4" w:space="0"/>
              <w:right w:val="single" w:color="auto" w:sz="4" w:space="0"/>
            </w:tcBorders>
            <w:vAlign w:val="center"/>
          </w:tcPr>
          <w:p w14:paraId="27402CE3">
            <w:pPr>
              <w:spacing w:line="360" w:lineRule="auto"/>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100000.00</w:t>
            </w:r>
          </w:p>
        </w:tc>
        <w:tc>
          <w:tcPr>
            <w:tcW w:w="1045" w:type="dxa"/>
            <w:tcBorders>
              <w:top w:val="single" w:color="auto" w:sz="4" w:space="0"/>
              <w:left w:val="single" w:color="auto" w:sz="4" w:space="0"/>
              <w:bottom w:val="single" w:color="auto" w:sz="4" w:space="0"/>
              <w:right w:val="single" w:color="auto" w:sz="4" w:space="0"/>
            </w:tcBorders>
            <w:vAlign w:val="center"/>
          </w:tcPr>
          <w:p w14:paraId="606C34B5">
            <w:pPr>
              <w:spacing w:line="500" w:lineRule="exact"/>
              <w:jc w:val="center"/>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rPr>
              <w:t>软件和信息技术服务业</w:t>
            </w:r>
          </w:p>
        </w:tc>
      </w:tr>
      <w:tr w14:paraId="68906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428" w:type="dxa"/>
            <w:tcBorders>
              <w:top w:val="single" w:color="auto" w:sz="4" w:space="0"/>
              <w:left w:val="single" w:color="auto" w:sz="4" w:space="0"/>
              <w:bottom w:val="single" w:color="auto" w:sz="4" w:space="0"/>
              <w:right w:val="single" w:color="auto" w:sz="4" w:space="0"/>
            </w:tcBorders>
          </w:tcPr>
          <w:p w14:paraId="41FBD438">
            <w:pPr>
              <w:spacing w:line="500" w:lineRule="exact"/>
              <w:jc w:val="center"/>
              <w:rPr>
                <w:rFonts w:ascii="宋体" w:hAnsi="宋体" w:cs="宋体"/>
                <w:color w:val="auto"/>
                <w:szCs w:val="21"/>
                <w:highlight w:val="none"/>
              </w:rPr>
            </w:pPr>
          </w:p>
          <w:p w14:paraId="32A48EB1">
            <w:pPr>
              <w:spacing w:line="500" w:lineRule="exact"/>
              <w:jc w:val="center"/>
              <w:rPr>
                <w:rFonts w:ascii="宋体" w:hAnsi="宋体" w:cs="宋体"/>
                <w:color w:val="auto"/>
                <w:szCs w:val="21"/>
                <w:highlight w:val="none"/>
              </w:rPr>
            </w:pPr>
          </w:p>
          <w:p w14:paraId="60C705E5">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10054" w:type="dxa"/>
            <w:gridSpan w:val="7"/>
            <w:tcBorders>
              <w:top w:val="single" w:color="auto" w:sz="4" w:space="0"/>
              <w:left w:val="single" w:color="auto" w:sz="4" w:space="0"/>
              <w:bottom w:val="single" w:color="auto" w:sz="4" w:space="0"/>
              <w:right w:val="single" w:color="auto" w:sz="4" w:space="0"/>
            </w:tcBorders>
            <w:shd w:val="clear" w:color="auto" w:fill="auto"/>
            <w:vAlign w:val="top"/>
          </w:tcPr>
          <w:p w14:paraId="692ED7D7">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一、合同签订期：自中标通知书发出之日起25日内。</w:t>
            </w:r>
          </w:p>
          <w:p w14:paraId="3339761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二、提交服务成果时间：自合同签订之日起180日内提交服务成果完毕并经验收合格交付。</w:t>
            </w:r>
          </w:p>
          <w:p w14:paraId="6D1B4187">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三、服务地点：采购人指定地点</w:t>
            </w:r>
          </w:p>
          <w:p w14:paraId="1D225FC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四、验收标准、规范：详见</w:t>
            </w:r>
            <w:r>
              <w:rPr>
                <w:rFonts w:hint="eastAsia" w:ascii="宋体" w:hAnsi="宋体" w:cs="宋体"/>
                <w:color w:val="auto"/>
                <w:kern w:val="2"/>
                <w:sz w:val="21"/>
                <w:szCs w:val="21"/>
                <w:highlight w:val="none"/>
                <w:u w:val="none"/>
                <w:lang w:val="en-US" w:eastAsia="zh-CN" w:bidi="ar-SA"/>
              </w:rPr>
              <w:t>附件一</w:t>
            </w:r>
            <w:r>
              <w:rPr>
                <w:rFonts w:hint="eastAsia" w:ascii="宋体" w:hAnsi="宋体" w:eastAsia="宋体" w:cs="宋体"/>
                <w:color w:val="auto"/>
                <w:kern w:val="2"/>
                <w:sz w:val="21"/>
                <w:szCs w:val="21"/>
                <w:highlight w:val="none"/>
                <w:u w:val="none"/>
                <w:lang w:val="en-US" w:eastAsia="zh-CN" w:bidi="ar-SA"/>
              </w:rPr>
              <w:t>“2026年高星级饭店运行与管理专业</w:t>
            </w:r>
            <w:r>
              <w:rPr>
                <w:rFonts w:hint="eastAsia" w:ascii="宋体" w:hAnsi="宋体" w:cs="宋体"/>
                <w:color w:val="auto"/>
                <w:kern w:val="2"/>
                <w:sz w:val="21"/>
                <w:szCs w:val="21"/>
                <w:highlight w:val="none"/>
                <w:u w:val="none"/>
                <w:lang w:val="en-US" w:eastAsia="zh-CN" w:bidi="ar-SA"/>
              </w:rPr>
              <w:t>群</w:t>
            </w:r>
            <w:r>
              <w:rPr>
                <w:rFonts w:hint="eastAsia" w:ascii="宋体" w:hAnsi="宋体" w:eastAsia="宋体" w:cs="宋体"/>
                <w:color w:val="auto"/>
                <w:kern w:val="2"/>
                <w:sz w:val="21"/>
                <w:szCs w:val="21"/>
                <w:highlight w:val="none"/>
                <w:u w:val="none"/>
                <w:lang w:val="en-US" w:eastAsia="zh-CN" w:bidi="ar-SA"/>
              </w:rPr>
              <w:t>资源库项目履约验收方案”</w:t>
            </w:r>
          </w:p>
          <w:p w14:paraId="542021ED">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▲五、技术实施要求</w:t>
            </w:r>
          </w:p>
          <w:p w14:paraId="2EE56CE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1.验收时投标人</w:t>
            </w:r>
            <w:r>
              <w:rPr>
                <w:rFonts w:hint="eastAsia" w:ascii="宋体" w:hAnsi="宋体" w:eastAsia="宋体" w:cs="宋体"/>
                <w:color w:val="auto"/>
                <w:kern w:val="2"/>
                <w:sz w:val="21"/>
                <w:szCs w:val="21"/>
                <w:highlight w:val="none"/>
                <w:u w:val="none"/>
                <w:lang w:val="en-US" w:eastAsia="zh-CN" w:bidi="ar-SA"/>
              </w:rPr>
              <w:t>应按照采购人要求赴本校现场完成采购需求中带 “▲” 标识条款对应功能的完整演示，演示成果须经采购人审核确认；未通过采购人认可的，不予</w:t>
            </w:r>
            <w:r>
              <w:rPr>
                <w:rFonts w:hint="eastAsia" w:ascii="宋体" w:hAnsi="宋体" w:cs="宋体"/>
                <w:color w:val="auto"/>
                <w:kern w:val="2"/>
                <w:sz w:val="21"/>
                <w:szCs w:val="21"/>
                <w:highlight w:val="none"/>
                <w:u w:val="none"/>
                <w:lang w:val="en-US" w:eastAsia="zh-CN" w:bidi="ar-SA"/>
              </w:rPr>
              <w:t>验收</w:t>
            </w:r>
            <w:r>
              <w:rPr>
                <w:rFonts w:hint="eastAsia" w:ascii="宋体" w:hAnsi="宋体" w:eastAsia="宋体" w:cs="宋体"/>
                <w:color w:val="auto"/>
                <w:kern w:val="2"/>
                <w:sz w:val="21"/>
                <w:szCs w:val="21"/>
                <w:highlight w:val="none"/>
                <w:u w:val="none"/>
                <w:lang w:val="en-US" w:eastAsia="zh-CN" w:bidi="ar-SA"/>
              </w:rPr>
              <w:t>。</w:t>
            </w:r>
          </w:p>
          <w:p w14:paraId="5F9738C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▲六、售后服务要求：</w:t>
            </w:r>
          </w:p>
          <w:p w14:paraId="47AC621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质量保证期5年（</w:t>
            </w:r>
            <w:r>
              <w:rPr>
                <w:rFonts w:hint="eastAsia" w:ascii="宋体" w:hAnsi="宋体" w:eastAsia="宋体" w:cs="宋体"/>
                <w:color w:val="auto"/>
                <w:sz w:val="21"/>
                <w:szCs w:val="21"/>
                <w:highlight w:val="none"/>
                <w:u w:val="none"/>
                <w:lang w:val="en-US" w:eastAsia="zh-CN"/>
              </w:rPr>
              <w:t>其中</w:t>
            </w:r>
            <w:r>
              <w:rPr>
                <w:rFonts w:hint="eastAsia" w:ascii="宋体" w:hAnsi="宋体" w:eastAsia="宋体" w:cs="宋体"/>
                <w:color w:val="auto"/>
                <w:kern w:val="2"/>
                <w:sz w:val="21"/>
                <w:szCs w:val="21"/>
                <w:highlight w:val="none"/>
                <w:lang w:val="en-US" w:eastAsia="zh-CN" w:bidi="ar"/>
              </w:rPr>
              <w:t>教学资源库平台运行维护服务</w:t>
            </w:r>
            <w:r>
              <w:rPr>
                <w:rFonts w:hint="eastAsia" w:ascii="宋体" w:hAnsi="宋体" w:eastAsia="宋体" w:cs="宋体"/>
                <w:color w:val="auto"/>
                <w:kern w:val="2"/>
                <w:sz w:val="21"/>
                <w:szCs w:val="21"/>
                <w:highlight w:val="none"/>
                <w:u w:val="none"/>
                <w:lang w:val="en-US" w:eastAsia="zh-CN" w:bidi="ar"/>
              </w:rPr>
              <w:t>质保期</w:t>
            </w:r>
            <w:r>
              <w:rPr>
                <w:rFonts w:hint="eastAsia" w:ascii="宋体" w:hAnsi="宋体" w:eastAsia="宋体" w:cs="宋体"/>
                <w:color w:val="auto"/>
                <w:kern w:val="2"/>
                <w:sz w:val="21"/>
                <w:szCs w:val="21"/>
                <w:highlight w:val="none"/>
                <w:lang w:val="en-US" w:eastAsia="zh-CN" w:bidi="ar"/>
              </w:rPr>
              <w:t>为3年，</w:t>
            </w:r>
            <w:r>
              <w:rPr>
                <w:rFonts w:hint="eastAsia" w:ascii="宋体" w:hAnsi="宋体" w:eastAsia="宋体" w:cs="宋体"/>
                <w:color w:val="auto"/>
                <w:kern w:val="2"/>
                <w:sz w:val="21"/>
                <w:szCs w:val="21"/>
                <w:highlight w:val="none"/>
                <w:u w:val="none"/>
                <w:lang w:val="en-US" w:eastAsia="zh-CN" w:bidi="ar-SA"/>
              </w:rPr>
              <w:t>自提交成果并验收合格之日起计）</w:t>
            </w:r>
          </w:p>
          <w:p w14:paraId="61C8DEF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响应时间：接到采购人处理问题通知后，</w:t>
            </w:r>
            <w:r>
              <w:rPr>
                <w:rFonts w:hint="eastAsia" w:ascii="宋体" w:hAnsi="宋体" w:cs="宋体"/>
                <w:color w:val="auto"/>
                <w:kern w:val="2"/>
                <w:sz w:val="21"/>
                <w:szCs w:val="21"/>
                <w:highlight w:val="none"/>
                <w:u w:val="none"/>
                <w:lang w:val="en-US" w:eastAsia="zh-CN" w:bidi="ar-SA"/>
              </w:rPr>
              <w:t>中标</w:t>
            </w:r>
            <w:r>
              <w:rPr>
                <w:rFonts w:hint="eastAsia" w:ascii="宋体" w:hAnsi="宋体" w:eastAsia="宋体" w:cs="宋体"/>
                <w:color w:val="auto"/>
                <w:kern w:val="2"/>
                <w:sz w:val="21"/>
                <w:szCs w:val="21"/>
                <w:highlight w:val="none"/>
                <w:u w:val="none"/>
                <w:lang w:val="en-US" w:eastAsia="zh-CN" w:bidi="ar-SA"/>
              </w:rPr>
              <w:t>供应商应在2小时内响应并远程处理；如果不能远程处理的，接到采购人问题通知后4小时内到达采购人指定现场。</w:t>
            </w:r>
          </w:p>
          <w:p w14:paraId="3728041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售后服务技术人员要求：售后专职服务技术人员不低于5人。</w:t>
            </w:r>
          </w:p>
          <w:p w14:paraId="0EA5787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七、数据对接服务</w:t>
            </w:r>
          </w:p>
          <w:p w14:paraId="43B1E61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根据学校需求配合学校完成系统与学校智慧校园和教学平台的对接，开放所负责平台的数据接口。</w:t>
            </w:r>
          </w:p>
          <w:p w14:paraId="7EDD5FE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（1）数据回传：提供数据库连接方式或采购</w:t>
            </w:r>
            <w:r>
              <w:rPr>
                <w:rFonts w:hint="eastAsia" w:ascii="宋体" w:hAnsi="宋体" w:cs="宋体"/>
                <w:color w:val="auto"/>
                <w:kern w:val="2"/>
                <w:sz w:val="21"/>
                <w:szCs w:val="21"/>
                <w:highlight w:val="none"/>
                <w:u w:val="none"/>
                <w:lang w:val="en-US" w:eastAsia="zh-CN" w:bidi="ar-SA"/>
              </w:rPr>
              <w:t>人</w:t>
            </w:r>
            <w:r>
              <w:rPr>
                <w:rFonts w:hint="eastAsia" w:ascii="宋体" w:hAnsi="宋体" w:eastAsia="宋体" w:cs="宋体"/>
                <w:color w:val="auto"/>
                <w:kern w:val="2"/>
                <w:sz w:val="21"/>
                <w:szCs w:val="21"/>
                <w:highlight w:val="none"/>
                <w:u w:val="none"/>
                <w:lang w:val="en-US" w:eastAsia="zh-CN" w:bidi="ar-SA"/>
              </w:rPr>
              <w:t>认可的其他数据接口方式和详细的数据字典，并确保数据有效、完整，接口运行正常，性能满足要求。</w:t>
            </w:r>
          </w:p>
          <w:p w14:paraId="5BD5FFFC">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根据教育部发布的《全国职业教育智慧大脑院校中台中职数据标准及接口规范》要求以及相关文件要求提供相关数据。在服务期内如果相关文件要求变更，必须及时进行调整更新，保证学校数据报送工作不受影响。</w:t>
            </w:r>
          </w:p>
          <w:p w14:paraId="58DE398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（3）统一身份认证系统：按照学校对接要求，通过HTTP协议集成CAS/OAuth认证体系和学校单点登录系统对接，实现统一身份认证登录</w:t>
            </w:r>
            <w:r>
              <w:rPr>
                <w:rFonts w:hint="eastAsia" w:ascii="宋体" w:hAnsi="宋体" w:cs="宋体"/>
                <w:color w:val="auto"/>
                <w:kern w:val="2"/>
                <w:sz w:val="21"/>
                <w:szCs w:val="21"/>
                <w:highlight w:val="none"/>
                <w:u w:val="none"/>
                <w:lang w:val="en-US" w:eastAsia="zh-CN" w:bidi="ar-SA"/>
              </w:rPr>
              <w:t>。</w:t>
            </w:r>
          </w:p>
          <w:p w14:paraId="6BAE07C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.中标</w:t>
            </w:r>
            <w:r>
              <w:rPr>
                <w:rFonts w:hint="eastAsia" w:ascii="宋体" w:hAnsi="宋体" w:eastAsia="宋体" w:cs="宋体"/>
                <w:color w:val="auto"/>
                <w:kern w:val="2"/>
                <w:sz w:val="21"/>
                <w:szCs w:val="21"/>
                <w:highlight w:val="none"/>
                <w:u w:val="none"/>
                <w:lang w:val="en-US" w:eastAsia="zh-CN" w:bidi="ar-SA"/>
              </w:rPr>
              <w:t>供应商需配合学校把学校原有资源库平台的资源和数据迁移到中标平台，且合同期满后需要配合新的合作厂商做数据迁移。</w:t>
            </w:r>
          </w:p>
          <w:p w14:paraId="3022F50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八、安全要求</w:t>
            </w:r>
          </w:p>
          <w:p w14:paraId="0310EC56">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▲1.教学资源库平台需具备三级等保及以上的公安备案和年度测评报告（</w:t>
            </w:r>
            <w:r>
              <w:rPr>
                <w:rFonts w:hint="eastAsia" w:ascii="宋体" w:hAnsi="宋体" w:cs="宋体"/>
                <w:color w:val="auto"/>
                <w:kern w:val="2"/>
                <w:sz w:val="21"/>
                <w:szCs w:val="21"/>
                <w:highlight w:val="none"/>
                <w:u w:val="none"/>
                <w:lang w:val="en-US" w:eastAsia="zh-CN" w:bidi="ar-SA"/>
              </w:rPr>
              <w:t>验收时</w:t>
            </w:r>
            <w:r>
              <w:rPr>
                <w:rFonts w:hint="eastAsia" w:ascii="宋体" w:hAnsi="宋体" w:eastAsia="宋体" w:cs="宋体"/>
                <w:color w:val="auto"/>
                <w:kern w:val="2"/>
                <w:sz w:val="21"/>
                <w:szCs w:val="21"/>
                <w:highlight w:val="none"/>
                <w:u w:val="none"/>
                <w:lang w:val="en-US" w:eastAsia="zh-CN" w:bidi="ar-SA"/>
              </w:rPr>
              <w:t>提供）。</w:t>
            </w:r>
          </w:p>
          <w:p w14:paraId="738674A9">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中标</w:t>
            </w:r>
            <w:r>
              <w:rPr>
                <w:rFonts w:hint="eastAsia" w:ascii="宋体" w:hAnsi="宋体" w:eastAsia="宋体" w:cs="宋体"/>
                <w:color w:val="auto"/>
                <w:kern w:val="2"/>
                <w:sz w:val="21"/>
                <w:szCs w:val="21"/>
                <w:highlight w:val="none"/>
                <w:u w:val="none"/>
                <w:lang w:val="en-US" w:eastAsia="zh-CN" w:bidi="ar-SA"/>
              </w:rPr>
              <w:t>供应商需要与学校签署师生用户数据的保密协议。</w:t>
            </w:r>
          </w:p>
          <w:p w14:paraId="62417AA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w:t>
            </w:r>
            <w:r>
              <w:rPr>
                <w:rFonts w:hint="eastAsia" w:ascii="宋体" w:hAnsi="宋体" w:cs="宋体"/>
                <w:color w:val="auto"/>
                <w:kern w:val="2"/>
                <w:sz w:val="21"/>
                <w:szCs w:val="21"/>
                <w:highlight w:val="none"/>
                <w:u w:val="none"/>
                <w:lang w:val="en-US" w:eastAsia="zh-CN" w:bidi="ar-SA"/>
              </w:rPr>
              <w:t>中标</w:t>
            </w:r>
            <w:r>
              <w:rPr>
                <w:rFonts w:hint="eastAsia" w:ascii="宋体" w:hAnsi="宋体" w:eastAsia="宋体" w:cs="宋体"/>
                <w:color w:val="auto"/>
                <w:kern w:val="2"/>
                <w:sz w:val="21"/>
                <w:szCs w:val="21"/>
                <w:highlight w:val="none"/>
                <w:u w:val="none"/>
                <w:lang w:val="en-US" w:eastAsia="zh-CN" w:bidi="ar-SA"/>
              </w:rPr>
              <w:t>供应商所提供的移动APP需提供教育部教育移动互联网应用程序备案，可通过教育部备案平台查询备案信息。</w:t>
            </w:r>
          </w:p>
          <w:p w14:paraId="42A451F6">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九、其他要求：</w:t>
            </w:r>
          </w:p>
          <w:p w14:paraId="6450778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报价必须含以下部分，包括：</w:t>
            </w:r>
          </w:p>
          <w:p w14:paraId="71B41E77">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服务</w:t>
            </w:r>
            <w:r>
              <w:rPr>
                <w:rFonts w:hint="eastAsia" w:ascii="宋体" w:hAnsi="宋体" w:eastAsia="宋体" w:cs="宋体"/>
                <w:color w:val="auto"/>
                <w:kern w:val="2"/>
                <w:sz w:val="21"/>
                <w:szCs w:val="21"/>
                <w:highlight w:val="none"/>
                <w:u w:val="none"/>
                <w:lang w:val="en-US" w:eastAsia="zh-CN" w:bidi="ar-SA"/>
              </w:rPr>
              <w:t>的价格；</w:t>
            </w:r>
          </w:p>
          <w:p w14:paraId="5BC2F4B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（2）必要的保险费用和各项税金；</w:t>
            </w:r>
          </w:p>
          <w:p w14:paraId="62BEC2C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（3）其他（如运输、装卸、安装、调试、培训、技术支持、售后</w:t>
            </w:r>
            <w:r>
              <w:rPr>
                <w:rFonts w:hint="eastAsia" w:ascii="宋体" w:hAnsi="宋体" w:cs="宋体"/>
                <w:color w:val="auto"/>
                <w:kern w:val="2"/>
                <w:sz w:val="21"/>
                <w:szCs w:val="21"/>
                <w:highlight w:val="none"/>
                <w:u w:val="none"/>
                <w:lang w:val="en-US" w:eastAsia="zh-CN" w:bidi="ar-SA"/>
              </w:rPr>
              <w:t>服务</w:t>
            </w:r>
            <w:r>
              <w:rPr>
                <w:rFonts w:hint="eastAsia" w:ascii="宋体" w:hAnsi="宋体" w:eastAsia="宋体" w:cs="宋体"/>
                <w:color w:val="auto"/>
                <w:kern w:val="2"/>
                <w:sz w:val="21"/>
                <w:szCs w:val="21"/>
                <w:highlight w:val="none"/>
                <w:u w:val="none"/>
                <w:lang w:val="en-US" w:eastAsia="zh-CN" w:bidi="ar-SA"/>
              </w:rPr>
              <w:t>、更新升级等费用，根据项目具体情况填写）：</w:t>
            </w:r>
          </w:p>
          <w:p w14:paraId="59A112C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付款方式：供应商所提交的</w:t>
            </w:r>
            <w:r>
              <w:rPr>
                <w:rFonts w:hint="eastAsia" w:ascii="宋体" w:hAnsi="宋体" w:cs="宋体"/>
                <w:color w:val="auto"/>
                <w:kern w:val="2"/>
                <w:sz w:val="21"/>
                <w:szCs w:val="21"/>
                <w:highlight w:val="none"/>
                <w:u w:val="none"/>
                <w:lang w:val="en-US" w:eastAsia="zh-CN" w:bidi="ar-SA"/>
              </w:rPr>
              <w:t>服务</w:t>
            </w:r>
            <w:r>
              <w:rPr>
                <w:rFonts w:hint="eastAsia" w:ascii="宋体" w:hAnsi="宋体" w:eastAsia="宋体" w:cs="宋体"/>
                <w:color w:val="auto"/>
                <w:kern w:val="2"/>
                <w:sz w:val="21"/>
                <w:szCs w:val="21"/>
                <w:highlight w:val="none"/>
                <w:u w:val="none"/>
                <w:lang w:val="en-US" w:eastAsia="zh-CN" w:bidi="ar-SA"/>
              </w:rPr>
              <w:t>经采购人书面验收合格后，且按</w:t>
            </w:r>
            <w:r>
              <w:rPr>
                <w:rFonts w:hint="eastAsia" w:ascii="宋体" w:hAnsi="宋体" w:cs="宋体"/>
                <w:color w:val="auto"/>
                <w:kern w:val="2"/>
                <w:sz w:val="21"/>
                <w:szCs w:val="21"/>
                <w:highlight w:val="none"/>
                <w:u w:val="none"/>
                <w:lang w:val="en-US" w:eastAsia="zh-CN" w:bidi="ar-SA"/>
              </w:rPr>
              <w:t>采购人</w:t>
            </w:r>
            <w:r>
              <w:rPr>
                <w:rFonts w:hint="eastAsia" w:ascii="宋体" w:hAnsi="宋体" w:eastAsia="宋体" w:cs="宋体"/>
                <w:color w:val="auto"/>
                <w:kern w:val="2"/>
                <w:sz w:val="21"/>
                <w:szCs w:val="21"/>
                <w:highlight w:val="none"/>
                <w:u w:val="none"/>
                <w:lang w:val="en-US" w:eastAsia="zh-CN" w:bidi="ar-SA"/>
              </w:rPr>
              <w:t>要求提交项目请款函、发票及有关请款资料，市财政局批复用款计划后15个工作日内支付合同款。</w:t>
            </w:r>
          </w:p>
          <w:p w14:paraId="4E499455">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▲十、将原始素材、工程文件、最终成品等全套交付内容存入便携式固态存储设备，制作三份完整备份一并提交至学校，所用固态存储设备接口等级须为 USB3.0 及更高规格。</w:t>
            </w:r>
          </w:p>
        </w:tc>
      </w:tr>
      <w:tr w14:paraId="715B9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14" w:hRule="atLeast"/>
        </w:trPr>
        <w:tc>
          <w:tcPr>
            <w:tcW w:w="428" w:type="dxa"/>
            <w:tcBorders>
              <w:top w:val="single" w:color="auto" w:sz="4" w:space="0"/>
              <w:left w:val="single" w:color="auto" w:sz="4" w:space="0"/>
              <w:bottom w:val="single" w:color="auto" w:sz="4" w:space="0"/>
              <w:right w:val="single" w:color="auto" w:sz="4" w:space="0"/>
            </w:tcBorders>
            <w:vAlign w:val="center"/>
          </w:tcPr>
          <w:p w14:paraId="5DBF3816">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其他说明</w:t>
            </w:r>
          </w:p>
        </w:tc>
        <w:tc>
          <w:tcPr>
            <w:tcW w:w="10054" w:type="dxa"/>
            <w:gridSpan w:val="7"/>
            <w:tcBorders>
              <w:top w:val="single" w:color="auto" w:sz="4" w:space="0"/>
              <w:left w:val="single" w:color="auto" w:sz="4" w:space="0"/>
              <w:bottom w:val="single" w:color="auto" w:sz="4" w:space="0"/>
              <w:right w:val="single" w:color="auto" w:sz="4" w:space="0"/>
            </w:tcBorders>
            <w:vAlign w:val="center"/>
          </w:tcPr>
          <w:p w14:paraId="468FAB01">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本项目采购标的的需执行的国家相关标准、行业标准、地方标准或其他强制性标准、规范等要求：</w:t>
            </w:r>
            <w:r>
              <w:rPr>
                <w:rFonts w:hint="eastAsia" w:ascii="宋体" w:hAnsi="宋体" w:eastAsia="宋体" w:cs="宋体"/>
                <w:color w:val="auto"/>
                <w:sz w:val="21"/>
                <w:szCs w:val="21"/>
                <w:highlight w:val="none"/>
                <w:u w:val="single"/>
              </w:rPr>
              <w:t>按国家相关标准、中标供应商承诺进行验收。</w:t>
            </w:r>
          </w:p>
          <w:p w14:paraId="52DAD6D7">
            <w:pPr>
              <w:keepNext w:val="0"/>
              <w:keepLines w:val="0"/>
              <w:pageBreakBefore w:val="0"/>
              <w:widowControl/>
              <w:kinsoku/>
              <w:overflowPunct/>
              <w:topLinePunct w:val="0"/>
              <w:autoSpaceDE/>
              <w:autoSpaceDN/>
              <w:bidi w:val="0"/>
              <w:adjustRightInd/>
              <w:snapToGrid/>
              <w:spacing w:line="400" w:lineRule="exact"/>
              <w:textAlignment w:val="auto"/>
              <w:rPr>
                <w:rFonts w:ascii="宋体" w:hAnsi="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合同延续年限、条件和方式：</w:t>
            </w:r>
            <w:r>
              <w:rPr>
                <w:rFonts w:hint="eastAsia" w:ascii="宋体" w:hAnsi="宋体" w:eastAsia="宋体" w:cs="宋体"/>
                <w:color w:val="auto"/>
                <w:sz w:val="21"/>
                <w:szCs w:val="21"/>
                <w:highlight w:val="none"/>
                <w:u w:val="single"/>
              </w:rPr>
              <w:t xml:space="preserve">本项目合同到期后不续签。 </w:t>
            </w:r>
          </w:p>
        </w:tc>
        <w:bookmarkStart w:id="8" w:name="PO_TDCUS_ITEM_PB_REQ_TABLE_1_1"/>
      </w:tr>
      <w:bookmarkEnd w:id="7"/>
      <w:bookmarkEnd w:id="8"/>
    </w:tbl>
    <w:p w14:paraId="64EA50E2">
      <w:pPr>
        <w:rPr>
          <w:rFonts w:ascii="宋体" w:hAnsi="宋体" w:cs="宋体"/>
          <w:color w:val="auto"/>
          <w:sz w:val="32"/>
          <w:szCs w:val="32"/>
          <w:highlight w:val="none"/>
        </w:rPr>
        <w:sectPr>
          <w:footerReference r:id="rId5" w:type="default"/>
          <w:pgSz w:w="11906" w:h="16838"/>
          <w:pgMar w:top="1440" w:right="1080" w:bottom="1440" w:left="1080" w:header="720" w:footer="720" w:gutter="0"/>
          <w:pgNumType w:fmt="decimal"/>
          <w:cols w:space="720" w:num="1"/>
          <w:docGrid w:type="lines" w:linePitch="331" w:charSpace="0"/>
        </w:sectPr>
      </w:pPr>
    </w:p>
    <w:p w14:paraId="5B86E178">
      <w:pPr>
        <w:pStyle w:val="2"/>
        <w:rPr>
          <w:rFonts w:hint="default" w:eastAsia="宋体"/>
          <w:b/>
          <w:bCs/>
          <w:color w:val="auto"/>
          <w:highlight w:val="none"/>
          <w:lang w:val="en-US" w:eastAsia="zh-CN"/>
        </w:rPr>
      </w:pPr>
      <w:r>
        <w:rPr>
          <w:rFonts w:hint="eastAsia"/>
          <w:b/>
          <w:bCs/>
          <w:color w:val="auto"/>
          <w:highlight w:val="none"/>
          <w:lang w:val="en-US" w:eastAsia="zh-CN"/>
        </w:rPr>
        <w:t>附件一：</w:t>
      </w:r>
    </w:p>
    <w:p w14:paraId="6EDE3E9A">
      <w:pPr>
        <w:jc w:val="center"/>
        <w:rPr>
          <w:b/>
          <w:bCs/>
          <w:color w:val="auto"/>
          <w:highlight w:val="none"/>
        </w:rPr>
      </w:pPr>
      <w:r>
        <w:rPr>
          <w:rFonts w:hint="eastAsia" w:ascii="宋体" w:hAnsi="宋体" w:eastAsia="宋体" w:cs="宋体"/>
          <w:b/>
          <w:bCs/>
          <w:color w:val="auto"/>
          <w:sz w:val="21"/>
          <w:szCs w:val="21"/>
          <w:highlight w:val="none"/>
        </w:rPr>
        <w:t>2026年高星级饭店运行与管理专业</w:t>
      </w:r>
      <w:r>
        <w:rPr>
          <w:rFonts w:hint="eastAsia" w:ascii="宋体" w:hAnsi="宋体" w:cs="宋体"/>
          <w:color w:val="auto"/>
          <w:kern w:val="2"/>
          <w:sz w:val="21"/>
          <w:szCs w:val="21"/>
          <w:highlight w:val="none"/>
          <w:u w:val="none"/>
          <w:lang w:val="en-US" w:eastAsia="zh-CN" w:bidi="ar-SA"/>
        </w:rPr>
        <w:t>群</w:t>
      </w:r>
      <w:r>
        <w:rPr>
          <w:rFonts w:hint="eastAsia" w:ascii="宋体" w:hAnsi="宋体" w:eastAsia="宋体" w:cs="宋体"/>
          <w:b/>
          <w:bCs/>
          <w:color w:val="auto"/>
          <w:sz w:val="21"/>
          <w:szCs w:val="21"/>
          <w:highlight w:val="none"/>
        </w:rPr>
        <w:t>资源库项目履约验收方案</w:t>
      </w:r>
    </w:p>
    <w:p w14:paraId="7C4D62AB">
      <w:pPr>
        <w:pStyle w:val="2"/>
        <w:rPr>
          <w:rFonts w:hint="eastAsia"/>
          <w:color w:val="auto"/>
          <w:highlight w:val="none"/>
        </w:rPr>
      </w:pPr>
      <w:r>
        <w:rPr>
          <w:rFonts w:hint="eastAsia"/>
          <w:color w:val="auto"/>
          <w:highlight w:val="none"/>
        </w:rPr>
        <w:t>一、总则</w:t>
      </w:r>
    </w:p>
    <w:p w14:paraId="2D051C9F">
      <w:pPr>
        <w:pStyle w:val="2"/>
        <w:rPr>
          <w:rFonts w:hint="eastAsia"/>
          <w:color w:val="auto"/>
          <w:highlight w:val="none"/>
        </w:rPr>
      </w:pPr>
      <w:r>
        <w:rPr>
          <w:rFonts w:hint="eastAsia"/>
          <w:color w:val="auto"/>
          <w:highlight w:val="none"/>
        </w:rPr>
        <w:t>（一）编制依据</w:t>
      </w:r>
    </w:p>
    <w:p w14:paraId="0472CCF3">
      <w:pPr>
        <w:pStyle w:val="2"/>
        <w:rPr>
          <w:rFonts w:hint="eastAsia"/>
          <w:color w:val="auto"/>
          <w:highlight w:val="none"/>
        </w:rPr>
      </w:pPr>
      <w:r>
        <w:rPr>
          <w:rFonts w:hint="eastAsia"/>
          <w:color w:val="auto"/>
          <w:highlight w:val="none"/>
        </w:rPr>
        <w:t>依据《中华人民共和国政府采购法》及其实施条例、财政部令第87号、南教计财〔2024〕7号、南财采〔2023〕216号文件规定，结合本项目采购文件、中标合同及职教行业建设标准，制定本履约验收方案，作为项目成果验收、履约判定的唯一依据。</w:t>
      </w:r>
    </w:p>
    <w:p w14:paraId="702A7BE8">
      <w:pPr>
        <w:pStyle w:val="2"/>
        <w:rPr>
          <w:rFonts w:hint="eastAsia"/>
          <w:color w:val="auto"/>
          <w:highlight w:val="none"/>
        </w:rPr>
      </w:pPr>
      <w:r>
        <w:rPr>
          <w:rFonts w:hint="eastAsia"/>
          <w:color w:val="auto"/>
          <w:highlight w:val="none"/>
        </w:rPr>
        <w:t>（二）验收组织</w:t>
      </w:r>
    </w:p>
    <w:p w14:paraId="0544D225">
      <w:pPr>
        <w:pStyle w:val="2"/>
        <w:rPr>
          <w:rFonts w:hint="eastAsia"/>
          <w:color w:val="auto"/>
          <w:highlight w:val="none"/>
        </w:rPr>
      </w:pPr>
      <w:r>
        <w:rPr>
          <w:rFonts w:hint="eastAsia"/>
          <w:color w:val="auto"/>
          <w:highlight w:val="none"/>
        </w:rPr>
        <w:t>1. 验收方：南宁市第一职业技术学校，组建专项验收小组，按需邀请校外专家参与。</w:t>
      </w:r>
    </w:p>
    <w:p w14:paraId="6B6C0F0E">
      <w:pPr>
        <w:pStyle w:val="2"/>
        <w:rPr>
          <w:rFonts w:hint="eastAsia"/>
          <w:color w:val="auto"/>
          <w:highlight w:val="none"/>
        </w:rPr>
      </w:pPr>
      <w:r>
        <w:rPr>
          <w:rFonts w:hint="eastAsia"/>
          <w:color w:val="auto"/>
          <w:highlight w:val="none"/>
        </w:rPr>
        <w:t>2. 配合方：中标供应商，全程配合成果核查、功能演示、问题整改及资料提交。</w:t>
      </w:r>
    </w:p>
    <w:p w14:paraId="28FDFBE7">
      <w:pPr>
        <w:pStyle w:val="2"/>
        <w:rPr>
          <w:rFonts w:hint="eastAsia"/>
          <w:color w:val="auto"/>
          <w:highlight w:val="none"/>
        </w:rPr>
      </w:pPr>
      <w:r>
        <w:rPr>
          <w:rFonts w:hint="eastAsia"/>
          <w:color w:val="auto"/>
          <w:highlight w:val="none"/>
        </w:rPr>
        <w:t>3. 验收地点：采购人指定校内场地。</w:t>
      </w:r>
    </w:p>
    <w:p w14:paraId="1D72A2A6">
      <w:pPr>
        <w:pStyle w:val="2"/>
        <w:rPr>
          <w:rFonts w:hint="eastAsia"/>
          <w:color w:val="auto"/>
          <w:highlight w:val="none"/>
        </w:rPr>
      </w:pPr>
      <w:r>
        <w:rPr>
          <w:rFonts w:hint="eastAsia"/>
          <w:color w:val="auto"/>
          <w:highlight w:val="none"/>
        </w:rPr>
        <w:t>（三）核心要求</w:t>
      </w:r>
    </w:p>
    <w:p w14:paraId="6F3CD4E3">
      <w:pPr>
        <w:pStyle w:val="2"/>
        <w:rPr>
          <w:rFonts w:hint="eastAsia"/>
          <w:color w:val="auto"/>
          <w:highlight w:val="none"/>
        </w:rPr>
      </w:pPr>
      <w:r>
        <w:rPr>
          <w:rFonts w:hint="eastAsia"/>
          <w:color w:val="auto"/>
          <w:highlight w:val="none"/>
        </w:rPr>
        <w:t>1. 履约周期：合同签订后180日历天内完成全部成果交付、试运行及初验；整体质保期5年（其中教学资源库平台运行维护服务质保期为3年，自提交成果并收合格之日起算）。</w:t>
      </w:r>
    </w:p>
    <w:p w14:paraId="679505FD">
      <w:pPr>
        <w:pStyle w:val="2"/>
        <w:rPr>
          <w:rFonts w:hint="eastAsia"/>
          <w:color w:val="auto"/>
          <w:highlight w:val="none"/>
        </w:rPr>
      </w:pPr>
      <w:r>
        <w:rPr>
          <w:rFonts w:hint="eastAsia"/>
          <w:color w:val="auto"/>
          <w:highlight w:val="none"/>
        </w:rPr>
        <w:t>2. 验收原则：所有带▲实质性条款不得负偏离，所有成果合法合规、无版权及内容问题，项目报价为全包价，无额外新增费用。</w:t>
      </w:r>
    </w:p>
    <w:p w14:paraId="3A6D8F3C">
      <w:pPr>
        <w:pStyle w:val="2"/>
        <w:rPr>
          <w:rFonts w:hint="eastAsia"/>
          <w:color w:val="auto"/>
          <w:highlight w:val="none"/>
        </w:rPr>
      </w:pPr>
      <w:r>
        <w:rPr>
          <w:rFonts w:hint="eastAsia"/>
          <w:color w:val="auto"/>
          <w:highlight w:val="none"/>
        </w:rPr>
        <w:t>3. 验收方式：现场实操、资料审核、成果抽检、台账核查相结合。</w:t>
      </w:r>
    </w:p>
    <w:p w14:paraId="15735FD6">
      <w:pPr>
        <w:pStyle w:val="2"/>
        <w:rPr>
          <w:rFonts w:hint="eastAsia"/>
          <w:color w:val="auto"/>
          <w:highlight w:val="none"/>
        </w:rPr>
      </w:pPr>
      <w:r>
        <w:rPr>
          <w:rFonts w:hint="eastAsia"/>
          <w:color w:val="auto"/>
          <w:highlight w:val="none"/>
        </w:rPr>
        <w:t>二、验收流程</w:t>
      </w:r>
    </w:p>
    <w:p w14:paraId="5348EEF7">
      <w:pPr>
        <w:pStyle w:val="2"/>
        <w:rPr>
          <w:rFonts w:hint="eastAsia"/>
          <w:color w:val="auto"/>
          <w:highlight w:val="none"/>
        </w:rPr>
      </w:pPr>
      <w:r>
        <w:rPr>
          <w:rFonts w:hint="eastAsia"/>
          <w:color w:val="auto"/>
          <w:highlight w:val="none"/>
        </w:rPr>
        <w:t>（一）初验</w:t>
      </w:r>
    </w:p>
    <w:p w14:paraId="047CBE96">
      <w:pPr>
        <w:pStyle w:val="2"/>
        <w:rPr>
          <w:rFonts w:hint="eastAsia"/>
          <w:color w:val="auto"/>
          <w:highlight w:val="none"/>
        </w:rPr>
      </w:pPr>
      <w:r>
        <w:rPr>
          <w:rFonts w:hint="eastAsia"/>
          <w:color w:val="auto"/>
          <w:highlight w:val="none"/>
        </w:rPr>
        <w:t>供应商完成全部履约内容后，提交书面验收申请及全套电子、纸质成果资料。采购人5个工作日内组织初验，核查资料完整性、成果数量、基础功能。初验不合格的，供应商3-7个工作日内整改后重新申报。</w:t>
      </w:r>
    </w:p>
    <w:p w14:paraId="7FC913F0">
      <w:pPr>
        <w:pStyle w:val="2"/>
        <w:rPr>
          <w:rFonts w:hint="eastAsia"/>
          <w:color w:val="auto"/>
          <w:highlight w:val="none"/>
        </w:rPr>
      </w:pPr>
      <w:r>
        <w:rPr>
          <w:rFonts w:hint="eastAsia"/>
          <w:color w:val="auto"/>
          <w:highlight w:val="none"/>
        </w:rPr>
        <w:t>（二）试运行</w:t>
      </w:r>
    </w:p>
    <w:p w14:paraId="15310C35">
      <w:pPr>
        <w:pStyle w:val="2"/>
        <w:rPr>
          <w:rFonts w:hint="eastAsia"/>
          <w:color w:val="auto"/>
          <w:highlight w:val="none"/>
        </w:rPr>
      </w:pPr>
      <w:r>
        <w:rPr>
          <w:rFonts w:hint="eastAsia"/>
          <w:color w:val="auto"/>
          <w:highlight w:val="none"/>
        </w:rPr>
        <w:t>初验合格后，项目进入不少于15天试运行阶段，平台及各类成果投入教学使用。采购人建立问题台账，供应商全程值守、及时闭环整改，试运行无问题后方可申报终验。</w:t>
      </w:r>
    </w:p>
    <w:p w14:paraId="5154C382">
      <w:pPr>
        <w:pStyle w:val="2"/>
        <w:rPr>
          <w:rFonts w:hint="eastAsia"/>
          <w:color w:val="auto"/>
          <w:highlight w:val="none"/>
        </w:rPr>
      </w:pPr>
      <w:r>
        <w:rPr>
          <w:rFonts w:hint="eastAsia"/>
          <w:color w:val="auto"/>
          <w:highlight w:val="none"/>
        </w:rPr>
        <w:t>（三）最终竣工验收</w:t>
      </w:r>
    </w:p>
    <w:p w14:paraId="39D32556">
      <w:pPr>
        <w:pStyle w:val="2"/>
        <w:rPr>
          <w:rFonts w:hint="eastAsia"/>
          <w:color w:val="auto"/>
          <w:highlight w:val="none"/>
        </w:rPr>
      </w:pPr>
      <w:r>
        <w:rPr>
          <w:rFonts w:hint="eastAsia"/>
          <w:color w:val="auto"/>
          <w:highlight w:val="none"/>
        </w:rPr>
        <w:t>验收小组对照合同及采购参数逐项核验，出具分项及整体验收意见，验收合格全员签字确认，正式进入质保期；验收不合格的限期整改，逾期未达标按违约处理。</w:t>
      </w:r>
    </w:p>
    <w:p w14:paraId="4FB46948">
      <w:pPr>
        <w:pStyle w:val="2"/>
        <w:rPr>
          <w:rFonts w:hint="eastAsia"/>
          <w:color w:val="auto"/>
          <w:highlight w:val="none"/>
        </w:rPr>
      </w:pPr>
      <w:r>
        <w:rPr>
          <w:rFonts w:hint="eastAsia"/>
          <w:color w:val="auto"/>
          <w:highlight w:val="none"/>
        </w:rPr>
        <w:t>（四）质保巡检</w:t>
      </w:r>
    </w:p>
    <w:p w14:paraId="5EFC4E5A">
      <w:pPr>
        <w:pStyle w:val="2"/>
        <w:rPr>
          <w:rFonts w:hint="eastAsia"/>
          <w:color w:val="auto"/>
          <w:highlight w:val="none"/>
        </w:rPr>
      </w:pPr>
      <w:r>
        <w:rPr>
          <w:rFonts w:hint="eastAsia"/>
          <w:color w:val="auto"/>
          <w:highlight w:val="none"/>
        </w:rPr>
        <w:t>质保期内采购人每季度开展例行巡检，核查系统运行、售后响应及问题整改情况，供应商全程配合。</w:t>
      </w:r>
    </w:p>
    <w:p w14:paraId="06A66F85">
      <w:pPr>
        <w:pStyle w:val="2"/>
        <w:rPr>
          <w:rFonts w:hint="eastAsia"/>
          <w:color w:val="auto"/>
          <w:highlight w:val="none"/>
        </w:rPr>
      </w:pPr>
      <w:r>
        <w:rPr>
          <w:rFonts w:hint="eastAsia"/>
          <w:color w:val="auto"/>
          <w:highlight w:val="none"/>
        </w:rPr>
        <w:t>三、分项简约验收标准（总分100分）</w:t>
      </w:r>
    </w:p>
    <w:p w14:paraId="64673DB4">
      <w:pPr>
        <w:pStyle w:val="2"/>
        <w:rPr>
          <w:rFonts w:hint="eastAsia"/>
          <w:color w:val="auto"/>
          <w:highlight w:val="none"/>
        </w:rPr>
      </w:pPr>
      <w:r>
        <w:rPr>
          <w:rFonts w:hint="eastAsia"/>
          <w:color w:val="auto"/>
          <w:highlight w:val="none"/>
        </w:rPr>
        <w:t>验收判定：单项得分低于该项总分90%为分项不合格，整体总分≥90分且无实质性条款负偏离，项目整体验收合格。</w:t>
      </w:r>
    </w:p>
    <w:p w14:paraId="323ABD1F">
      <w:pPr>
        <w:pStyle w:val="2"/>
        <w:rPr>
          <w:rFonts w:hint="eastAsia"/>
          <w:color w:val="auto"/>
          <w:highlight w:val="none"/>
        </w:rPr>
      </w:pPr>
      <w:r>
        <w:rPr>
          <w:rFonts w:hint="eastAsia"/>
          <w:color w:val="auto"/>
          <w:highlight w:val="none"/>
        </w:rPr>
        <w:t>（一）教学资源库平台（15分）</w:t>
      </w:r>
    </w:p>
    <w:p w14:paraId="1E521A4F">
      <w:pPr>
        <w:pStyle w:val="2"/>
        <w:rPr>
          <w:rFonts w:hint="eastAsia"/>
          <w:color w:val="auto"/>
          <w:highlight w:val="none"/>
        </w:rPr>
      </w:pPr>
      <w:r>
        <w:rPr>
          <w:rFonts w:hint="eastAsia"/>
          <w:color w:val="auto"/>
          <w:highlight w:val="none"/>
        </w:rPr>
        <w:t>1. 资料齐全，机制、对接人员、响应流程完善（3分）；</w:t>
      </w:r>
    </w:p>
    <w:p w14:paraId="4BBC6613">
      <w:pPr>
        <w:pStyle w:val="2"/>
        <w:rPr>
          <w:rFonts w:hint="eastAsia"/>
          <w:color w:val="auto"/>
          <w:highlight w:val="none"/>
        </w:rPr>
      </w:pPr>
      <w:r>
        <w:rPr>
          <w:rFonts w:hint="eastAsia"/>
          <w:color w:val="auto"/>
          <w:highlight w:val="none"/>
        </w:rPr>
        <w:t>2. 平台栏目管理、资源上传审核、数据统计、多终端应用等核心功能正常，无实质性缺失（8分）；</w:t>
      </w:r>
    </w:p>
    <w:p w14:paraId="6C70CAE4">
      <w:pPr>
        <w:pStyle w:val="2"/>
        <w:rPr>
          <w:rFonts w:hint="eastAsia"/>
          <w:color w:val="auto"/>
          <w:highlight w:val="none"/>
        </w:rPr>
      </w:pPr>
      <w:r>
        <w:rPr>
          <w:rFonts w:hint="eastAsia"/>
          <w:color w:val="auto"/>
          <w:highlight w:val="none"/>
        </w:rPr>
        <w:t>3. 落实5年服务及2小时远程、4小时现场售后响应承诺（4分）。</w:t>
      </w:r>
    </w:p>
    <w:p w14:paraId="4EB3A6EA">
      <w:pPr>
        <w:pStyle w:val="2"/>
        <w:rPr>
          <w:rFonts w:hint="eastAsia"/>
          <w:color w:val="auto"/>
          <w:highlight w:val="none"/>
        </w:rPr>
      </w:pPr>
      <w:r>
        <w:rPr>
          <w:rFonts w:hint="eastAsia"/>
          <w:color w:val="auto"/>
          <w:highlight w:val="none"/>
        </w:rPr>
        <w:t>（二）专业群知识图谱建设（25分）</w:t>
      </w:r>
    </w:p>
    <w:p w14:paraId="31C3EFB3">
      <w:pPr>
        <w:pStyle w:val="2"/>
        <w:rPr>
          <w:rFonts w:hint="eastAsia"/>
          <w:color w:val="auto"/>
          <w:highlight w:val="none"/>
        </w:rPr>
      </w:pPr>
      <w:r>
        <w:rPr>
          <w:rFonts w:hint="eastAsia"/>
          <w:color w:val="auto"/>
          <w:highlight w:val="none"/>
        </w:rPr>
        <w:t>1. 交付完整建设台账及使用手册，资料规范（3分）；</w:t>
      </w:r>
    </w:p>
    <w:p w14:paraId="18CE67FC">
      <w:pPr>
        <w:pStyle w:val="2"/>
        <w:rPr>
          <w:rFonts w:hint="eastAsia"/>
          <w:color w:val="auto"/>
          <w:highlight w:val="none"/>
        </w:rPr>
      </w:pPr>
      <w:r>
        <w:rPr>
          <w:rFonts w:hint="eastAsia"/>
          <w:color w:val="auto"/>
          <w:highlight w:val="none"/>
        </w:rPr>
        <w:t>2. 图谱门户展示、栏目编辑、数据统计功能正常（4分）；</w:t>
      </w:r>
    </w:p>
    <w:p w14:paraId="394D9A0E">
      <w:pPr>
        <w:pStyle w:val="2"/>
        <w:rPr>
          <w:rFonts w:hint="eastAsia"/>
          <w:color w:val="auto"/>
          <w:highlight w:val="none"/>
        </w:rPr>
      </w:pPr>
      <w:r>
        <w:rPr>
          <w:rFonts w:hint="eastAsia"/>
          <w:color w:val="auto"/>
          <w:highlight w:val="none"/>
        </w:rPr>
        <w:t>3. 20门课程配套图谱齐全，岗位、竞赛、证书、问题图谱3D展示、层级自定义、检索跳转、学习路径生成等实质性功能达标（12分）；</w:t>
      </w:r>
    </w:p>
    <w:p w14:paraId="5A36DA76">
      <w:pPr>
        <w:pStyle w:val="2"/>
        <w:rPr>
          <w:rFonts w:hint="eastAsia"/>
          <w:color w:val="auto"/>
          <w:highlight w:val="none"/>
        </w:rPr>
      </w:pPr>
      <w:r>
        <w:rPr>
          <w:rFonts w:hint="eastAsia"/>
          <w:color w:val="auto"/>
          <w:highlight w:val="none"/>
        </w:rPr>
        <w:t>4. 系统与主平台数据互通，运行稳定无卡顿闪退（6分）。</w:t>
      </w:r>
    </w:p>
    <w:p w14:paraId="4833C822">
      <w:pPr>
        <w:pStyle w:val="2"/>
        <w:rPr>
          <w:rFonts w:hint="eastAsia"/>
          <w:color w:val="auto"/>
          <w:highlight w:val="none"/>
        </w:rPr>
      </w:pPr>
      <w:r>
        <w:rPr>
          <w:rFonts w:hint="eastAsia"/>
          <w:color w:val="auto"/>
          <w:highlight w:val="none"/>
        </w:rPr>
        <w:t>（三）智慧课程建设（30分）</w:t>
      </w:r>
    </w:p>
    <w:p w14:paraId="132BAB04">
      <w:pPr>
        <w:pStyle w:val="2"/>
        <w:rPr>
          <w:rFonts w:hint="eastAsia"/>
          <w:color w:val="auto"/>
          <w:highlight w:val="none"/>
        </w:rPr>
      </w:pPr>
      <w:r>
        <w:rPr>
          <w:rFonts w:hint="eastAsia"/>
          <w:color w:val="auto"/>
          <w:highlight w:val="none"/>
        </w:rPr>
        <w:t>1. 完整完成15门课程智慧功能部署（2分）；</w:t>
      </w:r>
    </w:p>
    <w:p w14:paraId="3781C0EB">
      <w:pPr>
        <w:pStyle w:val="2"/>
        <w:rPr>
          <w:rFonts w:hint="eastAsia"/>
          <w:color w:val="auto"/>
          <w:highlight w:val="none"/>
        </w:rPr>
      </w:pPr>
      <w:r>
        <w:rPr>
          <w:rFonts w:hint="eastAsia"/>
          <w:color w:val="auto"/>
          <w:highlight w:val="none"/>
        </w:rPr>
        <w:t>2. AI智能批阅、自动组卷、学情分析、智能助教等核心实质性功能正常，各类AI拓展工具可用（20分）；</w:t>
      </w:r>
    </w:p>
    <w:p w14:paraId="20D22881">
      <w:pPr>
        <w:pStyle w:val="2"/>
        <w:rPr>
          <w:rFonts w:hint="eastAsia"/>
          <w:color w:val="auto"/>
          <w:highlight w:val="none"/>
        </w:rPr>
      </w:pPr>
      <w:r>
        <w:rPr>
          <w:rFonts w:hint="eastAsia"/>
          <w:color w:val="auto"/>
          <w:highlight w:val="none"/>
        </w:rPr>
        <w:t>3. 多终端访问流畅、运行稳定，无报错卡顿（5分）；</w:t>
      </w:r>
    </w:p>
    <w:p w14:paraId="2915B5C2">
      <w:pPr>
        <w:pStyle w:val="2"/>
        <w:rPr>
          <w:rFonts w:hint="eastAsia"/>
          <w:color w:val="auto"/>
          <w:highlight w:val="none"/>
        </w:rPr>
      </w:pPr>
      <w:r>
        <w:rPr>
          <w:rFonts w:hint="eastAsia"/>
          <w:color w:val="auto"/>
          <w:highlight w:val="none"/>
        </w:rPr>
        <w:t>4. 交付完整操作手册及培训资料（3分）。</w:t>
      </w:r>
    </w:p>
    <w:p w14:paraId="2EFDD730">
      <w:pPr>
        <w:pStyle w:val="2"/>
        <w:rPr>
          <w:rFonts w:hint="eastAsia"/>
          <w:color w:val="auto"/>
          <w:highlight w:val="none"/>
        </w:rPr>
      </w:pPr>
      <w:r>
        <w:rPr>
          <w:rFonts w:hint="eastAsia"/>
          <w:color w:val="auto"/>
          <w:highlight w:val="none"/>
        </w:rPr>
        <w:t>（四）视频资源制作（15分）</w:t>
      </w:r>
    </w:p>
    <w:p w14:paraId="1C9835A3">
      <w:pPr>
        <w:pStyle w:val="2"/>
        <w:rPr>
          <w:rFonts w:hint="eastAsia"/>
          <w:color w:val="auto"/>
          <w:highlight w:val="none"/>
        </w:rPr>
      </w:pPr>
      <w:r>
        <w:rPr>
          <w:rFonts w:hint="eastAsia"/>
          <w:color w:val="auto"/>
          <w:highlight w:val="none"/>
        </w:rPr>
        <w:t>1. 完成750分钟双语教学视频制作，内容贴合专业需求（3分）；</w:t>
      </w:r>
    </w:p>
    <w:p w14:paraId="03298B9F">
      <w:pPr>
        <w:pStyle w:val="2"/>
        <w:rPr>
          <w:rFonts w:hint="eastAsia"/>
          <w:color w:val="auto"/>
          <w:highlight w:val="none"/>
        </w:rPr>
      </w:pPr>
      <w:r>
        <w:rPr>
          <w:rFonts w:hint="eastAsia"/>
          <w:color w:val="auto"/>
          <w:highlight w:val="none"/>
        </w:rPr>
        <w:t>2. 视频分辨率、帧率、编码、音视频码流、信噪比等技术指标达标，无画质、音质问题（7分）；</w:t>
      </w:r>
    </w:p>
    <w:p w14:paraId="0307F6E5">
      <w:pPr>
        <w:pStyle w:val="2"/>
        <w:rPr>
          <w:rFonts w:hint="eastAsia"/>
          <w:color w:val="auto"/>
          <w:highlight w:val="none"/>
        </w:rPr>
      </w:pPr>
      <w:r>
        <w:rPr>
          <w:rFonts w:hint="eastAsia"/>
          <w:color w:val="auto"/>
          <w:highlight w:val="none"/>
        </w:rPr>
        <w:t>3. 成片剪辑流畅、内容规范、无错别字及违规内容（3分）；</w:t>
      </w:r>
    </w:p>
    <w:p w14:paraId="52C91ACE">
      <w:pPr>
        <w:pStyle w:val="2"/>
        <w:rPr>
          <w:rFonts w:hint="eastAsia"/>
          <w:color w:val="auto"/>
          <w:highlight w:val="none"/>
        </w:rPr>
      </w:pPr>
      <w:r>
        <w:rPr>
          <w:rFonts w:hint="eastAsia"/>
          <w:color w:val="auto"/>
          <w:highlight w:val="none"/>
        </w:rPr>
        <w:t>4. 完整交付全部视频文件及交付清单，按要求留存母带（2分）。</w:t>
      </w:r>
    </w:p>
    <w:p w14:paraId="651A99ED">
      <w:pPr>
        <w:pStyle w:val="2"/>
        <w:rPr>
          <w:rFonts w:hint="eastAsia"/>
          <w:color w:val="auto"/>
          <w:highlight w:val="none"/>
        </w:rPr>
      </w:pPr>
      <w:r>
        <w:rPr>
          <w:rFonts w:hint="eastAsia"/>
          <w:color w:val="auto"/>
          <w:highlight w:val="none"/>
        </w:rPr>
        <w:t>（五）数字化教材建设（10分）</w:t>
      </w:r>
    </w:p>
    <w:p w14:paraId="10738202">
      <w:pPr>
        <w:pStyle w:val="2"/>
        <w:rPr>
          <w:rFonts w:hint="eastAsia"/>
          <w:color w:val="auto"/>
          <w:highlight w:val="none"/>
        </w:rPr>
      </w:pPr>
      <w:r>
        <w:rPr>
          <w:rFonts w:hint="eastAsia"/>
          <w:color w:val="auto"/>
          <w:highlight w:val="none"/>
        </w:rPr>
        <w:t>1. 完成指定数字教材开发，落实三审三校及内容安全检测（2分）；</w:t>
      </w:r>
    </w:p>
    <w:p w14:paraId="176F3948">
      <w:pPr>
        <w:pStyle w:val="2"/>
        <w:rPr>
          <w:rFonts w:hint="eastAsia"/>
          <w:color w:val="auto"/>
          <w:highlight w:val="none"/>
        </w:rPr>
      </w:pPr>
      <w:r>
        <w:rPr>
          <w:rFonts w:hint="eastAsia"/>
          <w:color w:val="auto"/>
          <w:highlight w:val="none"/>
        </w:rPr>
        <w:t>2. 教材权限管理、文件导出、大文件上传等实质性功能正常，富媒体组件、多终端适配正常（5分）；</w:t>
      </w:r>
    </w:p>
    <w:p w14:paraId="3F63AF72">
      <w:pPr>
        <w:pStyle w:val="2"/>
        <w:rPr>
          <w:rFonts w:hint="eastAsia"/>
          <w:color w:val="auto"/>
          <w:highlight w:val="none"/>
        </w:rPr>
      </w:pPr>
      <w:r>
        <w:rPr>
          <w:rFonts w:hint="eastAsia"/>
          <w:color w:val="auto"/>
          <w:highlight w:val="none"/>
        </w:rPr>
        <w:t>3. 内容安全检测机制有效，可实现课前课中课后教学闭环应用（3分）。</w:t>
      </w:r>
    </w:p>
    <w:p w14:paraId="67C629FF">
      <w:pPr>
        <w:pStyle w:val="2"/>
        <w:rPr>
          <w:rFonts w:hint="eastAsia"/>
          <w:color w:val="auto"/>
          <w:highlight w:val="none"/>
        </w:rPr>
      </w:pPr>
      <w:r>
        <w:rPr>
          <w:rFonts w:hint="eastAsia"/>
          <w:color w:val="auto"/>
          <w:highlight w:val="none"/>
        </w:rPr>
        <w:t>（六）教师专业调研（5分）</w:t>
      </w:r>
    </w:p>
    <w:p w14:paraId="373E4F98">
      <w:pPr>
        <w:pStyle w:val="2"/>
        <w:rPr>
          <w:rFonts w:hint="eastAsia"/>
          <w:color w:val="auto"/>
          <w:highlight w:val="none"/>
        </w:rPr>
      </w:pPr>
      <w:r>
        <w:rPr>
          <w:rFonts w:hint="eastAsia"/>
          <w:color w:val="auto"/>
          <w:highlight w:val="none"/>
        </w:rPr>
        <w:t>1. 完成5家及以上行业企业实地调研，交付5份完整调研报告及佐证资料（2分）；</w:t>
      </w:r>
    </w:p>
    <w:p w14:paraId="2AF17A5A">
      <w:pPr>
        <w:pStyle w:val="2"/>
        <w:rPr>
          <w:rFonts w:hint="eastAsia"/>
          <w:color w:val="auto"/>
          <w:highlight w:val="none"/>
        </w:rPr>
      </w:pPr>
      <w:r>
        <w:rPr>
          <w:rFonts w:hint="eastAsia"/>
          <w:color w:val="auto"/>
          <w:highlight w:val="none"/>
        </w:rPr>
        <w:t>2. 完成行业展会调研，交付2份有效展会报告（1分）；</w:t>
      </w:r>
    </w:p>
    <w:p w14:paraId="35EE91D7">
      <w:pPr>
        <w:pStyle w:val="2"/>
        <w:rPr>
          <w:rFonts w:hint="eastAsia"/>
          <w:color w:val="auto"/>
          <w:highlight w:val="none"/>
        </w:rPr>
      </w:pPr>
      <w:r>
        <w:rPr>
          <w:rFonts w:hint="eastAsia"/>
          <w:color w:val="auto"/>
          <w:highlight w:val="none"/>
        </w:rPr>
        <w:t>3. 开展2场及以上行业专家咨询指导，单场时长不低于2小时，留存完整指导记录及意见资料（2分）。</w:t>
      </w:r>
    </w:p>
    <w:p w14:paraId="4878035C">
      <w:pPr>
        <w:pStyle w:val="2"/>
        <w:rPr>
          <w:rFonts w:hint="eastAsia"/>
          <w:color w:val="auto"/>
          <w:highlight w:val="none"/>
        </w:rPr>
      </w:pPr>
      <w:r>
        <w:rPr>
          <w:rFonts w:hint="eastAsia"/>
          <w:color w:val="auto"/>
          <w:highlight w:val="none"/>
        </w:rPr>
        <w:t>四、一票否决条款</w:t>
      </w:r>
    </w:p>
    <w:p w14:paraId="549674D2">
      <w:pPr>
        <w:pStyle w:val="2"/>
        <w:rPr>
          <w:rFonts w:hint="eastAsia"/>
          <w:color w:val="auto"/>
          <w:highlight w:val="none"/>
        </w:rPr>
      </w:pPr>
      <w:r>
        <w:rPr>
          <w:rFonts w:hint="eastAsia"/>
          <w:color w:val="auto"/>
          <w:highlight w:val="none"/>
        </w:rPr>
        <w:t>出现以下任意情况，项目直接判定验收不合格：</w:t>
      </w:r>
    </w:p>
    <w:p w14:paraId="10F3A73A">
      <w:pPr>
        <w:pStyle w:val="2"/>
        <w:rPr>
          <w:rFonts w:hint="eastAsia"/>
          <w:color w:val="auto"/>
          <w:highlight w:val="none"/>
        </w:rPr>
      </w:pPr>
      <w:r>
        <w:rPr>
          <w:rFonts w:hint="eastAsia"/>
          <w:color w:val="auto"/>
          <w:highlight w:val="none"/>
        </w:rPr>
        <w:t>1. 项目实质性条款存在负偏离、核心功能缺失、关键指标不达标；</w:t>
      </w:r>
    </w:p>
    <w:p w14:paraId="371EF878">
      <w:pPr>
        <w:pStyle w:val="2"/>
        <w:rPr>
          <w:rFonts w:hint="eastAsia"/>
          <w:color w:val="auto"/>
          <w:highlight w:val="none"/>
        </w:rPr>
      </w:pPr>
      <w:r>
        <w:rPr>
          <w:rFonts w:hint="eastAsia"/>
          <w:color w:val="auto"/>
          <w:highlight w:val="none"/>
        </w:rPr>
        <w:t>2. 交付成果存在政治敏感、侵权抄袭、违规低俗内容或严重专业错误，无法用于教学；</w:t>
      </w:r>
    </w:p>
    <w:p w14:paraId="3E6805E1">
      <w:pPr>
        <w:pStyle w:val="2"/>
        <w:rPr>
          <w:rFonts w:hint="eastAsia"/>
          <w:color w:val="auto"/>
          <w:highlight w:val="none"/>
        </w:rPr>
      </w:pPr>
      <w:r>
        <w:rPr>
          <w:rFonts w:hint="eastAsia"/>
          <w:color w:val="auto"/>
          <w:highlight w:val="none"/>
        </w:rPr>
        <w:t>3. 未按约定完成核心交付数量，且拒不整改；</w:t>
      </w:r>
    </w:p>
    <w:p w14:paraId="564B2559">
      <w:pPr>
        <w:pStyle w:val="2"/>
        <w:rPr>
          <w:rFonts w:hint="eastAsia"/>
          <w:color w:val="auto"/>
          <w:highlight w:val="none"/>
        </w:rPr>
      </w:pPr>
      <w:r>
        <w:rPr>
          <w:rFonts w:hint="eastAsia"/>
          <w:color w:val="auto"/>
          <w:highlight w:val="none"/>
        </w:rPr>
        <w:t>4. 系统频繁故障、大面积功能失效，整改后仍无法正常使用；</w:t>
      </w:r>
    </w:p>
    <w:p w14:paraId="219D2A98">
      <w:pPr>
        <w:pStyle w:val="2"/>
        <w:rPr>
          <w:rFonts w:hint="eastAsia"/>
          <w:color w:val="auto"/>
          <w:highlight w:val="none"/>
        </w:rPr>
      </w:pPr>
      <w:r>
        <w:rPr>
          <w:rFonts w:hint="eastAsia"/>
          <w:color w:val="auto"/>
          <w:highlight w:val="none"/>
        </w:rPr>
        <w:t>5. 供应商拒不配合验收及整改工作。</w:t>
      </w:r>
    </w:p>
    <w:p w14:paraId="1862A235">
      <w:pPr>
        <w:pStyle w:val="2"/>
        <w:rPr>
          <w:rFonts w:hint="eastAsia"/>
          <w:color w:val="auto"/>
          <w:highlight w:val="none"/>
        </w:rPr>
      </w:pPr>
      <w:r>
        <w:rPr>
          <w:rFonts w:hint="eastAsia"/>
          <w:color w:val="auto"/>
          <w:highlight w:val="none"/>
        </w:rPr>
        <w:t>五、整改与违约管理</w:t>
      </w:r>
    </w:p>
    <w:p w14:paraId="2CD3CBA3">
      <w:pPr>
        <w:pStyle w:val="2"/>
        <w:rPr>
          <w:rFonts w:hint="eastAsia"/>
          <w:color w:val="auto"/>
          <w:highlight w:val="none"/>
        </w:rPr>
      </w:pPr>
      <w:r>
        <w:rPr>
          <w:rFonts w:hint="eastAsia"/>
          <w:color w:val="auto"/>
          <w:highlight w:val="none"/>
        </w:rPr>
        <w:t>1. 一般性非实质性瑕疵，供应商限期整改后可重新验收；</w:t>
      </w:r>
    </w:p>
    <w:p w14:paraId="2A01A3A8">
      <w:pPr>
        <w:pStyle w:val="2"/>
        <w:rPr>
          <w:rFonts w:hint="eastAsia"/>
          <w:color w:val="auto"/>
          <w:highlight w:val="none"/>
        </w:rPr>
      </w:pPr>
      <w:r>
        <w:rPr>
          <w:rFonts w:hint="eastAsia"/>
          <w:color w:val="auto"/>
          <w:highlight w:val="none"/>
        </w:rPr>
        <w:t>2. 两次整改仍未达标的，采购人有权扣除履约款项、终止合同并追究违约责任；</w:t>
      </w:r>
    </w:p>
    <w:p w14:paraId="6710A2F3">
      <w:pPr>
        <w:pStyle w:val="2"/>
        <w:rPr>
          <w:rFonts w:hint="eastAsia"/>
          <w:color w:val="auto"/>
          <w:highlight w:val="none"/>
        </w:rPr>
      </w:pPr>
      <w:r>
        <w:rPr>
          <w:rFonts w:hint="eastAsia"/>
          <w:color w:val="auto"/>
          <w:highlight w:val="none"/>
        </w:rPr>
        <w:t>3. 逾期交付、逾期整改的，严格按照合同违约条款执行。</w:t>
      </w:r>
    </w:p>
    <w:p w14:paraId="0DE321CF">
      <w:pPr>
        <w:pStyle w:val="2"/>
        <w:rPr>
          <w:rFonts w:hint="eastAsia"/>
          <w:color w:val="auto"/>
          <w:highlight w:val="none"/>
        </w:rPr>
      </w:pPr>
      <w:r>
        <w:rPr>
          <w:rFonts w:hint="eastAsia"/>
          <w:color w:val="auto"/>
          <w:highlight w:val="none"/>
        </w:rPr>
        <w:t>六、质保服务要求</w:t>
      </w:r>
    </w:p>
    <w:p w14:paraId="6BE432E9">
      <w:pPr>
        <w:pStyle w:val="2"/>
        <w:rPr>
          <w:rFonts w:hint="eastAsia"/>
          <w:color w:val="auto"/>
          <w:highlight w:val="none"/>
        </w:rPr>
      </w:pPr>
      <w:r>
        <w:rPr>
          <w:rFonts w:hint="eastAsia"/>
          <w:color w:val="auto"/>
          <w:highlight w:val="none"/>
        </w:rPr>
        <w:t>1. 质保期5年（其中教学资源库平台运行维护服务质保期为3年，自提交成果并收合格之日起算），项目整体7×24小时稳定运行，问题2小时远程响应、4小时现场处置，全程台账闭环；</w:t>
      </w:r>
    </w:p>
    <w:p w14:paraId="0B0EC9E6">
      <w:pPr>
        <w:pStyle w:val="2"/>
        <w:rPr>
          <w:rFonts w:hint="eastAsia"/>
          <w:color w:val="auto"/>
          <w:highlight w:val="none"/>
        </w:rPr>
      </w:pPr>
      <w:r>
        <w:rPr>
          <w:rFonts w:hint="eastAsia"/>
          <w:color w:val="auto"/>
          <w:highlight w:val="none"/>
        </w:rPr>
        <w:t>2. 质保期内免费提供系统升级、漏洞修复、安全加固等服务；</w:t>
      </w:r>
    </w:p>
    <w:p w14:paraId="32E13CF6">
      <w:pPr>
        <w:pStyle w:val="2"/>
        <w:rPr>
          <w:rFonts w:hint="eastAsia"/>
          <w:color w:val="auto"/>
          <w:highlight w:val="none"/>
        </w:rPr>
      </w:pPr>
      <w:r>
        <w:rPr>
          <w:rFonts w:hint="eastAsia"/>
          <w:color w:val="auto"/>
          <w:highlight w:val="none"/>
        </w:rPr>
        <w:t>3. 质保期满前完成期满综合验收，验收合格后质保服务终止。</w:t>
      </w:r>
    </w:p>
    <w:p w14:paraId="04668E16">
      <w:pPr>
        <w:pStyle w:val="2"/>
        <w:rPr>
          <w:rFonts w:hint="eastAsia"/>
          <w:color w:val="auto"/>
          <w:highlight w:val="none"/>
        </w:rPr>
      </w:pPr>
      <w:r>
        <w:rPr>
          <w:rFonts w:hint="eastAsia"/>
          <w:color w:val="auto"/>
          <w:highlight w:val="none"/>
        </w:rPr>
        <w:t>七、资料归档</w:t>
      </w:r>
    </w:p>
    <w:p w14:paraId="6B545C61">
      <w:pPr>
        <w:pStyle w:val="2"/>
        <w:rPr>
          <w:rFonts w:hint="eastAsia"/>
          <w:color w:val="auto"/>
          <w:highlight w:val="none"/>
        </w:rPr>
      </w:pPr>
      <w:r>
        <w:rPr>
          <w:rFonts w:hint="eastAsia"/>
          <w:color w:val="auto"/>
          <w:highlight w:val="none"/>
        </w:rPr>
        <w:t>验收完成后，采购人统一归档采购文件、合同、交付成果、验收资料、整改台账、巡检记录、专家资料等全套档案，存档期限不少于15年。</w:t>
      </w:r>
    </w:p>
    <w:p w14:paraId="6BB4C9BA">
      <w:pPr>
        <w:rPr>
          <w:color w:val="auto"/>
          <w:highlight w:val="none"/>
        </w:rPr>
      </w:pPr>
    </w:p>
    <w:p w14:paraId="56FDE3E6">
      <w:pPr>
        <w:pStyle w:val="2"/>
        <w:rPr>
          <w:color w:val="auto"/>
          <w:highlight w:val="none"/>
        </w:rPr>
      </w:pPr>
    </w:p>
    <w:p w14:paraId="4B61B870">
      <w:pPr>
        <w:rPr>
          <w:rFonts w:hint="eastAsia"/>
          <w:color w:val="auto"/>
          <w:highlight w:val="none"/>
          <w:lang w:val="en-US" w:eastAsia="zh-CN"/>
        </w:rPr>
      </w:pPr>
      <w:r>
        <w:rPr>
          <w:rFonts w:hint="eastAsia"/>
          <w:color w:val="auto"/>
          <w:highlight w:val="none"/>
          <w:lang w:val="en-US" w:eastAsia="zh-CN"/>
        </w:rPr>
        <w:br w:type="page"/>
      </w:r>
    </w:p>
    <w:p w14:paraId="5969ACA5">
      <w:pPr>
        <w:ind w:firstLine="422" w:firstLineChars="200"/>
        <w:outlineLvl w:val="1"/>
        <w:rPr>
          <w:rFonts w:hint="eastAsia"/>
          <w:b/>
          <w:bCs/>
          <w:color w:val="auto"/>
          <w:highlight w:val="none"/>
          <w:lang w:val="en-US" w:eastAsia="zh-CN"/>
        </w:rPr>
      </w:pPr>
      <w:r>
        <w:rPr>
          <w:rFonts w:hint="eastAsia"/>
          <w:b/>
          <w:bCs/>
          <w:color w:val="auto"/>
          <w:highlight w:val="none"/>
          <w:lang w:val="en-US" w:eastAsia="zh-CN"/>
        </w:rPr>
        <w:t>分标2</w:t>
      </w:r>
    </w:p>
    <w:tbl>
      <w:tblPr>
        <w:tblStyle w:val="23"/>
        <w:tblpPr w:leftFromText="180" w:rightFromText="180" w:vertAnchor="text" w:horzAnchor="page" w:tblpX="841" w:tblpY="304"/>
        <w:tblOverlap w:val="never"/>
        <w:tblW w:w="1048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8"/>
        <w:gridCol w:w="315"/>
        <w:gridCol w:w="957"/>
        <w:gridCol w:w="562"/>
        <w:gridCol w:w="590"/>
        <w:gridCol w:w="5315"/>
        <w:gridCol w:w="1270"/>
        <w:gridCol w:w="1045"/>
      </w:tblGrid>
      <w:tr w14:paraId="1DF2D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482" w:type="dxa"/>
            <w:gridSpan w:val="8"/>
            <w:tcBorders>
              <w:top w:val="single" w:color="auto" w:sz="4" w:space="0"/>
              <w:left w:val="single" w:color="auto" w:sz="4" w:space="0"/>
              <w:bottom w:val="nil"/>
              <w:right w:val="single" w:color="auto" w:sz="4" w:space="0"/>
            </w:tcBorders>
            <w:vAlign w:val="center"/>
          </w:tcPr>
          <w:p w14:paraId="30D69B5D">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服务需求一览表</w:t>
            </w:r>
          </w:p>
        </w:tc>
      </w:tr>
      <w:tr w14:paraId="7C417F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700" w:type="dxa"/>
            <w:gridSpan w:val="3"/>
            <w:tcBorders>
              <w:top w:val="single" w:color="auto" w:sz="4" w:space="0"/>
              <w:left w:val="single" w:color="auto" w:sz="4" w:space="0"/>
              <w:bottom w:val="nil"/>
              <w:right w:val="single" w:color="auto" w:sz="4" w:space="0"/>
            </w:tcBorders>
            <w:vAlign w:val="center"/>
          </w:tcPr>
          <w:p w14:paraId="4657E3A3">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标段</w:t>
            </w:r>
          </w:p>
        </w:tc>
        <w:tc>
          <w:tcPr>
            <w:tcW w:w="8782" w:type="dxa"/>
            <w:gridSpan w:val="5"/>
            <w:tcBorders>
              <w:top w:val="single" w:color="auto" w:sz="4" w:space="0"/>
              <w:left w:val="single" w:color="auto" w:sz="4" w:space="0"/>
              <w:bottom w:val="nil"/>
              <w:right w:val="single" w:color="auto" w:sz="4" w:space="0"/>
            </w:tcBorders>
            <w:vAlign w:val="center"/>
          </w:tcPr>
          <w:p w14:paraId="148AFDC3">
            <w:pPr>
              <w:spacing w:line="500" w:lineRule="exact"/>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分标2</w:t>
            </w:r>
            <w:r>
              <w:rPr>
                <w:rFonts w:hint="eastAsia" w:ascii="宋体" w:hAnsi="宋体" w:cs="宋体"/>
                <w:b/>
                <w:bCs/>
                <w:color w:val="auto"/>
                <w:szCs w:val="21"/>
                <w:highlight w:val="none"/>
                <w:lang w:val="en-US" w:eastAsia="zh-CN"/>
              </w:rPr>
              <w:t>（餐旅专业群人才培养方案修订及培训服务）</w:t>
            </w:r>
          </w:p>
        </w:tc>
      </w:tr>
      <w:tr w14:paraId="72A8F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428" w:type="dxa"/>
            <w:vMerge w:val="restart"/>
            <w:tcBorders>
              <w:top w:val="single" w:color="auto" w:sz="4" w:space="0"/>
              <w:left w:val="single" w:color="auto" w:sz="4" w:space="0"/>
              <w:right w:val="single" w:color="auto" w:sz="4" w:space="0"/>
            </w:tcBorders>
          </w:tcPr>
          <w:p w14:paraId="50F5565C">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采购清单及服务参数</w:t>
            </w:r>
          </w:p>
        </w:tc>
        <w:tc>
          <w:tcPr>
            <w:tcW w:w="31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ABD0FF7">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957" w:type="dxa"/>
            <w:tcBorders>
              <w:top w:val="single" w:color="auto" w:sz="4" w:space="0"/>
              <w:left w:val="single" w:color="auto" w:sz="4" w:space="0"/>
              <w:bottom w:val="single" w:color="auto" w:sz="4" w:space="0"/>
              <w:right w:val="single" w:color="auto" w:sz="4" w:space="0"/>
            </w:tcBorders>
            <w:vAlign w:val="center"/>
          </w:tcPr>
          <w:p w14:paraId="7187C643">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562" w:type="dxa"/>
            <w:tcBorders>
              <w:top w:val="single" w:color="auto" w:sz="4" w:space="0"/>
              <w:left w:val="single" w:color="auto" w:sz="4" w:space="0"/>
              <w:bottom w:val="single" w:color="auto" w:sz="4" w:space="0"/>
              <w:right w:val="single" w:color="auto" w:sz="4" w:space="0"/>
            </w:tcBorders>
            <w:vAlign w:val="center"/>
          </w:tcPr>
          <w:p w14:paraId="1987AB35">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590" w:type="dxa"/>
            <w:tcBorders>
              <w:top w:val="single" w:color="auto" w:sz="4" w:space="0"/>
              <w:left w:val="single" w:color="auto" w:sz="4" w:space="0"/>
              <w:bottom w:val="single" w:color="auto" w:sz="4" w:space="0"/>
              <w:right w:val="single" w:color="auto" w:sz="4" w:space="0"/>
            </w:tcBorders>
            <w:vAlign w:val="center"/>
          </w:tcPr>
          <w:p w14:paraId="26E963E5">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5315" w:type="dxa"/>
            <w:tcBorders>
              <w:top w:val="single" w:color="auto" w:sz="4" w:space="0"/>
              <w:left w:val="single" w:color="auto" w:sz="4" w:space="0"/>
              <w:bottom w:val="single" w:color="auto" w:sz="4" w:space="0"/>
              <w:right w:val="single" w:color="auto" w:sz="4" w:space="0"/>
            </w:tcBorders>
            <w:vAlign w:val="center"/>
          </w:tcPr>
          <w:p w14:paraId="3AE37F04">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服务参数</w:t>
            </w:r>
          </w:p>
        </w:tc>
        <w:tc>
          <w:tcPr>
            <w:tcW w:w="1270" w:type="dxa"/>
            <w:tcBorders>
              <w:top w:val="single" w:color="auto" w:sz="4" w:space="0"/>
              <w:left w:val="single" w:color="auto" w:sz="4" w:space="0"/>
              <w:bottom w:val="single" w:color="auto" w:sz="4" w:space="0"/>
              <w:right w:val="single" w:color="auto" w:sz="4" w:space="0"/>
            </w:tcBorders>
            <w:vAlign w:val="center"/>
          </w:tcPr>
          <w:p w14:paraId="16CADC5B">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分项预算合计（元）</w:t>
            </w:r>
          </w:p>
        </w:tc>
        <w:tc>
          <w:tcPr>
            <w:tcW w:w="1045" w:type="dxa"/>
            <w:tcBorders>
              <w:top w:val="single" w:color="auto" w:sz="4" w:space="0"/>
              <w:left w:val="single" w:color="auto" w:sz="4" w:space="0"/>
              <w:bottom w:val="single" w:color="auto" w:sz="4" w:space="0"/>
              <w:right w:val="single" w:color="auto" w:sz="4" w:space="0"/>
            </w:tcBorders>
            <w:vAlign w:val="center"/>
          </w:tcPr>
          <w:p w14:paraId="776C8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中小企业划分标准所属行业名称（行业名称及划分见本章附件2）</w:t>
            </w:r>
          </w:p>
        </w:tc>
      </w:tr>
      <w:tr w14:paraId="260B5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28" w:type="dxa"/>
            <w:vMerge w:val="continue"/>
            <w:tcBorders>
              <w:left w:val="single" w:color="auto" w:sz="4" w:space="0"/>
              <w:right w:val="single" w:color="auto" w:sz="4" w:space="0"/>
            </w:tcBorders>
            <w:vAlign w:val="center"/>
          </w:tcPr>
          <w:p w14:paraId="731AC185">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115BFD08">
            <w:pPr>
              <w:spacing w:line="5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957" w:type="dxa"/>
            <w:tcBorders>
              <w:top w:val="single" w:color="auto" w:sz="4" w:space="0"/>
              <w:left w:val="single" w:color="auto" w:sz="4" w:space="0"/>
              <w:bottom w:val="single" w:color="auto" w:sz="4" w:space="0"/>
              <w:right w:val="single" w:color="auto" w:sz="4" w:space="0"/>
            </w:tcBorders>
            <w:vAlign w:val="center"/>
          </w:tcPr>
          <w:p w14:paraId="1191D99E">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方案修订</w:t>
            </w:r>
          </w:p>
        </w:tc>
        <w:tc>
          <w:tcPr>
            <w:tcW w:w="562" w:type="dxa"/>
            <w:tcBorders>
              <w:top w:val="single" w:color="auto" w:sz="4" w:space="0"/>
              <w:left w:val="single" w:color="auto" w:sz="4" w:space="0"/>
              <w:bottom w:val="single" w:color="auto" w:sz="4" w:space="0"/>
              <w:right w:val="single" w:color="auto" w:sz="4" w:space="0"/>
            </w:tcBorders>
            <w:vAlign w:val="center"/>
          </w:tcPr>
          <w:p w14:paraId="1874F689">
            <w:pPr>
              <w:pStyle w:val="40"/>
              <w:spacing w:before="0" w:beforeAutospacing="0" w:after="0" w:afterAutospacing="0" w:line="500" w:lineRule="exact"/>
              <w:ind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0E7B917C">
            <w:pPr>
              <w:spacing w:line="50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476EE87E">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一、</w:t>
            </w:r>
            <w:r>
              <w:rPr>
                <w:rFonts w:hint="default" w:ascii="宋体" w:hAnsi="宋体" w:eastAsia="宋体" w:cs="宋体"/>
                <w:b/>
                <w:bCs/>
                <w:color w:val="auto"/>
                <w:kern w:val="0"/>
                <w:sz w:val="21"/>
                <w:szCs w:val="21"/>
                <w:highlight w:val="none"/>
                <w:lang w:val="en-US" w:eastAsia="zh-CN" w:bidi="ar-SA"/>
              </w:rPr>
              <w:t>整体要求：</w:t>
            </w:r>
          </w:p>
          <w:p w14:paraId="0C2EA88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（一）</w:t>
            </w:r>
            <w:r>
              <w:rPr>
                <w:rFonts w:hint="default" w:ascii="宋体" w:hAnsi="宋体" w:eastAsia="宋体" w:cs="宋体"/>
                <w:color w:val="auto"/>
                <w:kern w:val="0"/>
                <w:sz w:val="21"/>
                <w:szCs w:val="21"/>
                <w:highlight w:val="none"/>
                <w:lang w:val="en-US" w:eastAsia="zh-CN" w:bidi="ar-SA"/>
              </w:rPr>
              <w:t>修订餐旅专业群以下5个专业的人才培养方案</w:t>
            </w:r>
            <w:r>
              <w:rPr>
                <w:rFonts w:hint="eastAsia" w:ascii="宋体" w:hAnsi="宋体" w:cs="宋体"/>
                <w:color w:val="auto"/>
                <w:kern w:val="0"/>
                <w:sz w:val="21"/>
                <w:szCs w:val="21"/>
                <w:highlight w:val="none"/>
                <w:lang w:val="en-US" w:eastAsia="zh-CN" w:bidi="ar-SA"/>
              </w:rPr>
              <w:t>：</w:t>
            </w:r>
          </w:p>
          <w:p w14:paraId="4E61136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中餐烹饪专业</w:t>
            </w:r>
            <w:r>
              <w:rPr>
                <w:rFonts w:hint="eastAsia" w:ascii="宋体" w:hAnsi="宋体" w:cs="宋体"/>
                <w:color w:val="auto"/>
                <w:kern w:val="0"/>
                <w:sz w:val="21"/>
                <w:szCs w:val="21"/>
                <w:highlight w:val="none"/>
                <w:lang w:val="en-US" w:eastAsia="zh-CN" w:bidi="ar-SA"/>
              </w:rPr>
              <w:t>；</w:t>
            </w:r>
          </w:p>
          <w:p w14:paraId="6C422B5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西餐烹饪专业</w:t>
            </w:r>
            <w:r>
              <w:rPr>
                <w:rFonts w:hint="eastAsia" w:ascii="宋体" w:hAnsi="宋体" w:cs="宋体"/>
                <w:color w:val="auto"/>
                <w:kern w:val="0"/>
                <w:sz w:val="21"/>
                <w:szCs w:val="21"/>
                <w:highlight w:val="none"/>
                <w:lang w:val="en-US" w:eastAsia="zh-CN" w:bidi="ar-SA"/>
              </w:rPr>
              <w:t>；</w:t>
            </w:r>
          </w:p>
          <w:p w14:paraId="567B7FC5">
            <w:pPr>
              <w:spacing w:line="420" w:lineRule="exact"/>
              <w:ind w:firstLine="420" w:firstLineChars="200"/>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cs="宋体"/>
                <w:color w:val="auto"/>
                <w:kern w:val="0"/>
                <w:sz w:val="21"/>
                <w:szCs w:val="21"/>
                <w:highlight w:val="none"/>
                <w:lang w:val="en-US" w:eastAsia="zh-CN" w:bidi="ar-SA"/>
              </w:rPr>
              <w:t>中西式面点专业</w:t>
            </w:r>
            <w:r>
              <w:rPr>
                <w:rFonts w:hint="eastAsia" w:ascii="宋体" w:hAnsi="宋体" w:cs="宋体"/>
                <w:color w:val="auto"/>
                <w:kern w:val="0"/>
                <w:sz w:val="21"/>
                <w:szCs w:val="21"/>
                <w:highlight w:val="none"/>
                <w:lang w:val="en-US" w:eastAsia="zh-CN" w:bidi="ar-SA"/>
              </w:rPr>
              <w:t>；</w:t>
            </w:r>
          </w:p>
          <w:p w14:paraId="6495DE59">
            <w:pPr>
              <w:spacing w:line="420" w:lineRule="exact"/>
              <w:ind w:firstLine="420" w:firstLineChars="200"/>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cs="宋体"/>
                <w:color w:val="auto"/>
                <w:kern w:val="0"/>
                <w:sz w:val="21"/>
                <w:szCs w:val="21"/>
                <w:highlight w:val="none"/>
                <w:lang w:val="en-US" w:eastAsia="zh-CN" w:bidi="ar-SA"/>
              </w:rPr>
              <w:t>高星级饭店运营与管理专业</w:t>
            </w:r>
            <w:r>
              <w:rPr>
                <w:rFonts w:hint="eastAsia" w:ascii="宋体" w:hAnsi="宋体" w:cs="宋体"/>
                <w:color w:val="auto"/>
                <w:kern w:val="0"/>
                <w:sz w:val="21"/>
                <w:szCs w:val="21"/>
                <w:highlight w:val="none"/>
                <w:lang w:val="en-US" w:eastAsia="zh-CN" w:bidi="ar-SA"/>
              </w:rPr>
              <w:t>；</w:t>
            </w:r>
          </w:p>
          <w:p w14:paraId="5AA139FC">
            <w:pPr>
              <w:spacing w:line="420" w:lineRule="exact"/>
              <w:ind w:firstLine="420" w:firstLineChars="200"/>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cs="宋体"/>
                <w:color w:val="auto"/>
                <w:kern w:val="0"/>
                <w:sz w:val="21"/>
                <w:szCs w:val="21"/>
                <w:highlight w:val="none"/>
                <w:lang w:val="en-US" w:eastAsia="zh-CN" w:bidi="ar-SA"/>
              </w:rPr>
              <w:t>康养休闲旅游服务专业</w:t>
            </w:r>
            <w:r>
              <w:rPr>
                <w:rFonts w:hint="eastAsia" w:ascii="宋体" w:hAnsi="宋体" w:cs="宋体"/>
                <w:color w:val="auto"/>
                <w:kern w:val="0"/>
                <w:sz w:val="21"/>
                <w:szCs w:val="21"/>
                <w:highlight w:val="none"/>
                <w:lang w:val="en-US" w:eastAsia="zh-CN" w:bidi="ar-SA"/>
              </w:rPr>
              <w:t>。</w:t>
            </w:r>
          </w:p>
          <w:p w14:paraId="01C3D56C">
            <w:pPr>
              <w:spacing w:line="420" w:lineRule="exact"/>
              <w:ind w:firstLine="422" w:firstLineChars="200"/>
              <w:rPr>
                <w:rFonts w:hint="default" w:ascii="宋体" w:hAnsi="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二、</w:t>
            </w:r>
            <w:r>
              <w:rPr>
                <w:rFonts w:hint="default" w:ascii="宋体" w:hAnsi="宋体" w:cs="宋体"/>
                <w:b/>
                <w:bCs/>
                <w:color w:val="auto"/>
                <w:kern w:val="0"/>
                <w:sz w:val="21"/>
                <w:szCs w:val="21"/>
                <w:highlight w:val="none"/>
                <w:lang w:val="en-US" w:eastAsia="zh-CN" w:bidi="ar-SA"/>
              </w:rPr>
              <w:t>服务要求：</w:t>
            </w:r>
          </w:p>
          <w:p w14:paraId="3387EC9B">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（一）</w:t>
            </w:r>
            <w:r>
              <w:rPr>
                <w:rFonts w:hint="default" w:ascii="宋体" w:hAnsi="宋体" w:eastAsia="宋体" w:cs="宋体"/>
                <w:color w:val="auto"/>
                <w:kern w:val="0"/>
                <w:sz w:val="21"/>
                <w:szCs w:val="21"/>
                <w:highlight w:val="none"/>
                <w:lang w:val="en-US" w:eastAsia="zh-CN" w:bidi="ar-SA"/>
              </w:rPr>
              <w:t>人才培养方案修订须符合以下政策文件要求：</w:t>
            </w:r>
          </w:p>
          <w:p w14:paraId="006D52B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《教育部关于职业院校专业人才培养方案制订与实施工作的指导意见》（教职成〔2019〕13号）</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p>
          <w:p w14:paraId="3D8E20A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《关于组织做好职业院校专业人才培养方案制订与实施工作的通知》（教职成司函〔2019〕61号）</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p>
          <w:p w14:paraId="5C33254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《职业教育专业目录（2021年）》及《职业教育专业简介（2022年修订）》</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以及教育部关于职业院校专业教学标准、课程标准制定的相关要求。</w:t>
            </w:r>
          </w:p>
          <w:p w14:paraId="39DA9C4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二</w:t>
            </w:r>
            <w:r>
              <w:rPr>
                <w:rFonts w:hint="default" w:ascii="宋体" w:hAnsi="宋体" w:eastAsia="宋体" w:cs="宋体"/>
                <w:color w:val="auto"/>
                <w:kern w:val="0"/>
                <w:sz w:val="21"/>
                <w:szCs w:val="21"/>
                <w:highlight w:val="none"/>
                <w:lang w:val="en-US" w:eastAsia="zh-CN" w:bidi="ar-SA"/>
              </w:rPr>
              <w:t>）专业调研报告</w:t>
            </w:r>
          </w:p>
          <w:p w14:paraId="1649B64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对专业对应行业、所处产业开展调研，形成专业调研报告，专业调研报告要求符合以下要求：</w:t>
            </w:r>
          </w:p>
          <w:p w14:paraId="663C413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封面与基本信息：报告封面须包含完整的标题（格式为“×××专业人才培养方案修订调研报告”）、学校全称（加盖公章）、专业名称及代码（须对应《中等职业学校专业目录》规范名称）、调研起止时间（精确到年月）、报告完成日期、编制部门。如涉及多次修订，须注明版本号及修订记录。</w:t>
            </w:r>
          </w:p>
          <w:p w14:paraId="6E4D497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调研背景与目的：须阐述国家职业教育改革政策背景（如《国家职业教育改革实施方案》等上位政策文件）和区域产业政策、行业发展规划对专业人才培养提出的新要求。简述本专业现有培养方案的实施现状，指出现有方案的不足或滞后之处。明确阐明调研的总体目的——为人才培养方案修订提供客观数据依据，并具体拆解为若干子目标，包括对接产业需求、优化课程体系、更新教学内容、调整培养规格等。同时须列出调研所依据的政策文件与标准规范清单。</w:t>
            </w:r>
          </w:p>
          <w:p w14:paraId="5FCE104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调研对象与方法：调研对象须覆盖四类主体：行业企业（含行业主管部门、行业协会、代表性企业）、同类院校（含中职和高职）、毕业生及实习生、在校生及家长（视需要纳入）。须对样本的数量、地域分布、企业规模与类型、岗位层级等做出说明，样本量须具备统计代表性。须综合运用不少于三种调研方法（问卷调查、实地走访、座谈访谈、电话或视频访谈、文献研究、网络调查等），说明每种方法对应的调研对象及问卷回收率、有效率。须列出使用的调研工具名称，核心工具（问卷、访谈提纲）须作为附件附后。还须说明调研的时间安排、组织方式及数据采集过程。</w:t>
            </w:r>
          </w:p>
          <w:p w14:paraId="54766E9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产业与行业发展现状分析：须阐述该专业对应产业的宏观发展态势及所属产业门类，提供行业市场规模、增长趋势及技术变革方向的数据支撑。分析产业转型升级对人才需求结构产生的具体影响，并结合区域经济发展规划说明区域对该专业人才的特定需求特征。</w:t>
            </w:r>
          </w:p>
          <w:p w14:paraId="0A0A8D9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企业人才需求分析：须梳理毕业生可从事的核心岗位、关联岗位及发展岗位，形成岗位群分布说明。对各岗位的知识要求、技能要求和素养要求进行逐项说明，区分专业能力与通用能力两个维度。预测未来1至3年企业对不同层次人才的需求数量及缺口情况。调研岗位起薪水平、主要招聘渠道及学历要求变化趋势。</w:t>
            </w:r>
          </w:p>
          <w:p w14:paraId="1DC4128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default" w:ascii="宋体" w:hAnsi="宋体" w:eastAsia="宋体" w:cs="宋体"/>
                <w:color w:val="auto"/>
                <w:kern w:val="0"/>
                <w:sz w:val="21"/>
                <w:szCs w:val="21"/>
                <w:highlight w:val="none"/>
                <w:lang w:val="en-US" w:eastAsia="zh-CN" w:bidi="ar-SA"/>
              </w:rPr>
              <w:t>职业标准与资格要求：须列出该专业对应的国家职业资格目录中的职业或工种，明确职业技能等级证书要求，并调研说明行业企业自主设置的岗位胜任力标准。</w:t>
            </w:r>
          </w:p>
          <w:p w14:paraId="196B469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r>
              <w:rPr>
                <w:rFonts w:hint="default" w:ascii="宋体" w:hAnsi="宋体" w:eastAsia="宋体" w:cs="宋体"/>
                <w:color w:val="auto"/>
                <w:kern w:val="0"/>
                <w:sz w:val="21"/>
                <w:szCs w:val="21"/>
                <w:highlight w:val="none"/>
                <w:lang w:val="en-US" w:eastAsia="zh-CN" w:bidi="ar-SA"/>
              </w:rPr>
              <w:t>同类院校专业开设情况：须调研本地区及周边地区开设同类专业的院校数量与办学规模，对比各院校的专业定位与特色方向，归纳可借鉴的课程体系设置与教学改革经验，对比各院校近三年的招生规模与就业率数据。</w:t>
            </w:r>
          </w:p>
          <w:p w14:paraId="6842DD0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8、</w:t>
            </w:r>
            <w:r>
              <w:rPr>
                <w:rFonts w:hint="default" w:ascii="宋体" w:hAnsi="宋体" w:eastAsia="宋体" w:cs="宋体"/>
                <w:color w:val="auto"/>
                <w:kern w:val="0"/>
                <w:sz w:val="21"/>
                <w:szCs w:val="21"/>
                <w:highlight w:val="none"/>
                <w:lang w:val="en-US" w:eastAsia="zh-CN" w:bidi="ar-SA"/>
              </w:rPr>
              <w:t>毕业生与实习生反馈：须统计毕业生就业去向数据（就业率、专业对口率、地域分布、单位性质），调研毕业生对在校所学知识技能在岗位中实用性的评价，识别毕业生认为在校期间训练不足或与实际脱节的能力短板，了解毕业生岗位晋升路径与发展周期。</w:t>
            </w:r>
          </w:p>
          <w:p w14:paraId="54B031B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9、</w:t>
            </w:r>
            <w:r>
              <w:rPr>
                <w:rFonts w:hint="default" w:ascii="宋体" w:hAnsi="宋体" w:eastAsia="宋体" w:cs="宋体"/>
                <w:color w:val="auto"/>
                <w:kern w:val="0"/>
                <w:sz w:val="21"/>
                <w:szCs w:val="21"/>
                <w:highlight w:val="none"/>
                <w:lang w:val="en-US" w:eastAsia="zh-CN" w:bidi="ar-SA"/>
              </w:rPr>
              <w:t>在校生学情分析：须调研在校学生的学习基础与学习动机，收集在校生对现行课程设置的满意度及改进建议，了解在校生对实训条件、教学方法的评价意见，以及在校生对职业认知和就业意向的基本情况。</w:t>
            </w:r>
          </w:p>
          <w:p w14:paraId="6BF59E9E">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10、</w:t>
            </w:r>
            <w:r>
              <w:rPr>
                <w:rFonts w:hint="default" w:ascii="宋体" w:hAnsi="宋体" w:eastAsia="宋体" w:cs="宋体"/>
                <w:color w:val="auto"/>
                <w:kern w:val="0"/>
                <w:sz w:val="21"/>
                <w:szCs w:val="21"/>
                <w:highlight w:val="none"/>
                <w:lang w:val="en-US" w:eastAsia="zh-CN" w:bidi="ar-SA"/>
              </w:rPr>
              <w:t>调研发现与问题诊断：须归纳调研中最突出的关键发现（不少于三条），且每条发现须有调研数据直接支撑。采用SWOT分析法或问题-原因分析框架进行结构化梳理。诊断现有培养目标与产业需求的匹配度差距，课程体系中存在的结构性问题（课程陈旧、重复、缺失等），教学内容与岗位能力要求的脱节环节，实践教学环节的薄弱之处，以及“岗课赛证”融通方面的不足。同时须对比上一版培养方案，梳理岗位能力需求发生的显著变化。</w:t>
            </w:r>
          </w:p>
          <w:p w14:paraId="4F05538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11、</w:t>
            </w:r>
            <w:r>
              <w:rPr>
                <w:rFonts w:hint="default" w:ascii="宋体" w:hAnsi="宋体" w:eastAsia="宋体" w:cs="宋体"/>
                <w:color w:val="auto"/>
                <w:kern w:val="0"/>
                <w:sz w:val="21"/>
                <w:szCs w:val="21"/>
                <w:highlight w:val="none"/>
                <w:lang w:val="en-US" w:eastAsia="zh-CN" w:bidi="ar-SA"/>
              </w:rPr>
              <w:t>结论与专业定位建议：用简洁文字概括调研的核心结论，结论须直接回应调研目的中设定的子目标，并有数据支持。提出专业培养方向的调整建议（含是否需要增设方向或拓展领域），明确专业服务面向（面向什么行业、什么岗位群），以及专业特色定位的优化建议。</w:t>
            </w:r>
          </w:p>
          <w:p w14:paraId="38E22C2A">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12、</w:t>
            </w:r>
            <w:r>
              <w:rPr>
                <w:rFonts w:hint="default" w:ascii="宋体" w:hAnsi="宋体" w:eastAsia="宋体" w:cs="宋体"/>
                <w:color w:val="auto"/>
                <w:kern w:val="0"/>
                <w:sz w:val="21"/>
                <w:szCs w:val="21"/>
                <w:highlight w:val="none"/>
                <w:lang w:val="en-US" w:eastAsia="zh-CN" w:bidi="ar-SA"/>
              </w:rPr>
              <w:t>培养目标调整建议：提出人才培养规格的修订方向，覆盖知识、能力、素养三个维度，并对学制、招生对象等基本信息提出保留或调整建议。</w:t>
            </w:r>
          </w:p>
          <w:p w14:paraId="376AEDAB">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13、</w:t>
            </w:r>
            <w:r>
              <w:rPr>
                <w:rFonts w:hint="default" w:ascii="宋体" w:hAnsi="宋体" w:eastAsia="宋体" w:cs="宋体"/>
                <w:color w:val="auto"/>
                <w:kern w:val="0"/>
                <w:sz w:val="21"/>
                <w:szCs w:val="21"/>
                <w:highlight w:val="none"/>
                <w:lang w:val="en-US" w:eastAsia="zh-CN" w:bidi="ar-SA"/>
              </w:rPr>
              <w:t>课程体系优化建议：按课程模块（公共基础课、专业核心课、专业方向课、选修课）分别提出调整建议，逐项列出建议新增、删减或整合的课程名称并附调整理由。提出实践教学环节（校内实训、跟岗实习、顶岗实习）的优化建议，以及课程思政融入的路径与方式建议。</w:t>
            </w:r>
          </w:p>
          <w:p w14:paraId="3D0674AD">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14、</w:t>
            </w:r>
            <w:r>
              <w:rPr>
                <w:rFonts w:hint="default" w:ascii="宋体" w:hAnsi="宋体" w:eastAsia="宋体" w:cs="宋体"/>
                <w:color w:val="auto"/>
                <w:kern w:val="0"/>
                <w:sz w:val="21"/>
                <w:szCs w:val="21"/>
                <w:highlight w:val="none"/>
                <w:lang w:val="en-US" w:eastAsia="zh-CN" w:bidi="ar-SA"/>
              </w:rPr>
              <w:t>教学改革建议：提出教学方法与教学模式改革方向（项目化教学、理实一体化教学等），数字化教学资源建设的具体建议，以及"岗课赛证"融通的具体实施路径。</w:t>
            </w:r>
          </w:p>
          <w:p w14:paraId="3939FC70">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15、</w:t>
            </w:r>
            <w:r>
              <w:rPr>
                <w:rFonts w:hint="default" w:ascii="宋体" w:hAnsi="宋体" w:eastAsia="宋体" w:cs="宋体"/>
                <w:color w:val="auto"/>
                <w:kern w:val="0"/>
                <w:sz w:val="21"/>
                <w:szCs w:val="21"/>
                <w:highlight w:val="none"/>
                <w:lang w:val="en-US" w:eastAsia="zh-CN" w:bidi="ar-SA"/>
              </w:rPr>
              <w:t>保障条件建议：提出师资队伍结构调整及培养培训建议，校内外实训基地建设与升级建议，以及校企合作机制深化建议。</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"https://zcy-gov-open-doc.oss-cn-north-2-gov-1.aliyuncs.com/1024FPA/undefined/630121/10007470044/202410/500b7761-8a7a-4013-811e-8f2c0c25d0c5.pdf" \l "5#5"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p>
          <w:p w14:paraId="489AA2F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三</w:t>
            </w:r>
            <w:r>
              <w:rPr>
                <w:rFonts w:hint="default" w:ascii="宋体" w:hAnsi="宋体" w:eastAsia="宋体" w:cs="宋体"/>
                <w:color w:val="auto"/>
                <w:kern w:val="0"/>
                <w:sz w:val="21"/>
                <w:szCs w:val="21"/>
                <w:highlight w:val="none"/>
                <w:lang w:val="en-US" w:eastAsia="zh-CN" w:bidi="ar-SA"/>
              </w:rPr>
              <w:t>）人才培养方案修订</w:t>
            </w:r>
          </w:p>
          <w:p w14:paraId="4AEE600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在学校现有专业人才培养方案的基础上，紧扣需求牵引，以产定教、以产引教、以产改教、以产促教的教学改革要求，结合调研数据，修订完善人才培养目标，明确培养规格与毕业要求。</w:t>
            </w:r>
          </w:p>
          <w:p w14:paraId="4F9ED629">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突出“岗课赛证”融合，将职业资格证书要求融入课程内容，强化实践教学，确保实践性教学学时占总学时比例不低于50%。</w:t>
            </w:r>
          </w:p>
          <w:p w14:paraId="43C39AD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人才培养方案须包含以下逐项撰写要素及具体标准要求：</w:t>
            </w:r>
          </w:p>
          <w:p w14:paraId="2A104A6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专业名称及代码：须严格按照《职业教育专业目录（2021年）》及《职业教育专业简介（2022年修订）》规范使用专业名称和专业代码。</w:t>
            </w:r>
          </w:p>
          <w:p w14:paraId="40C1EA2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入学要求：须明确为初中毕业生或具有同等学力者。</w:t>
            </w:r>
          </w:p>
          <w:p w14:paraId="5C28EF8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基本学制：学制以3年为标准。</w:t>
            </w:r>
          </w:p>
          <w:p w14:paraId="5F7ACFC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培养目标：须面向行业企业一线岗位，明确本专业培养的思想政治素质、文化知识水平、专业技术技能和职业素养目标，表述须具体可测、层次清晰。</w:t>
            </w:r>
          </w:p>
          <w:p w14:paraId="71480DE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职业范围：须对应列举本专业所面向的职业岗位或岗位群，注明对应的职业资格证书的名称、等级及颁证单位。</w:t>
            </w:r>
          </w:p>
          <w:p w14:paraId="45F839C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default" w:ascii="宋体" w:hAnsi="宋体" w:eastAsia="宋体" w:cs="宋体"/>
                <w:color w:val="auto"/>
                <w:kern w:val="0"/>
                <w:sz w:val="21"/>
                <w:szCs w:val="21"/>
                <w:highlight w:val="none"/>
                <w:lang w:val="en-US" w:eastAsia="zh-CN" w:bidi="ar-SA"/>
              </w:rPr>
              <w:t>人才培养规格：须分为三个维度逐项描述——素质要求，含思想政治、职业道德、人文素养、身心素质等方面；知识要求，含文化基础知识、专业基础知识等方面；能力要求，含通用能力、专业技术技能等方面。各项要求须明确、具体、可评价。</w:t>
            </w:r>
          </w:p>
          <w:p w14:paraId="2703B65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r>
              <w:rPr>
                <w:rFonts w:hint="default" w:ascii="宋体" w:hAnsi="宋体" w:eastAsia="宋体" w:cs="宋体"/>
                <w:color w:val="auto"/>
                <w:kern w:val="0"/>
                <w:sz w:val="21"/>
                <w:szCs w:val="21"/>
                <w:highlight w:val="none"/>
                <w:lang w:val="en-US" w:eastAsia="zh-CN" w:bidi="ar-SA"/>
              </w:rPr>
              <w:t>课程体系：须构建“公共基础课程加专业（技能）课程”两大模块，其中专业课程须细分为专业核心课、专业拓展课和专业选修课，形成明确的课程结构图或课程体系表。</w:t>
            </w:r>
          </w:p>
          <w:p w14:paraId="5BA4E29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（8）</w:t>
            </w:r>
            <w:r>
              <w:rPr>
                <w:rFonts w:hint="default" w:ascii="宋体" w:hAnsi="宋体" w:eastAsia="宋体" w:cs="宋体"/>
                <w:color w:val="auto"/>
                <w:kern w:val="0"/>
                <w:sz w:val="21"/>
                <w:szCs w:val="21"/>
                <w:highlight w:val="none"/>
                <w:lang w:val="en-US" w:eastAsia="zh-CN" w:bidi="ar-SA"/>
              </w:rPr>
              <w:t>课程设置及要求：每门课程须逐一列明课程名称、课程性质与任务、课程目标、课程内容与学时安排、教学要求。其中公共基础课程须严格按国家规定开足开齐。</w:t>
            </w:r>
          </w:p>
          <w:p w14:paraId="33C5FC7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（9）</w:t>
            </w:r>
            <w:r>
              <w:rPr>
                <w:rFonts w:hint="default" w:ascii="宋体" w:hAnsi="宋体" w:eastAsia="宋体" w:cs="宋体"/>
                <w:color w:val="auto"/>
                <w:kern w:val="0"/>
                <w:sz w:val="21"/>
                <w:szCs w:val="21"/>
                <w:highlight w:val="none"/>
                <w:lang w:val="en-US" w:eastAsia="zh-CN" w:bidi="ar-SA"/>
              </w:rPr>
              <w:t>教学进程总体安排：须以表格形式呈现每学期的教学周数、课程安排、学时分配、实践教学安排等，须明确每门课程的总学时、周学时、学分及考核方式。</w:t>
            </w:r>
          </w:p>
          <w:p w14:paraId="0417BAE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（10）</w:t>
            </w:r>
            <w:r>
              <w:rPr>
                <w:rFonts w:hint="default" w:ascii="宋体" w:hAnsi="宋体" w:eastAsia="宋体" w:cs="宋体"/>
                <w:color w:val="auto"/>
                <w:kern w:val="0"/>
                <w:sz w:val="21"/>
                <w:szCs w:val="21"/>
                <w:highlight w:val="none"/>
                <w:lang w:val="en-US" w:eastAsia="zh-CN" w:bidi="ar-SA"/>
              </w:rPr>
              <w:t>学时分配与学分计算：按照一下原则计算——三年总学时原则上为3000至3300学时；公共基础课程学时约占三分之一；实践性教学学时占总学时不低于50%；顶岗实习时间一般为6个月；每18学时折算。</w:t>
            </w:r>
          </w:p>
          <w:p w14:paraId="58E559E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（11）</w:t>
            </w:r>
            <w:r>
              <w:rPr>
                <w:rFonts w:hint="default" w:ascii="宋体" w:hAnsi="宋体" w:eastAsia="宋体" w:cs="宋体"/>
                <w:color w:val="auto"/>
                <w:kern w:val="0"/>
                <w:sz w:val="21"/>
                <w:szCs w:val="21"/>
                <w:highlight w:val="none"/>
                <w:lang w:val="en-US" w:eastAsia="zh-CN" w:bidi="ar-SA"/>
              </w:rPr>
              <w:t>毕业条件：须明确学生毕业所需满足的最低学分要求、必修课程通过要求、职业资格证书或技能等级证书要求等，须具体量化。</w:t>
            </w:r>
          </w:p>
          <w:p w14:paraId="0ACD62A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（12）</w:t>
            </w:r>
            <w:r>
              <w:rPr>
                <w:rFonts w:hint="default" w:ascii="宋体" w:hAnsi="宋体" w:eastAsia="宋体" w:cs="宋体"/>
                <w:color w:val="auto"/>
                <w:kern w:val="0"/>
                <w:sz w:val="21"/>
                <w:szCs w:val="21"/>
                <w:highlight w:val="none"/>
                <w:lang w:val="en-US" w:eastAsia="zh-CN" w:bidi="ar-SA"/>
              </w:rPr>
              <w:t>教学实施与保障：包括师资队伍保障，须明确生师比、双师型教师比例、兼职教师比例等；实训条件保障，须明确校内外实训基地、设备配置标准等；教学资源保障，须明确教材选用、数字化资源等；质量保障，须明确教学管理制度、教学质量监控机制等。</w:t>
            </w:r>
          </w:p>
          <w:p w14:paraId="47754BB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（13）</w:t>
            </w:r>
            <w:r>
              <w:rPr>
                <w:rFonts w:hint="default" w:ascii="宋体" w:hAnsi="宋体" w:eastAsia="宋体" w:cs="宋体"/>
                <w:color w:val="auto"/>
                <w:kern w:val="0"/>
                <w:sz w:val="21"/>
                <w:szCs w:val="21"/>
                <w:highlight w:val="none"/>
                <w:lang w:val="en-US" w:eastAsia="zh-CN" w:bidi="ar-SA"/>
              </w:rPr>
              <w:t>考核评价：须制定课程考核与毕业评价方案，明确过程性考核与终结性考核相结合的评价方式，以及职业技能等级证书与课程学分的转换互认机制。</w:t>
            </w:r>
          </w:p>
          <w:p w14:paraId="67C0F86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（14）</w:t>
            </w:r>
            <w:r>
              <w:rPr>
                <w:rFonts w:hint="default" w:ascii="宋体" w:hAnsi="宋体" w:eastAsia="宋体" w:cs="宋体"/>
                <w:color w:val="auto"/>
                <w:kern w:val="0"/>
                <w:sz w:val="21"/>
                <w:szCs w:val="21"/>
                <w:highlight w:val="none"/>
                <w:lang w:val="en-US" w:eastAsia="zh-CN" w:bidi="ar-SA"/>
              </w:rPr>
              <w:t>课程思政与劳动教育要求：每门课程须明确融入思政元素的切入点和实施方式；劳动教育须单列安排，明确课时、内容和实施方式。</w:t>
            </w:r>
          </w:p>
          <w:p w14:paraId="1DA8B14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四</w:t>
            </w:r>
            <w:r>
              <w:rPr>
                <w:rFonts w:hint="default" w:ascii="宋体" w:hAnsi="宋体" w:eastAsia="宋体" w:cs="宋体"/>
                <w:color w:val="auto"/>
                <w:kern w:val="0"/>
                <w:sz w:val="21"/>
                <w:szCs w:val="21"/>
                <w:highlight w:val="none"/>
                <w:lang w:val="en-US" w:eastAsia="zh-CN" w:bidi="ar-SA"/>
              </w:rPr>
              <w:t>）课程标准研制</w:t>
            </w:r>
          </w:p>
          <w:p w14:paraId="7CA4744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明确课程性质与任务、课程目标与要求、课程结构与内容。</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p>
          <w:p w14:paraId="67A8BA69">
            <w:pPr>
              <w:spacing w:line="420" w:lineRule="exact"/>
              <w:ind w:firstLine="420" w:firstLineChars="200"/>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cs="宋体"/>
                <w:color w:val="auto"/>
                <w:kern w:val="0"/>
                <w:sz w:val="21"/>
                <w:szCs w:val="21"/>
                <w:highlight w:val="none"/>
                <w:lang w:val="en-US" w:eastAsia="zh-CN" w:bidi="ar-SA"/>
              </w:rPr>
              <w:t>合理分配线下线上教学内容，明确学时与学分安排。</w:t>
            </w:r>
            <w:r>
              <w:rPr>
                <w:rFonts w:hint="default" w:ascii="宋体" w:hAnsi="宋体" w:cs="宋体"/>
                <w:color w:val="auto"/>
                <w:kern w:val="0"/>
                <w:sz w:val="21"/>
                <w:szCs w:val="21"/>
                <w:highlight w:val="none"/>
                <w:lang w:val="en-US" w:eastAsia="zh-CN" w:bidi="ar-SA"/>
              </w:rPr>
              <w:fldChar w:fldCharType="begin"/>
            </w:r>
            <w:r>
              <w:rPr>
                <w:rFonts w:hint="default" w:ascii="宋体" w:hAnsi="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cs="宋体"/>
                <w:color w:val="auto"/>
                <w:kern w:val="0"/>
                <w:sz w:val="21"/>
                <w:szCs w:val="21"/>
                <w:highlight w:val="none"/>
                <w:lang w:val="en-US" w:eastAsia="zh-CN" w:bidi="ar-SA"/>
              </w:rPr>
              <w:fldChar w:fldCharType="separate"/>
            </w:r>
            <w:r>
              <w:rPr>
                <w:rFonts w:hint="default" w:ascii="宋体" w:hAnsi="宋体" w:cs="宋体"/>
                <w:color w:val="auto"/>
                <w:kern w:val="0"/>
                <w:sz w:val="21"/>
                <w:szCs w:val="21"/>
                <w:highlight w:val="none"/>
                <w:lang w:val="en-US" w:eastAsia="zh-CN" w:bidi="ar-SA"/>
              </w:rPr>
              <w:fldChar w:fldCharType="end"/>
            </w:r>
          </w:p>
          <w:p w14:paraId="27D7A008">
            <w:pPr>
              <w:spacing w:line="420" w:lineRule="exact"/>
              <w:ind w:firstLine="420" w:firstLineChars="200"/>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cs="宋体"/>
                <w:color w:val="auto"/>
                <w:kern w:val="0"/>
                <w:sz w:val="21"/>
                <w:szCs w:val="21"/>
                <w:highlight w:val="none"/>
                <w:lang w:val="en-US" w:eastAsia="zh-CN" w:bidi="ar-SA"/>
              </w:rPr>
              <w:t>制定学生考核与评价方案、教学实施与保障要求、授课进程安排</w:t>
            </w:r>
            <w:r>
              <w:rPr>
                <w:rFonts w:hint="default" w:ascii="宋体" w:hAnsi="宋体" w:cs="宋体"/>
                <w:color w:val="auto"/>
                <w:kern w:val="0"/>
                <w:sz w:val="21"/>
                <w:szCs w:val="21"/>
                <w:highlight w:val="none"/>
                <w:lang w:val="en-US" w:eastAsia="zh-CN" w:bidi="ar-SA"/>
              </w:rPr>
              <w:fldChar w:fldCharType="begin"/>
            </w:r>
            <w:r>
              <w:rPr>
                <w:rFonts w:hint="default" w:ascii="宋体" w:hAnsi="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cs="宋体"/>
                <w:color w:val="auto"/>
                <w:kern w:val="0"/>
                <w:sz w:val="21"/>
                <w:szCs w:val="21"/>
                <w:highlight w:val="none"/>
                <w:lang w:val="en-US" w:eastAsia="zh-CN" w:bidi="ar-SA"/>
              </w:rPr>
              <w:fldChar w:fldCharType="separate"/>
            </w:r>
            <w:r>
              <w:rPr>
                <w:rFonts w:hint="default" w:ascii="宋体" w:hAnsi="宋体" w:cs="宋体"/>
                <w:color w:val="auto"/>
                <w:kern w:val="0"/>
                <w:sz w:val="21"/>
                <w:szCs w:val="21"/>
                <w:highlight w:val="none"/>
                <w:lang w:val="en-US" w:eastAsia="zh-CN" w:bidi="ar-SA"/>
              </w:rPr>
              <w:fldChar w:fldCharType="end"/>
            </w:r>
          </w:p>
          <w:p w14:paraId="139FEBB0">
            <w:pPr>
              <w:spacing w:line="420" w:lineRule="exact"/>
              <w:ind w:firstLine="420" w:firstLineChars="200"/>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cs="宋体"/>
                <w:color w:val="auto"/>
                <w:kern w:val="0"/>
                <w:sz w:val="21"/>
                <w:szCs w:val="21"/>
                <w:highlight w:val="none"/>
                <w:lang w:val="en-US" w:eastAsia="zh-CN" w:bidi="ar-SA"/>
              </w:rPr>
              <w:t>融入课程思政元素与劳动教育要求。</w:t>
            </w:r>
          </w:p>
          <w:p w14:paraId="09E8BACB">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五</w:t>
            </w:r>
            <w:r>
              <w:rPr>
                <w:rFonts w:hint="default" w:ascii="宋体" w:hAnsi="宋体" w:eastAsia="宋体" w:cs="宋体"/>
                <w:color w:val="auto"/>
                <w:kern w:val="0"/>
                <w:sz w:val="21"/>
                <w:szCs w:val="21"/>
                <w:highlight w:val="none"/>
                <w:lang w:val="en-US" w:eastAsia="zh-CN" w:bidi="ar-SA"/>
              </w:rPr>
              <w:t>）专家论证与培训</w:t>
            </w:r>
          </w:p>
          <w:p w14:paraId="212443D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每个专业须邀请不少于2名副高级以上职称的职业教育领域专家或行业专家提供修订指导。</w:t>
            </w:r>
          </w:p>
          <w:p w14:paraId="6B5ABA8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六</w:t>
            </w:r>
            <w:r>
              <w:rPr>
                <w:rFonts w:hint="default" w:ascii="宋体" w:hAnsi="宋体" w:eastAsia="宋体" w:cs="宋体"/>
                <w:color w:val="auto"/>
                <w:kern w:val="0"/>
                <w:sz w:val="21"/>
                <w:szCs w:val="21"/>
                <w:highlight w:val="none"/>
                <w:lang w:val="en-US" w:eastAsia="zh-CN" w:bidi="ar-SA"/>
              </w:rPr>
              <w:t>）交付成果</w:t>
            </w:r>
          </w:p>
          <w:p w14:paraId="7A347F73">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每个专业的人才培养方案修订稿（含修改建议说明）电子版及纸质版，字数不少于5000字。</w:t>
            </w:r>
          </w:p>
          <w:p w14:paraId="35329891">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2、</w:t>
            </w:r>
            <w:r>
              <w:rPr>
                <w:rFonts w:hint="default" w:ascii="宋体" w:hAnsi="宋体" w:cs="宋体"/>
                <w:color w:val="auto"/>
                <w:kern w:val="0"/>
                <w:sz w:val="21"/>
                <w:szCs w:val="21"/>
                <w:highlight w:val="none"/>
                <w:lang w:val="en-US" w:eastAsia="zh-CN" w:bidi="ar-SA"/>
              </w:rPr>
              <w:t>与每个专业人才培养方案匹配的专业调研报告电子版及纸质版，字数不少于5000字。</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"https://640381.bidcenter.com.cn/document/7edb72190dc6cada6a8ae89d8e093cb8.html"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p>
          <w:p w14:paraId="7FE30FC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（七</w:t>
            </w:r>
            <w:r>
              <w:rPr>
                <w:rFonts w:hint="default" w:ascii="宋体" w:hAnsi="宋体" w:eastAsia="宋体" w:cs="宋体"/>
                <w:color w:val="auto"/>
                <w:kern w:val="0"/>
                <w:sz w:val="21"/>
                <w:szCs w:val="21"/>
                <w:highlight w:val="none"/>
                <w:lang w:val="en-US" w:eastAsia="zh-CN" w:bidi="ar-SA"/>
              </w:rPr>
              <w:t>）服务团队要求</w:t>
            </w:r>
          </w:p>
          <w:p w14:paraId="1971702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供应商应具有职业教育人才培养报告业绩经验，具备相关专业背景的专家资源。</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"https://112.115.169.196/view/qfzyxypc/7/484/view/5812.html"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p>
          <w:p w14:paraId="5E48BDD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项目团队应包含职业教育研究、行业企业实践、课程开发等方面的专业人员。</w:t>
            </w:r>
          </w:p>
          <w:p w14:paraId="1090629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项目负责人应具有正高级以上职称或同等专业水平</w:t>
            </w:r>
            <w:r>
              <w:rPr>
                <w:rFonts w:hint="eastAsia"/>
                <w:b/>
                <w:bCs/>
                <w:color w:val="auto"/>
                <w:highlight w:val="none"/>
                <w:lang w:eastAsia="zh-CN"/>
              </w:rPr>
              <w:t>（</w:t>
            </w:r>
            <w:r>
              <w:rPr>
                <w:rFonts w:hint="eastAsia"/>
                <w:b/>
                <w:bCs/>
                <w:color w:val="auto"/>
                <w:highlight w:val="none"/>
                <w:lang w:val="en-US" w:eastAsia="zh-CN"/>
              </w:rPr>
              <w:t>投标时需提供职称证书）</w:t>
            </w:r>
            <w:r>
              <w:rPr>
                <w:rFonts w:hint="eastAsia" w:ascii="宋体" w:hAnsi="宋体" w:cs="宋体"/>
                <w:color w:val="auto"/>
                <w:kern w:val="0"/>
                <w:sz w:val="21"/>
                <w:szCs w:val="21"/>
                <w:highlight w:val="none"/>
                <w:lang w:val="en-US" w:eastAsia="zh-CN" w:bidi="ar-SA"/>
              </w:rPr>
              <w:t>。</w:t>
            </w:r>
          </w:p>
        </w:tc>
        <w:tc>
          <w:tcPr>
            <w:tcW w:w="1270" w:type="dxa"/>
            <w:tcBorders>
              <w:top w:val="single" w:color="auto" w:sz="4" w:space="0"/>
              <w:left w:val="single" w:color="auto" w:sz="4" w:space="0"/>
              <w:bottom w:val="single" w:color="auto" w:sz="4" w:space="0"/>
              <w:right w:val="single" w:color="auto" w:sz="4" w:space="0"/>
            </w:tcBorders>
            <w:vAlign w:val="center"/>
          </w:tcPr>
          <w:p w14:paraId="5F092545">
            <w:pPr>
              <w:spacing w:line="360" w:lineRule="auto"/>
              <w:jc w:val="center"/>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240000</w:t>
            </w:r>
            <w:r>
              <w:rPr>
                <w:rFonts w:hint="eastAsia" w:ascii="宋体" w:hAnsi="宋体" w:eastAsia="宋体" w:cs="宋体"/>
                <w:color w:val="auto"/>
                <w:szCs w:val="21"/>
                <w:highlight w:val="none"/>
                <w:lang w:val="en-US" w:eastAsia="zh-CN"/>
              </w:rPr>
              <w:t>.00</w:t>
            </w:r>
          </w:p>
        </w:tc>
        <w:tc>
          <w:tcPr>
            <w:tcW w:w="1045" w:type="dxa"/>
            <w:tcBorders>
              <w:top w:val="single" w:color="auto" w:sz="4" w:space="0"/>
              <w:left w:val="single" w:color="auto" w:sz="4" w:space="0"/>
              <w:bottom w:val="single" w:color="auto" w:sz="4" w:space="0"/>
              <w:right w:val="single" w:color="auto" w:sz="4" w:space="0"/>
            </w:tcBorders>
            <w:vAlign w:val="center"/>
          </w:tcPr>
          <w:p w14:paraId="6F7A7A7E">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其他未列明行业</w:t>
            </w:r>
          </w:p>
        </w:tc>
      </w:tr>
      <w:tr w14:paraId="0800C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4" w:hRule="atLeast"/>
        </w:trPr>
        <w:tc>
          <w:tcPr>
            <w:tcW w:w="428" w:type="dxa"/>
            <w:vMerge w:val="continue"/>
            <w:tcBorders>
              <w:left w:val="single" w:color="auto" w:sz="4" w:space="0"/>
              <w:right w:val="single" w:color="auto" w:sz="4" w:space="0"/>
            </w:tcBorders>
            <w:vAlign w:val="center"/>
          </w:tcPr>
          <w:p w14:paraId="59A784ED">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607DACB4">
            <w:pPr>
              <w:spacing w:line="5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957" w:type="dxa"/>
            <w:tcBorders>
              <w:top w:val="single" w:color="auto" w:sz="4" w:space="0"/>
              <w:left w:val="single" w:color="auto" w:sz="4" w:space="0"/>
              <w:bottom w:val="single" w:color="auto" w:sz="4" w:space="0"/>
              <w:right w:val="single" w:color="auto" w:sz="4" w:space="0"/>
            </w:tcBorders>
            <w:vAlign w:val="center"/>
          </w:tcPr>
          <w:p w14:paraId="6F14163B">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培训</w:t>
            </w:r>
          </w:p>
        </w:tc>
        <w:tc>
          <w:tcPr>
            <w:tcW w:w="562" w:type="dxa"/>
            <w:tcBorders>
              <w:top w:val="single" w:color="auto" w:sz="4" w:space="0"/>
              <w:left w:val="single" w:color="auto" w:sz="4" w:space="0"/>
              <w:bottom w:val="single" w:color="auto" w:sz="4" w:space="0"/>
              <w:right w:val="single" w:color="auto" w:sz="4" w:space="0"/>
            </w:tcBorders>
            <w:vAlign w:val="center"/>
          </w:tcPr>
          <w:p w14:paraId="3784EC46">
            <w:pPr>
              <w:pStyle w:val="40"/>
              <w:spacing w:before="0" w:beforeAutospacing="0" w:after="0" w:afterAutospacing="0" w:line="500" w:lineRule="exact"/>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50E9EB30">
            <w:pPr>
              <w:spacing w:line="50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417A17E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一、</w:t>
            </w:r>
            <w:r>
              <w:rPr>
                <w:rFonts w:hint="default" w:ascii="宋体" w:hAnsi="宋体" w:eastAsia="宋体" w:cs="宋体"/>
                <w:b/>
                <w:bCs/>
                <w:color w:val="auto"/>
                <w:kern w:val="0"/>
                <w:sz w:val="21"/>
                <w:szCs w:val="21"/>
                <w:highlight w:val="none"/>
                <w:lang w:val="en-US" w:eastAsia="zh-CN" w:bidi="ar-SA"/>
              </w:rPr>
              <w:t>整体要求：</w:t>
            </w:r>
          </w:p>
          <w:p w14:paraId="6BF97B2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进行以下2个板块内容的集中培训，每项培训内容不少于4课时。</w:t>
            </w:r>
          </w:p>
          <w:p w14:paraId="02CB31F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1.人才培养方案撰写和修订培训</w:t>
            </w:r>
          </w:p>
          <w:p w14:paraId="7ED947F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2.在线精品课程建设培训</w:t>
            </w:r>
          </w:p>
          <w:p w14:paraId="29E849DD">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二、</w:t>
            </w:r>
            <w:r>
              <w:rPr>
                <w:rFonts w:hint="default" w:ascii="宋体" w:hAnsi="宋体" w:eastAsia="宋体" w:cs="宋体"/>
                <w:b/>
                <w:bCs/>
                <w:color w:val="auto"/>
                <w:kern w:val="0"/>
                <w:sz w:val="21"/>
                <w:szCs w:val="21"/>
                <w:highlight w:val="none"/>
                <w:lang w:val="en-US" w:eastAsia="zh-CN" w:bidi="ar-SA"/>
              </w:rPr>
              <w:t>服务要求：</w:t>
            </w:r>
          </w:p>
          <w:p w14:paraId="5C21F6D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1.人才培养方案撰写和修订培训</w:t>
            </w:r>
          </w:p>
          <w:p w14:paraId="108482D4">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（1）指导校方开展行业企业调研，完成专业对应行业的人才需求调研报告，为专业群建设和人才培养提供依据</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"https://www.ccgp-neimenggu.gov.cn/gpx-bid-file/150901/gpx-tender/2024/8/5/402881d290ecb0ce019121846c825833.pdf?accessCode=8c3efb71166fa226eca465c08b31341e" \l "7#6"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"https://www.ccgp-neimenggu.gov.cn/gpx-bid-file/150901/gpx-tender/2024/8/26/402881cc9125c40401918e4724fd0dcf.pdf?accessCode=a66289ee96619173cc883f197052620b" \l "10#6"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p>
          <w:p w14:paraId="77A892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（2）国家教学标准解读、能力分析模型应用、典型工作任务提取、课程体系构建方法等</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"https://ggzyfw.beijing.gov.cn/jyxxcggg/20251106/5321321.html"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（3）指导参训教师完成专业人才培养方案初稿撰写。</w:t>
            </w:r>
          </w:p>
          <w:p w14:paraId="726B7110">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（4）结合职业教育最新政策文件（如专业教学标准、实训教学条件建设标准等），对现有专业人才培养方案进行诊断与修订指导。</w:t>
            </w:r>
            <w:r>
              <w:rPr>
                <w:rFonts w:hint="default" w:ascii="宋体" w:hAnsi="宋体" w:eastAsia="宋体" w:cs="宋体"/>
                <w:color w:val="auto"/>
                <w:kern w:val="0"/>
                <w:sz w:val="21"/>
                <w:szCs w:val="21"/>
                <w:highlight w:val="none"/>
                <w:lang w:val="en-US" w:eastAsia="zh-CN" w:bidi="ar-SA"/>
              </w:rPr>
              <w:br w:type="textWrapping"/>
            </w:r>
            <w:r>
              <w:rPr>
                <w:rFonts w:hint="eastAsia" w:ascii="宋体" w:hAnsi="宋体" w:cs="宋体"/>
                <w:color w:val="auto"/>
                <w:kern w:val="0"/>
                <w:sz w:val="21"/>
                <w:szCs w:val="21"/>
                <w:highlight w:val="none"/>
                <w:lang w:val="en-US" w:eastAsia="zh-CN" w:bidi="ar-SA"/>
              </w:rPr>
              <w:t xml:space="preserve">    </w:t>
            </w: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（5）指导内容包括：培养目标定位、课程设置优化、学时学分分配、教学进程安排等</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"https://www.ccgp-neimenggu.gov.cn/gpx-bid-file/150901/gpx-tender/2024/8/5/402881d290ecb0ce019121846c825833.pdf?accessCode=8c3efb71166fa226eca465c08b31341e" \l "7#6"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"https://www.ccgp-neimenggu.gov.cn/gpx-bid-file/150901/gpx-tender/2024/8/26/402881cc9125c40401918e4724fd0dcf.pdf?accessCode=a66289ee96619173cc883f197052620b" \l "10#6"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br w:type="textWrapping"/>
            </w:r>
            <w:r>
              <w:rPr>
                <w:rFonts w:hint="eastAsia" w:ascii="宋体" w:hAnsi="宋体" w:cs="宋体"/>
                <w:color w:val="auto"/>
                <w:kern w:val="0"/>
                <w:sz w:val="21"/>
                <w:szCs w:val="21"/>
                <w:highlight w:val="none"/>
                <w:lang w:val="en-US" w:eastAsia="zh-CN" w:bidi="ar-SA"/>
              </w:rPr>
              <w:t xml:space="preserve">    </w:t>
            </w: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（6）需提供修订后的完整人才培养方案范本。</w:t>
            </w:r>
          </w:p>
          <w:p w14:paraId="50CAC4F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w:t>
            </w:r>
            <w:r>
              <w:rPr>
                <w:rFonts w:hint="default" w:ascii="宋体" w:hAnsi="宋体" w:eastAsia="宋体" w:cs="宋体"/>
                <w:color w:val="auto"/>
                <w:kern w:val="0"/>
                <w:sz w:val="21"/>
                <w:szCs w:val="21"/>
                <w:highlight w:val="none"/>
                <w:lang w:val="en-US" w:eastAsia="zh-CN" w:bidi="ar-SA"/>
              </w:rPr>
              <w:t>（7）培训师资要求：授课专家应具有正高级及以上职称或同等专业水平，熟悉职业教育政策与教学标准，具有主持或参与省级及以上专业教学标准制定、人才培养方案评审的经验。</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需提供专家简历、职称证等证明材料</w:t>
            </w:r>
            <w:r>
              <w:rPr>
                <w:rFonts w:hint="eastAsia" w:ascii="宋体" w:hAnsi="宋体" w:cs="宋体"/>
                <w:b/>
                <w:bCs/>
                <w:color w:val="auto"/>
                <w:kern w:val="0"/>
                <w:sz w:val="21"/>
                <w:szCs w:val="21"/>
                <w:highlight w:val="none"/>
                <w:lang w:val="en-US" w:eastAsia="zh-CN" w:bidi="ar-SA"/>
              </w:rPr>
              <w:t>）</w:t>
            </w:r>
            <w:r>
              <w:rPr>
                <w:rFonts w:hint="default" w:ascii="宋体" w:hAnsi="宋体" w:eastAsia="宋体" w:cs="宋体"/>
                <w:b w:val="0"/>
                <w:bCs w:val="0"/>
                <w:color w:val="auto"/>
                <w:kern w:val="0"/>
                <w:sz w:val="21"/>
                <w:szCs w:val="21"/>
                <w:highlight w:val="none"/>
                <w:lang w:val="en-US" w:eastAsia="zh-CN" w:bidi="ar-SA"/>
              </w:rPr>
              <w:fldChar w:fldCharType="begin"/>
            </w:r>
            <w:r>
              <w:rPr>
                <w:rFonts w:hint="default" w:ascii="宋体" w:hAnsi="宋体" w:eastAsia="宋体" w:cs="宋体"/>
                <w:b w:val="0"/>
                <w:bCs w:val="0"/>
                <w:color w:val="auto"/>
                <w:kern w:val="0"/>
                <w:sz w:val="21"/>
                <w:szCs w:val="21"/>
                <w:highlight w:val="none"/>
                <w:lang w:val="en-US" w:eastAsia="zh-CN" w:bidi="ar-SA"/>
              </w:rPr>
              <w:instrText xml:space="preserve"> HYPERLINK "https://www.ccgp-neimenggu.gov.cn/gpx-bid-file/150901/gpx-tender/2024/8/5/402881d290ecb0ce019121846c825833.pdf?accessCode=8c3efb71166fa226eca465c08b31341e" \l "7#6" \t "https://chat.deepseek.com/a/chat/s/_blank" </w:instrText>
            </w:r>
            <w:r>
              <w:rPr>
                <w:rFonts w:hint="default" w:ascii="宋体" w:hAnsi="宋体" w:eastAsia="宋体" w:cs="宋体"/>
                <w:b w:val="0"/>
                <w:bCs w:val="0"/>
                <w:color w:val="auto"/>
                <w:kern w:val="0"/>
                <w:sz w:val="21"/>
                <w:szCs w:val="21"/>
                <w:highlight w:val="none"/>
                <w:lang w:val="en-US" w:eastAsia="zh-CN" w:bidi="ar-SA"/>
              </w:rPr>
              <w:fldChar w:fldCharType="separate"/>
            </w:r>
            <w:r>
              <w:rPr>
                <w:rFonts w:hint="default" w:ascii="宋体" w:hAnsi="宋体" w:eastAsia="宋体" w:cs="宋体"/>
                <w:b w:val="0"/>
                <w:bCs w:val="0"/>
                <w:color w:val="auto"/>
                <w:kern w:val="0"/>
                <w:sz w:val="21"/>
                <w:szCs w:val="21"/>
                <w:highlight w:val="none"/>
                <w:lang w:val="en-US" w:eastAsia="zh-CN" w:bidi="ar-SA"/>
              </w:rPr>
              <w:fldChar w:fldCharType="end"/>
            </w:r>
            <w:r>
              <w:rPr>
                <w:rFonts w:hint="default" w:ascii="宋体" w:hAnsi="宋体" w:eastAsia="宋体" w:cs="宋体"/>
                <w:b w:val="0"/>
                <w:bCs w:val="0"/>
                <w:color w:val="auto"/>
                <w:kern w:val="0"/>
                <w:sz w:val="21"/>
                <w:szCs w:val="21"/>
                <w:highlight w:val="none"/>
                <w:lang w:val="en-US" w:eastAsia="zh-CN" w:bidi="ar-SA"/>
              </w:rPr>
              <w:t>。</w:t>
            </w:r>
          </w:p>
          <w:p w14:paraId="07961A5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2.在线精品课程建设培训</w:t>
            </w:r>
          </w:p>
          <w:p w14:paraId="30D9C4D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（1）提供在线精品课程建设内容的培训，包含评审标准解读、课程整体设计、单元设计、教学目标与策略制定、考核评价设计等。</w:t>
            </w:r>
          </w:p>
          <w:p w14:paraId="5804C16F">
            <w:pPr>
              <w:spacing w:line="420" w:lineRule="exact"/>
              <w:ind w:firstLine="211" w:firstLineChars="1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（2）提供课程资源开发全流程培训，包括：教学视频（含微课、录播课）的脚本设计与拍摄指导、PPT课件美化与制作、交互式课件开发、试题库建设等</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"https://www.ccgp-neimenggu.gov.cn/gpx-bid-file/150901/gpx-tender/2024/8/5/402881d290ecb0ce019121846c825833.pdf?accessCode=8c3efb71166fa226eca465c08b31341e" \l "7#6"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"https://www.ccgp-neimenggu.gov.cn/gpx-bid-file/150901/gpx-tender/2024/8/26/402881cc9125c40401918e4724fd0dcf.pdf?accessCode=a66289ee96619173cc883f197052620b" \l "10#6"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br w:type="textWrapping"/>
            </w:r>
            <w:r>
              <w:rPr>
                <w:rFonts w:hint="eastAsia" w:ascii="宋体" w:hAnsi="宋体" w:cs="宋体"/>
                <w:color w:val="auto"/>
                <w:kern w:val="0"/>
                <w:sz w:val="21"/>
                <w:szCs w:val="21"/>
                <w:highlight w:val="none"/>
                <w:lang w:val="en-US" w:eastAsia="zh-CN" w:bidi="ar-SA"/>
              </w:rPr>
              <w:t xml:space="preserve">    </w:t>
            </w:r>
            <w:r>
              <w:rPr>
                <w:rFonts w:hint="default" w:ascii="宋体" w:hAnsi="宋体" w:eastAsia="宋体" w:cs="宋体"/>
                <w:color w:val="auto"/>
                <w:kern w:val="0"/>
                <w:sz w:val="21"/>
                <w:szCs w:val="21"/>
                <w:highlight w:val="none"/>
                <w:lang w:val="en-US" w:eastAsia="zh-CN" w:bidi="ar-SA"/>
              </w:rPr>
              <w:t>（3）提供资源格式标准化培训，确保兼容主流教学平台。</w:t>
            </w:r>
          </w:p>
          <w:p w14:paraId="14EAAC1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（4）指导课程在国家级在线精品课程认定平台上线运行，开展线上教学活动</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"http://ggzyjy.yl.gov.cn/jydt/001001/001001004/001001004006/20251110/8a69c4f59a375604019a6bb4c41521c4.html"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br w:type="textWrapping"/>
            </w:r>
            <w:r>
              <w:rPr>
                <w:rFonts w:hint="eastAsia" w:ascii="宋体" w:hAnsi="宋体" w:cs="宋体"/>
                <w:color w:val="auto"/>
                <w:kern w:val="0"/>
                <w:sz w:val="21"/>
                <w:szCs w:val="21"/>
                <w:highlight w:val="none"/>
                <w:lang w:val="en-US" w:eastAsia="zh-CN" w:bidi="ar-SA"/>
              </w:rPr>
              <w:t xml:space="preserve">  </w:t>
            </w: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（5）指导参训教师进行课程申报书撰写和课程整体设计方案的编制</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"http://ggzyjy.yl.gov.cn/jydt/001001/001001004/001001004006/20251110/8a69c4f59a375604019a6bb4c41521c4.html"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p>
          <w:p w14:paraId="69DC7BC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（6）协助完成省级、国家级在线精品课程申报材料的准备与填报工作</w:t>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"https://www.ccgp-neimenggu.gov.cn/gpx-bid-file/150901/gpx-tender/2024/8/5/402881d290ecb0ce019121846c825833.pdf?accessCode=8c3efb71166fa226eca465c08b31341e" \l "7#6"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fldChar w:fldCharType="begin"/>
            </w:r>
            <w:r>
              <w:rPr>
                <w:rFonts w:hint="default" w:ascii="宋体" w:hAnsi="宋体" w:eastAsia="宋体" w:cs="宋体"/>
                <w:color w:val="auto"/>
                <w:kern w:val="0"/>
                <w:sz w:val="21"/>
                <w:szCs w:val="21"/>
                <w:highlight w:val="none"/>
                <w:lang w:val="en-US" w:eastAsia="zh-CN" w:bidi="ar-SA"/>
              </w:rPr>
              <w:instrText xml:space="preserve"> HYPERLINK "http://ggzyjy.yl.gov.cn/jydt/001001/001001004/001001004006/20251110/8a69c4f59a375604019a6bb4c41521c4.html" \t "https://chat.deepseek.com/a/chat/s/_blank" </w:instrText>
            </w:r>
            <w:r>
              <w:rPr>
                <w:rFonts w:hint="default" w:ascii="宋体" w:hAnsi="宋体" w:eastAsia="宋体" w:cs="宋体"/>
                <w:color w:val="auto"/>
                <w:kern w:val="0"/>
                <w:sz w:val="21"/>
                <w:szCs w:val="21"/>
                <w:highlight w:val="none"/>
                <w:lang w:val="en-US" w:eastAsia="zh-CN" w:bidi="ar-SA"/>
              </w:rPr>
              <w:fldChar w:fldCharType="separate"/>
            </w:r>
            <w:r>
              <w:rPr>
                <w:rFonts w:hint="default" w:ascii="宋体" w:hAnsi="宋体" w:eastAsia="宋体" w:cs="宋体"/>
                <w:color w:val="auto"/>
                <w:kern w:val="0"/>
                <w:sz w:val="21"/>
                <w:szCs w:val="21"/>
                <w:highlight w:val="none"/>
                <w:lang w:val="en-US" w:eastAsia="zh-CN" w:bidi="ar-SA"/>
              </w:rPr>
              <w:fldChar w:fldCharType="end"/>
            </w:r>
            <w:r>
              <w:rPr>
                <w:rFonts w:hint="default" w:ascii="宋体" w:hAnsi="宋体" w:eastAsia="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br w:type="textWrapping"/>
            </w:r>
            <w:r>
              <w:rPr>
                <w:rFonts w:hint="eastAsia" w:ascii="宋体" w:hAnsi="宋体" w:cs="宋体"/>
                <w:color w:val="auto"/>
                <w:kern w:val="0"/>
                <w:sz w:val="21"/>
                <w:szCs w:val="21"/>
                <w:highlight w:val="none"/>
                <w:lang w:val="en-US" w:eastAsia="zh-CN" w:bidi="ar-SA"/>
              </w:rPr>
              <w:t xml:space="preserve">    </w:t>
            </w:r>
            <w:r>
              <w:rPr>
                <w:rFonts w:hint="default" w:ascii="宋体" w:hAnsi="宋体" w:eastAsia="宋体" w:cs="宋体"/>
                <w:color w:val="auto"/>
                <w:kern w:val="0"/>
                <w:sz w:val="21"/>
                <w:szCs w:val="21"/>
                <w:highlight w:val="none"/>
                <w:lang w:val="en-US" w:eastAsia="zh-CN" w:bidi="ar-SA"/>
              </w:rPr>
              <w:t>（7）提供职业教育在线精品课程专业咨询服务。</w:t>
            </w:r>
          </w:p>
          <w:p w14:paraId="5578BD5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w:t>
            </w:r>
            <w:r>
              <w:rPr>
                <w:rFonts w:hint="default" w:ascii="宋体" w:hAnsi="宋体" w:eastAsia="宋体" w:cs="宋体"/>
                <w:color w:val="auto"/>
                <w:kern w:val="0"/>
                <w:sz w:val="21"/>
                <w:szCs w:val="21"/>
                <w:highlight w:val="none"/>
                <w:lang w:val="en-US" w:eastAsia="zh-CN" w:bidi="ar-SA"/>
              </w:rPr>
              <w:t>（8）培训师资要求：</w:t>
            </w:r>
          </w:p>
          <w:p w14:paraId="23185F0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授课专家应具有正高级及以上职称或同等专业水平，熟悉职业教育政策与教学标准，具有主持或参与省级及以上专业教学标准制定、人才培养方案评审的经验。</w:t>
            </w:r>
            <w:r>
              <w:rPr>
                <w:rFonts w:hint="eastAsia" w:ascii="宋体" w:hAnsi="宋体" w:eastAsia="宋体" w:cs="宋体"/>
                <w:b/>
                <w:bCs/>
                <w:color w:val="auto"/>
                <w:kern w:val="0"/>
                <w:sz w:val="21"/>
                <w:szCs w:val="21"/>
                <w:highlight w:val="none"/>
                <w:lang w:val="en-US" w:eastAsia="zh-CN"/>
              </w:rPr>
              <w:t>（投标</w:t>
            </w:r>
            <w:r>
              <w:rPr>
                <w:rFonts w:hint="eastAsia"/>
                <w:b/>
                <w:bCs/>
                <w:color w:val="auto"/>
                <w:highlight w:val="none"/>
                <w:lang w:val="en-US" w:eastAsia="zh-CN"/>
              </w:rPr>
              <w:t>时</w:t>
            </w:r>
            <w:r>
              <w:rPr>
                <w:rFonts w:hint="eastAsia" w:ascii="宋体" w:hAnsi="宋体" w:eastAsia="宋体" w:cs="宋体"/>
                <w:b/>
                <w:bCs/>
                <w:color w:val="auto"/>
                <w:kern w:val="0"/>
                <w:sz w:val="21"/>
                <w:szCs w:val="21"/>
                <w:highlight w:val="none"/>
                <w:lang w:val="en-US" w:eastAsia="zh-CN"/>
              </w:rPr>
              <w:t>需提供专家简历、职称证等证明材料）</w:t>
            </w:r>
            <w:r>
              <w:rPr>
                <w:rFonts w:hint="eastAsia" w:ascii="宋体" w:hAnsi="宋体" w:eastAsia="宋体" w:cs="宋体"/>
                <w:color w:val="auto"/>
                <w:kern w:val="0"/>
                <w:sz w:val="21"/>
                <w:szCs w:val="21"/>
                <w:highlight w:val="none"/>
                <w:lang w:val="en-US" w:eastAsia="zh-CN"/>
              </w:rPr>
              <w:t>。</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 xml:space="preserve">    供应商具有精品课制作相关软件研发能力，</w:t>
            </w:r>
            <w:r>
              <w:rPr>
                <w:rFonts w:hint="eastAsia" w:ascii="宋体" w:hAnsi="宋体" w:cs="宋体"/>
                <w:b/>
                <w:bCs/>
                <w:color w:val="auto"/>
                <w:kern w:val="0"/>
                <w:sz w:val="21"/>
                <w:szCs w:val="21"/>
                <w:highlight w:val="none"/>
                <w:lang w:val="en-US" w:eastAsia="zh-CN" w:bidi="ar-SA"/>
              </w:rPr>
              <w:t>投标时</w:t>
            </w:r>
            <w:r>
              <w:rPr>
                <w:rFonts w:hint="default" w:ascii="宋体" w:hAnsi="宋体" w:eastAsia="宋体" w:cs="宋体"/>
                <w:b/>
                <w:bCs/>
                <w:color w:val="auto"/>
                <w:kern w:val="0"/>
                <w:sz w:val="21"/>
                <w:szCs w:val="21"/>
                <w:highlight w:val="none"/>
                <w:lang w:val="en-US" w:eastAsia="zh-CN" w:bidi="ar-SA"/>
              </w:rPr>
              <w:t>提供相关佐证材料。</w:t>
            </w:r>
          </w:p>
        </w:tc>
        <w:tc>
          <w:tcPr>
            <w:tcW w:w="1270" w:type="dxa"/>
            <w:tcBorders>
              <w:top w:val="single" w:color="auto" w:sz="4" w:space="0"/>
              <w:left w:val="single" w:color="auto" w:sz="4" w:space="0"/>
              <w:bottom w:val="single" w:color="auto" w:sz="4" w:space="0"/>
              <w:right w:val="single" w:color="auto" w:sz="4" w:space="0"/>
            </w:tcBorders>
            <w:vAlign w:val="center"/>
          </w:tcPr>
          <w:p w14:paraId="4B9C3B4A">
            <w:pPr>
              <w:spacing w:line="5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10000.00</w:t>
            </w:r>
          </w:p>
        </w:tc>
        <w:tc>
          <w:tcPr>
            <w:tcW w:w="1045" w:type="dxa"/>
            <w:tcBorders>
              <w:top w:val="single" w:color="auto" w:sz="4" w:space="0"/>
              <w:left w:val="single" w:color="auto" w:sz="4" w:space="0"/>
              <w:bottom w:val="single" w:color="auto" w:sz="4" w:space="0"/>
              <w:right w:val="single" w:color="auto" w:sz="4" w:space="0"/>
            </w:tcBorders>
            <w:vAlign w:val="center"/>
          </w:tcPr>
          <w:p w14:paraId="2A80F146">
            <w:pPr>
              <w:spacing w:line="50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其他未列明行业</w:t>
            </w:r>
          </w:p>
        </w:tc>
      </w:tr>
      <w:tr w14:paraId="3AF15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428" w:type="dxa"/>
            <w:tcBorders>
              <w:top w:val="single" w:color="auto" w:sz="4" w:space="0"/>
              <w:left w:val="single" w:color="auto" w:sz="4" w:space="0"/>
              <w:bottom w:val="single" w:color="auto" w:sz="4" w:space="0"/>
              <w:right w:val="single" w:color="auto" w:sz="4" w:space="0"/>
            </w:tcBorders>
          </w:tcPr>
          <w:p w14:paraId="1A3ACB7A">
            <w:pPr>
              <w:spacing w:line="500" w:lineRule="exact"/>
              <w:jc w:val="center"/>
              <w:rPr>
                <w:rFonts w:ascii="宋体" w:hAnsi="宋体" w:cs="宋体"/>
                <w:color w:val="auto"/>
                <w:szCs w:val="21"/>
                <w:highlight w:val="none"/>
              </w:rPr>
            </w:pPr>
          </w:p>
          <w:p w14:paraId="1C8780A2">
            <w:pPr>
              <w:spacing w:line="500" w:lineRule="exact"/>
              <w:jc w:val="center"/>
              <w:rPr>
                <w:rFonts w:ascii="宋体" w:hAnsi="宋体" w:cs="宋体"/>
                <w:color w:val="auto"/>
                <w:szCs w:val="21"/>
                <w:highlight w:val="none"/>
              </w:rPr>
            </w:pPr>
          </w:p>
          <w:p w14:paraId="7F1A87D2">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10054" w:type="dxa"/>
            <w:gridSpan w:val="7"/>
            <w:tcBorders>
              <w:top w:val="single" w:color="auto" w:sz="4" w:space="0"/>
              <w:left w:val="single" w:color="auto" w:sz="4" w:space="0"/>
              <w:bottom w:val="single" w:color="auto" w:sz="4" w:space="0"/>
              <w:right w:val="single" w:color="auto" w:sz="4" w:space="0"/>
            </w:tcBorders>
            <w:shd w:val="clear" w:color="auto" w:fill="auto"/>
            <w:vAlign w:val="top"/>
          </w:tcPr>
          <w:p w14:paraId="083C3D1D">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一、合同签订期：自中标通知书发出之日起25日内。</w:t>
            </w:r>
          </w:p>
          <w:p w14:paraId="75036955">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二、提交服务成果时间：2026年10月31日前交付</w:t>
            </w:r>
          </w:p>
          <w:p w14:paraId="0A81D742">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三、</w:t>
            </w:r>
            <w:r>
              <w:rPr>
                <w:rFonts w:hint="eastAsia" w:ascii="宋体" w:hAnsi="宋体" w:cs="宋体"/>
                <w:color w:val="auto"/>
                <w:kern w:val="2"/>
                <w:sz w:val="21"/>
                <w:szCs w:val="21"/>
                <w:highlight w:val="none"/>
                <w:u w:val="none"/>
                <w:lang w:val="en-US" w:eastAsia="zh-CN" w:bidi="ar-SA"/>
              </w:rPr>
              <w:t>服务</w:t>
            </w:r>
            <w:r>
              <w:rPr>
                <w:rFonts w:hint="eastAsia" w:ascii="宋体" w:hAnsi="宋体" w:eastAsia="宋体" w:cs="宋体"/>
                <w:color w:val="auto"/>
                <w:kern w:val="2"/>
                <w:sz w:val="21"/>
                <w:szCs w:val="21"/>
                <w:highlight w:val="none"/>
                <w:u w:val="none"/>
                <w:lang w:val="en-US" w:eastAsia="zh-CN" w:bidi="ar-SA"/>
              </w:rPr>
              <w:t>地点：采购人指定地点</w:t>
            </w:r>
          </w:p>
          <w:p w14:paraId="3B5059E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四、验收标准、规范：</w:t>
            </w:r>
          </w:p>
          <w:p w14:paraId="281E7A8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符合合同要求及国家相关标准；</w:t>
            </w:r>
          </w:p>
          <w:p w14:paraId="7964D05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参数配置符合或优于合同要求；</w:t>
            </w:r>
          </w:p>
          <w:p w14:paraId="2485845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在约定的期限内按合同要求完成本项目工作后，认为可以验收的，以书面方式通知采购人。交付验收前，中标</w:t>
            </w:r>
            <w:r>
              <w:rPr>
                <w:rFonts w:hint="eastAsia" w:ascii="宋体" w:hAnsi="宋体" w:cs="宋体"/>
                <w:color w:val="auto"/>
                <w:kern w:val="2"/>
                <w:sz w:val="21"/>
                <w:szCs w:val="21"/>
                <w:highlight w:val="none"/>
                <w:u w:val="none"/>
                <w:lang w:val="en-US" w:eastAsia="zh-CN" w:bidi="ar-SA"/>
              </w:rPr>
              <w:t>供应商</w:t>
            </w:r>
            <w:r>
              <w:rPr>
                <w:rFonts w:hint="eastAsia" w:ascii="宋体" w:hAnsi="宋体" w:eastAsia="宋体" w:cs="宋体"/>
                <w:color w:val="auto"/>
                <w:kern w:val="2"/>
                <w:sz w:val="21"/>
                <w:szCs w:val="21"/>
                <w:highlight w:val="none"/>
                <w:u w:val="none"/>
                <w:lang w:val="en-US" w:eastAsia="zh-CN" w:bidi="ar-SA"/>
              </w:rPr>
              <w:t>须对所交付的项目进行功能和运行检测，以确认交付内容符合本项目技术参数要求；</w:t>
            </w:r>
          </w:p>
          <w:p w14:paraId="4C71D4A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交付验收应按本项目约定的时间进行，如因采购人的原因而导致不能按时交付，将按延期时间顺延交付时间。</w:t>
            </w:r>
          </w:p>
          <w:p w14:paraId="57E0C4CC">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▲五、售后服务要求：</w:t>
            </w:r>
          </w:p>
          <w:p w14:paraId="7E0304A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质量保证期3年（自提交成果并验收合格之日起计）</w:t>
            </w:r>
          </w:p>
          <w:p w14:paraId="6F86D09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响应时间：接到采购人处理问题通知后8小时内到达采购人指定现场</w:t>
            </w:r>
          </w:p>
          <w:p w14:paraId="1DC2810E">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售后服务技术人员要求：专职人员</w:t>
            </w:r>
          </w:p>
          <w:p w14:paraId="0296445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六、其他要求：</w:t>
            </w:r>
          </w:p>
          <w:p w14:paraId="76A0564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报价必须含以下部分，包括：</w:t>
            </w:r>
          </w:p>
          <w:p w14:paraId="087D6AD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w:t>
            </w:r>
            <w:r>
              <w:rPr>
                <w:rFonts w:hint="eastAsia" w:ascii="宋体" w:hAnsi="宋体" w:cs="宋体"/>
                <w:color w:val="auto"/>
                <w:kern w:val="2"/>
                <w:sz w:val="21"/>
                <w:szCs w:val="21"/>
                <w:highlight w:val="none"/>
                <w:u w:val="none"/>
                <w:lang w:val="en-US" w:eastAsia="zh-CN" w:bidi="ar-SA"/>
              </w:rPr>
              <w:t>服务</w:t>
            </w:r>
            <w:r>
              <w:rPr>
                <w:rFonts w:hint="eastAsia" w:ascii="宋体" w:hAnsi="宋体" w:eastAsia="宋体" w:cs="宋体"/>
                <w:color w:val="auto"/>
                <w:kern w:val="2"/>
                <w:sz w:val="21"/>
                <w:szCs w:val="21"/>
                <w:highlight w:val="none"/>
                <w:u w:val="none"/>
                <w:lang w:val="en-US" w:eastAsia="zh-CN" w:bidi="ar-SA"/>
              </w:rPr>
              <w:t>的价格；</w:t>
            </w:r>
          </w:p>
          <w:p w14:paraId="03643CA6">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（2）必要的保险费用和各项税金；</w:t>
            </w:r>
          </w:p>
          <w:p w14:paraId="26D8E63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（3）其他（如运输、装卸、安装、调试、培训、技术支持、售后货物、更新升级等费用，根据项目具体情况填写）：</w:t>
            </w:r>
          </w:p>
          <w:p w14:paraId="07CCAA9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付款方式：</w:t>
            </w:r>
            <w:r>
              <w:rPr>
                <w:rFonts w:hint="eastAsia" w:ascii="宋体" w:hAnsi="宋体" w:cs="宋体"/>
                <w:color w:val="auto"/>
                <w:kern w:val="2"/>
                <w:sz w:val="21"/>
                <w:szCs w:val="21"/>
                <w:highlight w:val="none"/>
                <w:u w:val="none"/>
                <w:lang w:val="en-US" w:eastAsia="zh-CN" w:bidi="ar-SA"/>
              </w:rPr>
              <w:t>中标</w:t>
            </w:r>
            <w:r>
              <w:rPr>
                <w:rFonts w:hint="eastAsia" w:ascii="宋体" w:hAnsi="宋体" w:eastAsia="宋体" w:cs="宋体"/>
                <w:color w:val="auto"/>
                <w:kern w:val="2"/>
                <w:sz w:val="21"/>
                <w:szCs w:val="21"/>
                <w:highlight w:val="none"/>
                <w:u w:val="none"/>
                <w:lang w:val="en-US" w:eastAsia="zh-CN" w:bidi="ar-SA"/>
              </w:rPr>
              <w:t>供应商所提交的服务经采购人书面验收合格和用款计划南宁市财政局批复后，一次性支付合同款。</w:t>
            </w:r>
          </w:p>
        </w:tc>
      </w:tr>
      <w:tr w14:paraId="4FF36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14" w:hRule="atLeast"/>
        </w:trPr>
        <w:tc>
          <w:tcPr>
            <w:tcW w:w="428" w:type="dxa"/>
            <w:tcBorders>
              <w:top w:val="single" w:color="auto" w:sz="4" w:space="0"/>
              <w:left w:val="single" w:color="auto" w:sz="4" w:space="0"/>
              <w:bottom w:val="single" w:color="auto" w:sz="4" w:space="0"/>
              <w:right w:val="single" w:color="auto" w:sz="4" w:space="0"/>
            </w:tcBorders>
            <w:vAlign w:val="center"/>
          </w:tcPr>
          <w:p w14:paraId="149397C2">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其他说明</w:t>
            </w:r>
          </w:p>
        </w:tc>
        <w:tc>
          <w:tcPr>
            <w:tcW w:w="10054" w:type="dxa"/>
            <w:gridSpan w:val="7"/>
            <w:tcBorders>
              <w:top w:val="single" w:color="auto" w:sz="4" w:space="0"/>
              <w:left w:val="single" w:color="auto" w:sz="4" w:space="0"/>
              <w:bottom w:val="single" w:color="auto" w:sz="4" w:space="0"/>
              <w:right w:val="single" w:color="auto" w:sz="4" w:space="0"/>
            </w:tcBorders>
            <w:vAlign w:val="center"/>
          </w:tcPr>
          <w:p w14:paraId="3B8261F7">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本项目采购标的的需执行的国家相关标准、行业标准、地方标准或其他强制性标准、规范等要求：</w:t>
            </w:r>
            <w:r>
              <w:rPr>
                <w:rFonts w:hint="eastAsia" w:ascii="宋体" w:hAnsi="宋体" w:eastAsia="宋体" w:cs="宋体"/>
                <w:color w:val="auto"/>
                <w:sz w:val="21"/>
                <w:szCs w:val="21"/>
                <w:highlight w:val="none"/>
                <w:u w:val="single"/>
              </w:rPr>
              <w:t>按国家相关标准、中标供应商承诺进行验收。</w:t>
            </w:r>
          </w:p>
          <w:p w14:paraId="1902971D">
            <w:pPr>
              <w:keepNext w:val="0"/>
              <w:keepLines w:val="0"/>
              <w:pageBreakBefore w:val="0"/>
              <w:widowControl/>
              <w:kinsoku/>
              <w:overflowPunct/>
              <w:topLinePunct w:val="0"/>
              <w:autoSpaceDE/>
              <w:autoSpaceDN/>
              <w:bidi w:val="0"/>
              <w:adjustRightInd/>
              <w:snapToGrid/>
              <w:spacing w:line="400" w:lineRule="exact"/>
              <w:textAlignment w:val="auto"/>
              <w:rPr>
                <w:rFonts w:ascii="宋体" w:hAnsi="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合同延续年限、条件和方式：</w:t>
            </w:r>
            <w:r>
              <w:rPr>
                <w:rFonts w:hint="eastAsia" w:ascii="宋体" w:hAnsi="宋体" w:eastAsia="宋体" w:cs="宋体"/>
                <w:color w:val="auto"/>
                <w:sz w:val="21"/>
                <w:szCs w:val="21"/>
                <w:highlight w:val="none"/>
                <w:u w:val="single"/>
              </w:rPr>
              <w:t>本项目合同到期后不续签。</w:t>
            </w:r>
          </w:p>
        </w:tc>
      </w:tr>
    </w:tbl>
    <w:p w14:paraId="141555BD">
      <w:pPr>
        <w:rPr>
          <w:rFonts w:hint="eastAsia"/>
          <w:color w:val="auto"/>
          <w:highlight w:val="none"/>
          <w:lang w:val="en-US" w:eastAsia="zh-CN"/>
        </w:rPr>
      </w:pPr>
    </w:p>
    <w:p w14:paraId="66F2B169">
      <w:pPr>
        <w:spacing w:line="500" w:lineRule="exact"/>
        <w:jc w:val="both"/>
        <w:outlineLvl w:val="1"/>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br w:type="page"/>
      </w:r>
      <w:r>
        <w:rPr>
          <w:rFonts w:hint="eastAsia" w:ascii="宋体" w:hAnsi="宋体" w:cs="宋体"/>
          <w:b/>
          <w:bCs/>
          <w:color w:val="auto"/>
          <w:szCs w:val="21"/>
          <w:highlight w:val="none"/>
          <w:lang w:val="en-US" w:eastAsia="zh-CN"/>
        </w:rPr>
        <w:t>分标3</w:t>
      </w:r>
    </w:p>
    <w:tbl>
      <w:tblPr>
        <w:tblStyle w:val="23"/>
        <w:tblW w:w="10482" w:type="dxa"/>
        <w:tblInd w:w="-2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8"/>
        <w:gridCol w:w="315"/>
        <w:gridCol w:w="957"/>
        <w:gridCol w:w="562"/>
        <w:gridCol w:w="590"/>
        <w:gridCol w:w="5315"/>
        <w:gridCol w:w="1270"/>
        <w:gridCol w:w="1045"/>
      </w:tblGrid>
      <w:tr w14:paraId="2BBD9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482" w:type="dxa"/>
            <w:gridSpan w:val="8"/>
            <w:tcBorders>
              <w:top w:val="single" w:color="auto" w:sz="4" w:space="0"/>
              <w:left w:val="single" w:color="auto" w:sz="4" w:space="0"/>
              <w:bottom w:val="nil"/>
              <w:right w:val="single" w:color="auto" w:sz="4" w:space="0"/>
            </w:tcBorders>
            <w:vAlign w:val="center"/>
          </w:tcPr>
          <w:p w14:paraId="38317E35">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服务需求一览表</w:t>
            </w:r>
          </w:p>
        </w:tc>
      </w:tr>
      <w:tr w14:paraId="3C9039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700" w:type="dxa"/>
            <w:gridSpan w:val="3"/>
            <w:tcBorders>
              <w:top w:val="single" w:color="auto" w:sz="4" w:space="0"/>
              <w:left w:val="single" w:color="auto" w:sz="4" w:space="0"/>
              <w:bottom w:val="nil"/>
              <w:right w:val="single" w:color="auto" w:sz="4" w:space="0"/>
            </w:tcBorders>
            <w:vAlign w:val="center"/>
          </w:tcPr>
          <w:p w14:paraId="30319811">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标段</w:t>
            </w:r>
          </w:p>
        </w:tc>
        <w:tc>
          <w:tcPr>
            <w:tcW w:w="8782" w:type="dxa"/>
            <w:gridSpan w:val="5"/>
            <w:tcBorders>
              <w:top w:val="single" w:color="auto" w:sz="4" w:space="0"/>
              <w:left w:val="single" w:color="auto" w:sz="4" w:space="0"/>
              <w:bottom w:val="nil"/>
              <w:right w:val="single" w:color="auto" w:sz="4" w:space="0"/>
            </w:tcBorders>
            <w:vAlign w:val="center"/>
          </w:tcPr>
          <w:p w14:paraId="5C1E63A3">
            <w:pPr>
              <w:spacing w:line="500" w:lineRule="exact"/>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分标3</w:t>
            </w:r>
            <w:r>
              <w:rPr>
                <w:rFonts w:hint="eastAsia" w:ascii="宋体" w:hAnsi="宋体" w:cs="宋体"/>
                <w:b/>
                <w:bCs/>
                <w:color w:val="auto"/>
                <w:szCs w:val="21"/>
                <w:highlight w:val="none"/>
                <w:lang w:val="en-US" w:eastAsia="zh-CN"/>
              </w:rPr>
              <w:t>（2本活页式教材采购服务）</w:t>
            </w:r>
          </w:p>
        </w:tc>
      </w:tr>
      <w:tr w14:paraId="24023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428" w:type="dxa"/>
            <w:vMerge w:val="restart"/>
            <w:tcBorders>
              <w:top w:val="single" w:color="auto" w:sz="4" w:space="0"/>
              <w:left w:val="single" w:color="auto" w:sz="4" w:space="0"/>
              <w:right w:val="single" w:color="auto" w:sz="4" w:space="0"/>
            </w:tcBorders>
          </w:tcPr>
          <w:p w14:paraId="61F55E91">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采购清单及服务参数</w:t>
            </w:r>
          </w:p>
        </w:tc>
        <w:tc>
          <w:tcPr>
            <w:tcW w:w="31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A08E8C1">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957" w:type="dxa"/>
            <w:tcBorders>
              <w:top w:val="single" w:color="auto" w:sz="4" w:space="0"/>
              <w:left w:val="single" w:color="auto" w:sz="4" w:space="0"/>
              <w:bottom w:val="single" w:color="auto" w:sz="4" w:space="0"/>
              <w:right w:val="single" w:color="auto" w:sz="4" w:space="0"/>
            </w:tcBorders>
            <w:vAlign w:val="center"/>
          </w:tcPr>
          <w:p w14:paraId="25D7DDF9">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562" w:type="dxa"/>
            <w:tcBorders>
              <w:top w:val="single" w:color="auto" w:sz="4" w:space="0"/>
              <w:left w:val="single" w:color="auto" w:sz="4" w:space="0"/>
              <w:bottom w:val="single" w:color="auto" w:sz="4" w:space="0"/>
              <w:right w:val="single" w:color="auto" w:sz="4" w:space="0"/>
            </w:tcBorders>
            <w:vAlign w:val="center"/>
          </w:tcPr>
          <w:p w14:paraId="02AB2A3A">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590" w:type="dxa"/>
            <w:tcBorders>
              <w:top w:val="single" w:color="auto" w:sz="4" w:space="0"/>
              <w:left w:val="single" w:color="auto" w:sz="4" w:space="0"/>
              <w:bottom w:val="single" w:color="auto" w:sz="4" w:space="0"/>
              <w:right w:val="single" w:color="auto" w:sz="4" w:space="0"/>
            </w:tcBorders>
            <w:vAlign w:val="center"/>
          </w:tcPr>
          <w:p w14:paraId="133EE86F">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5315" w:type="dxa"/>
            <w:tcBorders>
              <w:top w:val="single" w:color="auto" w:sz="4" w:space="0"/>
              <w:left w:val="single" w:color="auto" w:sz="4" w:space="0"/>
              <w:bottom w:val="single" w:color="auto" w:sz="4" w:space="0"/>
              <w:right w:val="single" w:color="auto" w:sz="4" w:space="0"/>
            </w:tcBorders>
            <w:vAlign w:val="center"/>
          </w:tcPr>
          <w:p w14:paraId="29BB2171">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服务参数</w:t>
            </w:r>
          </w:p>
        </w:tc>
        <w:tc>
          <w:tcPr>
            <w:tcW w:w="1270" w:type="dxa"/>
            <w:tcBorders>
              <w:top w:val="single" w:color="auto" w:sz="4" w:space="0"/>
              <w:left w:val="single" w:color="auto" w:sz="4" w:space="0"/>
              <w:bottom w:val="single" w:color="auto" w:sz="4" w:space="0"/>
              <w:right w:val="single" w:color="auto" w:sz="4" w:space="0"/>
            </w:tcBorders>
            <w:vAlign w:val="center"/>
          </w:tcPr>
          <w:p w14:paraId="2F0D3E7D">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分项预算合计（元）</w:t>
            </w:r>
          </w:p>
        </w:tc>
        <w:tc>
          <w:tcPr>
            <w:tcW w:w="1045" w:type="dxa"/>
            <w:tcBorders>
              <w:top w:val="single" w:color="auto" w:sz="4" w:space="0"/>
              <w:left w:val="single" w:color="auto" w:sz="4" w:space="0"/>
              <w:bottom w:val="single" w:color="auto" w:sz="4" w:space="0"/>
              <w:right w:val="single" w:color="auto" w:sz="4" w:space="0"/>
            </w:tcBorders>
            <w:vAlign w:val="center"/>
          </w:tcPr>
          <w:p w14:paraId="7429DFAB">
            <w:pPr>
              <w:spacing w:line="240" w:lineRule="auto"/>
              <w:jc w:val="center"/>
              <w:rPr>
                <w:rFonts w:ascii="宋体" w:hAnsi="宋体" w:cs="宋体"/>
                <w:b/>
                <w:bCs/>
                <w:color w:val="auto"/>
                <w:szCs w:val="21"/>
                <w:highlight w:val="none"/>
              </w:rPr>
            </w:pPr>
            <w:r>
              <w:rPr>
                <w:rFonts w:hint="eastAsia" w:ascii="宋体" w:hAnsi="宋体" w:cs="宋体"/>
                <w:b/>
                <w:bCs/>
                <w:color w:val="auto"/>
                <w:szCs w:val="21"/>
                <w:highlight w:val="none"/>
              </w:rPr>
              <w:t>中小企业划分标准所属行业名称（行业名称及划分见本章附件2）</w:t>
            </w:r>
          </w:p>
        </w:tc>
      </w:tr>
      <w:tr w14:paraId="661CB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0" w:hRule="atLeast"/>
        </w:trPr>
        <w:tc>
          <w:tcPr>
            <w:tcW w:w="428" w:type="dxa"/>
            <w:vMerge w:val="continue"/>
            <w:tcBorders>
              <w:left w:val="single" w:color="auto" w:sz="4" w:space="0"/>
              <w:right w:val="single" w:color="auto" w:sz="4" w:space="0"/>
            </w:tcBorders>
            <w:vAlign w:val="center"/>
          </w:tcPr>
          <w:p w14:paraId="65078580">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69025757">
            <w:pPr>
              <w:spacing w:line="5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957" w:type="dxa"/>
            <w:tcBorders>
              <w:top w:val="single" w:color="auto" w:sz="4" w:space="0"/>
              <w:left w:val="single" w:color="auto" w:sz="4" w:space="0"/>
              <w:bottom w:val="single" w:color="auto" w:sz="4" w:space="0"/>
              <w:right w:val="single" w:color="auto" w:sz="4" w:space="0"/>
            </w:tcBorders>
            <w:vAlign w:val="center"/>
          </w:tcPr>
          <w:p w14:paraId="6ED73CDA">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《东南亚菜肴制作》</w:t>
            </w:r>
            <w:r>
              <w:rPr>
                <w:rFonts w:hint="eastAsia" w:ascii="宋体" w:hAnsi="宋体" w:eastAsia="宋体" w:cs="宋体"/>
                <w:color w:val="auto"/>
                <w:szCs w:val="21"/>
                <w:highlight w:val="none"/>
                <w:lang w:val="en-US" w:eastAsia="zh-CN"/>
              </w:rPr>
              <w:t>活页式教材编写服务</w:t>
            </w:r>
          </w:p>
        </w:tc>
        <w:tc>
          <w:tcPr>
            <w:tcW w:w="562" w:type="dxa"/>
            <w:tcBorders>
              <w:top w:val="single" w:color="auto" w:sz="4" w:space="0"/>
              <w:left w:val="single" w:color="auto" w:sz="4" w:space="0"/>
              <w:bottom w:val="single" w:color="auto" w:sz="4" w:space="0"/>
              <w:right w:val="single" w:color="auto" w:sz="4" w:space="0"/>
            </w:tcBorders>
            <w:vAlign w:val="center"/>
          </w:tcPr>
          <w:p w14:paraId="5D6B1698">
            <w:pPr>
              <w:pStyle w:val="40"/>
              <w:spacing w:before="0" w:beforeAutospacing="0" w:after="0" w:afterAutospacing="0" w:line="500" w:lineRule="exact"/>
              <w:ind w:firstLine="0" w:firstLine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29782FD8">
            <w:pPr>
              <w:spacing w:line="5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2DED37B5">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bookmarkStart w:id="9" w:name="heading_15"/>
            <w:r>
              <w:rPr>
                <w:rFonts w:hint="default" w:ascii="宋体" w:hAnsi="宋体" w:eastAsia="宋体" w:cs="宋体"/>
                <w:b/>
                <w:bCs/>
                <w:color w:val="auto"/>
                <w:kern w:val="0"/>
                <w:sz w:val="21"/>
                <w:szCs w:val="21"/>
                <w:highlight w:val="none"/>
                <w:lang w:val="en-US" w:eastAsia="zh-CN" w:bidi="ar-SA"/>
              </w:rPr>
              <w:t>《东南亚菜肴制作》活页式教材编写服务</w:t>
            </w:r>
            <w:bookmarkEnd w:id="9"/>
            <w:bookmarkStart w:id="10" w:name="heading_16"/>
            <w:r>
              <w:rPr>
                <w:rFonts w:hint="default" w:ascii="宋体" w:hAnsi="宋体" w:eastAsia="宋体" w:cs="宋体"/>
                <w:b/>
                <w:bCs/>
                <w:color w:val="auto"/>
                <w:kern w:val="0"/>
                <w:sz w:val="21"/>
                <w:szCs w:val="21"/>
                <w:highlight w:val="none"/>
                <w:lang w:val="en-US" w:eastAsia="zh-CN" w:bidi="ar-SA"/>
              </w:rPr>
              <w:t>完整服务参数</w:t>
            </w:r>
            <w:bookmarkEnd w:id="10"/>
          </w:p>
          <w:p w14:paraId="795E868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本教材对照第二批 “十四五” 自治区职业教育规划教材新编活页式新形态教材，全流程编写、内容创作、排版出版、资源配套必须严格执行《桂教职成〔2025〕37 号自治区教育厅关于开展第二批 “十四五” 自治区职业教育规划教材立项建设工作的通知》</w:t>
            </w:r>
            <w:r>
              <w:rPr>
                <w:rFonts w:hint="eastAsia" w:ascii="宋体" w:hAnsi="宋体" w:cs="宋体"/>
                <w:color w:val="auto"/>
                <w:kern w:val="0"/>
                <w:sz w:val="21"/>
                <w:szCs w:val="21"/>
                <w:highlight w:val="none"/>
                <w:lang w:val="en-US" w:eastAsia="zh-CN" w:bidi="ar-SA"/>
              </w:rPr>
              <w:t>的</w:t>
            </w:r>
            <w:r>
              <w:rPr>
                <w:rFonts w:hint="default" w:ascii="宋体" w:hAnsi="宋体" w:eastAsia="宋体" w:cs="宋体"/>
                <w:color w:val="auto"/>
                <w:kern w:val="0"/>
                <w:sz w:val="21"/>
                <w:szCs w:val="21"/>
                <w:highlight w:val="none"/>
                <w:lang w:val="en-US" w:eastAsia="zh-CN" w:bidi="ar-SA"/>
              </w:rPr>
              <w:t>附件 1《“十四五” 自治区职业教育规划教材建设标准》全部指标，覆盖理念、结构、内容、形式、创新与成效五大一级指标所有规范，全程落实立德树人、德技并修、校企双元开发、岗课赛证融通要求。</w:t>
            </w:r>
          </w:p>
          <w:p w14:paraId="2CA1CF3C">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一、团队组建</w:t>
            </w:r>
          </w:p>
          <w:p w14:paraId="2DAD73A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由采购人烹饪专业教师 + 供应商企业技术专家共同组建专属教材编写小组，团队人员结构须符合自治区规划教材编写人员要求：包含烹饪专业骨干教师、职教教科研人员、餐饮行业企业技术人员、餐饮行业能工巧匠，形成 “校 - 企 - 行业专家” 三元编写梯队；供应商指派专职项目负责人全程驻场对接，每周固定沟通进度，建立项目进度台账。</w:t>
            </w:r>
          </w:p>
          <w:p w14:paraId="3DF73EF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编写团队意识形态审核：所有参编人员须完成师德、行业从业资质审查，全过程落实教材意识形态把关，确保教材政治导向合规。</w:t>
            </w:r>
          </w:p>
          <w:p w14:paraId="41C8DCF1">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二、编写计划制定</w:t>
            </w:r>
          </w:p>
          <w:p w14:paraId="674A484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双方 3 个工作日内完成教材全周期编写计划表，明确大纲编制、素材拍摄、初稿、内审、专家评审、定稿、出书交付各阶段截止时间，计划表作为合同附件。本项目约定合同签订后 120 日内完成定稿出版，预留校内审核、专家复审缓冲周期，满足规划教材时限管控要求。</w:t>
            </w:r>
          </w:p>
          <w:p w14:paraId="43BAE1EC">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三、全流程进度管控</w:t>
            </w:r>
          </w:p>
          <w:p w14:paraId="23FFF72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供应商项目负责人每日跟进编写进度，每周出具进度简报，滞后 3 天及以上需出具整改方案；全程协助教师完成文字撰写、图文整合、资源配套工作，同步留存各阶段审核记录、修改台账。</w:t>
            </w:r>
          </w:p>
          <w:p w14:paraId="4588CA3D">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四、大纲编制与初审</w:t>
            </w:r>
          </w:p>
          <w:p w14:paraId="59DBA25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行业烹饪专家全程指导编写组搭建完整教材大纲，大纲包含课程标准、项目模块、技能目标、配套资源清单，大纲设计严格遵循自治区教材建设标准： </w:t>
            </w:r>
          </w:p>
          <w:p w14:paraId="32AE910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价值导向：嵌入习近平新时代中国特色社会主义思想、社会主义核心价值观，融入爱国主义、民族团结、中外饮食文化交流、工匠精神、劳动教育内容；</w:t>
            </w:r>
          </w:p>
          <w:p w14:paraId="645B2BF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教学理念：突出 “做中学、做中教” 理实一体化、以学生为中心，适配模块化、项目式教学；</w:t>
            </w:r>
          </w:p>
          <w:p w14:paraId="1B3D8BE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逻辑结构：框架循序渐进、层次清晰，模块独立可拆分，满足活页教材弹性教学需求。</w:t>
            </w:r>
          </w:p>
          <w:p w14:paraId="5E2FC36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，出具书面论证意见。</w:t>
            </w:r>
          </w:p>
          <w:p w14:paraId="72540F47">
            <w:pPr>
              <w:spacing w:line="420" w:lineRule="exact"/>
              <w:ind w:firstLine="420"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w:t>
            </w:r>
            <w:r>
              <w:rPr>
                <w:rFonts w:hint="default" w:ascii="宋体" w:hAnsi="宋体" w:eastAsia="宋体" w:cs="宋体"/>
                <w:b/>
                <w:bCs/>
                <w:color w:val="auto"/>
                <w:kern w:val="0"/>
                <w:sz w:val="21"/>
                <w:szCs w:val="21"/>
                <w:highlight w:val="none"/>
                <w:lang w:val="en-US" w:eastAsia="zh-CN" w:bidi="ar-SA"/>
              </w:rPr>
              <w:t>五、教材内容与配套资源</w:t>
            </w:r>
          </w:p>
          <w:p w14:paraId="6025478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（一）内容理念与价值导向硬性要求</w:t>
            </w:r>
          </w:p>
          <w:p w14:paraId="01C5B86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全书全程坚持正确政治方向，融入中华优秀饮食文化、东南亚各国友好交流、民族团结、生态文明、食品安全法治教育，弘扬劳动光荣、技能宝贵、精益求精的工匠精神、劳模精神、职业精神；引导学生树立正确职业观、择业观、世界观、人生观、价值观。</w:t>
            </w:r>
          </w:p>
          <w:p w14:paraId="1C527A2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立足广西面向东盟区位优势，服务广西重点服务业、文旅餐饮产业发展，契合自治区规划教材支持区域特色产业选题要求。</w:t>
            </w:r>
          </w:p>
          <w:p w14:paraId="40D2F30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（二）内容科学性、针对性、先进性、系统性要求</w:t>
            </w:r>
          </w:p>
          <w:p w14:paraId="5D7769F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教材内容严格对标中餐烹饪、西餐烹饪国家教学标准，术语、工艺流程、食品安全规范符合国家行业标准，数据、菜品案例来源正规餐饮企业、东盟餐饮行业协会，真实可靠；</w:t>
            </w:r>
          </w:p>
          <w:p w14:paraId="18B5620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深度落实岗课赛证融通，有机融入餐饮职业技能等级标准、烹饪技能大赛实操规范、餐饮企业东南亚菜真实岗位工作要求，贴合中职学生认知规律，突出实操能力、创新能力培养；</w:t>
            </w:r>
          </w:p>
          <w:p w14:paraId="2070424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紧跟东南亚餐饮产业发展，纳入东南亚餐饮新技术、新工艺、新式调味规范、跨境餐饮经营新规范，体现行业最新发展成果；</w:t>
            </w:r>
          </w:p>
          <w:p w14:paraId="47DBB53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内容深浅适配中职烹饪专业课时目标，适配项目化、案例化、模块化课堂教学，兼顾分层教学、个性化自主学习需求。</w:t>
            </w:r>
          </w:p>
          <w:p w14:paraId="10738B9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（三）模块与实操量化指标</w:t>
            </w:r>
          </w:p>
          <w:p w14:paraId="698BB18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1.全书设置 30 个独立实操项目，每个项目包含岗位任务、知识要点、操作步骤、安全规范、考核评价、拓展实训 6 大模块；模块独立拆分、可单独抽换，满足活页教材开放性、灵活性建设标准；</w:t>
            </w:r>
          </w:p>
          <w:p w14:paraId="226B448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2.配套高清实操视频 30 条，单条时长 3–6 分钟，分辨率 1920×1080、16:9、25 帧，MP4/H.264 格式；每条视频统一制作 3–5 秒标准化片头，含学校 LOGO、项目名称；视频无水印、无第三方广告；视频内容同步融入工匠精神、食品安全、中外饮食文化思政元素；</w:t>
            </w:r>
          </w:p>
          <w:p w14:paraId="437C9FA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3.每个项目配套高清实拍流程图片 10–15 张，图片分辨率≥300DPI，可直接印刷或教材二维码扫码查看；供应商全权负责菜品拍摄、灯光布置、后期修图、视频剪辑、字幕校对；图片、视频完整还原企业真实后厨生产流程、标准化工艺；</w:t>
            </w:r>
          </w:p>
          <w:p w14:paraId="30746F9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4.所有视频、图片源文件（工程文件、RAW 原图）全部随教材交付采购人永久留存，作为数字化配套资源，满足数字教材建设指标。</w:t>
            </w:r>
          </w:p>
          <w:p w14:paraId="1BFA4684">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六、调研与研讨会组织</w:t>
            </w:r>
          </w:p>
          <w:p w14:paraId="1184E93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（一）供应商承担全部费用，组织不少于 1 场行业烹饪专家、企业大厨、校内教师联合教材开发调研研讨会，形成完整会议纪要、调研问卷、改进意见清单，并拟定大纲。（合同生效后 2 周内完成）</w:t>
            </w:r>
          </w:p>
          <w:p w14:paraId="308C0A5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 研讨会重点调研东盟餐饮企业一线岗位需求，收集企业新技术、新工艺、岗位能力标准，确保企业深度参与教材开发，满足规划教材 “校企合作、产教融合、创新性” 建设指标，会议材料全部归档作为申报佐证。</w:t>
            </w:r>
          </w:p>
          <w:p w14:paraId="4E64FA75">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七、专家论证会</w:t>
            </w:r>
          </w:p>
          <w:p w14:paraId="73630C8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邀请副高及以上烹饪 / 职教专家开展大纲专项论证会，对照自治区规划教材 5 大一级建设标准逐条审核教材理念、结构、内容、形式、创新设计，出具正式书面论证意见书，依据意见完成大纲终稿确认，专家劳务、场地、资料费用全部含在报价内。（合同生效后 4 周内完成）</w:t>
            </w:r>
          </w:p>
          <w:p w14:paraId="446766E6">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八、课程标准同步编制</w:t>
            </w:r>
          </w:p>
          <w:p w14:paraId="25CF84D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供应商配合教师同步撰写配套课程标准，包含人才培养目标、课时分配、考核方案、实训条件要求，与教材内容完全匹配；课程标准同步落实课程思政、工匠精神、岗课赛证融合要求，与教材共同通过校内规划教材审核。</w:t>
            </w:r>
          </w:p>
          <w:p w14:paraId="21502D54">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九、多轮文稿打磨</w:t>
            </w:r>
          </w:p>
          <w:p w14:paraId="68B9DA7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供应商配合教师按计划完成初稿，组织专家初稿评审会；供应商配合教师根据评审意见修改形成再审稿，经专家二次审核定稿；编写全过程提供不少于 2 次专家线上 / 线下专项指导培训，每次指导2课时。定稿后配合采购人完成校内规划教材专项审核，安排专人根据校内审核意见完成全部修改，达到自治区规划教材校内审核通过标准，留存完整内审记录表、修改痕迹稿。</w:t>
            </w:r>
          </w:p>
          <w:p w14:paraId="220F2212">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十、排版装订与形式规范</w:t>
            </w:r>
          </w:p>
          <w:p w14:paraId="63DECB2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统一印制成品教材 150 册，额外交付电子版全稿（Word、PDF 可编辑双版本）；</w:t>
            </w:r>
          </w:p>
          <w:p w14:paraId="782A1B9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十一、排版装订服务</w:t>
            </w:r>
          </w:p>
          <w:p w14:paraId="68142F4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（一）供应商负责全文字排版、图文对齐、彩色封面原创设计、活页打孔装订；封面采用 250g 铜版纸覆膜，内文 100g 双胶彩色印刷；文字通顺简洁、图文表编排科学，提升可读性；</w:t>
            </w:r>
          </w:p>
          <w:p w14:paraId="6770D61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活页装帧符合规划教材新型活页式规范：金属圈活页装订，模块可自由拆卸、替换，适配弹性教学；界面、配色、图片清晰美观，符合学生认知特点；配套数字资源支持扫码在线学习，满足数字教材交互、动态更新要求。</w:t>
            </w:r>
          </w:p>
          <w:p w14:paraId="1AA4CDB8">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十二、出版全流程服务</w:t>
            </w:r>
          </w:p>
          <w:p w14:paraId="60C4B02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（一）供应商对接正规职业教育类出版社，全权负责书号申请、三审三校、排版校对、版权登记，承担全部出版、书号、审核费用，最终出具正规 ISBN 书号公开出版，出版周期符合教材建设周期要求；</w:t>
            </w:r>
          </w:p>
          <w:p w14:paraId="4FF1D22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（二）安排专职人员对教材意识形态、价值导向进行全稿三审把关，确保完全符合《职业院校教材管理办法》及桂教职成〔2025〕37 号导向要求，并出具意识形态合规报告。</w:t>
            </w:r>
          </w:p>
          <w:p w14:paraId="4EA581F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十三、印刷成品质量硬性验收标准</w:t>
            </w:r>
          </w:p>
          <w:p w14:paraId="398D2E6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（一）开本 A4，成品尺寸误差≤1.5mm，四边裁切方正，整体歪斜≤2mm；</w:t>
            </w:r>
          </w:p>
          <w:p w14:paraId="74AA4ED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（二）活页金属圈装订，孔径、钉距误差≤2mm，装订牢固无脱落、不起泡，浆口宽度 2–8mm；</w:t>
            </w:r>
          </w:p>
          <w:p w14:paraId="0AB3B21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（三）封面、插页四色套印误差≤0.6mm，无重影、漏印；</w:t>
            </w:r>
          </w:p>
          <w:p w14:paraId="1F15314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（四）整本书墨色均匀，版面端正；每印张文字模糊、断笔、缺划瑕疵≤2 处；</w:t>
            </w:r>
          </w:p>
          <w:p w14:paraId="2898FE3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（五）正反面套印对齐允差≤2mm，页面歪斜≤2mm；</w:t>
            </w:r>
          </w:p>
          <w:p w14:paraId="48715D9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（六）页码折页对齐，相邻页面错位≤7mm；</w:t>
            </w:r>
          </w:p>
          <w:p w14:paraId="398E380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（七）封面覆膜平整无褶皱、气泡、脱膜；</w:t>
            </w:r>
          </w:p>
          <w:p w14:paraId="0F866E7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（八）纸张符合国标图书印刷用纸标准，无发黄、破损、异味；</w:t>
            </w:r>
          </w:p>
          <w:p w14:paraId="1350551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（九）活页分模块独立成册，预留空白实训工单、评价记录表，支持课堂手写填写，满足活页教材开放性、灵活性标准。</w:t>
            </w:r>
          </w:p>
          <w:p w14:paraId="36EED3B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十四、交付成果清单</w:t>
            </w:r>
          </w:p>
          <w:p w14:paraId="6935E50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（一）正式出版全彩活页教材150册； </w:t>
            </w:r>
          </w:p>
          <w:p w14:paraId="747E964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（二）可编辑Word、PDF全套完整电子原稿（含工单、图表、课件）；</w:t>
            </w:r>
          </w:p>
          <w:p w14:paraId="42D9769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（三）完整配套课程标准及案件教案习题等资源；</w:t>
            </w:r>
          </w:p>
          <w:p w14:paraId="57A0A26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（四）行业调研全套档案（调研纪要、正式调研报告）；</w:t>
            </w:r>
          </w:p>
          <w:p w14:paraId="64B9F96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（五）大纲专家论证全套档案（专家资质、意见书、修改台账）；</w:t>
            </w:r>
          </w:p>
          <w:p w14:paraId="4E62FB1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（六）意识形态书面审核报告【修改标注：新增交付项】；</w:t>
            </w:r>
          </w:p>
          <w:p w14:paraId="548482C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（七）原创电商数字化配套素材包； </w:t>
            </w:r>
          </w:p>
          <w:p w14:paraId="426A658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（八）出版社全套出版证明（书号、ISBN、三审三校、版权登记材料）。</w:t>
            </w:r>
          </w:p>
          <w:p w14:paraId="7D890DA6">
            <w:pPr>
              <w:spacing w:line="420" w:lineRule="exact"/>
              <w:ind w:firstLine="420" w:firstLineChars="200"/>
              <w:rPr>
                <w:rFonts w:hint="default" w:ascii="宋体" w:hAnsi="宋体" w:eastAsia="宋体" w:cs="宋体"/>
                <w:color w:val="auto"/>
                <w:kern w:val="0"/>
                <w:sz w:val="21"/>
                <w:szCs w:val="21"/>
                <w:highlight w:val="none"/>
                <w:lang w:val="en-US" w:eastAsia="zh-CN" w:bidi="ar-SA"/>
              </w:rPr>
            </w:pPr>
          </w:p>
          <w:p w14:paraId="7F3537A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十五、创新与育人成效专项要求</w:t>
            </w:r>
          </w:p>
          <w:p w14:paraId="77B0E3D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一）创新性要求：企业大厨、东盟餐饮行业专家全程深度参与大纲设计、内容编写、工艺审核；立足广西面向东盟区位特色，打造区域独有东南亚菜肴活页教材，区别于通用西餐、东南亚烹饪教材，具备示范推广价值；配套完整数字化融媒体资源，形成 “纸质活页 + 视频 + 图片 + 课程标准” 一体化新形态教材成果。</w:t>
            </w:r>
          </w:p>
          <w:p w14:paraId="3D44A4D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（二）育人成效保障：教材全部模块嵌入课程思政、工匠精神、职业素养培育内容；依托本校中餐烹饪自治区 “双优专业” 教学资源开发；教材完成出版后，可在校内、合作餐饮企业开展教学试用，收集师生、企业师傅使用反馈，形成育人成效分析报告，作为规划教材成效佐证材料。</w:t>
            </w:r>
          </w:p>
          <w:p w14:paraId="4792EAFC">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十六、工期约束</w:t>
            </w:r>
          </w:p>
          <w:p w14:paraId="0F71E3C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本教材全部工作须在合同签订后 120 日内完成定稿出版。</w:t>
            </w:r>
          </w:p>
        </w:tc>
        <w:tc>
          <w:tcPr>
            <w:tcW w:w="1270" w:type="dxa"/>
            <w:tcBorders>
              <w:top w:val="single" w:color="auto" w:sz="4" w:space="0"/>
              <w:left w:val="single" w:color="auto" w:sz="4" w:space="0"/>
              <w:bottom w:val="single" w:color="auto" w:sz="4" w:space="0"/>
              <w:right w:val="single" w:color="auto" w:sz="4" w:space="0"/>
            </w:tcBorders>
            <w:vAlign w:val="center"/>
          </w:tcPr>
          <w:p w14:paraId="261FD292">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r>
              <w:rPr>
                <w:rFonts w:hint="default" w:ascii="宋体" w:hAnsi="宋体" w:eastAsia="宋体" w:cs="宋体"/>
                <w:color w:val="auto"/>
                <w:szCs w:val="21"/>
                <w:highlight w:val="none"/>
                <w:lang w:val="en-US" w:eastAsia="zh-CN"/>
              </w:rPr>
              <w:t>0000</w:t>
            </w:r>
            <w:r>
              <w:rPr>
                <w:rFonts w:hint="eastAsia" w:ascii="宋体" w:hAnsi="宋体" w:eastAsia="宋体" w:cs="宋体"/>
                <w:color w:val="auto"/>
                <w:szCs w:val="21"/>
                <w:highlight w:val="none"/>
                <w:lang w:val="en-US" w:eastAsia="zh-CN"/>
              </w:rPr>
              <w:t>.00</w:t>
            </w:r>
          </w:p>
        </w:tc>
        <w:tc>
          <w:tcPr>
            <w:tcW w:w="1045" w:type="dxa"/>
            <w:tcBorders>
              <w:top w:val="single" w:color="auto" w:sz="4" w:space="0"/>
              <w:left w:val="single" w:color="auto" w:sz="4" w:space="0"/>
              <w:bottom w:val="single" w:color="auto" w:sz="4" w:space="0"/>
              <w:right w:val="single" w:color="auto" w:sz="4" w:space="0"/>
            </w:tcBorders>
            <w:vAlign w:val="center"/>
          </w:tcPr>
          <w:p w14:paraId="7547A991">
            <w:pPr>
              <w:spacing w:line="500" w:lineRule="exact"/>
              <w:jc w:val="center"/>
              <w:rPr>
                <w:rFonts w:ascii="宋体" w:hAnsi="宋体" w:cs="宋体"/>
                <w:color w:val="auto"/>
                <w:szCs w:val="21"/>
                <w:highlight w:val="none"/>
              </w:rPr>
            </w:pPr>
            <w:r>
              <w:rPr>
                <w:rFonts w:hint="eastAsia" w:ascii="宋体" w:hAnsi="宋体" w:eastAsia="宋体" w:cs="宋体"/>
                <w:color w:val="auto"/>
                <w:sz w:val="21"/>
                <w:szCs w:val="21"/>
                <w:highlight w:val="none"/>
              </w:rPr>
              <w:t>软件和信息技术服务业</w:t>
            </w:r>
          </w:p>
        </w:tc>
      </w:tr>
      <w:tr w14:paraId="67C0B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4" w:hRule="atLeast"/>
        </w:trPr>
        <w:tc>
          <w:tcPr>
            <w:tcW w:w="428" w:type="dxa"/>
            <w:vMerge w:val="continue"/>
            <w:tcBorders>
              <w:left w:val="single" w:color="auto" w:sz="4" w:space="0"/>
              <w:right w:val="single" w:color="auto" w:sz="4" w:space="0"/>
            </w:tcBorders>
            <w:vAlign w:val="center"/>
          </w:tcPr>
          <w:p w14:paraId="6D9000B0">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04A952D2">
            <w:pPr>
              <w:spacing w:line="50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957" w:type="dxa"/>
            <w:tcBorders>
              <w:top w:val="single" w:color="auto" w:sz="4" w:space="0"/>
              <w:left w:val="single" w:color="auto" w:sz="4" w:space="0"/>
              <w:bottom w:val="single" w:color="auto" w:sz="4" w:space="0"/>
              <w:right w:val="single" w:color="auto" w:sz="4" w:space="0"/>
            </w:tcBorders>
            <w:vAlign w:val="center"/>
          </w:tcPr>
          <w:p w14:paraId="44BA6D9A">
            <w:pPr>
              <w:spacing w:line="5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《品牌数字化推广应用》活页式教材编写服务</w:t>
            </w:r>
          </w:p>
        </w:tc>
        <w:tc>
          <w:tcPr>
            <w:tcW w:w="562" w:type="dxa"/>
            <w:tcBorders>
              <w:top w:val="single" w:color="auto" w:sz="4" w:space="0"/>
              <w:left w:val="single" w:color="auto" w:sz="4" w:space="0"/>
              <w:bottom w:val="single" w:color="auto" w:sz="4" w:space="0"/>
              <w:right w:val="single" w:color="auto" w:sz="4" w:space="0"/>
            </w:tcBorders>
            <w:vAlign w:val="center"/>
          </w:tcPr>
          <w:p w14:paraId="7D14B0CF">
            <w:pPr>
              <w:pStyle w:val="40"/>
              <w:spacing w:before="0" w:beforeAutospacing="0" w:after="0" w:afterAutospacing="0" w:line="500" w:lineRule="exact"/>
              <w:ind w:firstLine="0" w:firstLine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4526C2A3">
            <w:pPr>
              <w:spacing w:line="500" w:lineRule="exac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4DFB76E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《品牌数字化推广应用》活页式教材编写服务完整参数</w:t>
            </w:r>
          </w:p>
          <w:p w14:paraId="24167BC6">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一、项目基本说明 </w:t>
            </w:r>
          </w:p>
          <w:p w14:paraId="3E1EC6C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本项目为“新编新形态活页式教材”，契合广西第二批“十四五”职业教育规划申报要求，归属财经商贸电子商务专业，聚焦短视频、直播、私域、新媒体品牌数字化推广岗位内容，严格对标自治区规划教材五大一级指标（理念、结构、内容、形式、创新与成效），校企双元协同开发，总包干预算10万元，包含调研、编写、专家评审、课程标准配套、原创数字资源、正规ISBN出版、全彩活页印刷、全套交付资料所有费用，无额外加价。</w:t>
            </w:r>
          </w:p>
          <w:p w14:paraId="00D4984A">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二、校企协同编写团队组建 </w:t>
            </w:r>
          </w:p>
          <w:p w14:paraId="37BAFEB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人员架构：实行校企双元编写小组，采购人院校电子商务专业骨干教师为主编，供应商派驻资深数字营销行业高级专家（5年以上品牌全案运营经验）为副主编；团队同步配备职教课程研发专员、全媒体素材原创设计师、专职项目对接人、思政内容审核专员、出版编审专员，人员结构覆盖专业教师、教科研人员、行业企业技术人员、能工巧匠，满足自治区教材编写团队人员配置规范。 </w:t>
            </w:r>
          </w:p>
          <w:p w14:paraId="4ECD130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运行机制：固定每周线下/线上周例会，形成周工作纪要；建立主编终审、行业专家审读、思政专项三重审核机制，全程落实立德树人根本任务，严格把控政治方向、社会主义核心价值观、爱国主义、集体主义、工匠精神、民族团结、法治、生态文明相关内容。 </w:t>
            </w:r>
          </w:p>
          <w:p w14:paraId="547939C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 xml:space="preserve">职责划分：院校教师负责贴合职教高考、职业本科教学要求，匹配中职/高职学生认知规律；行业专家负责导入电商一线新技术、新工艺、新规范；项目对接人统筹全周期进度、全套申报资料归档。 </w:t>
            </w:r>
          </w:p>
          <w:p w14:paraId="4D866531">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三、全周期编写进度管控 </w:t>
            </w:r>
          </w:p>
          <w:p w14:paraId="3E89CD7E">
            <w:pPr>
              <w:spacing w:line="420" w:lineRule="exact"/>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 xml:space="preserve">    1、</w:t>
            </w:r>
            <w:r>
              <w:rPr>
                <w:rFonts w:hint="default" w:ascii="宋体" w:hAnsi="宋体" w:eastAsia="宋体" w:cs="宋体"/>
                <w:color w:val="auto"/>
                <w:kern w:val="0"/>
                <w:sz w:val="21"/>
                <w:szCs w:val="21"/>
                <w:highlight w:val="none"/>
                <w:lang w:val="en-US" w:eastAsia="zh-CN" w:bidi="ar-SA"/>
              </w:rPr>
              <w:t xml:space="preserve">交付时限：合同签订3个工作日内出具完整分阶段开发计划表，细化行业调研、大纲研讨、文稿撰写、多轮专家评审、修改定稿、课程标准配套、排版校对、书号申报、印刷交付全节点，明确各阶段交付物、审核周期、整改时限，整体周期严格控制在立项后120天内完成编写与校内审核，符合自治区规划教材时限要求。 </w:t>
            </w:r>
          </w:p>
          <w:p w14:paraId="1A5D7FD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进度管控机制：企业负责人全程统筹项目，每周提交标准化进度报告，滞后24小时内出具书面整改方案，同步调配人力保障节点；全程辅助教师完成文案、案例、数据素材整理、稿件多轮修改。 </w:t>
            </w:r>
          </w:p>
          <w:p w14:paraId="02A2246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辅助服务：全程协助院校教师完成行业案例、运营数据、实操工单、图表素材整理、文字润色、多轮稿件修改。</w:t>
            </w:r>
          </w:p>
          <w:p w14:paraId="659E0546">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四、模块化大纲开发 </w:t>
            </w:r>
          </w:p>
          <w:p w14:paraId="7BD974D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开发逻辑：遵循“岗课赛证融通”原则，以新媒体品牌推广典型岗位工作任务为载体搭建模块化活页框架，整体逻辑循序渐进、层次分明，模块可独立拆分替换，满足弹性分层教学，符合活页教材“开放性、灵活性”建设指标。 </w:t>
            </w:r>
          </w:p>
          <w:p w14:paraId="3122398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核心覆盖模块：短视频推广、直播电商、私域运营、新媒体投放、品牌策划，同步增设广西特色农产品电商品牌数字化专项模块。 </w:t>
            </w:r>
          </w:p>
          <w:p w14:paraId="5D690AB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 xml:space="preserve">两轮审阅流程：数字营销行业专家指导搭建模块化大纲；初稿经教师两轮审阅修改后形成预审稿。 </w:t>
            </w:r>
          </w:p>
          <w:p w14:paraId="65F148F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 xml:space="preserve">思政同步设计：每个教学模块配套固定思政融入点（国货振兴、乡村电商助农、诚信合规经营、数据隐私法治、工匠精神）。 </w:t>
            </w:r>
          </w:p>
          <w:p w14:paraId="054DF200">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五、电商行业调研研讨会 </w:t>
            </w:r>
          </w:p>
          <w:p w14:paraId="0638E11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成本：供应商承担场地、劳务、会务、调研全部成本。 </w:t>
            </w:r>
          </w:p>
          <w:p w14:paraId="37EBAFD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参会人员：组织电商企业运营总监、一线实操能工巧匠、职教专家、电子商务专业教师开展调研研讨会。 </w:t>
            </w:r>
          </w:p>
          <w:p w14:paraId="7E4D48F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产出成果：收集2025电商一线真实岗位案例、平台最新行业标准、运营实操痛点，形成正式书面行业调研报告，并拟定大纲。</w:t>
            </w:r>
          </w:p>
          <w:p w14:paraId="4A7CC19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六、专家论证评审 </w:t>
            </w:r>
          </w:p>
          <w:p w14:paraId="555CA1B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专家资质：邀请≥3名副高及以上职称数字经济、电子商务领域专家。 </w:t>
            </w:r>
          </w:p>
          <w:p w14:paraId="1336A8B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流程：组织线下大纲论证会，专家出具书面论证意见；供应商逐条对照意见修改复核，最终锁定终版大纲；全套专家资质、论证材料、修改记录完整归档，可用于规划教材申报。 </w:t>
            </w:r>
          </w:p>
          <w:p w14:paraId="475F30C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 xml:space="preserve">评审重点：同步审核教材政治导向、模块结构、行业内容先进性、学生适配度。 </w:t>
            </w:r>
          </w:p>
          <w:p w14:paraId="5B6B6BD9">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七、课程标准同步开发 </w:t>
            </w:r>
          </w:p>
          <w:p w14:paraId="4260DAD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配套撰写数字化推广完整课程标准，包含三维教学目标、实训项目、软硬件设备要求、全过程过程性考核细则、思政实施路径，贴合中职、职业本科新媒体岗位真实工作场景。 </w:t>
            </w:r>
          </w:p>
          <w:p w14:paraId="0A12D9C1">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八、文稿编制与多轮评审 </w:t>
            </w:r>
          </w:p>
          <w:p w14:paraId="152E74D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任务：拆分模块按期交付初稿，分行业、教学、思政、出版四层多轮专家评审，逐条整改直至定稿。 </w:t>
            </w:r>
          </w:p>
          <w:p w14:paraId="70A4FA9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配套培训：编写周期内提供不少于2场数字化活页教材开发专项培训，培训课件、签到记录统一归档，每次培训2课时。 </w:t>
            </w:r>
          </w:p>
          <w:p w14:paraId="5FE363F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 xml:space="preserve">内容硬性补充：教材全部案例、图表、后台截图、短视频素材由供应商原创拍摄整理，无网络搬运、无版权纠纷；专业术语、行业数据严格遵循国家电商标准规范，案例来源可溯源。 </w:t>
            </w:r>
          </w:p>
          <w:p w14:paraId="112798E3">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九、意识形态专项审核 </w:t>
            </w:r>
          </w:p>
          <w:p w14:paraId="7CC4D81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安排专职审核人员对全书大纲、文稿、配套资源开展意识形态、法律规范、价值导向全流程审核，出具书面意识形态审核报告，杜绝虚假营销、数据造假等不良示范内容。</w:t>
            </w:r>
          </w:p>
          <w:p w14:paraId="04301EEB">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十、出版全流程服务 </w:t>
            </w:r>
          </w:p>
          <w:p w14:paraId="03817A3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全权对接正规国有职教出版社，全额承担书号申报、三审三校、CIP备案、版权登记全部费用；完成正规ISBN出版；全套出版流程材料、三审记录、版权文件统一归档，满足自治区规划教材申报材料要求。 </w:t>
            </w:r>
          </w:p>
          <w:p w14:paraId="276D72DD">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 xml:space="preserve">十一、排版、装订、印刷交付 </w:t>
            </w:r>
          </w:p>
          <w:p w14:paraId="197B7ED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 xml:space="preserve">排版：供应商负责全书图文标准化排版、原创彩色封面设计、标准化活页装订，封面覆膜，内文全彩印刷。 </w:t>
            </w:r>
          </w:p>
          <w:p w14:paraId="19209A5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 xml:space="preserve">印刷标准：与《东南亚菜肴制作》开本、纸张、套印、覆膜、装订、误差标准完全统一；活页模块支持单独拆卸替换，适配迭代更新。 </w:t>
            </w:r>
          </w:p>
          <w:p w14:paraId="41B9940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w:t>
            </w:r>
            <w:r>
              <w:rPr>
                <w:rFonts w:hint="eastAsia" w:ascii="宋体" w:hAnsi="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 xml:space="preserve">成品数量：印制活页教材成品150册。 </w:t>
            </w:r>
          </w:p>
          <w:p w14:paraId="141DD8BB">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十二、</w:t>
            </w:r>
            <w:r>
              <w:rPr>
                <w:rFonts w:hint="default" w:ascii="宋体" w:hAnsi="宋体" w:eastAsia="宋体" w:cs="宋体"/>
                <w:b/>
                <w:bCs/>
                <w:color w:val="auto"/>
                <w:kern w:val="0"/>
                <w:sz w:val="21"/>
                <w:szCs w:val="21"/>
                <w:highlight w:val="none"/>
                <w:lang w:val="en-US" w:eastAsia="zh-CN" w:bidi="ar-SA"/>
              </w:rPr>
              <w:t>专项配套资源</w:t>
            </w:r>
          </w:p>
          <w:p w14:paraId="65CE02D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配套资源全部原创无版权纠纷：真实电商运营案例、数据图表、平台后台截图二维码素材、数字化实操任务工单、课程考核评价表、全套教学课件。 </w:t>
            </w:r>
          </w:p>
          <w:p w14:paraId="31E9EC64">
            <w:pPr>
              <w:spacing w:line="420" w:lineRule="exact"/>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十三、</w:t>
            </w:r>
            <w:r>
              <w:rPr>
                <w:rFonts w:hint="default" w:ascii="宋体" w:hAnsi="宋体" w:eastAsia="宋体" w:cs="宋体"/>
                <w:b/>
                <w:bCs/>
                <w:color w:val="auto"/>
                <w:kern w:val="0"/>
                <w:sz w:val="21"/>
                <w:szCs w:val="21"/>
                <w:highlight w:val="none"/>
                <w:lang w:val="en-US" w:eastAsia="zh-CN" w:bidi="ar-SA"/>
              </w:rPr>
              <w:t xml:space="preserve">完整交付成果清单 </w:t>
            </w:r>
          </w:p>
          <w:p w14:paraId="0F1ECBE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1.正式出版全彩活页教材150册； </w:t>
            </w:r>
          </w:p>
          <w:p w14:paraId="35AACEA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2.可编辑Word、PDF全套完整电子原稿（含工单、图表、课件）；</w:t>
            </w:r>
          </w:p>
          <w:p w14:paraId="6CEF4E4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3.完整配套课程标准及案件教案习题等资源；</w:t>
            </w:r>
          </w:p>
          <w:p w14:paraId="74B09DC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4.行业调研全套档案（调研纪要、正式调研报告）；</w:t>
            </w:r>
          </w:p>
          <w:p w14:paraId="0D26384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5.大纲专家论证全套档案（专家资质、意见书、修改台账）；</w:t>
            </w:r>
          </w:p>
          <w:p w14:paraId="7F82649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6.意识形态书面审核报告【修改标注：新增交付项】； </w:t>
            </w:r>
          </w:p>
          <w:p w14:paraId="44E81DD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7.原创电商数字化配套素材包； </w:t>
            </w:r>
          </w:p>
          <w:p w14:paraId="4182B002">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8.出版社全套出版证明（书号、ISBN、三审三校、版权登记材料）。</w:t>
            </w:r>
          </w:p>
          <w:p w14:paraId="21ECF859">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十四、项目创新与育人成效保障</w:t>
            </w:r>
            <w:r>
              <w:rPr>
                <w:rFonts w:hint="default" w:ascii="宋体" w:hAnsi="宋体" w:eastAsia="宋体" w:cs="宋体"/>
                <w:color w:val="auto"/>
                <w:kern w:val="0"/>
                <w:sz w:val="21"/>
                <w:szCs w:val="21"/>
                <w:highlight w:val="none"/>
                <w:lang w:val="en-US" w:eastAsia="zh-CN" w:bidi="ar-SA"/>
              </w:rPr>
              <w:t xml:space="preserve"> </w:t>
            </w:r>
          </w:p>
          <w:p w14:paraId="428C401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1.创新点：校企深度协同开发，全部案例取自广西本地农产品电商、国货直播一线；活页结构适配电商平台规则快速迭代；深度岗课赛证融合，对接1+X数字营销技能证书。</w:t>
            </w:r>
          </w:p>
          <w:p w14:paraId="7ADD4AC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 育人成效：全章节融入爱国主义、国货振兴、乡村振兴、诚信经营、工匠精神等思政内容，兼顾技能训练与价值引领，可在校内常态化实训教学，教学成果可量化记录。</w:t>
            </w:r>
          </w:p>
        </w:tc>
        <w:tc>
          <w:tcPr>
            <w:tcW w:w="1270" w:type="dxa"/>
            <w:tcBorders>
              <w:top w:val="single" w:color="auto" w:sz="4" w:space="0"/>
              <w:left w:val="single" w:color="auto" w:sz="4" w:space="0"/>
              <w:bottom w:val="single" w:color="auto" w:sz="4" w:space="0"/>
              <w:right w:val="single" w:color="auto" w:sz="4" w:space="0"/>
            </w:tcBorders>
            <w:vAlign w:val="center"/>
          </w:tcPr>
          <w:p w14:paraId="32828C8F">
            <w:pPr>
              <w:spacing w:line="360" w:lineRule="auto"/>
              <w:jc w:val="center"/>
              <w:rPr>
                <w:rFonts w:hint="default"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100000.00</w:t>
            </w:r>
          </w:p>
        </w:tc>
        <w:tc>
          <w:tcPr>
            <w:tcW w:w="1045" w:type="dxa"/>
            <w:tcBorders>
              <w:top w:val="single" w:color="auto" w:sz="4" w:space="0"/>
              <w:left w:val="single" w:color="auto" w:sz="4" w:space="0"/>
              <w:bottom w:val="single" w:color="auto" w:sz="4" w:space="0"/>
              <w:right w:val="single" w:color="auto" w:sz="4" w:space="0"/>
            </w:tcBorders>
            <w:vAlign w:val="center"/>
          </w:tcPr>
          <w:p w14:paraId="79274ACF">
            <w:pPr>
              <w:spacing w:line="500" w:lineRule="exact"/>
              <w:jc w:val="center"/>
              <w:rPr>
                <w:rFonts w:hint="eastAsia" w:ascii="宋体" w:hAnsi="宋体" w:cs="宋体"/>
                <w:color w:val="auto"/>
                <w:szCs w:val="21"/>
                <w:highlight w:val="none"/>
                <w:lang w:val="en-US" w:eastAsia="zh-CN"/>
              </w:rPr>
            </w:pPr>
            <w:r>
              <w:rPr>
                <w:rFonts w:hint="eastAsia" w:ascii="宋体" w:hAnsi="宋体" w:eastAsia="宋体" w:cs="宋体"/>
                <w:color w:val="auto"/>
                <w:sz w:val="21"/>
                <w:szCs w:val="21"/>
                <w:highlight w:val="none"/>
              </w:rPr>
              <w:t>软件和信息技术服务业</w:t>
            </w:r>
          </w:p>
        </w:tc>
      </w:tr>
      <w:tr w14:paraId="370B1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428" w:type="dxa"/>
            <w:tcBorders>
              <w:top w:val="single" w:color="auto" w:sz="4" w:space="0"/>
              <w:left w:val="single" w:color="auto" w:sz="4" w:space="0"/>
              <w:bottom w:val="single" w:color="auto" w:sz="4" w:space="0"/>
              <w:right w:val="single" w:color="auto" w:sz="4" w:space="0"/>
            </w:tcBorders>
          </w:tcPr>
          <w:p w14:paraId="1918F3CA">
            <w:pPr>
              <w:spacing w:line="500" w:lineRule="exact"/>
              <w:jc w:val="center"/>
              <w:rPr>
                <w:rFonts w:ascii="宋体" w:hAnsi="宋体" w:cs="宋体"/>
                <w:color w:val="auto"/>
                <w:szCs w:val="21"/>
                <w:highlight w:val="none"/>
              </w:rPr>
            </w:pPr>
          </w:p>
          <w:p w14:paraId="7F9698DC">
            <w:pPr>
              <w:spacing w:line="500" w:lineRule="exact"/>
              <w:jc w:val="center"/>
              <w:rPr>
                <w:rFonts w:ascii="宋体" w:hAnsi="宋体" w:cs="宋体"/>
                <w:color w:val="auto"/>
                <w:szCs w:val="21"/>
                <w:highlight w:val="none"/>
              </w:rPr>
            </w:pPr>
          </w:p>
          <w:p w14:paraId="0633FCE8">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10054" w:type="dxa"/>
            <w:gridSpan w:val="7"/>
            <w:tcBorders>
              <w:top w:val="single" w:color="auto" w:sz="4" w:space="0"/>
              <w:left w:val="single" w:color="auto" w:sz="4" w:space="0"/>
              <w:bottom w:val="single" w:color="auto" w:sz="4" w:space="0"/>
              <w:right w:val="single" w:color="auto" w:sz="4" w:space="0"/>
            </w:tcBorders>
            <w:shd w:val="clear" w:color="auto" w:fill="auto"/>
            <w:vAlign w:val="top"/>
          </w:tcPr>
          <w:p w14:paraId="5B1A84A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一、合同签订期：自中标通知书发出之日起25日内。</w:t>
            </w:r>
          </w:p>
          <w:p w14:paraId="17C54EE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▲二、提交服务成果时间：合同签订后120 自然日内完成 2 本教材定稿及出版，并一次性通过采购人初步验收；逾期每日按合同总金额 0.5% 支付违约金，逾期超 30 日采购人</w:t>
            </w:r>
            <w:r>
              <w:rPr>
                <w:rFonts w:hint="eastAsia"/>
                <w:color w:val="auto"/>
                <w:highlight w:val="none"/>
              </w:rPr>
              <w:t>有权上报监督部门终止合同</w:t>
            </w:r>
            <w:r>
              <w:rPr>
                <w:rFonts w:hint="eastAsia" w:ascii="宋体" w:hAnsi="宋体" w:eastAsia="宋体" w:cs="宋体"/>
                <w:color w:val="auto"/>
                <w:kern w:val="2"/>
                <w:sz w:val="21"/>
                <w:szCs w:val="21"/>
                <w:highlight w:val="none"/>
                <w:u w:val="none"/>
                <w:lang w:val="en-US" w:eastAsia="zh-CN" w:bidi="ar-SA"/>
              </w:rPr>
              <w:t>，并追偿损失。</w:t>
            </w:r>
          </w:p>
          <w:p w14:paraId="10DF129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1" w:name="heading_31"/>
            <w:r>
              <w:rPr>
                <w:rFonts w:hint="eastAsia" w:ascii="宋体" w:hAnsi="宋体" w:eastAsia="宋体" w:cs="宋体"/>
                <w:color w:val="auto"/>
                <w:kern w:val="2"/>
                <w:sz w:val="21"/>
                <w:szCs w:val="21"/>
                <w:highlight w:val="none"/>
                <w:u w:val="none"/>
                <w:lang w:val="en-US" w:eastAsia="zh-CN" w:bidi="ar-SA"/>
              </w:rPr>
              <w:t>二、服务地点与交付</w:t>
            </w:r>
            <w:bookmarkEnd w:id="11"/>
          </w:p>
          <w:p w14:paraId="4940A325">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服务实施地点：广西南宁市采购人校内场地，供应商需按需驻场对接；</w:t>
            </w:r>
          </w:p>
          <w:p w14:paraId="0996ACAE">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成果交付地点：采购人指定校内办公地点，全部纸质材料现场移交，电子成果 U 盘 + 云盘双渠道交付备份；</w:t>
            </w:r>
          </w:p>
          <w:p w14:paraId="5DDC6A37">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交付方式：现场实物交付 + 电子源文件备份交付，同步签署《项目成果交付签收单》。</w:t>
            </w:r>
          </w:p>
          <w:p w14:paraId="5BF502E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2" w:name="heading_32"/>
            <w:r>
              <w:rPr>
                <w:rFonts w:hint="eastAsia" w:ascii="宋体" w:hAnsi="宋体" w:eastAsia="宋体" w:cs="宋体"/>
                <w:color w:val="auto"/>
                <w:kern w:val="2"/>
                <w:sz w:val="21"/>
                <w:szCs w:val="21"/>
                <w:highlight w:val="none"/>
                <w:u w:val="none"/>
                <w:lang w:val="en-US" w:eastAsia="zh-CN" w:bidi="ar-SA"/>
              </w:rPr>
              <w:t>三、验收标准</w:t>
            </w:r>
            <w:bookmarkEnd w:id="12"/>
          </w:p>
          <w:p w14:paraId="376619D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初验：全部成果完成后供应商提交验收申请，采购人 7 个工作日内开展初验，列出修改清单，供应商 7 日内完成整改；</w:t>
            </w:r>
          </w:p>
          <w:p w14:paraId="124C153E">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终验：整改完毕后开展正式终验，验收依据包含：本采购需求文件、供应商投标文件、双方签订合同、教材正式出版、在线课程制作相关国标；</w:t>
            </w:r>
          </w:p>
          <w:p w14:paraId="41AF3AD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验收不合格处置：两次终验仍不达标，</w:t>
            </w:r>
            <w:r>
              <w:rPr>
                <w:rFonts w:hint="eastAsia"/>
                <w:color w:val="auto"/>
                <w:highlight w:val="none"/>
              </w:rPr>
              <w:t>采购人有权上报监督部门终止合同</w:t>
            </w:r>
            <w:r>
              <w:rPr>
                <w:rFonts w:hint="eastAsia" w:ascii="宋体" w:hAnsi="宋体" w:eastAsia="宋体" w:cs="宋体"/>
                <w:color w:val="auto"/>
                <w:sz w:val="21"/>
                <w:szCs w:val="21"/>
                <w:highlight w:val="none"/>
                <w:u w:val="none"/>
              </w:rPr>
              <w:t>，</w:t>
            </w:r>
            <w:r>
              <w:rPr>
                <w:rFonts w:hint="eastAsia" w:ascii="宋体" w:hAnsi="宋体" w:eastAsia="宋体" w:cs="宋体"/>
                <w:color w:val="auto"/>
                <w:kern w:val="2"/>
                <w:sz w:val="21"/>
                <w:szCs w:val="21"/>
                <w:highlight w:val="none"/>
                <w:u w:val="none"/>
                <w:lang w:val="en-US" w:eastAsia="zh-CN" w:bidi="ar-SA"/>
              </w:rPr>
              <w:t>供应商全额退还已支付款项并赔偿预算总额 20% 违约金。</w:t>
            </w:r>
          </w:p>
          <w:p w14:paraId="2A401427">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3" w:name="heading_33"/>
            <w:r>
              <w:rPr>
                <w:rFonts w:hint="eastAsia" w:ascii="宋体" w:hAnsi="宋体" w:eastAsia="宋体" w:cs="宋体"/>
                <w:color w:val="auto"/>
                <w:kern w:val="2"/>
                <w:sz w:val="21"/>
                <w:szCs w:val="21"/>
                <w:highlight w:val="none"/>
                <w:u w:val="none"/>
                <w:lang w:val="en-US" w:eastAsia="zh-CN" w:bidi="ar-SA"/>
              </w:rPr>
              <w:t>四、售后服务</w:t>
            </w:r>
            <w:bookmarkEnd w:id="13"/>
          </w:p>
          <w:p w14:paraId="300952A2">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质保期：全部成果验收合格之日起2 年质保；</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（1）修改范围：视频错别字、字幕错误、画面瑕疵、文稿文字错误、平台基础功能调试；</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（2）有偿修改范围：新增课时、新增视频、重新编写教材模块、大规模内容改版，按分项单价单独计价；</w:t>
            </w:r>
          </w:p>
          <w:p w14:paraId="7C9D1B4C">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售后响应机制</w:t>
            </w:r>
            <w:r>
              <w:rPr>
                <w:rFonts w:hint="eastAsia" w:ascii="宋体" w:hAnsi="宋体" w:cs="宋体"/>
                <w:color w:val="auto"/>
                <w:kern w:val="2"/>
                <w:sz w:val="21"/>
                <w:szCs w:val="21"/>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（1）线上问题：2 小时内响应，远程调试解决；</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（2）现场故障：远程无法解决的，4 小时内技术人员抵达采购人指定现场；</w:t>
            </w:r>
          </w:p>
          <w:p w14:paraId="6523404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售后人员硬性配置：供应商专职售后技术人员≥2 人，</w:t>
            </w:r>
            <w:r>
              <w:rPr>
                <w:rFonts w:hint="eastAsia" w:ascii="宋体" w:hAnsi="宋体" w:eastAsia="宋体" w:cs="宋体"/>
                <w:b/>
                <w:bCs/>
                <w:color w:val="auto"/>
                <w:kern w:val="2"/>
                <w:sz w:val="21"/>
                <w:szCs w:val="21"/>
                <w:highlight w:val="none"/>
                <w:u w:val="none"/>
                <w:lang w:val="en-US" w:eastAsia="zh-CN" w:bidi="ar-SA"/>
              </w:rPr>
              <w:t>投标文件提供售后团队人员名单、社保佐证；</w:t>
            </w:r>
          </w:p>
          <w:p w14:paraId="2A03BE5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质保期结束后：提供终身低成本维护、资源更新优惠服务。</w:t>
            </w:r>
          </w:p>
          <w:p w14:paraId="6F78D6D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4" w:name="heading_34"/>
            <w:r>
              <w:rPr>
                <w:rFonts w:hint="eastAsia" w:ascii="宋体" w:hAnsi="宋体" w:eastAsia="宋体" w:cs="宋体"/>
                <w:color w:val="auto"/>
                <w:kern w:val="2"/>
                <w:sz w:val="21"/>
                <w:szCs w:val="21"/>
                <w:highlight w:val="none"/>
                <w:u w:val="none"/>
                <w:lang w:val="en-US" w:eastAsia="zh-CN" w:bidi="ar-SA"/>
              </w:rPr>
              <w:t>五、报价全包要求</w:t>
            </w:r>
            <w:bookmarkEnd w:id="14"/>
            <w:r>
              <w:rPr>
                <w:rFonts w:hint="eastAsia" w:ascii="宋体" w:hAnsi="宋体" w:eastAsia="宋体" w:cs="宋体"/>
                <w:color w:val="auto"/>
                <w:kern w:val="2"/>
                <w:sz w:val="21"/>
                <w:szCs w:val="21"/>
                <w:highlight w:val="none"/>
                <w:u w:val="none"/>
                <w:lang w:val="en-US" w:eastAsia="zh-CN" w:bidi="ar-SA"/>
              </w:rPr>
              <w:t xml:space="preserve"> </w:t>
            </w:r>
          </w:p>
          <w:p w14:paraId="5661006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投标总报价为包干总价，包含：人员劳务、专家劳务、拍摄设备、耗材、出版书号费、场地、道具、版权素材、税费、保险、运输、售后、平台3年使用费、培训、申报服务等全部费用，采购人无需支付任何额外费用。</w:t>
            </w:r>
          </w:p>
          <w:p w14:paraId="31217A07">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5" w:name="heading_35"/>
            <w:r>
              <w:rPr>
                <w:rFonts w:hint="eastAsia" w:ascii="宋体" w:hAnsi="宋体" w:eastAsia="宋体" w:cs="宋体"/>
                <w:color w:val="auto"/>
                <w:kern w:val="2"/>
                <w:sz w:val="21"/>
                <w:szCs w:val="21"/>
                <w:highlight w:val="none"/>
                <w:u w:val="none"/>
                <w:lang w:val="en-US" w:eastAsia="zh-CN" w:bidi="ar-SA"/>
              </w:rPr>
              <w:t>六、付款方式</w:t>
            </w:r>
            <w:bookmarkEnd w:id="15"/>
            <w:r>
              <w:rPr>
                <w:rFonts w:hint="eastAsia" w:ascii="宋体" w:hAnsi="宋体" w:eastAsia="宋体" w:cs="宋体"/>
                <w:color w:val="auto"/>
                <w:kern w:val="2"/>
                <w:sz w:val="21"/>
                <w:szCs w:val="21"/>
                <w:highlight w:val="none"/>
                <w:u w:val="none"/>
                <w:lang w:val="en-US" w:eastAsia="zh-CN" w:bidi="ar-SA"/>
              </w:rPr>
              <w:t xml:space="preserve"> </w:t>
            </w:r>
          </w:p>
          <w:p w14:paraId="6D82B342">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1.教材编写完成书稿及配套资源经出版社审核后可开展阶段性验收，阶段性验收合格后支付80%费用；完成书号申请，符合出版条件，通过终结性验收后支付剩余20%费用。</w:t>
            </w:r>
          </w:p>
          <w:p w14:paraId="19AB87A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2.供应商所提交的服务经采购人书面验收合格和用款计划南宁市财政局批复后，按计划支付合同款。</w:t>
            </w:r>
          </w:p>
          <w:p w14:paraId="2454DF39">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6" w:name="heading_36"/>
            <w:r>
              <w:rPr>
                <w:rFonts w:hint="eastAsia" w:ascii="宋体" w:hAnsi="宋体" w:eastAsia="宋体" w:cs="宋体"/>
                <w:color w:val="auto"/>
                <w:kern w:val="2"/>
                <w:sz w:val="21"/>
                <w:szCs w:val="21"/>
                <w:highlight w:val="none"/>
                <w:u w:val="none"/>
                <w:lang w:val="en-US" w:eastAsia="zh-CN" w:bidi="ar-SA"/>
              </w:rPr>
              <w:t>七、合同变更与风险约定</w:t>
            </w:r>
            <w:bookmarkEnd w:id="16"/>
          </w:p>
          <w:p w14:paraId="204D31A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因第三方政策、场地、教师等非供应商原因造成工期延误，双方签署书面补充协议顺延工期，互不追责；若为供应商人力、设备、进度管理问题延误，由供应商承担全部违约责任。</w:t>
            </w:r>
          </w:p>
          <w:p w14:paraId="7874F21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7" w:name="heading_37"/>
            <w:r>
              <w:rPr>
                <w:rFonts w:hint="eastAsia" w:ascii="宋体" w:hAnsi="宋体" w:eastAsia="宋体" w:cs="宋体"/>
                <w:color w:val="auto"/>
                <w:kern w:val="2"/>
                <w:sz w:val="21"/>
                <w:szCs w:val="21"/>
                <w:highlight w:val="none"/>
                <w:u w:val="none"/>
                <w:lang w:val="en-US" w:eastAsia="zh-CN" w:bidi="ar-SA"/>
              </w:rPr>
              <w:t>八、知识产权与侵权责任</w:t>
            </w:r>
            <w:bookmarkEnd w:id="17"/>
          </w:p>
          <w:p w14:paraId="53F32A3E">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项目所有教材、课程视频、图文、课件、源文件、平台配套资源全部知识产权永久归采购人独家所有，供应商仅可用于自身案例宣传，不得商用转售；</w:t>
            </w:r>
          </w:p>
          <w:p w14:paraId="2A2A02B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若发生第三方知识产权、肖像、图片、字体、音乐侵权起诉，供应商全权处理纠纷，承担全部诉讼费、赔偿金、律师费；给采购人造成声誉、经济损失的，供应商按合同总金额 1.5 倍赔付。</w:t>
            </w:r>
          </w:p>
          <w:p w14:paraId="63EF24A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cs="宋体"/>
                <w:color w:val="auto"/>
                <w:kern w:val="2"/>
                <w:sz w:val="21"/>
                <w:szCs w:val="21"/>
                <w:highlight w:val="none"/>
                <w:u w:val="none"/>
                <w:lang w:val="en-US" w:eastAsia="zh-CN" w:bidi="ar-SA"/>
              </w:rPr>
            </w:pPr>
            <w:bookmarkStart w:id="18" w:name="heading_38"/>
            <w:r>
              <w:rPr>
                <w:rFonts w:hint="eastAsia" w:ascii="宋体" w:hAnsi="宋体" w:eastAsia="宋体" w:cs="宋体"/>
                <w:color w:val="auto"/>
                <w:kern w:val="2"/>
                <w:sz w:val="21"/>
                <w:szCs w:val="21"/>
                <w:highlight w:val="none"/>
                <w:u w:val="none"/>
                <w:lang w:val="en-US" w:eastAsia="zh-CN" w:bidi="ar-SA"/>
              </w:rPr>
              <w:t>九、分包转包禁令</w:t>
            </w:r>
            <w:bookmarkEnd w:id="18"/>
          </w:p>
          <w:p w14:paraId="2C5ABB5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本项目核心教材编写、课程拍摄、后期制作、出版服务严禁分包、转包；一经查实，采购人</w:t>
            </w:r>
            <w:r>
              <w:rPr>
                <w:rFonts w:hint="eastAsia"/>
                <w:color w:val="auto"/>
                <w:highlight w:val="none"/>
              </w:rPr>
              <w:t>有权上报监督部门</w:t>
            </w:r>
            <w:r>
              <w:rPr>
                <w:rFonts w:hint="eastAsia" w:ascii="宋体" w:hAnsi="宋体" w:eastAsia="宋体" w:cs="宋体"/>
                <w:color w:val="auto"/>
                <w:kern w:val="2"/>
                <w:sz w:val="21"/>
                <w:szCs w:val="21"/>
                <w:highlight w:val="none"/>
                <w:u w:val="none"/>
                <w:lang w:val="en-US" w:eastAsia="zh-CN" w:bidi="ar-SA"/>
              </w:rPr>
              <w:t>终止合同，扣除全部款项，供应商赔偿总预算 30% 违约金。</w:t>
            </w:r>
          </w:p>
          <w:p w14:paraId="3A2C1D5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十、</w:t>
            </w:r>
            <w:r>
              <w:rPr>
                <w:rFonts w:hint="eastAsia" w:ascii="宋体" w:hAnsi="宋体" w:eastAsia="宋体" w:cs="宋体"/>
                <w:color w:val="auto"/>
                <w:kern w:val="2"/>
                <w:sz w:val="21"/>
                <w:szCs w:val="21"/>
                <w:highlight w:val="none"/>
                <w:u w:val="none"/>
                <w:lang w:val="en-US" w:eastAsia="zh-CN" w:bidi="ar-SA"/>
              </w:rPr>
              <w:t>成果提交</w:t>
            </w:r>
          </w:p>
          <w:p w14:paraId="634596B9">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本项目的所有原始素材、工程文件、最终成品等全套资料存入便携式固态存储设备，制作三份完整备份一并提交至学校，所用固态存储设备接口等级须为 USB3.0 </w:t>
            </w:r>
            <w:r>
              <w:rPr>
                <w:rFonts w:hint="eastAsia" w:ascii="宋体" w:hAnsi="宋体" w:cs="宋体"/>
                <w:color w:val="auto"/>
                <w:kern w:val="2"/>
                <w:sz w:val="21"/>
                <w:szCs w:val="21"/>
                <w:highlight w:val="none"/>
                <w:u w:val="none"/>
                <w:lang w:val="en-US" w:eastAsia="zh-CN" w:bidi="ar-SA"/>
              </w:rPr>
              <w:t>或</w:t>
            </w:r>
            <w:r>
              <w:rPr>
                <w:rFonts w:hint="eastAsia" w:ascii="宋体" w:hAnsi="宋体" w:eastAsia="宋体" w:cs="宋体"/>
                <w:color w:val="auto"/>
                <w:kern w:val="2"/>
                <w:sz w:val="21"/>
                <w:szCs w:val="21"/>
                <w:highlight w:val="none"/>
                <w:u w:val="none"/>
                <w:lang w:val="en-US" w:eastAsia="zh-CN" w:bidi="ar-SA"/>
              </w:rPr>
              <w:t>更高规格。</w:t>
            </w:r>
          </w:p>
          <w:p w14:paraId="64D1878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bookmarkStart w:id="19" w:name="heading_39"/>
            <w:r>
              <w:rPr>
                <w:rFonts w:hint="eastAsia" w:ascii="宋体" w:hAnsi="宋体" w:eastAsia="宋体" w:cs="宋体"/>
                <w:color w:val="auto"/>
                <w:kern w:val="2"/>
                <w:sz w:val="21"/>
                <w:szCs w:val="21"/>
                <w:highlight w:val="none"/>
                <w:u w:val="none"/>
                <w:lang w:val="en-US" w:eastAsia="zh-CN" w:bidi="ar-SA"/>
              </w:rPr>
              <w:t>十一、其他补充条款</w:t>
            </w:r>
            <w:bookmarkEnd w:id="19"/>
          </w:p>
          <w:p w14:paraId="65CF4D7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所有供应商提交的人员简历、设备证明、业绩合同、资质材料必须真实有效，存在造假直接作废标处理，列入政府采购失信名单；</w:t>
            </w:r>
          </w:p>
          <w:p w14:paraId="03B65DD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项目实施全过程所有会议、评审、培训、调研产生的纸质、电子档案统一移交采购人归档留存；</w:t>
            </w:r>
          </w:p>
          <w:p w14:paraId="59BC91FD">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本项目不采购任何进口设备、素材，全部使用国产合规素材与软硬件。</w:t>
            </w:r>
          </w:p>
          <w:p w14:paraId="36A630D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p>
        </w:tc>
      </w:tr>
      <w:tr w14:paraId="09F7C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14" w:hRule="atLeast"/>
        </w:trPr>
        <w:tc>
          <w:tcPr>
            <w:tcW w:w="428" w:type="dxa"/>
            <w:tcBorders>
              <w:top w:val="single" w:color="auto" w:sz="4" w:space="0"/>
              <w:left w:val="single" w:color="auto" w:sz="4" w:space="0"/>
              <w:bottom w:val="single" w:color="auto" w:sz="4" w:space="0"/>
              <w:right w:val="single" w:color="auto" w:sz="4" w:space="0"/>
            </w:tcBorders>
            <w:vAlign w:val="center"/>
          </w:tcPr>
          <w:p w14:paraId="08674AEA">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其他说明</w:t>
            </w:r>
          </w:p>
        </w:tc>
        <w:tc>
          <w:tcPr>
            <w:tcW w:w="10054" w:type="dxa"/>
            <w:gridSpan w:val="7"/>
            <w:tcBorders>
              <w:top w:val="single" w:color="auto" w:sz="4" w:space="0"/>
              <w:left w:val="single" w:color="auto" w:sz="4" w:space="0"/>
              <w:bottom w:val="single" w:color="auto" w:sz="4" w:space="0"/>
              <w:right w:val="single" w:color="auto" w:sz="4" w:space="0"/>
            </w:tcBorders>
            <w:vAlign w:val="center"/>
          </w:tcPr>
          <w:p w14:paraId="1D549526">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本项目采购标的的需执行的国家相关标准、行业标准、地方标准或其他强制性标准、规范等要求：</w:t>
            </w:r>
            <w:r>
              <w:rPr>
                <w:rFonts w:hint="eastAsia" w:ascii="宋体" w:hAnsi="宋体" w:eastAsia="宋体" w:cs="宋体"/>
                <w:color w:val="auto"/>
                <w:sz w:val="21"/>
                <w:szCs w:val="21"/>
                <w:highlight w:val="none"/>
                <w:u w:val="single"/>
              </w:rPr>
              <w:t>按国家相关标准、中标供应商承诺进行验收。</w:t>
            </w:r>
          </w:p>
          <w:p w14:paraId="014B30AB">
            <w:pPr>
              <w:keepNext w:val="0"/>
              <w:keepLines w:val="0"/>
              <w:pageBreakBefore w:val="0"/>
              <w:widowControl/>
              <w:kinsoku/>
              <w:overflowPunct/>
              <w:topLinePunct w:val="0"/>
              <w:autoSpaceDE/>
              <w:autoSpaceDN/>
              <w:bidi w:val="0"/>
              <w:adjustRightInd/>
              <w:snapToGrid/>
              <w:spacing w:line="400" w:lineRule="exact"/>
              <w:textAlignment w:val="auto"/>
              <w:rPr>
                <w:rFonts w:ascii="宋体" w:hAnsi="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合同延续年限、条件和方式：</w:t>
            </w:r>
            <w:r>
              <w:rPr>
                <w:rFonts w:hint="eastAsia" w:ascii="宋体" w:hAnsi="宋体" w:eastAsia="宋体" w:cs="宋体"/>
                <w:color w:val="auto"/>
                <w:sz w:val="21"/>
                <w:szCs w:val="21"/>
                <w:highlight w:val="none"/>
                <w:u w:val="single"/>
              </w:rPr>
              <w:t xml:space="preserve">本项目合同到期后不续签。 </w:t>
            </w:r>
          </w:p>
        </w:tc>
      </w:tr>
    </w:tbl>
    <w:p w14:paraId="5EB3E542">
      <w:pPr>
        <w:spacing w:line="500" w:lineRule="exact"/>
        <w:jc w:val="center"/>
        <w:rPr>
          <w:rFonts w:hint="eastAsia" w:ascii="宋体" w:hAnsi="宋体" w:cs="宋体"/>
          <w:color w:val="auto"/>
          <w:szCs w:val="21"/>
          <w:highlight w:val="none"/>
        </w:rPr>
      </w:pPr>
      <w:r>
        <w:rPr>
          <w:rFonts w:hint="eastAsia" w:ascii="宋体" w:hAnsi="宋体" w:cs="宋体"/>
          <w:color w:val="auto"/>
          <w:szCs w:val="21"/>
          <w:highlight w:val="none"/>
        </w:rPr>
        <w:br w:type="page"/>
      </w:r>
    </w:p>
    <w:p w14:paraId="49B66B8D">
      <w:pPr>
        <w:pStyle w:val="2"/>
        <w:outlineLvl w:val="1"/>
        <w:rPr>
          <w:rFonts w:hint="default" w:eastAsia="宋体"/>
          <w:b/>
          <w:bCs/>
          <w:color w:val="auto"/>
          <w:highlight w:val="none"/>
          <w:lang w:val="en-US" w:eastAsia="zh-CN"/>
        </w:rPr>
      </w:pPr>
      <w:r>
        <w:rPr>
          <w:rFonts w:hint="eastAsia" w:ascii="宋体" w:hAnsi="宋体" w:cs="宋体"/>
          <w:b/>
          <w:bCs/>
          <w:color w:val="auto"/>
          <w:szCs w:val="21"/>
          <w:highlight w:val="none"/>
          <w:lang w:val="en-US" w:eastAsia="zh-CN"/>
        </w:rPr>
        <w:t>分标4</w:t>
      </w:r>
    </w:p>
    <w:tbl>
      <w:tblPr>
        <w:tblStyle w:val="23"/>
        <w:tblW w:w="10482" w:type="dxa"/>
        <w:tblInd w:w="-2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8"/>
        <w:gridCol w:w="315"/>
        <w:gridCol w:w="957"/>
        <w:gridCol w:w="562"/>
        <w:gridCol w:w="590"/>
        <w:gridCol w:w="5315"/>
        <w:gridCol w:w="1270"/>
        <w:gridCol w:w="1045"/>
      </w:tblGrid>
      <w:tr w14:paraId="43708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0482" w:type="dxa"/>
            <w:gridSpan w:val="8"/>
            <w:tcBorders>
              <w:top w:val="single" w:color="auto" w:sz="4" w:space="0"/>
              <w:left w:val="single" w:color="auto" w:sz="4" w:space="0"/>
              <w:bottom w:val="nil"/>
              <w:right w:val="single" w:color="auto" w:sz="4" w:space="0"/>
            </w:tcBorders>
            <w:vAlign w:val="center"/>
          </w:tcPr>
          <w:p w14:paraId="7DA8835F">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服务需求一览表</w:t>
            </w:r>
          </w:p>
        </w:tc>
      </w:tr>
      <w:tr w14:paraId="78CB3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700" w:type="dxa"/>
            <w:gridSpan w:val="3"/>
            <w:tcBorders>
              <w:top w:val="single" w:color="auto" w:sz="4" w:space="0"/>
              <w:left w:val="single" w:color="auto" w:sz="4" w:space="0"/>
              <w:bottom w:val="nil"/>
              <w:right w:val="single" w:color="auto" w:sz="4" w:space="0"/>
            </w:tcBorders>
            <w:vAlign w:val="center"/>
          </w:tcPr>
          <w:p w14:paraId="0B4BDB33">
            <w:pPr>
              <w:spacing w:line="500" w:lineRule="exact"/>
              <w:jc w:val="center"/>
              <w:rPr>
                <w:rFonts w:ascii="宋体" w:hAnsi="宋体" w:cs="宋体"/>
                <w:b/>
                <w:color w:val="auto"/>
                <w:szCs w:val="21"/>
                <w:highlight w:val="none"/>
              </w:rPr>
            </w:pPr>
            <w:r>
              <w:rPr>
                <w:rFonts w:hint="eastAsia" w:ascii="宋体" w:hAnsi="宋体" w:cs="宋体"/>
                <w:b/>
                <w:color w:val="auto"/>
                <w:szCs w:val="21"/>
                <w:highlight w:val="none"/>
              </w:rPr>
              <w:t>标段</w:t>
            </w:r>
          </w:p>
        </w:tc>
        <w:tc>
          <w:tcPr>
            <w:tcW w:w="8782" w:type="dxa"/>
            <w:gridSpan w:val="5"/>
            <w:tcBorders>
              <w:top w:val="single" w:color="auto" w:sz="4" w:space="0"/>
              <w:left w:val="single" w:color="auto" w:sz="4" w:space="0"/>
              <w:bottom w:val="nil"/>
              <w:right w:val="single" w:color="auto" w:sz="4" w:space="0"/>
            </w:tcBorders>
            <w:vAlign w:val="center"/>
          </w:tcPr>
          <w:p w14:paraId="7F50F355">
            <w:pPr>
              <w:spacing w:line="500" w:lineRule="exact"/>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分标4</w:t>
            </w:r>
            <w:r>
              <w:rPr>
                <w:rFonts w:hint="eastAsia" w:ascii="宋体" w:hAnsi="宋体" w:cs="宋体"/>
                <w:b/>
                <w:bCs/>
                <w:color w:val="auto"/>
                <w:szCs w:val="21"/>
                <w:highlight w:val="none"/>
                <w:lang w:val="en-US" w:eastAsia="zh-CN"/>
              </w:rPr>
              <w:t>（1门精品课程采购服务）</w:t>
            </w:r>
          </w:p>
        </w:tc>
      </w:tr>
      <w:tr w14:paraId="77E888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428" w:type="dxa"/>
            <w:vMerge w:val="restart"/>
            <w:tcBorders>
              <w:top w:val="single" w:color="auto" w:sz="4" w:space="0"/>
              <w:left w:val="single" w:color="auto" w:sz="4" w:space="0"/>
              <w:right w:val="single" w:color="auto" w:sz="4" w:space="0"/>
            </w:tcBorders>
          </w:tcPr>
          <w:p w14:paraId="5F07913A">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采购清单及服务参数</w:t>
            </w:r>
          </w:p>
        </w:tc>
        <w:tc>
          <w:tcPr>
            <w:tcW w:w="31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8B333EC">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957" w:type="dxa"/>
            <w:tcBorders>
              <w:top w:val="single" w:color="auto" w:sz="4" w:space="0"/>
              <w:left w:val="single" w:color="auto" w:sz="4" w:space="0"/>
              <w:bottom w:val="single" w:color="auto" w:sz="4" w:space="0"/>
              <w:right w:val="single" w:color="auto" w:sz="4" w:space="0"/>
            </w:tcBorders>
            <w:vAlign w:val="center"/>
          </w:tcPr>
          <w:p w14:paraId="3A77BE64">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标的名称</w:t>
            </w:r>
          </w:p>
        </w:tc>
        <w:tc>
          <w:tcPr>
            <w:tcW w:w="562" w:type="dxa"/>
            <w:tcBorders>
              <w:top w:val="single" w:color="auto" w:sz="4" w:space="0"/>
              <w:left w:val="single" w:color="auto" w:sz="4" w:space="0"/>
              <w:bottom w:val="single" w:color="auto" w:sz="4" w:space="0"/>
              <w:right w:val="single" w:color="auto" w:sz="4" w:space="0"/>
            </w:tcBorders>
            <w:vAlign w:val="center"/>
          </w:tcPr>
          <w:p w14:paraId="55F76FA8">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590" w:type="dxa"/>
            <w:tcBorders>
              <w:top w:val="single" w:color="auto" w:sz="4" w:space="0"/>
              <w:left w:val="single" w:color="auto" w:sz="4" w:space="0"/>
              <w:bottom w:val="single" w:color="auto" w:sz="4" w:space="0"/>
              <w:right w:val="single" w:color="auto" w:sz="4" w:space="0"/>
            </w:tcBorders>
            <w:vAlign w:val="center"/>
          </w:tcPr>
          <w:p w14:paraId="0D60BC98">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tc>
        <w:tc>
          <w:tcPr>
            <w:tcW w:w="5315" w:type="dxa"/>
            <w:tcBorders>
              <w:top w:val="single" w:color="auto" w:sz="4" w:space="0"/>
              <w:left w:val="single" w:color="auto" w:sz="4" w:space="0"/>
              <w:bottom w:val="single" w:color="auto" w:sz="4" w:space="0"/>
              <w:right w:val="single" w:color="auto" w:sz="4" w:space="0"/>
            </w:tcBorders>
            <w:vAlign w:val="center"/>
          </w:tcPr>
          <w:p w14:paraId="4675C430">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服务参数</w:t>
            </w:r>
          </w:p>
        </w:tc>
        <w:tc>
          <w:tcPr>
            <w:tcW w:w="1270" w:type="dxa"/>
            <w:tcBorders>
              <w:top w:val="single" w:color="auto" w:sz="4" w:space="0"/>
              <w:left w:val="single" w:color="auto" w:sz="4" w:space="0"/>
              <w:bottom w:val="single" w:color="auto" w:sz="4" w:space="0"/>
              <w:right w:val="single" w:color="auto" w:sz="4" w:space="0"/>
            </w:tcBorders>
            <w:vAlign w:val="center"/>
          </w:tcPr>
          <w:p w14:paraId="3A4526AA">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分项预算合计（元）</w:t>
            </w:r>
          </w:p>
        </w:tc>
        <w:tc>
          <w:tcPr>
            <w:tcW w:w="1045" w:type="dxa"/>
            <w:tcBorders>
              <w:top w:val="single" w:color="auto" w:sz="4" w:space="0"/>
              <w:left w:val="single" w:color="auto" w:sz="4" w:space="0"/>
              <w:bottom w:val="single" w:color="auto" w:sz="4" w:space="0"/>
              <w:right w:val="single" w:color="auto" w:sz="4" w:space="0"/>
            </w:tcBorders>
            <w:vAlign w:val="center"/>
          </w:tcPr>
          <w:p w14:paraId="758653A2">
            <w:pPr>
              <w:spacing w:line="50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中小企业划分标准所属行业名称（行业名称及划分见本章附件2）</w:t>
            </w:r>
          </w:p>
        </w:tc>
      </w:tr>
      <w:tr w14:paraId="1F4D1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28" w:type="dxa"/>
            <w:vMerge w:val="continue"/>
            <w:tcBorders>
              <w:left w:val="single" w:color="auto" w:sz="4" w:space="0"/>
              <w:right w:val="single" w:color="auto" w:sz="4" w:space="0"/>
            </w:tcBorders>
            <w:vAlign w:val="center"/>
          </w:tcPr>
          <w:p w14:paraId="1EBBEADF">
            <w:pPr>
              <w:widowControl/>
              <w:spacing w:line="500" w:lineRule="exact"/>
              <w:jc w:val="left"/>
              <w:rPr>
                <w:rFonts w:ascii="宋体" w:hAnsi="宋体" w:cs="宋体"/>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20C5201A">
            <w:pPr>
              <w:spacing w:line="5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957" w:type="dxa"/>
            <w:tcBorders>
              <w:top w:val="single" w:color="auto" w:sz="4" w:space="0"/>
              <w:left w:val="single" w:color="auto" w:sz="4" w:space="0"/>
              <w:bottom w:val="single" w:color="auto" w:sz="4" w:space="0"/>
              <w:right w:val="single" w:color="auto" w:sz="4" w:space="0"/>
            </w:tcBorders>
            <w:vAlign w:val="center"/>
          </w:tcPr>
          <w:p w14:paraId="5A563E99">
            <w:pPr>
              <w:spacing w:line="500" w:lineRule="exact"/>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图案设计》精品课程开发建设服务</w:t>
            </w:r>
          </w:p>
        </w:tc>
        <w:tc>
          <w:tcPr>
            <w:tcW w:w="562" w:type="dxa"/>
            <w:tcBorders>
              <w:top w:val="single" w:color="auto" w:sz="4" w:space="0"/>
              <w:left w:val="single" w:color="auto" w:sz="4" w:space="0"/>
              <w:bottom w:val="single" w:color="auto" w:sz="4" w:space="0"/>
              <w:right w:val="single" w:color="auto" w:sz="4" w:space="0"/>
            </w:tcBorders>
            <w:vAlign w:val="center"/>
          </w:tcPr>
          <w:p w14:paraId="1D2F1033">
            <w:pPr>
              <w:pStyle w:val="40"/>
              <w:spacing w:before="0" w:beforeAutospacing="0" w:after="0" w:afterAutospacing="0" w:line="500" w:lineRule="exact"/>
              <w:ind w:firstLine="0" w:firstLine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590" w:type="dxa"/>
            <w:tcBorders>
              <w:top w:val="single" w:color="auto" w:sz="4" w:space="0"/>
              <w:left w:val="single" w:color="auto" w:sz="4" w:space="0"/>
              <w:bottom w:val="single" w:color="auto" w:sz="4" w:space="0"/>
              <w:right w:val="single" w:color="auto" w:sz="4" w:space="0"/>
            </w:tcBorders>
            <w:vAlign w:val="center"/>
          </w:tcPr>
          <w:p w14:paraId="3E4E98E1">
            <w:pPr>
              <w:spacing w:line="50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5315" w:type="dxa"/>
            <w:tcBorders>
              <w:top w:val="single" w:color="auto" w:sz="4" w:space="0"/>
              <w:left w:val="single" w:color="auto" w:sz="4" w:space="0"/>
              <w:bottom w:val="single" w:color="auto" w:sz="4" w:space="0"/>
              <w:right w:val="single" w:color="auto" w:sz="4" w:space="0"/>
            </w:tcBorders>
            <w:shd w:val="clear" w:color="auto" w:fill="auto"/>
            <w:vAlign w:val="center"/>
          </w:tcPr>
          <w:p w14:paraId="61686A5A">
            <w:pPr>
              <w:spacing w:line="420" w:lineRule="exact"/>
              <w:ind w:firstLine="422"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b/>
                <w:bCs/>
                <w:color w:val="auto"/>
                <w:kern w:val="0"/>
                <w:sz w:val="21"/>
                <w:szCs w:val="21"/>
                <w:highlight w:val="none"/>
                <w:lang w:val="en-US" w:eastAsia="zh-CN" w:bidi="ar-SA"/>
              </w:rPr>
              <w:t>《图案设计》精品课程开发建设服务完整参数</w:t>
            </w:r>
          </w:p>
          <w:p w14:paraId="50C753F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▲一、总体建设要求 </w:t>
            </w:r>
          </w:p>
          <w:p w14:paraId="70D2D72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政策对标：严格对标国家级职业教育在线精品课程建设评审指标，融入最新艺术设计行业标准、数字图案新工艺、AI 设计工具应用内容，所有资源符合职教金课建设规范。</w:t>
            </w:r>
          </w:p>
          <w:p w14:paraId="5663796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能力图谱建设：梳理图案设计设计师、文创美工、视觉设计岗位全流程技能点，搭建知识图谱、能力图谱、问题图谱三维体系，形成可视化图谱文档，嵌入配套学习平台，图谱需经 2 名行业专家审核通过。</w:t>
            </w:r>
          </w:p>
          <w:p w14:paraId="0059B0C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课程思政硬性要求：每个教学模块融入工匠精神、传统文化、非遗图案、国货文创思政元素，单独形成《课程思政教学设计手册》，作为验收必备材料。</w:t>
            </w:r>
          </w:p>
          <w:p w14:paraId="2FD4EDA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专家培训：供应商邀约副高及以上艺术设计 / 职教课程专家，面向授课教师团队开展不少于 2 场线下专项培训，每场2课时，培训内容包含课程顶层设计、模块化重构、微课脚本开发、教学设计、精品课申报技巧，每场培训出具签到表、课件、培训记录、专家签字评价表。</w:t>
            </w:r>
          </w:p>
          <w:p w14:paraId="0CCA263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二、课程设计全流程细化补充</w:t>
            </w:r>
          </w:p>
          <w:p w14:paraId="18DCDD60">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企业岗位调研：供应商组织设计企业实地跟岗调研，收集真实图案设计项目任务，形成《岗位能力调研报告》，作为课程模块划分依据；</w:t>
            </w:r>
          </w:p>
          <w:p w14:paraId="55EE229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教学闭环体系：针对学生常见设计难点、认知障碍匹配对应微课、习题、实操任务，形成完整 “知识点 — 难点 — 配套资源” 闭环对照表；</w:t>
            </w:r>
          </w:p>
          <w:p w14:paraId="5086E15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素材归集：编导配合教师统一收集 PPT、教案、图片、参考案例、行业文档，分类归档建立课程资源素材库；</w:t>
            </w:r>
          </w:p>
          <w:p w14:paraId="6E457AB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b w:val="0"/>
                <w:bCs/>
                <w:color w:val="auto"/>
                <w:szCs w:val="21"/>
                <w:highlight w:val="none"/>
                <w:lang w:val="en-US" w:eastAsia="zh-CN"/>
              </w:rPr>
              <w:t xml:space="preserve"> </w:t>
            </w: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脚本开发：根据教师教学设计思路，由供应商出具标准化拍摄脚本模板，包含镜头、时长、画面、台词、动画要求，教师完善后作为拍摄唯一依据，脚本全部归档交付采购人。</w:t>
            </w:r>
          </w:p>
          <w:p w14:paraId="2F4462C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三、课程资源硬性量化指标 </w:t>
            </w:r>
          </w:p>
          <w:p w14:paraId="0556008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教学文件包：完整教学目标、课程大纲、学期授课计划、单元教学设计手册，全部可编辑文档；</w:t>
            </w:r>
          </w:p>
          <w:p w14:paraId="73A8704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考核方案：多维度形成性考核细则，明确视频学习、课堂讨论、课后作业、实操项目、期末考核占比，配套评分标准，符合国家级精品课程要求；</w:t>
            </w:r>
          </w:p>
          <w:p w14:paraId="6B01AE8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课时硬性指标：总课时≥32 课时，完全满足国家级精品课程申报课时门槛；</w:t>
            </w:r>
          </w:p>
          <w:p w14:paraId="0277AA9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PPT 配套：每课时/项目独立 PPT，统一专业视觉模板，16:9 宽屏版式，单节课10 页为宜，PPT数量匹配课时数量，全套 PPT 可编辑源文件交付；</w:t>
            </w:r>
          </w:p>
          <w:p w14:paraId="6CCDCFCB">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教案：至少32 课时配套完整教案，含教学重难点、实训任务、思政融入点、课堂互动设计；教案数量匹配课时数量。</w:t>
            </w:r>
          </w:p>
          <w:p w14:paraId="64028B2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default" w:ascii="宋体" w:hAnsi="宋体" w:eastAsia="宋体" w:cs="宋体"/>
                <w:color w:val="auto"/>
                <w:kern w:val="0"/>
                <w:sz w:val="21"/>
                <w:szCs w:val="21"/>
                <w:highlight w:val="none"/>
                <w:lang w:val="en-US" w:eastAsia="zh-CN" w:bidi="ar-SA"/>
              </w:rPr>
              <w:t xml:space="preserve">微课视频硬性指标 </w:t>
            </w:r>
          </w:p>
          <w:p w14:paraId="232FC972">
            <w:pPr>
              <w:spacing w:line="420" w:lineRule="exact"/>
              <w:ind w:left="420" w:leftChars="200" w:firstLine="0" w:firstLineChars="0"/>
              <w:jc w:val="lef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微课总量≥32 条，单条时长 5–15 分钟；</w:t>
            </w:r>
            <w:r>
              <w:rPr>
                <w:rFonts w:hint="default" w:ascii="宋体" w:hAnsi="宋体" w:eastAsia="宋体" w:cs="宋体"/>
                <w:color w:val="auto"/>
                <w:kern w:val="0"/>
                <w:sz w:val="21"/>
                <w:szCs w:val="21"/>
                <w:highlight w:val="none"/>
                <w:lang w:val="en-US" w:eastAsia="zh-CN" w:bidi="ar-SA"/>
              </w:rPr>
              <w:br w:type="textWrapping"/>
            </w: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课程全部视频总有效时长300-350 分钟；</w:t>
            </w:r>
          </w:p>
          <w:p w14:paraId="00CE5BF3">
            <w:pPr>
              <w:spacing w:line="420" w:lineRule="exact"/>
              <w:ind w:left="420" w:leftChars="200" w:firstLine="0" w:firstLineChars="0"/>
              <w:jc w:val="left"/>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分辨率 1920×1080，16:9，25–30 帧，H.264 编码 MP4 格式；</w:t>
            </w:r>
          </w:p>
          <w:p w14:paraId="18B13F4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7.</w:t>
            </w:r>
            <w:r>
              <w:rPr>
                <w:rFonts w:hint="default" w:ascii="宋体" w:hAnsi="宋体" w:eastAsia="宋体" w:cs="宋体"/>
                <w:color w:val="auto"/>
                <w:kern w:val="0"/>
                <w:sz w:val="21"/>
                <w:szCs w:val="21"/>
                <w:highlight w:val="none"/>
                <w:lang w:val="en-US" w:eastAsia="zh-CN" w:bidi="ar-SA"/>
              </w:rPr>
              <w:t>题库资源：搭建完整课程题库，包含客观题（单选、天空、判断等）、主观设计题、实操任务题，总题量≥300 道，此外需要2份测试试卷配套标准答案、评分细则，支持在线自动组卷、作业发布。</w:t>
            </w:r>
          </w:p>
          <w:p w14:paraId="0AD82A7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四、课程录制服务 </w:t>
            </w:r>
          </w:p>
          <w:p w14:paraId="5078724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制作标准：视频制作标准高于《国家在线开放课程制作规范》，全部成品可直接用于省级、国家级精品课申报；</w:t>
            </w:r>
          </w:p>
          <w:p w14:paraId="6A67608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固定专职团队配置（</w:t>
            </w:r>
            <w:r>
              <w:rPr>
                <w:rFonts w:hint="default" w:ascii="宋体" w:hAnsi="宋体" w:eastAsia="宋体" w:cs="宋体"/>
                <w:b/>
                <w:bCs/>
                <w:color w:val="auto"/>
                <w:kern w:val="0"/>
                <w:sz w:val="21"/>
                <w:szCs w:val="21"/>
                <w:highlight w:val="none"/>
                <w:lang w:val="en-US" w:eastAsia="zh-CN" w:bidi="ar-SA"/>
              </w:rPr>
              <w:t>投标需提供人员职称及工作经验佐证）</w:t>
            </w:r>
            <w:r>
              <w:rPr>
                <w:rFonts w:hint="default" w:ascii="宋体" w:hAnsi="宋体" w:eastAsia="宋体" w:cs="宋体"/>
                <w:color w:val="auto"/>
                <w:kern w:val="0"/>
                <w:sz w:val="21"/>
                <w:szCs w:val="21"/>
                <w:highlight w:val="none"/>
                <w:lang w:val="en-US" w:eastAsia="zh-CN" w:bidi="ar-SA"/>
              </w:rPr>
              <w:t>：项目</w:t>
            </w:r>
            <w:r>
              <w:rPr>
                <w:rFonts w:hint="eastAsia" w:ascii="宋体" w:hAnsi="宋体" w:cs="宋体"/>
                <w:color w:val="auto"/>
                <w:kern w:val="0"/>
                <w:sz w:val="21"/>
                <w:szCs w:val="21"/>
                <w:highlight w:val="none"/>
                <w:lang w:val="en-US" w:eastAsia="zh-CN" w:bidi="ar-SA"/>
              </w:rPr>
              <w:t>负责人</w:t>
            </w:r>
            <w:r>
              <w:rPr>
                <w:rFonts w:hint="default" w:ascii="宋体" w:hAnsi="宋体" w:eastAsia="宋体" w:cs="宋体"/>
                <w:color w:val="auto"/>
                <w:kern w:val="0"/>
                <w:sz w:val="21"/>
                <w:szCs w:val="21"/>
                <w:highlight w:val="none"/>
                <w:lang w:val="en-US" w:eastAsia="zh-CN" w:bidi="ar-SA"/>
              </w:rPr>
              <w:t xml:space="preserve"> 1 名、课程编导 2 名、专业摄像 2 名、后期剪辑 2 名、专职化妆师 1 名、二维动画设计师 1 名；</w:t>
            </w:r>
          </w:p>
          <w:p w14:paraId="0179639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拍摄前置工作：提前 3 个工作日出具详细拍摄计划表，与教师确认脚本、服装、道具、场景；摄像机位与人眼平视，无长时间俯拍、仰拍；</w:t>
            </w:r>
          </w:p>
          <w:p w14:paraId="5895492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配套物资全包：供应商全额承担拍摄所需专业化妆、文创道具、纯色背景、实景场地、版权图片、商用背景音乐，报价包含全部使用费；</w:t>
            </w:r>
          </w:p>
          <w:p w14:paraId="1BCDE19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拍摄场景规范：实操类内容优先实景拍摄，画面无无关广告、第三方 LOGO；光线均匀、环境安静整洁；提供 PPT 棚拍、实操实景、虚拟抠像、访谈等多模式自由选择；</w:t>
            </w:r>
          </w:p>
          <w:p w14:paraId="1772796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6.</w:t>
            </w:r>
            <w:r>
              <w:rPr>
                <w:rFonts w:hint="default" w:ascii="宋体" w:hAnsi="宋体" w:eastAsia="宋体" w:cs="宋体"/>
                <w:color w:val="auto"/>
                <w:kern w:val="0"/>
                <w:sz w:val="21"/>
                <w:szCs w:val="21"/>
                <w:highlight w:val="none"/>
                <w:lang w:val="en-US" w:eastAsia="zh-CN" w:bidi="ar-SA"/>
              </w:rPr>
              <w:t>多模式拍摄：供应商必须提供全部拍摄模式供教师选用：PPT 基地模式、访谈模式、实操演示模式、真人动画、全动画、场景实操、随堂拍摄、虚拟场景、模拟演示、虚拟教师、百家讲坛、三维交互模式，不得删减；</w:t>
            </w:r>
          </w:p>
          <w:p w14:paraId="29A1597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w:t>
            </w:r>
            <w:r>
              <w:rPr>
                <w:rFonts w:hint="default" w:ascii="宋体" w:hAnsi="宋体" w:eastAsia="宋体" w:cs="宋体"/>
                <w:color w:val="auto"/>
                <w:kern w:val="0"/>
                <w:sz w:val="21"/>
                <w:szCs w:val="21"/>
                <w:highlight w:val="none"/>
                <w:lang w:val="en-US" w:eastAsia="zh-CN" w:bidi="ar-SA"/>
              </w:rPr>
              <w:t>录制设备硬性标准</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（1）多机位同步拍摄，不少于 2 台同型号 4K 专业摄像机；</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（2）成片输出分辨率不低于 1080P；</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（3）专业无线领夹麦克风，双声道收音；</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（4）高清提词器 1 套、专业补光灯全套配套；</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（5）所有拍摄设备产权归属供应商，无需采购人额外采购。</w:t>
            </w:r>
          </w:p>
          <w:p w14:paraId="6BD453D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五、后期剪辑制作细化标准 </w:t>
            </w:r>
          </w:p>
          <w:p w14:paraId="27DB50C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音频标准：采样率 48KHz，音频码率 128Kbps 恒定，信噪比≥48dB，无电流杂音、爆音、音量忽大忽小，人声与背景音乐比例协调；</w:t>
            </w:r>
          </w:p>
          <w:p w14:paraId="6465E51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片头片尾：每条视频独立片头 5–10 秒，含学校 LOGO、课程名称、讲次、教师姓名职称；片尾标注版权、制作单位、制作年份；片头片尾统一视觉体系；</w:t>
            </w:r>
          </w:p>
          <w:p w14:paraId="3F32AB5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字幕规范：全程简体中文字幕，一行展示、单条≤20 字，字幕与语音完全同步，无错字、漏字；</w:t>
            </w:r>
          </w:p>
          <w:p w14:paraId="6EDEFA6C">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动画服务：根据课程需求配套二维图案设计演示动画，画面流畅、色彩标准、字体统一，动画源文件全部交付；</w:t>
            </w:r>
          </w:p>
          <w:p w14:paraId="61253B3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剪辑规范：自动删减口误、停顿、冗余片段，镜头切换流畅，搭配人物中景、特写、实操镜头穿插，无画面抖动、偏色、空白帧；</w:t>
            </w:r>
          </w:p>
          <w:p w14:paraId="7630377A">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6.</w:t>
            </w:r>
            <w:r>
              <w:rPr>
                <w:rFonts w:hint="default" w:ascii="宋体" w:hAnsi="宋体" w:eastAsia="宋体" w:cs="宋体"/>
                <w:color w:val="auto"/>
                <w:kern w:val="0"/>
                <w:sz w:val="21"/>
                <w:szCs w:val="21"/>
                <w:highlight w:val="none"/>
                <w:lang w:val="en-US" w:eastAsia="zh-CN" w:bidi="ar-SA"/>
              </w:rPr>
              <w:t>交付文件：所有成片 MP4 成品 + 全部剪辑工程源文件、动画源文件、原始拍摄素材，供应商免费保留母版文件至少3年，质保期内免费调取修改。</w:t>
            </w:r>
          </w:p>
          <w:p w14:paraId="5F87FA98">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▲六、配套学习平台</w:t>
            </w:r>
          </w:p>
          <w:p w14:paraId="3E5D818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平台免费服务周期：课程上线之日起免费使用完整功能3年，免费期内无流量、选课人数、存储空间限制；到期后如需续租，供应商提供优惠续约方案；</w:t>
            </w:r>
          </w:p>
          <w:p w14:paraId="2A0674D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平台必配核心功能</w:t>
            </w:r>
          </w:p>
          <w:p w14:paraId="1495B48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（1）支持知识 / 能力 / 问题三大图谱可视化展示；</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（2）支持校园统一身份单点登录，可对接学校现有教务平台；</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（3）全维度学习数据自动统计：浏览量、选课人数、互动次数、视频时长、作业完成率、考试成绩、讨论记录、随堂笔记，支持数据导出 Excel；</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（4）全教学管理模块：教师管理、用户管理、课程上架、资源库、题库管理、在线考试、作业批改；</w:t>
            </w:r>
            <w:r>
              <w:rPr>
                <w:rFonts w:hint="default" w:ascii="宋体" w:hAnsi="宋体" w:eastAsia="宋体" w:cs="宋体"/>
                <w:color w:val="auto"/>
                <w:kern w:val="0"/>
                <w:sz w:val="21"/>
                <w:szCs w:val="21"/>
                <w:highlight w:val="none"/>
                <w:lang w:val="en-US" w:eastAsia="zh-CN" w:bidi="ar-SA"/>
              </w:rPr>
              <w:br w:type="textWrapping"/>
            </w:r>
            <w:r>
              <w:rPr>
                <w:rFonts w:hint="default" w:ascii="宋体" w:hAnsi="宋体" w:eastAsia="宋体" w:cs="宋体"/>
                <w:color w:val="auto"/>
                <w:kern w:val="0"/>
                <w:sz w:val="21"/>
                <w:szCs w:val="21"/>
                <w:highlight w:val="none"/>
                <w:lang w:val="en-US" w:eastAsia="zh-CN" w:bidi="ar-SA"/>
              </w:rPr>
              <w:t>（5）全学生学习功能：视频学习、资源下载、在线作业、线上考试、提问讨论、消息通知；</w:t>
            </w:r>
          </w:p>
          <w:p w14:paraId="1248796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平台交付：课程验收完成后 3 个工作日内完成平台部署、课程上传、教师操作培训，出具平台使用操作手册。</w:t>
            </w:r>
          </w:p>
          <w:p w14:paraId="60DE3577">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七、平台运营配套服务 </w:t>
            </w:r>
          </w:p>
          <w:p w14:paraId="3DEFC38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上线协助：专人全程协助课程上传、分类搭建、权限配置，开展 1 次教师平台操作培训；</w:t>
            </w:r>
          </w:p>
          <w:p w14:paraId="7A0FB66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Cs w:val="21"/>
                <w:highlight w:val="none"/>
                <w:lang w:val="en-US" w:eastAsia="zh-CN"/>
              </w:rPr>
              <w:t>█</w:t>
            </w: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版权保障：所有上传视频、素材、音乐均为商用授权素材，无版权风险，供应商承担全部侵权责任；</w:t>
            </w:r>
          </w:p>
          <w:p w14:paraId="7DB40A9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模拟教学指导：上线后 7 日内提供线上模拟授课指导，协助教师完成完整线上教学流程测试。</w:t>
            </w:r>
          </w:p>
          <w:p w14:paraId="65D6ED0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八、精品课程申报全流程服务 </w:t>
            </w:r>
          </w:p>
          <w:p w14:paraId="7387103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材料撰写：协助教师完成省级、国家级精品课程全套申报书、佐证材料、申报 PPT；</w:t>
            </w:r>
          </w:p>
          <w:p w14:paraId="5D3B97C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材料审核优化：专业申报顾问 2 轮完整审核、修改申报资料，提升申报规范性；</w:t>
            </w:r>
          </w:p>
          <w:p w14:paraId="08590EDE">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一对一咨询：申报周期内不限次数线上线下咨询答疑；</w:t>
            </w:r>
          </w:p>
          <w:p w14:paraId="7989C723">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评审汇报材料：配套制作专家评审汇报短片、汇报 PPT；</w:t>
            </w:r>
          </w:p>
          <w:p w14:paraId="0D09D90D">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申报复盘：申报结束后出具完整复盘报告，提供课程持续优化改进方案。</w:t>
            </w:r>
          </w:p>
          <w:p w14:paraId="3F7F4DFF">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 xml:space="preserve">▲九、课程交付成果清单 </w:t>
            </w:r>
          </w:p>
          <w:p w14:paraId="3FB31FE9">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w:t>
            </w:r>
            <w:r>
              <w:rPr>
                <w:rFonts w:hint="default" w:ascii="宋体" w:hAnsi="宋体" w:eastAsia="宋体" w:cs="宋体"/>
                <w:color w:val="auto"/>
                <w:kern w:val="0"/>
                <w:sz w:val="21"/>
                <w:szCs w:val="21"/>
                <w:highlight w:val="none"/>
                <w:lang w:val="en-US" w:eastAsia="zh-CN" w:bidi="ar-SA"/>
              </w:rPr>
              <w:t>全套教学文件：课程标准、 教案、教学大纲、考核方案、课程思政手册；（具体资源匹配课时数）</w:t>
            </w:r>
          </w:p>
          <w:p w14:paraId="38E3E756">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w:t>
            </w:r>
            <w:r>
              <w:rPr>
                <w:rFonts w:hint="default" w:ascii="宋体" w:hAnsi="宋体" w:eastAsia="宋体" w:cs="宋体"/>
                <w:color w:val="auto"/>
                <w:kern w:val="0"/>
                <w:sz w:val="21"/>
                <w:szCs w:val="21"/>
                <w:highlight w:val="none"/>
                <w:lang w:val="en-US" w:eastAsia="zh-CN" w:bidi="ar-SA"/>
              </w:rPr>
              <w:t>配套资源：全套可编辑 PPT、≥300 道题库（含答案）、实训任务工单；（具体资源匹配课时数）</w:t>
            </w:r>
          </w:p>
          <w:p w14:paraId="4697D14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视频资源：32 条微课成品 + 全部拍摄原始素材 + 剪辑工程文件；（具体资源数匹配课时数）</w:t>
            </w:r>
          </w:p>
          <w:p w14:paraId="7829B1B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二维动画源文件、课程片头片尾模板；</w:t>
            </w:r>
          </w:p>
          <w:p w14:paraId="4E497821">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w:t>
            </w:r>
            <w:r>
              <w:rPr>
                <w:rFonts w:hint="default" w:ascii="宋体" w:hAnsi="宋体" w:eastAsia="宋体" w:cs="宋体"/>
                <w:color w:val="auto"/>
                <w:kern w:val="0"/>
                <w:sz w:val="21"/>
                <w:szCs w:val="21"/>
                <w:highlight w:val="none"/>
                <w:lang w:val="en-US" w:eastAsia="zh-CN" w:bidi="ar-SA"/>
              </w:rPr>
              <w:t>岗位调研报告、专家培训记录、能力图谱可视化文档；</w:t>
            </w:r>
          </w:p>
          <w:p w14:paraId="2B315535">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default" w:ascii="宋体" w:hAnsi="宋体" w:eastAsia="宋体" w:cs="宋体"/>
                <w:color w:val="auto"/>
                <w:kern w:val="0"/>
                <w:sz w:val="21"/>
                <w:szCs w:val="21"/>
                <w:highlight w:val="none"/>
                <w:lang w:val="en-US" w:eastAsia="zh-CN" w:bidi="ar-SA"/>
              </w:rPr>
              <w:t>课程学习平台部署账号、操作手册；</w:t>
            </w:r>
          </w:p>
          <w:p w14:paraId="499ED214">
            <w:pPr>
              <w:spacing w:line="420" w:lineRule="exact"/>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r>
              <w:rPr>
                <w:rFonts w:hint="default" w:ascii="宋体" w:hAnsi="宋体" w:eastAsia="宋体" w:cs="宋体"/>
                <w:color w:val="auto"/>
                <w:kern w:val="0"/>
                <w:sz w:val="21"/>
                <w:szCs w:val="21"/>
                <w:highlight w:val="none"/>
                <w:lang w:val="en-US" w:eastAsia="zh-CN" w:bidi="ar-SA"/>
              </w:rPr>
              <w:t>省 / 国家级精品课全套申报模板、优化后申报材料。</w:t>
            </w:r>
          </w:p>
        </w:tc>
        <w:tc>
          <w:tcPr>
            <w:tcW w:w="1270" w:type="dxa"/>
            <w:tcBorders>
              <w:top w:val="single" w:color="auto" w:sz="4" w:space="0"/>
              <w:left w:val="single" w:color="auto" w:sz="4" w:space="0"/>
              <w:bottom w:val="single" w:color="auto" w:sz="4" w:space="0"/>
              <w:right w:val="single" w:color="auto" w:sz="4" w:space="0"/>
            </w:tcBorders>
            <w:vAlign w:val="center"/>
          </w:tcPr>
          <w:p w14:paraId="24BE5000">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r>
              <w:rPr>
                <w:rFonts w:hint="default" w:ascii="宋体" w:hAnsi="宋体" w:eastAsia="宋体" w:cs="宋体"/>
                <w:color w:val="auto"/>
                <w:szCs w:val="21"/>
                <w:highlight w:val="none"/>
                <w:lang w:val="en-US" w:eastAsia="zh-CN"/>
              </w:rPr>
              <w:t>0000</w:t>
            </w:r>
            <w:r>
              <w:rPr>
                <w:rFonts w:hint="eastAsia" w:ascii="宋体" w:hAnsi="宋体" w:eastAsia="宋体" w:cs="宋体"/>
                <w:color w:val="auto"/>
                <w:szCs w:val="21"/>
                <w:highlight w:val="none"/>
                <w:lang w:val="en-US" w:eastAsia="zh-CN"/>
              </w:rPr>
              <w:t>.00</w:t>
            </w:r>
          </w:p>
        </w:tc>
        <w:tc>
          <w:tcPr>
            <w:tcW w:w="1045" w:type="dxa"/>
            <w:tcBorders>
              <w:top w:val="single" w:color="auto" w:sz="4" w:space="0"/>
              <w:left w:val="single" w:color="auto" w:sz="4" w:space="0"/>
              <w:bottom w:val="single" w:color="auto" w:sz="4" w:space="0"/>
              <w:right w:val="single" w:color="auto" w:sz="4" w:space="0"/>
            </w:tcBorders>
            <w:vAlign w:val="center"/>
          </w:tcPr>
          <w:p w14:paraId="4FC99A91">
            <w:pPr>
              <w:spacing w:line="500" w:lineRule="exact"/>
              <w:jc w:val="center"/>
              <w:rPr>
                <w:rFonts w:ascii="宋体" w:hAnsi="宋体" w:cs="宋体"/>
                <w:color w:val="auto"/>
                <w:szCs w:val="21"/>
                <w:highlight w:val="none"/>
              </w:rPr>
            </w:pPr>
            <w:r>
              <w:rPr>
                <w:rFonts w:hint="eastAsia" w:ascii="宋体" w:hAnsi="宋体" w:eastAsia="宋体" w:cs="宋体"/>
                <w:color w:val="auto"/>
                <w:sz w:val="21"/>
                <w:szCs w:val="21"/>
                <w:highlight w:val="none"/>
              </w:rPr>
              <w:t>软件和信息技术服务业</w:t>
            </w:r>
          </w:p>
        </w:tc>
      </w:tr>
      <w:tr w14:paraId="45F5A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428" w:type="dxa"/>
            <w:tcBorders>
              <w:top w:val="single" w:color="auto" w:sz="4" w:space="0"/>
              <w:left w:val="single" w:color="auto" w:sz="4" w:space="0"/>
              <w:bottom w:val="single" w:color="auto" w:sz="4" w:space="0"/>
              <w:right w:val="single" w:color="auto" w:sz="4" w:space="0"/>
            </w:tcBorders>
          </w:tcPr>
          <w:p w14:paraId="0339D03B">
            <w:pPr>
              <w:spacing w:line="500" w:lineRule="exact"/>
              <w:jc w:val="center"/>
              <w:rPr>
                <w:rFonts w:ascii="宋体" w:hAnsi="宋体" w:cs="宋体"/>
                <w:color w:val="auto"/>
                <w:szCs w:val="21"/>
                <w:highlight w:val="none"/>
              </w:rPr>
            </w:pPr>
          </w:p>
          <w:p w14:paraId="30269067">
            <w:pPr>
              <w:spacing w:line="500" w:lineRule="exact"/>
              <w:jc w:val="center"/>
              <w:rPr>
                <w:rFonts w:ascii="宋体" w:hAnsi="宋体" w:cs="宋体"/>
                <w:color w:val="auto"/>
                <w:szCs w:val="21"/>
                <w:highlight w:val="none"/>
              </w:rPr>
            </w:pPr>
          </w:p>
          <w:p w14:paraId="0C0A516C">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商务条款</w:t>
            </w:r>
          </w:p>
        </w:tc>
        <w:tc>
          <w:tcPr>
            <w:tcW w:w="10054" w:type="dxa"/>
            <w:gridSpan w:val="7"/>
            <w:tcBorders>
              <w:top w:val="single" w:color="auto" w:sz="4" w:space="0"/>
              <w:left w:val="single" w:color="auto" w:sz="4" w:space="0"/>
              <w:bottom w:val="single" w:color="auto" w:sz="4" w:space="0"/>
              <w:right w:val="single" w:color="auto" w:sz="4" w:space="0"/>
            </w:tcBorders>
            <w:shd w:val="clear" w:color="auto" w:fill="auto"/>
            <w:vAlign w:val="top"/>
          </w:tcPr>
          <w:p w14:paraId="6D578CE9">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一、合同签订期：自中标通知书发出之日起25日内。</w:t>
            </w:r>
          </w:p>
          <w:p w14:paraId="5AD1F71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u w:val="none"/>
                <w:lang w:val="en-US" w:eastAsia="zh-CN" w:bidi="ar-SA"/>
              </w:rPr>
              <w:t>二、</w:t>
            </w:r>
            <w:r>
              <w:rPr>
                <w:rFonts w:hint="eastAsia" w:ascii="宋体" w:hAnsi="宋体" w:eastAsia="宋体" w:cs="宋体"/>
                <w:color w:val="auto"/>
                <w:sz w:val="21"/>
                <w:szCs w:val="21"/>
                <w:highlight w:val="none"/>
                <w:lang w:val="en-US" w:eastAsia="zh-CN"/>
              </w:rPr>
              <w:t>提交服务成果时间</w:t>
            </w:r>
            <w:r>
              <w:rPr>
                <w:rFonts w:hint="eastAsia" w:ascii="宋体" w:hAnsi="宋体" w:eastAsia="宋体" w:cs="宋体"/>
                <w:color w:val="auto"/>
                <w:kern w:val="2"/>
                <w:sz w:val="21"/>
                <w:szCs w:val="21"/>
                <w:highlight w:val="none"/>
                <w:u w:val="none"/>
                <w:lang w:val="en-US" w:eastAsia="zh-CN" w:bidi="ar-SA"/>
              </w:rPr>
              <w:t>：合同签订后60 自然日内完成 《 图案设计》 精品课程开发建设服务交付，并一次性通过采购人初步验收；逾期每日按合同总金额 0.5% 支付违约金，逾期超 30 日采购人有权单方解除合同，并追偿损失。</w:t>
            </w:r>
          </w:p>
          <w:p w14:paraId="4142CBF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二、服务地点与交付</w:t>
            </w:r>
          </w:p>
          <w:p w14:paraId="4F4CE88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服务实施地点：广西南宁市采购人校内场地，供应商需按需驻场对接；</w:t>
            </w:r>
          </w:p>
          <w:p w14:paraId="6A5C34A5">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成果交付地点：采购人指定校内办公地点，全部纸质材料现场移交，电子成果 U 盘 + 云盘双渠道交付备份；</w:t>
            </w:r>
          </w:p>
          <w:p w14:paraId="3B671D4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交付方式：现场实物交付 + 电子源文件备份交付，同步签署《项目成果交付签收单》。</w:t>
            </w:r>
          </w:p>
          <w:p w14:paraId="3870C665">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三、验收标准</w:t>
            </w:r>
          </w:p>
          <w:p w14:paraId="644C32B5">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初验：全部成果完成后供应商提交验收申请，采购人 7 个工作日内开展初验，列出修改清单，供应商 7 日内完成整改；</w:t>
            </w:r>
          </w:p>
          <w:p w14:paraId="0B59783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终验：整改完毕后开展正式终验，验收依据包含：本采购需求文件、供应商投标响应文件、双方签订合同、在线课程制作相关国标；</w:t>
            </w:r>
          </w:p>
          <w:p w14:paraId="0B0C1916">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验收不合格处置：两次终验仍不达标，采购人有权解除合同，供应商全额退还已支付款项并赔偿预算总额 20% 违约金。</w:t>
            </w:r>
          </w:p>
          <w:p w14:paraId="702A6E00">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▲四、售后服务</w:t>
            </w:r>
          </w:p>
          <w:p w14:paraId="5DDDFED6">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质保期：全部成果验收合格之日起2 年质保；</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（1）修改范围：视频错别字、字幕错误、画面瑕疵、文稿文字错误、平台基础功能调试；</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（2）有偿修改范围：新增课时、新增视频、重新编写教材模块、大规模内容改版，按分项单价单独计价；</w:t>
            </w:r>
          </w:p>
          <w:p w14:paraId="146865F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售后响应机制：</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（1）线上问题：2 小时内响应，远程调试解决；</w:t>
            </w:r>
            <w:r>
              <w:rPr>
                <w:rFonts w:hint="eastAsia" w:ascii="宋体" w:hAnsi="宋体" w:eastAsia="宋体" w:cs="宋体"/>
                <w:color w:val="auto"/>
                <w:kern w:val="2"/>
                <w:sz w:val="21"/>
                <w:szCs w:val="21"/>
                <w:highlight w:val="none"/>
                <w:u w:val="none"/>
                <w:lang w:val="en-US" w:eastAsia="zh-CN" w:bidi="ar-SA"/>
              </w:rPr>
              <w:br w:type="textWrapping"/>
            </w:r>
            <w:r>
              <w:rPr>
                <w:rFonts w:hint="eastAsia" w:ascii="宋体" w:hAnsi="宋体" w:eastAsia="宋体" w:cs="宋体"/>
                <w:color w:val="auto"/>
                <w:kern w:val="2"/>
                <w:sz w:val="21"/>
                <w:szCs w:val="21"/>
                <w:highlight w:val="none"/>
                <w:u w:val="none"/>
                <w:lang w:val="en-US" w:eastAsia="zh-CN" w:bidi="ar-SA"/>
              </w:rPr>
              <w:t>（2）现场故障：远程无法解决的，4 小时内技术人员抵达</w:t>
            </w:r>
            <w:r>
              <w:rPr>
                <w:rFonts w:hint="eastAsia" w:ascii="宋体" w:hAnsi="宋体" w:cs="宋体"/>
                <w:color w:val="auto"/>
                <w:kern w:val="2"/>
                <w:sz w:val="21"/>
                <w:szCs w:val="21"/>
                <w:highlight w:val="none"/>
                <w:u w:val="none"/>
                <w:lang w:val="en-US" w:eastAsia="zh-CN" w:bidi="ar-SA"/>
              </w:rPr>
              <w:t>采购人指定地点</w:t>
            </w:r>
            <w:r>
              <w:rPr>
                <w:rFonts w:hint="eastAsia" w:ascii="宋体" w:hAnsi="宋体" w:eastAsia="宋体" w:cs="宋体"/>
                <w:color w:val="auto"/>
                <w:kern w:val="2"/>
                <w:sz w:val="21"/>
                <w:szCs w:val="21"/>
                <w:highlight w:val="none"/>
                <w:u w:val="none"/>
                <w:lang w:val="en-US" w:eastAsia="zh-CN" w:bidi="ar-SA"/>
              </w:rPr>
              <w:t>现场；</w:t>
            </w:r>
          </w:p>
          <w:p w14:paraId="4ACCECBA">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售后人员硬性配置：供应商专职售后技术人员≥2 人，</w:t>
            </w:r>
            <w:r>
              <w:rPr>
                <w:rFonts w:hint="eastAsia" w:ascii="宋体" w:hAnsi="宋体" w:eastAsia="宋体" w:cs="宋体"/>
                <w:b/>
                <w:bCs/>
                <w:color w:val="auto"/>
                <w:kern w:val="2"/>
                <w:sz w:val="21"/>
                <w:szCs w:val="21"/>
                <w:highlight w:val="none"/>
                <w:u w:val="none"/>
                <w:lang w:val="en-US" w:eastAsia="zh-CN" w:bidi="ar-SA"/>
              </w:rPr>
              <w:t>投标文件提供售后团队人员名单、社保佐证；</w:t>
            </w:r>
          </w:p>
          <w:p w14:paraId="5293234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4.</w:t>
            </w:r>
            <w:r>
              <w:rPr>
                <w:rFonts w:hint="eastAsia" w:ascii="宋体" w:hAnsi="宋体" w:eastAsia="宋体" w:cs="宋体"/>
                <w:color w:val="auto"/>
                <w:kern w:val="2"/>
                <w:sz w:val="21"/>
                <w:szCs w:val="21"/>
                <w:highlight w:val="none"/>
                <w:u w:val="none"/>
                <w:lang w:val="en-US" w:eastAsia="zh-CN" w:bidi="ar-SA"/>
              </w:rPr>
              <w:t>质保期结束后：提供终身低成本维护、资源更新优惠服务。</w:t>
            </w:r>
          </w:p>
          <w:p w14:paraId="1CD7D6EE">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五、报价全包要求 </w:t>
            </w:r>
          </w:p>
          <w:p w14:paraId="6719A911">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投标总报价为包干总价，包含：人员劳务、专家劳务、拍摄设备、耗材、场地、道具、版权素材、税费、保险、运输、售后、平台3年使用费、培训、申报服务等全部费用，采购人无需支付任何额外费用。</w:t>
            </w:r>
          </w:p>
          <w:p w14:paraId="37FE896C">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六、付款方式 </w:t>
            </w:r>
          </w:p>
          <w:p w14:paraId="4B05297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1.精品课程完成既定资源开发任务满足课程成果清单交付要求，通过验收后一次性支付全部费用。</w:t>
            </w:r>
          </w:p>
          <w:p w14:paraId="685748AD">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w:t>
            </w:r>
            <w:r>
              <w:rPr>
                <w:rFonts w:hint="eastAsia" w:ascii="宋体" w:hAnsi="宋体" w:cs="宋体"/>
                <w:color w:val="auto"/>
                <w:kern w:val="2"/>
                <w:sz w:val="21"/>
                <w:szCs w:val="21"/>
                <w:highlight w:val="none"/>
                <w:u w:val="none"/>
                <w:lang w:val="en-US" w:eastAsia="zh-CN" w:bidi="ar-SA"/>
              </w:rPr>
              <w:t>中标</w:t>
            </w:r>
            <w:r>
              <w:rPr>
                <w:rFonts w:hint="eastAsia" w:ascii="宋体" w:hAnsi="宋体" w:eastAsia="宋体" w:cs="宋体"/>
                <w:color w:val="auto"/>
                <w:kern w:val="2"/>
                <w:sz w:val="21"/>
                <w:szCs w:val="21"/>
                <w:highlight w:val="none"/>
                <w:u w:val="none"/>
                <w:lang w:val="en-US" w:eastAsia="zh-CN" w:bidi="ar-SA"/>
              </w:rPr>
              <w:t>供应商所提交的服务经采购人书面验收合格和用款计划南宁市财政局批复后，按计划支付合同款。</w:t>
            </w:r>
          </w:p>
          <w:p w14:paraId="6113966D">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七、合同变更与风险约定</w:t>
            </w:r>
          </w:p>
          <w:p w14:paraId="71E89ED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因第三方政策、场地、教师等非供应商原因造成工期延误，双方签署书面补充协议顺延工期，互不追责；若为供应商人力、设备、进度管理问题延误，由供应商承担全部违约责任。</w:t>
            </w:r>
          </w:p>
          <w:p w14:paraId="433D407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八、知识产权与侵权责任</w:t>
            </w:r>
          </w:p>
          <w:p w14:paraId="5CE26D6C">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项目所有教材、课程视频、图文、课件、源文件、平台配套资源全部知识产权永久归采购人独家所有，供应商仅可用于自身案例宣传，不得商用转售；</w:t>
            </w:r>
          </w:p>
          <w:p w14:paraId="0D9A465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若发生第三方知识产权、肖像、图片、字体、音乐侵权起诉，供应商全权处理纠纷，承担全部诉讼费、赔偿金、律师费；给采购人造成声誉、经济损失的，供应商按合同总金额 1.5 倍赔付。</w:t>
            </w:r>
          </w:p>
          <w:p w14:paraId="0E93F548">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九、分包转包禁令</w:t>
            </w:r>
          </w:p>
          <w:p w14:paraId="13072F73">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本项目核心教材编写、课程拍摄、后期制作、出版服务严禁分包、转包；一经查实，采购人有权上报监督部门终止合同，扣除全部款项，供应商赔偿总预算 30% 违约金。</w:t>
            </w:r>
          </w:p>
          <w:p w14:paraId="57BF61FF">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十、</w:t>
            </w:r>
            <w:r>
              <w:rPr>
                <w:rFonts w:hint="eastAsia" w:ascii="宋体" w:hAnsi="宋体" w:eastAsia="宋体" w:cs="宋体"/>
                <w:color w:val="auto"/>
                <w:kern w:val="2"/>
                <w:sz w:val="21"/>
                <w:szCs w:val="21"/>
                <w:highlight w:val="none"/>
                <w:u w:val="none"/>
                <w:lang w:val="en-US" w:eastAsia="zh-CN" w:bidi="ar-SA"/>
              </w:rPr>
              <w:t>成果提交</w:t>
            </w:r>
          </w:p>
          <w:p w14:paraId="2245D73B">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 xml:space="preserve">本项目的所有原始素材、工程文件、最终成品等全套资料存入便携式固态存储设备，制作三份完整备份一并提交至学校，所用固态存储设备接口等级须为 USB3.0 </w:t>
            </w:r>
            <w:r>
              <w:rPr>
                <w:rFonts w:hint="eastAsia" w:ascii="宋体" w:hAnsi="宋体" w:cs="宋体"/>
                <w:color w:val="auto"/>
                <w:kern w:val="2"/>
                <w:sz w:val="21"/>
                <w:szCs w:val="21"/>
                <w:highlight w:val="none"/>
                <w:u w:val="none"/>
                <w:lang w:val="en-US" w:eastAsia="zh-CN" w:bidi="ar-SA"/>
              </w:rPr>
              <w:t>或</w:t>
            </w:r>
            <w:r>
              <w:rPr>
                <w:rFonts w:hint="eastAsia" w:ascii="宋体" w:hAnsi="宋体" w:eastAsia="宋体" w:cs="宋体"/>
                <w:color w:val="auto"/>
                <w:kern w:val="2"/>
                <w:sz w:val="21"/>
                <w:szCs w:val="21"/>
                <w:highlight w:val="none"/>
                <w:u w:val="none"/>
                <w:lang w:val="en-US" w:eastAsia="zh-CN" w:bidi="ar-SA"/>
              </w:rPr>
              <w:t>更高规格。</w:t>
            </w:r>
          </w:p>
          <w:p w14:paraId="24BFB5C6">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十一、其他补充条款</w:t>
            </w:r>
          </w:p>
          <w:p w14:paraId="28D03E22">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1.</w:t>
            </w:r>
            <w:r>
              <w:rPr>
                <w:rFonts w:hint="eastAsia" w:ascii="宋体" w:hAnsi="宋体" w:eastAsia="宋体" w:cs="宋体"/>
                <w:color w:val="auto"/>
                <w:kern w:val="2"/>
                <w:sz w:val="21"/>
                <w:szCs w:val="21"/>
                <w:highlight w:val="none"/>
                <w:u w:val="none"/>
                <w:lang w:val="en-US" w:eastAsia="zh-CN" w:bidi="ar-SA"/>
              </w:rPr>
              <w:t>所有供应商提交的人员简历、设备证明、业绩合同、资质材料必须真实有效，存在造假直接作废标处理，列入政府采购失信名单；</w:t>
            </w:r>
          </w:p>
          <w:p w14:paraId="467C0D64">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2.</w:t>
            </w:r>
            <w:r>
              <w:rPr>
                <w:rFonts w:hint="eastAsia" w:ascii="宋体" w:hAnsi="宋体" w:eastAsia="宋体" w:cs="宋体"/>
                <w:color w:val="auto"/>
                <w:kern w:val="2"/>
                <w:sz w:val="21"/>
                <w:szCs w:val="21"/>
                <w:highlight w:val="none"/>
                <w:u w:val="none"/>
                <w:lang w:val="en-US" w:eastAsia="zh-CN" w:bidi="ar-SA"/>
              </w:rPr>
              <w:t>项目实施全过程所有会议、评审、培训、调研产生的纸质、电子档案统一移交采购人归档留存；</w:t>
            </w:r>
          </w:p>
          <w:p w14:paraId="1710AEFD">
            <w:pPr>
              <w:keepNext w:val="0"/>
              <w:keepLines w:val="0"/>
              <w:pageBreakBefore w:val="0"/>
              <w:widowControl/>
              <w:tabs>
                <w:tab w:val="left" w:pos="2101"/>
              </w:tabs>
              <w:kinsoku/>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本项目不采购任何进口设备、素材，全部使用国产合规素材与软硬件。</w:t>
            </w:r>
          </w:p>
        </w:tc>
      </w:tr>
      <w:tr w14:paraId="5E4FE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14" w:hRule="atLeast"/>
        </w:trPr>
        <w:tc>
          <w:tcPr>
            <w:tcW w:w="428" w:type="dxa"/>
            <w:tcBorders>
              <w:top w:val="single" w:color="auto" w:sz="4" w:space="0"/>
              <w:left w:val="single" w:color="auto" w:sz="4" w:space="0"/>
              <w:bottom w:val="single" w:color="auto" w:sz="4" w:space="0"/>
              <w:right w:val="single" w:color="auto" w:sz="4" w:space="0"/>
            </w:tcBorders>
            <w:vAlign w:val="center"/>
          </w:tcPr>
          <w:p w14:paraId="4EF8F845">
            <w:pPr>
              <w:spacing w:line="500" w:lineRule="exact"/>
              <w:jc w:val="center"/>
              <w:rPr>
                <w:rFonts w:ascii="宋体" w:hAnsi="宋体" w:cs="宋体"/>
                <w:color w:val="auto"/>
                <w:szCs w:val="21"/>
                <w:highlight w:val="none"/>
              </w:rPr>
            </w:pPr>
            <w:r>
              <w:rPr>
                <w:rFonts w:hint="eastAsia" w:ascii="宋体" w:hAnsi="宋体" w:cs="宋体"/>
                <w:color w:val="auto"/>
                <w:szCs w:val="21"/>
                <w:highlight w:val="none"/>
              </w:rPr>
              <w:t>其他说明</w:t>
            </w:r>
          </w:p>
        </w:tc>
        <w:tc>
          <w:tcPr>
            <w:tcW w:w="10054" w:type="dxa"/>
            <w:gridSpan w:val="7"/>
            <w:tcBorders>
              <w:top w:val="single" w:color="auto" w:sz="4" w:space="0"/>
              <w:left w:val="single" w:color="auto" w:sz="4" w:space="0"/>
              <w:bottom w:val="single" w:color="auto" w:sz="4" w:space="0"/>
              <w:right w:val="single" w:color="auto" w:sz="4" w:space="0"/>
            </w:tcBorders>
            <w:vAlign w:val="center"/>
          </w:tcPr>
          <w:p w14:paraId="541BB612">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本项目采购标的的需执行的国家相关标准、行业标准、地方标准或其他强制性标准、规范等要求：</w:t>
            </w:r>
            <w:r>
              <w:rPr>
                <w:rFonts w:hint="eastAsia" w:ascii="宋体" w:hAnsi="宋体" w:eastAsia="宋体" w:cs="宋体"/>
                <w:color w:val="auto"/>
                <w:sz w:val="21"/>
                <w:szCs w:val="21"/>
                <w:highlight w:val="none"/>
                <w:u w:val="single"/>
              </w:rPr>
              <w:t>按国家相关标准、中标供应商承诺进行验收。</w:t>
            </w:r>
          </w:p>
          <w:p w14:paraId="3F1E1189">
            <w:pPr>
              <w:keepNext w:val="0"/>
              <w:keepLines w:val="0"/>
              <w:pageBreakBefore w:val="0"/>
              <w:widowControl/>
              <w:kinsoku/>
              <w:overflowPunct/>
              <w:topLinePunct w:val="0"/>
              <w:autoSpaceDE/>
              <w:autoSpaceDN/>
              <w:bidi w:val="0"/>
              <w:adjustRightInd/>
              <w:snapToGrid/>
              <w:spacing w:line="400" w:lineRule="exact"/>
              <w:textAlignment w:val="auto"/>
              <w:rPr>
                <w:rFonts w:ascii="宋体" w:hAnsi="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合同延续年限、条件和方式：</w:t>
            </w:r>
            <w:r>
              <w:rPr>
                <w:rFonts w:hint="eastAsia" w:ascii="宋体" w:hAnsi="宋体" w:eastAsia="宋体" w:cs="宋体"/>
                <w:color w:val="auto"/>
                <w:sz w:val="21"/>
                <w:szCs w:val="21"/>
                <w:highlight w:val="none"/>
                <w:u w:val="single"/>
              </w:rPr>
              <w:t xml:space="preserve">本项目合同到期后不续签。 </w:t>
            </w:r>
          </w:p>
        </w:tc>
      </w:tr>
    </w:tbl>
    <w:p w14:paraId="7AF6A1EE">
      <w:pPr>
        <w:rPr>
          <w:color w:val="auto"/>
          <w:highlight w:val="none"/>
        </w:rPr>
        <w:sectPr>
          <w:pgSz w:w="11906" w:h="16838"/>
          <w:pgMar w:top="1440" w:right="1080" w:bottom="1440" w:left="1080" w:header="720" w:footer="720" w:gutter="0"/>
          <w:pgNumType w:fmt="decimal"/>
          <w:cols w:space="720" w:num="1"/>
          <w:docGrid w:type="lines" w:linePitch="331" w:charSpace="0"/>
        </w:sectPr>
      </w:pPr>
    </w:p>
    <w:p w14:paraId="48FDD9C3">
      <w:pPr>
        <w:wordWrap w:val="0"/>
        <w:spacing w:line="360" w:lineRule="auto"/>
        <w:outlineLvl w:val="1"/>
        <w:rPr>
          <w:rFonts w:ascii="宋体" w:hAnsi="宋体" w:cs="宋体"/>
          <w:color w:val="auto"/>
          <w:sz w:val="32"/>
          <w:szCs w:val="32"/>
          <w:highlight w:val="none"/>
        </w:rPr>
      </w:pPr>
      <w:bookmarkStart w:id="20" w:name="_Toc12065"/>
      <w:r>
        <w:rPr>
          <w:rFonts w:hint="eastAsia" w:ascii="宋体" w:hAnsi="宋体" w:cs="宋体"/>
          <w:color w:val="auto"/>
          <w:sz w:val="32"/>
          <w:szCs w:val="32"/>
          <w:highlight w:val="none"/>
        </w:rPr>
        <w:t>附件1：</w:t>
      </w:r>
      <w:bookmarkEnd w:id="20"/>
    </w:p>
    <w:p w14:paraId="5A7E401F">
      <w:pPr>
        <w:wordWrap w:val="0"/>
        <w:spacing w:line="360" w:lineRule="auto"/>
        <w:rPr>
          <w:rFonts w:ascii="宋体" w:hAnsi="宋体" w:cs="宋体"/>
          <w:color w:val="auto"/>
          <w:sz w:val="17"/>
          <w:szCs w:val="17"/>
          <w:highlight w:val="none"/>
        </w:rPr>
      </w:pPr>
    </w:p>
    <w:p w14:paraId="59585032">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23"/>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80"/>
        <w:gridCol w:w="1320"/>
        <w:gridCol w:w="1620"/>
        <w:gridCol w:w="4540"/>
      </w:tblGrid>
      <w:tr w14:paraId="0B43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60" w:type="dxa"/>
          </w:tcPr>
          <w:p w14:paraId="3258080E">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品目序号</w:t>
            </w:r>
          </w:p>
        </w:tc>
        <w:tc>
          <w:tcPr>
            <w:tcW w:w="4020" w:type="dxa"/>
            <w:gridSpan w:val="3"/>
            <w:vAlign w:val="center"/>
          </w:tcPr>
          <w:p w14:paraId="7A6D87F1">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名称</w:t>
            </w:r>
          </w:p>
        </w:tc>
        <w:tc>
          <w:tcPr>
            <w:tcW w:w="4540" w:type="dxa"/>
            <w:vAlign w:val="center"/>
          </w:tcPr>
          <w:p w14:paraId="73B6EF54">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依据的标准</w:t>
            </w:r>
          </w:p>
        </w:tc>
      </w:tr>
      <w:tr w14:paraId="5EDB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6EEFF6F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080" w:type="dxa"/>
            <w:vMerge w:val="restart"/>
            <w:vAlign w:val="center"/>
          </w:tcPr>
          <w:p w14:paraId="1829E049">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A020101计算机设备</w:t>
            </w:r>
          </w:p>
        </w:tc>
        <w:tc>
          <w:tcPr>
            <w:tcW w:w="1320" w:type="dxa"/>
            <w:vAlign w:val="center"/>
          </w:tcPr>
          <w:p w14:paraId="2A6094B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★A02010104台式计算机</w:t>
            </w:r>
          </w:p>
        </w:tc>
        <w:tc>
          <w:tcPr>
            <w:tcW w:w="1620" w:type="dxa"/>
            <w:vAlign w:val="center"/>
          </w:tcPr>
          <w:p w14:paraId="0E9B335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79DBB49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3699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5A6E187E">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7D79CCC4">
            <w:pPr>
              <w:widowControl/>
              <w:wordWrap w:val="0"/>
              <w:spacing w:line="360" w:lineRule="auto"/>
              <w:jc w:val="left"/>
              <w:rPr>
                <w:rFonts w:ascii="宋体" w:hAnsi="宋体" w:cs="宋体"/>
                <w:color w:val="auto"/>
                <w:kern w:val="0"/>
                <w:szCs w:val="21"/>
                <w:highlight w:val="none"/>
              </w:rPr>
            </w:pPr>
          </w:p>
        </w:tc>
        <w:tc>
          <w:tcPr>
            <w:tcW w:w="1320" w:type="dxa"/>
            <w:vAlign w:val="center"/>
          </w:tcPr>
          <w:p w14:paraId="0120C82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★A02010105便携式计算机</w:t>
            </w:r>
          </w:p>
        </w:tc>
        <w:tc>
          <w:tcPr>
            <w:tcW w:w="1620" w:type="dxa"/>
            <w:vAlign w:val="center"/>
          </w:tcPr>
          <w:p w14:paraId="544E666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0C9E7D8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3A81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0BA3F1F4">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53EFB13B">
            <w:pPr>
              <w:widowControl/>
              <w:wordWrap w:val="0"/>
              <w:spacing w:line="360" w:lineRule="auto"/>
              <w:jc w:val="left"/>
              <w:rPr>
                <w:rFonts w:ascii="宋体" w:hAnsi="宋体" w:cs="宋体"/>
                <w:color w:val="auto"/>
                <w:kern w:val="0"/>
                <w:szCs w:val="21"/>
                <w:highlight w:val="none"/>
              </w:rPr>
            </w:pPr>
          </w:p>
        </w:tc>
        <w:tc>
          <w:tcPr>
            <w:tcW w:w="1320" w:type="dxa"/>
            <w:vAlign w:val="center"/>
          </w:tcPr>
          <w:p w14:paraId="0940133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★A02010107平板式微型计算机</w:t>
            </w:r>
          </w:p>
        </w:tc>
        <w:tc>
          <w:tcPr>
            <w:tcW w:w="1620" w:type="dxa"/>
            <w:vAlign w:val="center"/>
          </w:tcPr>
          <w:p w14:paraId="3DAFE72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28B7244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5C29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55C3EB9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080" w:type="dxa"/>
            <w:vMerge w:val="restart"/>
            <w:vAlign w:val="center"/>
          </w:tcPr>
          <w:p w14:paraId="761D858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A020106输入输出设备</w:t>
            </w:r>
          </w:p>
        </w:tc>
        <w:tc>
          <w:tcPr>
            <w:tcW w:w="1320" w:type="dxa"/>
            <w:vMerge w:val="restart"/>
            <w:vAlign w:val="center"/>
          </w:tcPr>
          <w:p w14:paraId="1CB17C8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A02010601打印设备</w:t>
            </w:r>
          </w:p>
        </w:tc>
        <w:tc>
          <w:tcPr>
            <w:tcW w:w="1620" w:type="dxa"/>
            <w:vAlign w:val="center"/>
          </w:tcPr>
          <w:p w14:paraId="6A2452E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A0201060101喷墨打印机</w:t>
            </w:r>
          </w:p>
        </w:tc>
        <w:tc>
          <w:tcPr>
            <w:tcW w:w="4540" w:type="dxa"/>
            <w:vAlign w:val="center"/>
          </w:tcPr>
          <w:p w14:paraId="283729F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0BE3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706DE133">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CF1EADE">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2EDC784A">
            <w:pPr>
              <w:widowControl/>
              <w:wordWrap w:val="0"/>
              <w:spacing w:line="360" w:lineRule="auto"/>
              <w:jc w:val="left"/>
              <w:rPr>
                <w:rFonts w:ascii="宋体" w:hAnsi="宋体" w:cs="宋体"/>
                <w:color w:val="auto"/>
                <w:kern w:val="0"/>
                <w:szCs w:val="21"/>
                <w:highlight w:val="none"/>
              </w:rPr>
            </w:pPr>
          </w:p>
        </w:tc>
        <w:tc>
          <w:tcPr>
            <w:tcW w:w="1620" w:type="dxa"/>
            <w:vAlign w:val="center"/>
          </w:tcPr>
          <w:p w14:paraId="7FBBE3D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★A0201060102激光打印机</w:t>
            </w:r>
          </w:p>
        </w:tc>
        <w:tc>
          <w:tcPr>
            <w:tcW w:w="4540" w:type="dxa"/>
            <w:vAlign w:val="center"/>
          </w:tcPr>
          <w:p w14:paraId="6654757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07A3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58FA6C49">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02940ABF">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0410923A">
            <w:pPr>
              <w:widowControl/>
              <w:wordWrap w:val="0"/>
              <w:spacing w:line="360" w:lineRule="auto"/>
              <w:jc w:val="left"/>
              <w:rPr>
                <w:rFonts w:ascii="宋体" w:hAnsi="宋体" w:cs="宋体"/>
                <w:color w:val="auto"/>
                <w:kern w:val="0"/>
                <w:szCs w:val="21"/>
                <w:highlight w:val="none"/>
              </w:rPr>
            </w:pPr>
          </w:p>
        </w:tc>
        <w:tc>
          <w:tcPr>
            <w:tcW w:w="1620" w:type="dxa"/>
            <w:vAlign w:val="center"/>
          </w:tcPr>
          <w:p w14:paraId="0B5D1AAD">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★A0201060104针式打印机</w:t>
            </w:r>
          </w:p>
        </w:tc>
        <w:tc>
          <w:tcPr>
            <w:tcW w:w="4540" w:type="dxa"/>
            <w:vAlign w:val="center"/>
          </w:tcPr>
          <w:p w14:paraId="3F0CE27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7DA1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4BFE3A88">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7090433">
            <w:pPr>
              <w:widowControl/>
              <w:wordWrap w:val="0"/>
              <w:spacing w:line="360" w:lineRule="auto"/>
              <w:jc w:val="left"/>
              <w:rPr>
                <w:rFonts w:ascii="宋体" w:hAnsi="宋体" w:cs="宋体"/>
                <w:color w:val="auto"/>
                <w:kern w:val="0"/>
                <w:szCs w:val="21"/>
                <w:highlight w:val="none"/>
              </w:rPr>
            </w:pPr>
          </w:p>
        </w:tc>
        <w:tc>
          <w:tcPr>
            <w:tcW w:w="1320" w:type="dxa"/>
            <w:vAlign w:val="center"/>
          </w:tcPr>
          <w:p w14:paraId="5D98E73D">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A02010604显示设备</w:t>
            </w:r>
          </w:p>
        </w:tc>
        <w:tc>
          <w:tcPr>
            <w:tcW w:w="1620" w:type="dxa"/>
            <w:vAlign w:val="center"/>
          </w:tcPr>
          <w:p w14:paraId="31C4DD2B">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★A0201060401液晶显示器</w:t>
            </w:r>
          </w:p>
        </w:tc>
        <w:tc>
          <w:tcPr>
            <w:tcW w:w="4540" w:type="dxa"/>
            <w:vAlign w:val="center"/>
          </w:tcPr>
          <w:p w14:paraId="77B188B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《计算机显示器能效限定值及能效等级》（GB21520）</w:t>
            </w:r>
          </w:p>
        </w:tc>
      </w:tr>
      <w:tr w14:paraId="59C1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Merge w:val="continue"/>
            <w:vAlign w:val="center"/>
          </w:tcPr>
          <w:p w14:paraId="2E9EB517">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05D2183D">
            <w:pPr>
              <w:widowControl/>
              <w:wordWrap w:val="0"/>
              <w:spacing w:line="360" w:lineRule="auto"/>
              <w:jc w:val="left"/>
              <w:rPr>
                <w:rFonts w:ascii="宋体" w:hAnsi="宋体" w:cs="宋体"/>
                <w:color w:val="auto"/>
                <w:kern w:val="0"/>
                <w:szCs w:val="21"/>
                <w:highlight w:val="none"/>
              </w:rPr>
            </w:pPr>
          </w:p>
        </w:tc>
        <w:tc>
          <w:tcPr>
            <w:tcW w:w="1320" w:type="dxa"/>
            <w:vAlign w:val="center"/>
          </w:tcPr>
          <w:p w14:paraId="09BD3412">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A02010609图形图像输入设备</w:t>
            </w:r>
          </w:p>
        </w:tc>
        <w:tc>
          <w:tcPr>
            <w:tcW w:w="1620" w:type="dxa"/>
            <w:vAlign w:val="center"/>
          </w:tcPr>
          <w:p w14:paraId="03AEDEBB">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A0201060901扫描仪</w:t>
            </w:r>
          </w:p>
        </w:tc>
        <w:tc>
          <w:tcPr>
            <w:tcW w:w="4540" w:type="dxa"/>
            <w:vAlign w:val="center"/>
          </w:tcPr>
          <w:p w14:paraId="0B333E7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参照《复印机、打印机和传真机能效限定值及能效等级》（GB21521中打印速度为15页/分的针式打印机相关要求中打印速度为15页/分的针式打印机相关要求</w:t>
            </w:r>
          </w:p>
        </w:tc>
      </w:tr>
      <w:tr w14:paraId="14AE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7A40823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080" w:type="dxa"/>
            <w:vAlign w:val="center"/>
          </w:tcPr>
          <w:p w14:paraId="66BD711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A020202投影仪</w:t>
            </w:r>
          </w:p>
        </w:tc>
        <w:tc>
          <w:tcPr>
            <w:tcW w:w="1320" w:type="dxa"/>
            <w:vAlign w:val="center"/>
          </w:tcPr>
          <w:p w14:paraId="61EE9D8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vAlign w:val="center"/>
          </w:tcPr>
          <w:p w14:paraId="0E266B8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2CFF67C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《投影机能效限定值及能效等级》（GB32028）</w:t>
            </w:r>
          </w:p>
        </w:tc>
      </w:tr>
      <w:tr w14:paraId="3338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4C59D8D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1080" w:type="dxa"/>
            <w:vAlign w:val="center"/>
          </w:tcPr>
          <w:p w14:paraId="57E426E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A020204多功能一体机</w:t>
            </w:r>
          </w:p>
        </w:tc>
        <w:tc>
          <w:tcPr>
            <w:tcW w:w="1320" w:type="dxa"/>
            <w:vAlign w:val="center"/>
          </w:tcPr>
          <w:p w14:paraId="13DF7D3D">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vAlign w:val="center"/>
          </w:tcPr>
          <w:p w14:paraId="546166A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7A599CB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4142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4D94E13E">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1080" w:type="dxa"/>
            <w:vAlign w:val="center"/>
          </w:tcPr>
          <w:p w14:paraId="60E61C7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A020519泵</w:t>
            </w:r>
          </w:p>
        </w:tc>
        <w:tc>
          <w:tcPr>
            <w:tcW w:w="1320" w:type="dxa"/>
            <w:vAlign w:val="center"/>
          </w:tcPr>
          <w:p w14:paraId="3B825BFE">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A02051901离心泵</w:t>
            </w:r>
          </w:p>
        </w:tc>
        <w:tc>
          <w:tcPr>
            <w:tcW w:w="1620" w:type="dxa"/>
            <w:vAlign w:val="center"/>
          </w:tcPr>
          <w:p w14:paraId="0280541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7D03123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《清水离心泵能效限定值及节能评价值》（GB19762）</w:t>
            </w:r>
          </w:p>
        </w:tc>
      </w:tr>
      <w:tr w14:paraId="1E12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restart"/>
            <w:vAlign w:val="center"/>
          </w:tcPr>
          <w:p w14:paraId="66FF0E7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1080" w:type="dxa"/>
            <w:vMerge w:val="restart"/>
            <w:vAlign w:val="center"/>
          </w:tcPr>
          <w:p w14:paraId="1681A03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A020523制冷空调设备</w:t>
            </w:r>
          </w:p>
        </w:tc>
        <w:tc>
          <w:tcPr>
            <w:tcW w:w="1320" w:type="dxa"/>
            <w:vMerge w:val="restart"/>
            <w:vAlign w:val="center"/>
          </w:tcPr>
          <w:p w14:paraId="57391B6B">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★A02052301制冷压缩机</w:t>
            </w:r>
          </w:p>
        </w:tc>
        <w:tc>
          <w:tcPr>
            <w:tcW w:w="1620" w:type="dxa"/>
            <w:vAlign w:val="center"/>
          </w:tcPr>
          <w:p w14:paraId="6CC0C07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冷水机组</w:t>
            </w:r>
          </w:p>
        </w:tc>
        <w:tc>
          <w:tcPr>
            <w:tcW w:w="4540" w:type="dxa"/>
            <w:vAlign w:val="center"/>
          </w:tcPr>
          <w:p w14:paraId="099C224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《冷水机组能效限定值及能效等级》（GB19577），《低环境温度空气源热泵（冷水）机组能效限定值及能效等级》（GB37480）</w:t>
            </w:r>
          </w:p>
        </w:tc>
      </w:tr>
      <w:tr w14:paraId="1165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1F180238">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E0B4D56">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3D2F3CDD">
            <w:pPr>
              <w:widowControl/>
              <w:wordWrap w:val="0"/>
              <w:spacing w:line="360" w:lineRule="auto"/>
              <w:jc w:val="left"/>
              <w:rPr>
                <w:rFonts w:ascii="宋体" w:hAnsi="宋体" w:cs="宋体"/>
                <w:color w:val="auto"/>
                <w:kern w:val="0"/>
                <w:szCs w:val="21"/>
                <w:highlight w:val="none"/>
              </w:rPr>
            </w:pPr>
          </w:p>
        </w:tc>
        <w:tc>
          <w:tcPr>
            <w:tcW w:w="1620" w:type="dxa"/>
            <w:vAlign w:val="center"/>
          </w:tcPr>
          <w:p w14:paraId="4CAF044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水源热泵机组</w:t>
            </w:r>
          </w:p>
        </w:tc>
        <w:tc>
          <w:tcPr>
            <w:tcW w:w="4540" w:type="dxa"/>
            <w:vAlign w:val="center"/>
          </w:tcPr>
          <w:p w14:paraId="4220D14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《水（地）源热泵机组能效限定值及能效等级》（GB30721）</w:t>
            </w:r>
          </w:p>
        </w:tc>
      </w:tr>
      <w:tr w14:paraId="5F01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5C4A2017">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7BCABAD4">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2C45C289">
            <w:pPr>
              <w:widowControl/>
              <w:wordWrap w:val="0"/>
              <w:spacing w:line="360" w:lineRule="auto"/>
              <w:jc w:val="left"/>
              <w:rPr>
                <w:rFonts w:ascii="宋体" w:hAnsi="宋体" w:cs="宋体"/>
                <w:color w:val="auto"/>
                <w:kern w:val="0"/>
                <w:szCs w:val="21"/>
                <w:highlight w:val="none"/>
              </w:rPr>
            </w:pPr>
          </w:p>
        </w:tc>
        <w:tc>
          <w:tcPr>
            <w:tcW w:w="1620" w:type="dxa"/>
            <w:vAlign w:val="center"/>
          </w:tcPr>
          <w:p w14:paraId="4E470FBF">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溴化锂吸收式冷水机组</w:t>
            </w:r>
          </w:p>
        </w:tc>
        <w:tc>
          <w:tcPr>
            <w:tcW w:w="4540" w:type="dxa"/>
            <w:vAlign w:val="center"/>
          </w:tcPr>
          <w:p w14:paraId="0749042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《溴化锂吸收式冷水机组能效限定值及能效等级》（GB29540）</w:t>
            </w:r>
          </w:p>
        </w:tc>
      </w:tr>
      <w:tr w14:paraId="0A11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28C4017D">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5B7E6247">
            <w:pPr>
              <w:widowControl/>
              <w:wordWrap w:val="0"/>
              <w:spacing w:line="360" w:lineRule="auto"/>
              <w:jc w:val="left"/>
              <w:rPr>
                <w:rFonts w:ascii="宋体" w:hAnsi="宋体" w:cs="宋体"/>
                <w:color w:val="auto"/>
                <w:kern w:val="0"/>
                <w:szCs w:val="21"/>
                <w:highlight w:val="none"/>
              </w:rPr>
            </w:pPr>
          </w:p>
        </w:tc>
        <w:tc>
          <w:tcPr>
            <w:tcW w:w="1320" w:type="dxa"/>
            <w:vMerge w:val="restart"/>
            <w:vAlign w:val="center"/>
          </w:tcPr>
          <w:p w14:paraId="31DD971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★A02052305空调机组</w:t>
            </w:r>
          </w:p>
        </w:tc>
        <w:tc>
          <w:tcPr>
            <w:tcW w:w="1620" w:type="dxa"/>
            <w:vAlign w:val="center"/>
          </w:tcPr>
          <w:p w14:paraId="066F440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多联式空调（热泵）机组(制冷量&gt;14000W)</w:t>
            </w:r>
          </w:p>
        </w:tc>
        <w:tc>
          <w:tcPr>
            <w:tcW w:w="4540" w:type="dxa"/>
            <w:vAlign w:val="center"/>
          </w:tcPr>
          <w:p w14:paraId="0BECD14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31C9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2549F80D">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57593503">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53E24834">
            <w:pPr>
              <w:widowControl/>
              <w:wordWrap w:val="0"/>
              <w:spacing w:line="360" w:lineRule="auto"/>
              <w:jc w:val="left"/>
              <w:rPr>
                <w:rFonts w:ascii="宋体" w:hAnsi="宋体" w:cs="宋体"/>
                <w:color w:val="auto"/>
                <w:kern w:val="0"/>
                <w:szCs w:val="21"/>
                <w:highlight w:val="none"/>
              </w:rPr>
            </w:pPr>
          </w:p>
        </w:tc>
        <w:tc>
          <w:tcPr>
            <w:tcW w:w="1620" w:type="dxa"/>
            <w:vAlign w:val="center"/>
          </w:tcPr>
          <w:p w14:paraId="13BB83D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单元式空气调节机(制冷量&gt;14000W</w:t>
            </w:r>
          </w:p>
        </w:tc>
        <w:tc>
          <w:tcPr>
            <w:tcW w:w="4540" w:type="dxa"/>
            <w:vAlign w:val="center"/>
          </w:tcPr>
          <w:p w14:paraId="5FCE558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《单元式空气调节机能效限定值及能效等级》（GB19576）《风管送风式空调机组能效限定值及能效等级》（GB37479）</w:t>
            </w:r>
          </w:p>
        </w:tc>
      </w:tr>
      <w:tr w14:paraId="4731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7D17D1E9">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8921B7A">
            <w:pPr>
              <w:widowControl/>
              <w:wordWrap w:val="0"/>
              <w:spacing w:line="360" w:lineRule="auto"/>
              <w:jc w:val="left"/>
              <w:rPr>
                <w:rFonts w:ascii="宋体" w:hAnsi="宋体" w:cs="宋体"/>
                <w:color w:val="auto"/>
                <w:kern w:val="0"/>
                <w:szCs w:val="21"/>
                <w:highlight w:val="none"/>
              </w:rPr>
            </w:pPr>
          </w:p>
        </w:tc>
        <w:tc>
          <w:tcPr>
            <w:tcW w:w="1320" w:type="dxa"/>
            <w:vAlign w:val="center"/>
          </w:tcPr>
          <w:p w14:paraId="383484D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★A02052309专用制冷、空调设备</w:t>
            </w:r>
          </w:p>
        </w:tc>
        <w:tc>
          <w:tcPr>
            <w:tcW w:w="1620" w:type="dxa"/>
            <w:vAlign w:val="center"/>
          </w:tcPr>
          <w:p w14:paraId="28092E2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机房空调</w:t>
            </w:r>
          </w:p>
        </w:tc>
        <w:tc>
          <w:tcPr>
            <w:tcW w:w="4540" w:type="dxa"/>
            <w:vAlign w:val="center"/>
          </w:tcPr>
          <w:p w14:paraId="444DC60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w:t>
            </w:r>
          </w:p>
        </w:tc>
      </w:tr>
      <w:tr w14:paraId="41C9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3F92BB4E">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1081BEE8">
            <w:pPr>
              <w:widowControl/>
              <w:wordWrap w:val="0"/>
              <w:spacing w:line="360" w:lineRule="auto"/>
              <w:jc w:val="left"/>
              <w:rPr>
                <w:rFonts w:ascii="宋体" w:hAnsi="宋体" w:cs="宋体"/>
                <w:color w:val="auto"/>
                <w:kern w:val="0"/>
                <w:szCs w:val="21"/>
                <w:highlight w:val="none"/>
              </w:rPr>
            </w:pPr>
          </w:p>
        </w:tc>
        <w:tc>
          <w:tcPr>
            <w:tcW w:w="1320" w:type="dxa"/>
            <w:vAlign w:val="center"/>
          </w:tcPr>
          <w:p w14:paraId="0CB1D52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A02052399其他制冷空调设备</w:t>
            </w:r>
          </w:p>
        </w:tc>
        <w:tc>
          <w:tcPr>
            <w:tcW w:w="1620" w:type="dxa"/>
            <w:vAlign w:val="center"/>
          </w:tcPr>
          <w:p w14:paraId="3CF6BB7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冷却塔</w:t>
            </w:r>
          </w:p>
        </w:tc>
        <w:tc>
          <w:tcPr>
            <w:tcW w:w="4540" w:type="dxa"/>
            <w:vAlign w:val="center"/>
          </w:tcPr>
          <w:p w14:paraId="4FA5785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《机械通风冷却塔第1部分：中小型开式冷却塔》（GB/T7190.1）；《机械通风冷却塔第2部分：大型开式冷却塔》（GB/T7190.2）</w:t>
            </w:r>
          </w:p>
        </w:tc>
      </w:tr>
      <w:tr w14:paraId="5D7E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0B0DCDD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7</w:t>
            </w:r>
          </w:p>
        </w:tc>
        <w:tc>
          <w:tcPr>
            <w:tcW w:w="1080" w:type="dxa"/>
            <w:vAlign w:val="center"/>
          </w:tcPr>
          <w:p w14:paraId="441E67A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A020601电机</w:t>
            </w:r>
          </w:p>
        </w:tc>
        <w:tc>
          <w:tcPr>
            <w:tcW w:w="1320" w:type="dxa"/>
            <w:vAlign w:val="center"/>
          </w:tcPr>
          <w:p w14:paraId="1E37851E">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vAlign w:val="center"/>
          </w:tcPr>
          <w:p w14:paraId="65B8695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0E93083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《中小型三相异步电动机能效限定值及能效等级》（GB18613）</w:t>
            </w:r>
          </w:p>
        </w:tc>
      </w:tr>
      <w:tr w14:paraId="77BF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1D11968F">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1080" w:type="dxa"/>
            <w:vAlign w:val="center"/>
          </w:tcPr>
          <w:p w14:paraId="6C35B76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A020602变压器</w:t>
            </w:r>
          </w:p>
        </w:tc>
        <w:tc>
          <w:tcPr>
            <w:tcW w:w="1320" w:type="dxa"/>
            <w:vAlign w:val="center"/>
          </w:tcPr>
          <w:p w14:paraId="4D966D9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配电变压器</w:t>
            </w:r>
          </w:p>
        </w:tc>
        <w:tc>
          <w:tcPr>
            <w:tcW w:w="1620" w:type="dxa"/>
            <w:vAlign w:val="center"/>
          </w:tcPr>
          <w:p w14:paraId="7769863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45CA7B1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《三相配电变压器能效限定值及能效等级》（GB20052）</w:t>
            </w:r>
          </w:p>
        </w:tc>
      </w:tr>
      <w:tr w14:paraId="469D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3BBE964B">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1080" w:type="dxa"/>
            <w:vAlign w:val="center"/>
          </w:tcPr>
          <w:p w14:paraId="5C7F514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★A020609镇流器</w:t>
            </w:r>
          </w:p>
        </w:tc>
        <w:tc>
          <w:tcPr>
            <w:tcW w:w="1320" w:type="dxa"/>
            <w:vAlign w:val="center"/>
          </w:tcPr>
          <w:p w14:paraId="2F7EDA9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管型荧光灯镇流器</w:t>
            </w:r>
          </w:p>
        </w:tc>
        <w:tc>
          <w:tcPr>
            <w:tcW w:w="1620" w:type="dxa"/>
            <w:vAlign w:val="center"/>
          </w:tcPr>
          <w:p w14:paraId="18B5FE0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67BC8D6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《管形荧光灯镇流器能效限定值及能效等级》（GB17896）</w:t>
            </w:r>
          </w:p>
        </w:tc>
      </w:tr>
      <w:tr w14:paraId="7CB3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6D9D1DC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1080" w:type="dxa"/>
            <w:vMerge w:val="restart"/>
            <w:vAlign w:val="center"/>
          </w:tcPr>
          <w:p w14:paraId="3B6AEED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A020618生活用电器</w:t>
            </w:r>
          </w:p>
        </w:tc>
        <w:tc>
          <w:tcPr>
            <w:tcW w:w="1320" w:type="dxa"/>
            <w:vAlign w:val="center"/>
          </w:tcPr>
          <w:p w14:paraId="73E1A2C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A0206180101电冰箱</w:t>
            </w:r>
          </w:p>
        </w:tc>
        <w:tc>
          <w:tcPr>
            <w:tcW w:w="1620" w:type="dxa"/>
            <w:vAlign w:val="center"/>
          </w:tcPr>
          <w:p w14:paraId="483189F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0D20A99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《家用电冰箱耗电量限定值及能效等级》（GB 12021.2）</w:t>
            </w:r>
          </w:p>
        </w:tc>
      </w:tr>
      <w:tr w14:paraId="28DA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Merge w:val="continue"/>
            <w:vAlign w:val="center"/>
          </w:tcPr>
          <w:p w14:paraId="7C5FEE73">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93B21BE">
            <w:pPr>
              <w:widowControl/>
              <w:wordWrap w:val="0"/>
              <w:spacing w:line="360" w:lineRule="auto"/>
              <w:jc w:val="left"/>
              <w:rPr>
                <w:rFonts w:ascii="宋体" w:hAnsi="宋体" w:cs="宋体"/>
                <w:color w:val="auto"/>
                <w:kern w:val="0"/>
                <w:szCs w:val="21"/>
                <w:highlight w:val="none"/>
              </w:rPr>
            </w:pPr>
          </w:p>
        </w:tc>
        <w:tc>
          <w:tcPr>
            <w:tcW w:w="1320" w:type="dxa"/>
            <w:vMerge w:val="restart"/>
            <w:vAlign w:val="center"/>
          </w:tcPr>
          <w:p w14:paraId="48BB66E8">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★A0206180203空调机</w:t>
            </w:r>
          </w:p>
        </w:tc>
        <w:tc>
          <w:tcPr>
            <w:tcW w:w="1620" w:type="dxa"/>
            <w:vAlign w:val="center"/>
          </w:tcPr>
          <w:p w14:paraId="7A900BBE">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房间空气调节器</w:t>
            </w:r>
          </w:p>
        </w:tc>
        <w:tc>
          <w:tcPr>
            <w:tcW w:w="4540" w:type="dxa"/>
            <w:vAlign w:val="center"/>
          </w:tcPr>
          <w:p w14:paraId="2410959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6A3E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4A427EBD">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21C25788">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696C0C96">
            <w:pPr>
              <w:widowControl/>
              <w:wordWrap w:val="0"/>
              <w:spacing w:line="360" w:lineRule="auto"/>
              <w:jc w:val="left"/>
              <w:rPr>
                <w:rFonts w:ascii="宋体" w:hAnsi="宋体" w:cs="宋体"/>
                <w:color w:val="auto"/>
                <w:kern w:val="0"/>
                <w:szCs w:val="21"/>
                <w:highlight w:val="none"/>
              </w:rPr>
            </w:pPr>
          </w:p>
        </w:tc>
        <w:tc>
          <w:tcPr>
            <w:tcW w:w="1620" w:type="dxa"/>
            <w:vAlign w:val="center"/>
          </w:tcPr>
          <w:p w14:paraId="6FCE988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多联式空调（热泵）机组（制冷量≤ 14000W）</w:t>
            </w:r>
          </w:p>
        </w:tc>
        <w:tc>
          <w:tcPr>
            <w:tcW w:w="4540" w:type="dxa"/>
            <w:vAlign w:val="center"/>
          </w:tcPr>
          <w:p w14:paraId="2D97DF6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3F0F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1FA875F6">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40F80D6">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0940258B">
            <w:pPr>
              <w:widowControl/>
              <w:wordWrap w:val="0"/>
              <w:spacing w:line="360" w:lineRule="auto"/>
              <w:jc w:val="left"/>
              <w:rPr>
                <w:rFonts w:ascii="宋体" w:hAnsi="宋体" w:cs="宋体"/>
                <w:color w:val="auto"/>
                <w:kern w:val="0"/>
                <w:szCs w:val="21"/>
                <w:highlight w:val="none"/>
              </w:rPr>
            </w:pPr>
          </w:p>
        </w:tc>
        <w:tc>
          <w:tcPr>
            <w:tcW w:w="1620" w:type="dxa"/>
            <w:vAlign w:val="center"/>
          </w:tcPr>
          <w:p w14:paraId="077CC0AE">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单元式空气调节机(制冷量≤14000W)</w:t>
            </w:r>
          </w:p>
        </w:tc>
        <w:tc>
          <w:tcPr>
            <w:tcW w:w="4540" w:type="dxa"/>
            <w:vAlign w:val="center"/>
          </w:tcPr>
          <w:p w14:paraId="7C8A867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《单元式空气调节机能效限定值及能源效率等级》（GB19576）《风管送风式空调机组能效限定值及能效等级》（GB37479）</w:t>
            </w:r>
          </w:p>
        </w:tc>
      </w:tr>
      <w:tr w14:paraId="452D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159F806A">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677B8491">
            <w:pPr>
              <w:widowControl/>
              <w:wordWrap w:val="0"/>
              <w:spacing w:line="360" w:lineRule="auto"/>
              <w:jc w:val="left"/>
              <w:rPr>
                <w:rFonts w:ascii="宋体" w:hAnsi="宋体" w:cs="宋体"/>
                <w:color w:val="auto"/>
                <w:kern w:val="0"/>
                <w:szCs w:val="21"/>
                <w:highlight w:val="none"/>
              </w:rPr>
            </w:pPr>
          </w:p>
        </w:tc>
        <w:tc>
          <w:tcPr>
            <w:tcW w:w="1320" w:type="dxa"/>
            <w:vAlign w:val="center"/>
          </w:tcPr>
          <w:p w14:paraId="3470E6E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A0206180301洗衣机</w:t>
            </w:r>
          </w:p>
        </w:tc>
        <w:tc>
          <w:tcPr>
            <w:tcW w:w="1620" w:type="dxa"/>
            <w:vAlign w:val="center"/>
          </w:tcPr>
          <w:p w14:paraId="2AE4362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332FBCD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《电动洗衣机能效水效限定值及等级》（GB12021.4）</w:t>
            </w:r>
          </w:p>
        </w:tc>
      </w:tr>
      <w:tr w14:paraId="7CB0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5EFA0B0B">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459EFA1">
            <w:pPr>
              <w:widowControl/>
              <w:wordWrap w:val="0"/>
              <w:spacing w:line="360" w:lineRule="auto"/>
              <w:jc w:val="left"/>
              <w:rPr>
                <w:rFonts w:ascii="宋体" w:hAnsi="宋体" w:cs="宋体"/>
                <w:color w:val="auto"/>
                <w:kern w:val="0"/>
                <w:szCs w:val="21"/>
                <w:highlight w:val="none"/>
              </w:rPr>
            </w:pPr>
          </w:p>
        </w:tc>
        <w:tc>
          <w:tcPr>
            <w:tcW w:w="1320" w:type="dxa"/>
            <w:vMerge w:val="restart"/>
            <w:vAlign w:val="center"/>
          </w:tcPr>
          <w:p w14:paraId="44F8F02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A02061808热水器</w:t>
            </w:r>
          </w:p>
        </w:tc>
        <w:tc>
          <w:tcPr>
            <w:tcW w:w="1620" w:type="dxa"/>
            <w:vAlign w:val="center"/>
          </w:tcPr>
          <w:p w14:paraId="1E3F4C7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★电热水器</w:t>
            </w:r>
          </w:p>
        </w:tc>
        <w:tc>
          <w:tcPr>
            <w:tcW w:w="4540" w:type="dxa"/>
            <w:vAlign w:val="center"/>
          </w:tcPr>
          <w:p w14:paraId="48EC3A2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《储水式电热水器能效限定值及能效等级》（GB21519）</w:t>
            </w:r>
          </w:p>
        </w:tc>
      </w:tr>
      <w:tr w14:paraId="1DF0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2404D0A5">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537C6564">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6BA4DF05">
            <w:pPr>
              <w:widowControl/>
              <w:wordWrap w:val="0"/>
              <w:spacing w:line="360" w:lineRule="auto"/>
              <w:jc w:val="left"/>
              <w:rPr>
                <w:rFonts w:ascii="宋体" w:hAnsi="宋体" w:cs="宋体"/>
                <w:color w:val="auto"/>
                <w:kern w:val="0"/>
                <w:szCs w:val="21"/>
                <w:highlight w:val="none"/>
              </w:rPr>
            </w:pPr>
          </w:p>
        </w:tc>
        <w:tc>
          <w:tcPr>
            <w:tcW w:w="1620" w:type="dxa"/>
            <w:vAlign w:val="center"/>
          </w:tcPr>
          <w:p w14:paraId="7C7A1E3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燃气热水器</w:t>
            </w:r>
          </w:p>
        </w:tc>
        <w:tc>
          <w:tcPr>
            <w:tcW w:w="4540" w:type="dxa"/>
            <w:vAlign w:val="center"/>
          </w:tcPr>
          <w:p w14:paraId="7E95A85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《家用燃气快速热水器和燃气采暖热水炉能效限定值及能效等级》（GB20665）</w:t>
            </w:r>
          </w:p>
        </w:tc>
      </w:tr>
      <w:tr w14:paraId="5A33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64F6F1E4">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578A4DC7">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3AE0BE82">
            <w:pPr>
              <w:widowControl/>
              <w:wordWrap w:val="0"/>
              <w:spacing w:line="360" w:lineRule="auto"/>
              <w:jc w:val="left"/>
              <w:rPr>
                <w:rFonts w:ascii="宋体" w:hAnsi="宋体" w:cs="宋体"/>
                <w:color w:val="auto"/>
                <w:kern w:val="0"/>
                <w:szCs w:val="21"/>
                <w:highlight w:val="none"/>
              </w:rPr>
            </w:pPr>
          </w:p>
        </w:tc>
        <w:tc>
          <w:tcPr>
            <w:tcW w:w="1620" w:type="dxa"/>
            <w:vAlign w:val="center"/>
          </w:tcPr>
          <w:p w14:paraId="2EACD47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热泵热水器</w:t>
            </w:r>
          </w:p>
        </w:tc>
        <w:tc>
          <w:tcPr>
            <w:tcW w:w="4540" w:type="dxa"/>
            <w:vAlign w:val="center"/>
          </w:tcPr>
          <w:p w14:paraId="4D71F33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《热泵热水机（器）能效限定值及能效等级》（GB29541）</w:t>
            </w:r>
          </w:p>
        </w:tc>
      </w:tr>
      <w:tr w14:paraId="007B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4AD3B670">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5A526428">
            <w:pPr>
              <w:widowControl/>
              <w:wordWrap w:val="0"/>
              <w:spacing w:line="360" w:lineRule="auto"/>
              <w:jc w:val="left"/>
              <w:rPr>
                <w:rFonts w:ascii="宋体" w:hAnsi="宋体" w:cs="宋体"/>
                <w:color w:val="auto"/>
                <w:kern w:val="0"/>
                <w:szCs w:val="21"/>
                <w:highlight w:val="none"/>
              </w:rPr>
            </w:pPr>
          </w:p>
        </w:tc>
        <w:tc>
          <w:tcPr>
            <w:tcW w:w="1320" w:type="dxa"/>
            <w:vMerge w:val="continue"/>
            <w:vAlign w:val="center"/>
          </w:tcPr>
          <w:p w14:paraId="45F3878D">
            <w:pPr>
              <w:widowControl/>
              <w:wordWrap w:val="0"/>
              <w:spacing w:line="360" w:lineRule="auto"/>
              <w:jc w:val="left"/>
              <w:rPr>
                <w:rFonts w:ascii="宋体" w:hAnsi="宋体" w:cs="宋体"/>
                <w:color w:val="auto"/>
                <w:kern w:val="0"/>
                <w:szCs w:val="21"/>
                <w:highlight w:val="none"/>
              </w:rPr>
            </w:pPr>
          </w:p>
        </w:tc>
        <w:tc>
          <w:tcPr>
            <w:tcW w:w="1620" w:type="dxa"/>
            <w:vAlign w:val="center"/>
          </w:tcPr>
          <w:p w14:paraId="4B76E942">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太阳能热水系统</w:t>
            </w:r>
          </w:p>
        </w:tc>
        <w:tc>
          <w:tcPr>
            <w:tcW w:w="4540" w:type="dxa"/>
            <w:vAlign w:val="center"/>
          </w:tcPr>
          <w:p w14:paraId="5A975F0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《家用太阳能热水系统能效限定值及能效等级》（GB26969）</w:t>
            </w:r>
          </w:p>
        </w:tc>
      </w:tr>
      <w:tr w14:paraId="486E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vAlign w:val="center"/>
          </w:tcPr>
          <w:p w14:paraId="7F0D1D8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1080" w:type="dxa"/>
            <w:vMerge w:val="restart"/>
            <w:vAlign w:val="center"/>
          </w:tcPr>
          <w:p w14:paraId="63D9A1F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A020619照明设备</w:t>
            </w:r>
          </w:p>
        </w:tc>
        <w:tc>
          <w:tcPr>
            <w:tcW w:w="1320" w:type="dxa"/>
            <w:vAlign w:val="center"/>
          </w:tcPr>
          <w:p w14:paraId="165B9B0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★普通照明用双端荧光灯</w:t>
            </w:r>
          </w:p>
        </w:tc>
        <w:tc>
          <w:tcPr>
            <w:tcW w:w="1620" w:type="dxa"/>
            <w:vAlign w:val="center"/>
          </w:tcPr>
          <w:p w14:paraId="7F6A5F5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52B5302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《普通照明用双端荧光灯能效限定值及能效等级》（GB19043）</w:t>
            </w:r>
          </w:p>
        </w:tc>
      </w:tr>
      <w:tr w14:paraId="3142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0408C4DA">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466DDCC5">
            <w:pPr>
              <w:widowControl/>
              <w:wordWrap w:val="0"/>
              <w:spacing w:line="360" w:lineRule="auto"/>
              <w:jc w:val="left"/>
              <w:rPr>
                <w:rFonts w:ascii="宋体" w:hAnsi="宋体" w:cs="宋体"/>
                <w:color w:val="auto"/>
                <w:kern w:val="0"/>
                <w:szCs w:val="21"/>
                <w:highlight w:val="none"/>
              </w:rPr>
            </w:pPr>
          </w:p>
        </w:tc>
        <w:tc>
          <w:tcPr>
            <w:tcW w:w="1320" w:type="dxa"/>
            <w:vAlign w:val="center"/>
          </w:tcPr>
          <w:p w14:paraId="6F8B90A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LED道路/隧道照明产品</w:t>
            </w:r>
          </w:p>
        </w:tc>
        <w:tc>
          <w:tcPr>
            <w:tcW w:w="1620" w:type="dxa"/>
            <w:vAlign w:val="center"/>
          </w:tcPr>
          <w:p w14:paraId="3EA13CB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36700A2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《道路和隧道照明用LED灯具能效限定值及能效等级》（GB37478）</w:t>
            </w:r>
          </w:p>
        </w:tc>
      </w:tr>
      <w:tr w14:paraId="2586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3ACA1FCF">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326A41FF">
            <w:pPr>
              <w:widowControl/>
              <w:wordWrap w:val="0"/>
              <w:spacing w:line="360" w:lineRule="auto"/>
              <w:jc w:val="left"/>
              <w:rPr>
                <w:rFonts w:ascii="宋体" w:hAnsi="宋体" w:cs="宋体"/>
                <w:color w:val="auto"/>
                <w:kern w:val="0"/>
                <w:szCs w:val="21"/>
                <w:highlight w:val="none"/>
              </w:rPr>
            </w:pPr>
          </w:p>
        </w:tc>
        <w:tc>
          <w:tcPr>
            <w:tcW w:w="1320" w:type="dxa"/>
            <w:vAlign w:val="center"/>
          </w:tcPr>
          <w:p w14:paraId="51B3D68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LED筒灯</w:t>
            </w:r>
          </w:p>
        </w:tc>
        <w:tc>
          <w:tcPr>
            <w:tcW w:w="1620" w:type="dxa"/>
            <w:vAlign w:val="center"/>
          </w:tcPr>
          <w:p w14:paraId="1189D8F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4049466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4D6A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continue"/>
            <w:vAlign w:val="center"/>
          </w:tcPr>
          <w:p w14:paraId="5EFB36EA">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7D500BF4">
            <w:pPr>
              <w:widowControl/>
              <w:wordWrap w:val="0"/>
              <w:spacing w:line="360" w:lineRule="auto"/>
              <w:jc w:val="left"/>
              <w:rPr>
                <w:rFonts w:ascii="宋体" w:hAnsi="宋体" w:cs="宋体"/>
                <w:color w:val="auto"/>
                <w:kern w:val="0"/>
                <w:szCs w:val="21"/>
                <w:highlight w:val="none"/>
              </w:rPr>
            </w:pPr>
          </w:p>
        </w:tc>
        <w:tc>
          <w:tcPr>
            <w:tcW w:w="1320" w:type="dxa"/>
            <w:vAlign w:val="center"/>
          </w:tcPr>
          <w:p w14:paraId="0F9E25DB">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普通照明用非定向自镇流LED灯</w:t>
            </w:r>
          </w:p>
        </w:tc>
        <w:tc>
          <w:tcPr>
            <w:tcW w:w="1620" w:type="dxa"/>
            <w:vAlign w:val="center"/>
          </w:tcPr>
          <w:p w14:paraId="20DAC50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5FA7DC9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4BF2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Align w:val="center"/>
          </w:tcPr>
          <w:p w14:paraId="534BD47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1080" w:type="dxa"/>
            <w:vAlign w:val="center"/>
          </w:tcPr>
          <w:p w14:paraId="305DA4AD">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★A020910电视设备</w:t>
            </w:r>
          </w:p>
        </w:tc>
        <w:tc>
          <w:tcPr>
            <w:tcW w:w="1320" w:type="dxa"/>
            <w:vAlign w:val="center"/>
          </w:tcPr>
          <w:p w14:paraId="616651A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A02091001普通电视设备（电视机）</w:t>
            </w:r>
          </w:p>
        </w:tc>
        <w:tc>
          <w:tcPr>
            <w:tcW w:w="1620" w:type="dxa"/>
            <w:vAlign w:val="center"/>
          </w:tcPr>
          <w:p w14:paraId="2713F4BE">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5579B6C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《平板电视能效限定值及能效等级》（GB24850）</w:t>
            </w:r>
          </w:p>
        </w:tc>
      </w:tr>
      <w:tr w14:paraId="5387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vAlign w:val="center"/>
          </w:tcPr>
          <w:p w14:paraId="20B252A2">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1080" w:type="dxa"/>
            <w:vAlign w:val="center"/>
          </w:tcPr>
          <w:p w14:paraId="5F5F443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★A020911视频设备</w:t>
            </w:r>
          </w:p>
        </w:tc>
        <w:tc>
          <w:tcPr>
            <w:tcW w:w="1320" w:type="dxa"/>
            <w:vAlign w:val="center"/>
          </w:tcPr>
          <w:p w14:paraId="39BB210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A02091107视频监控设备</w:t>
            </w:r>
          </w:p>
        </w:tc>
        <w:tc>
          <w:tcPr>
            <w:tcW w:w="1620" w:type="dxa"/>
            <w:vAlign w:val="center"/>
          </w:tcPr>
          <w:p w14:paraId="67B2625F">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4540" w:type="dxa"/>
            <w:vAlign w:val="center"/>
          </w:tcPr>
          <w:p w14:paraId="5E5EAB6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3144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3FD6E77D">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14</w:t>
            </w:r>
          </w:p>
        </w:tc>
        <w:tc>
          <w:tcPr>
            <w:tcW w:w="1080" w:type="dxa"/>
            <w:vAlign w:val="center"/>
          </w:tcPr>
          <w:p w14:paraId="2D4740D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A031210饮食炊事机械</w:t>
            </w:r>
          </w:p>
        </w:tc>
        <w:tc>
          <w:tcPr>
            <w:tcW w:w="1320" w:type="dxa"/>
            <w:vAlign w:val="center"/>
          </w:tcPr>
          <w:p w14:paraId="3CC155A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商用燃气灶具</w:t>
            </w:r>
          </w:p>
        </w:tc>
        <w:tc>
          <w:tcPr>
            <w:tcW w:w="1620" w:type="dxa"/>
            <w:vAlign w:val="center"/>
          </w:tcPr>
          <w:p w14:paraId="7C1ACA6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11020FD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《商用燃气灶具能效限定值及能效等级》（GB30531）</w:t>
            </w:r>
          </w:p>
        </w:tc>
      </w:tr>
      <w:tr w14:paraId="2E3F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0" w:type="dxa"/>
            <w:vMerge w:val="restart"/>
            <w:vAlign w:val="center"/>
          </w:tcPr>
          <w:p w14:paraId="061D2C2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080" w:type="dxa"/>
            <w:vMerge w:val="restart"/>
            <w:vAlign w:val="center"/>
          </w:tcPr>
          <w:p w14:paraId="6BF52B7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★A060805便器</w:t>
            </w:r>
          </w:p>
        </w:tc>
        <w:tc>
          <w:tcPr>
            <w:tcW w:w="1320" w:type="dxa"/>
            <w:vAlign w:val="center"/>
          </w:tcPr>
          <w:p w14:paraId="5CE8C4E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坐便器</w:t>
            </w:r>
          </w:p>
        </w:tc>
        <w:tc>
          <w:tcPr>
            <w:tcW w:w="1620" w:type="dxa"/>
            <w:vAlign w:val="center"/>
          </w:tcPr>
          <w:p w14:paraId="3261767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4DD9779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《坐便器水效限定值及水效等级》（GB25502）</w:t>
            </w:r>
          </w:p>
        </w:tc>
      </w:tr>
      <w:tr w14:paraId="7D00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666731CD">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03837B6A">
            <w:pPr>
              <w:widowControl/>
              <w:wordWrap w:val="0"/>
              <w:spacing w:line="360" w:lineRule="auto"/>
              <w:jc w:val="left"/>
              <w:rPr>
                <w:rFonts w:ascii="宋体" w:hAnsi="宋体" w:cs="宋体"/>
                <w:color w:val="auto"/>
                <w:kern w:val="0"/>
                <w:szCs w:val="21"/>
                <w:highlight w:val="none"/>
              </w:rPr>
            </w:pPr>
          </w:p>
        </w:tc>
        <w:tc>
          <w:tcPr>
            <w:tcW w:w="1320" w:type="dxa"/>
            <w:vAlign w:val="center"/>
          </w:tcPr>
          <w:p w14:paraId="13924081">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蹲便器</w:t>
            </w:r>
          </w:p>
        </w:tc>
        <w:tc>
          <w:tcPr>
            <w:tcW w:w="1620" w:type="dxa"/>
            <w:vAlign w:val="center"/>
          </w:tcPr>
          <w:p w14:paraId="41563392">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6969087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《蹲便器用水效率限定值及用水效率等级》（GB30717）</w:t>
            </w:r>
          </w:p>
        </w:tc>
      </w:tr>
      <w:tr w14:paraId="3109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continue"/>
            <w:vAlign w:val="center"/>
          </w:tcPr>
          <w:p w14:paraId="2579C822">
            <w:pPr>
              <w:widowControl/>
              <w:wordWrap w:val="0"/>
              <w:spacing w:line="360" w:lineRule="auto"/>
              <w:jc w:val="left"/>
              <w:rPr>
                <w:rFonts w:ascii="宋体" w:hAnsi="宋体" w:cs="宋体"/>
                <w:color w:val="auto"/>
                <w:kern w:val="0"/>
                <w:szCs w:val="21"/>
                <w:highlight w:val="none"/>
              </w:rPr>
            </w:pPr>
          </w:p>
        </w:tc>
        <w:tc>
          <w:tcPr>
            <w:tcW w:w="1080" w:type="dxa"/>
            <w:vMerge w:val="continue"/>
            <w:vAlign w:val="center"/>
          </w:tcPr>
          <w:p w14:paraId="7966DD40">
            <w:pPr>
              <w:widowControl/>
              <w:wordWrap w:val="0"/>
              <w:spacing w:line="360" w:lineRule="auto"/>
              <w:jc w:val="left"/>
              <w:rPr>
                <w:rFonts w:ascii="宋体" w:hAnsi="宋体" w:cs="宋体"/>
                <w:color w:val="auto"/>
                <w:kern w:val="0"/>
                <w:szCs w:val="21"/>
                <w:highlight w:val="none"/>
              </w:rPr>
            </w:pPr>
          </w:p>
        </w:tc>
        <w:tc>
          <w:tcPr>
            <w:tcW w:w="1320" w:type="dxa"/>
            <w:vAlign w:val="center"/>
          </w:tcPr>
          <w:p w14:paraId="3873E69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小便器</w:t>
            </w:r>
          </w:p>
        </w:tc>
        <w:tc>
          <w:tcPr>
            <w:tcW w:w="1620" w:type="dxa"/>
            <w:vAlign w:val="center"/>
          </w:tcPr>
          <w:p w14:paraId="3741930D">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7202DFC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《小便器用水效率限定值及用水效率等级》（GB28377）</w:t>
            </w:r>
          </w:p>
        </w:tc>
      </w:tr>
      <w:tr w14:paraId="6C31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1D17309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16</w:t>
            </w:r>
          </w:p>
        </w:tc>
        <w:tc>
          <w:tcPr>
            <w:tcW w:w="1080" w:type="dxa"/>
            <w:vAlign w:val="center"/>
          </w:tcPr>
          <w:p w14:paraId="0670A813">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★A060806水嘴</w:t>
            </w:r>
          </w:p>
        </w:tc>
        <w:tc>
          <w:tcPr>
            <w:tcW w:w="1320" w:type="dxa"/>
            <w:vAlign w:val="center"/>
          </w:tcPr>
          <w:p w14:paraId="769B0952">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vAlign w:val="center"/>
          </w:tcPr>
          <w:p w14:paraId="5CFBAA45">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28A50B3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《水嘴用水效率限定值及用水效率等级》（GB 25501）</w:t>
            </w:r>
          </w:p>
        </w:tc>
      </w:tr>
      <w:tr w14:paraId="2420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402346A0">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17</w:t>
            </w:r>
          </w:p>
        </w:tc>
        <w:tc>
          <w:tcPr>
            <w:tcW w:w="1080" w:type="dxa"/>
            <w:vAlign w:val="center"/>
          </w:tcPr>
          <w:p w14:paraId="18E108D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A060807便器冲洗阀</w:t>
            </w:r>
          </w:p>
        </w:tc>
        <w:tc>
          <w:tcPr>
            <w:tcW w:w="1320" w:type="dxa"/>
            <w:vAlign w:val="center"/>
          </w:tcPr>
          <w:p w14:paraId="254F689C">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vAlign w:val="center"/>
          </w:tcPr>
          <w:p w14:paraId="2210B74A">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26A861D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《便器冲洗阀用水效率限定值及用水效率等级》（GB28379）</w:t>
            </w:r>
          </w:p>
        </w:tc>
      </w:tr>
      <w:tr w14:paraId="171E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Align w:val="center"/>
          </w:tcPr>
          <w:p w14:paraId="5A2A09C7">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18</w:t>
            </w:r>
          </w:p>
        </w:tc>
        <w:tc>
          <w:tcPr>
            <w:tcW w:w="1080" w:type="dxa"/>
            <w:vAlign w:val="center"/>
          </w:tcPr>
          <w:p w14:paraId="4BCCBF3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A060810淋浴器</w:t>
            </w:r>
          </w:p>
        </w:tc>
        <w:tc>
          <w:tcPr>
            <w:tcW w:w="1320" w:type="dxa"/>
            <w:vAlign w:val="center"/>
          </w:tcPr>
          <w:p w14:paraId="3C6529B6">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20" w:type="dxa"/>
            <w:vAlign w:val="center"/>
          </w:tcPr>
          <w:p w14:paraId="4610FB44">
            <w:pPr>
              <w:widowControl/>
              <w:wordWrap w:val="0"/>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540" w:type="dxa"/>
            <w:vAlign w:val="center"/>
          </w:tcPr>
          <w:p w14:paraId="32C333F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《淋浴器用水效率限定值及用水效率等级》（GB28378）</w:t>
            </w:r>
          </w:p>
        </w:tc>
      </w:tr>
    </w:tbl>
    <w:p w14:paraId="4843CFE9">
      <w:pPr>
        <w:pStyle w:val="2"/>
        <w:wordWrap w:val="0"/>
        <w:spacing w:after="0" w:line="360" w:lineRule="auto"/>
        <w:rPr>
          <w:rFonts w:ascii="宋体" w:hAnsi="宋体" w:cs="宋体"/>
          <w:color w:val="auto"/>
          <w:spacing w:val="-3"/>
          <w:szCs w:val="21"/>
          <w:highlight w:val="none"/>
        </w:rPr>
      </w:pPr>
    </w:p>
    <w:p w14:paraId="5702C08E">
      <w:pPr>
        <w:pStyle w:val="2"/>
        <w:wordWrap w:val="0"/>
        <w:spacing w:after="0" w:line="360" w:lineRule="auto"/>
        <w:rPr>
          <w:rFonts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690E2B6E">
      <w:pPr>
        <w:pStyle w:val="2"/>
        <w:wordWrap w:val="0"/>
        <w:spacing w:after="0" w:line="360" w:lineRule="auto"/>
        <w:rPr>
          <w:rFonts w:ascii="宋体" w:hAnsi="宋体" w:cs="宋体"/>
          <w:b/>
          <w:bCs/>
          <w:color w:val="auto"/>
          <w:szCs w:val="21"/>
          <w:highlight w:val="none"/>
        </w:rPr>
      </w:pPr>
      <w:r>
        <w:rPr>
          <w:rFonts w:hint="eastAsia" w:ascii="宋体" w:hAnsi="宋体" w:cs="宋体"/>
          <w:color w:val="auto"/>
          <w:szCs w:val="21"/>
          <w:highlight w:val="none"/>
        </w:rPr>
        <w:t xml:space="preserve">    2</w:t>
      </w:r>
      <w:r>
        <w:rPr>
          <w:rFonts w:hint="eastAsia" w:ascii="宋体" w:hAnsi="宋体" w:cs="宋体"/>
          <w:b/>
          <w:bCs/>
          <w:color w:val="auto"/>
          <w:szCs w:val="21"/>
          <w:highlight w:val="none"/>
        </w:rPr>
        <w:t>.以“★”标注的为政府强制采购产品。</w:t>
      </w:r>
    </w:p>
    <w:p w14:paraId="7FA6DA8B">
      <w:pPr>
        <w:pStyle w:val="12"/>
        <w:wordWrap w:val="0"/>
        <w:spacing w:line="360" w:lineRule="auto"/>
        <w:jc w:val="left"/>
        <w:outlineLvl w:val="1"/>
        <w:rPr>
          <w:rFonts w:hAnsi="宋体" w:cs="宋体"/>
          <w:color w:val="auto"/>
          <w:sz w:val="32"/>
          <w:szCs w:val="32"/>
          <w:highlight w:val="none"/>
        </w:rPr>
      </w:pPr>
      <w:r>
        <w:rPr>
          <w:rFonts w:hint="eastAsia" w:hAnsi="宋体" w:cs="宋体"/>
          <w:color w:val="auto"/>
          <w:highlight w:val="none"/>
        </w:rPr>
        <w:br w:type="page"/>
      </w:r>
      <w:bookmarkStart w:id="21" w:name="_Toc26233"/>
      <w:r>
        <w:rPr>
          <w:rFonts w:hint="eastAsia" w:hAnsi="宋体" w:cs="宋体"/>
          <w:color w:val="auto"/>
          <w:sz w:val="32"/>
          <w:szCs w:val="32"/>
          <w:highlight w:val="none"/>
        </w:rPr>
        <w:t>附件2：</w:t>
      </w:r>
      <w:bookmarkEnd w:id="21"/>
    </w:p>
    <w:p w14:paraId="16EAE270">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3"/>
        <w:tblW w:w="953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653"/>
        <w:gridCol w:w="1091"/>
        <w:gridCol w:w="1935"/>
        <w:gridCol w:w="1720"/>
        <w:gridCol w:w="1105"/>
      </w:tblGrid>
      <w:tr w14:paraId="1ED7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33" w:type="dxa"/>
            <w:vAlign w:val="center"/>
          </w:tcPr>
          <w:p w14:paraId="01C5BCC6">
            <w:pPr>
              <w:widowControl/>
              <w:wordWrap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53" w:type="dxa"/>
            <w:vAlign w:val="center"/>
          </w:tcPr>
          <w:p w14:paraId="3EF5C011">
            <w:pPr>
              <w:widowControl/>
              <w:wordWrap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91" w:type="dxa"/>
            <w:vAlign w:val="center"/>
          </w:tcPr>
          <w:p w14:paraId="71C6B184">
            <w:pPr>
              <w:widowControl/>
              <w:wordWrap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35" w:type="dxa"/>
            <w:vAlign w:val="center"/>
          </w:tcPr>
          <w:p w14:paraId="464010C0">
            <w:pPr>
              <w:widowControl/>
              <w:wordWrap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20" w:type="dxa"/>
            <w:vAlign w:val="center"/>
          </w:tcPr>
          <w:p w14:paraId="758ACD39">
            <w:pPr>
              <w:widowControl/>
              <w:wordWrap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105" w:type="dxa"/>
            <w:vAlign w:val="center"/>
          </w:tcPr>
          <w:p w14:paraId="164F5084">
            <w:pPr>
              <w:widowControl/>
              <w:wordWrap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57DC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Align w:val="bottom"/>
          </w:tcPr>
          <w:p w14:paraId="3B03AF6E">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53" w:type="dxa"/>
            <w:vAlign w:val="center"/>
          </w:tcPr>
          <w:p w14:paraId="59ACA57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5B36797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7A28CD4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20" w:type="dxa"/>
            <w:vAlign w:val="center"/>
          </w:tcPr>
          <w:p w14:paraId="600CB3B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50≤Y＜500</w:t>
            </w:r>
          </w:p>
        </w:tc>
        <w:tc>
          <w:tcPr>
            <w:tcW w:w="1105" w:type="dxa"/>
            <w:vAlign w:val="center"/>
          </w:tcPr>
          <w:p w14:paraId="050554F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2CFC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033" w:type="dxa"/>
            <w:vMerge w:val="restart"/>
            <w:vAlign w:val="bottom"/>
          </w:tcPr>
          <w:p w14:paraId="315A4F9A">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53" w:type="dxa"/>
            <w:vAlign w:val="center"/>
          </w:tcPr>
          <w:p w14:paraId="4A5305E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5C856DF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5C23940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20" w:type="dxa"/>
            <w:vAlign w:val="center"/>
          </w:tcPr>
          <w:p w14:paraId="3CC7ADF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05" w:type="dxa"/>
            <w:vAlign w:val="center"/>
          </w:tcPr>
          <w:p w14:paraId="21DA5F3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33AD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2CAF3966">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034FA42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172698A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2347543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20" w:type="dxa"/>
            <w:vAlign w:val="center"/>
          </w:tcPr>
          <w:p w14:paraId="3C488B0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105" w:type="dxa"/>
            <w:vAlign w:val="center"/>
          </w:tcPr>
          <w:p w14:paraId="4DC8A7E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4BB5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284BAC49">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53" w:type="dxa"/>
            <w:vAlign w:val="center"/>
          </w:tcPr>
          <w:p w14:paraId="771F5E1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32ED62A5">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75994795">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20" w:type="dxa"/>
            <w:vAlign w:val="center"/>
          </w:tcPr>
          <w:p w14:paraId="3F69E7B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105" w:type="dxa"/>
            <w:vAlign w:val="center"/>
          </w:tcPr>
          <w:p w14:paraId="392EEC9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5BFD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32598ABC">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6745B05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91" w:type="dxa"/>
            <w:vAlign w:val="center"/>
          </w:tcPr>
          <w:p w14:paraId="2800AF5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1F73015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20" w:type="dxa"/>
            <w:vAlign w:val="center"/>
          </w:tcPr>
          <w:p w14:paraId="249C520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105" w:type="dxa"/>
            <w:vAlign w:val="center"/>
          </w:tcPr>
          <w:p w14:paraId="386ACC7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Z＜300</w:t>
            </w:r>
          </w:p>
        </w:tc>
      </w:tr>
      <w:tr w14:paraId="0B6D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66A504A6">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53" w:type="dxa"/>
            <w:vAlign w:val="center"/>
          </w:tcPr>
          <w:p w14:paraId="25101D2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3A43EB9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5107DA0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20" w:type="dxa"/>
            <w:vAlign w:val="center"/>
          </w:tcPr>
          <w:p w14:paraId="39BB335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5≤X＜20</w:t>
            </w:r>
          </w:p>
        </w:tc>
        <w:tc>
          <w:tcPr>
            <w:tcW w:w="1105" w:type="dxa"/>
            <w:vAlign w:val="center"/>
          </w:tcPr>
          <w:p w14:paraId="66F094B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X＜5</w:t>
            </w:r>
          </w:p>
        </w:tc>
      </w:tr>
      <w:tr w14:paraId="3B82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6144C57D">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3906A735">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5A34473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17AAC29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20" w:type="dxa"/>
            <w:vAlign w:val="center"/>
          </w:tcPr>
          <w:p w14:paraId="7C95E50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105" w:type="dxa"/>
            <w:vAlign w:val="center"/>
          </w:tcPr>
          <w:p w14:paraId="55130F3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Y＜1000</w:t>
            </w:r>
          </w:p>
        </w:tc>
      </w:tr>
      <w:tr w14:paraId="59C4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60294695">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53" w:type="dxa"/>
            <w:vAlign w:val="center"/>
          </w:tcPr>
          <w:p w14:paraId="36F86FB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46F9784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76C2F01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20" w:type="dxa"/>
            <w:vAlign w:val="center"/>
          </w:tcPr>
          <w:p w14:paraId="3026B4C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10≤X＜50</w:t>
            </w:r>
          </w:p>
        </w:tc>
        <w:tc>
          <w:tcPr>
            <w:tcW w:w="1105" w:type="dxa"/>
            <w:vAlign w:val="center"/>
          </w:tcPr>
          <w:p w14:paraId="302FBF5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41DA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0A0720D3">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57A222A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6D0C283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3BE8BE9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20" w:type="dxa"/>
            <w:vAlign w:val="center"/>
          </w:tcPr>
          <w:p w14:paraId="5E74DED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105" w:type="dxa"/>
            <w:vAlign w:val="center"/>
          </w:tcPr>
          <w:p w14:paraId="691AC9D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185B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10383A7A">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53" w:type="dxa"/>
            <w:vAlign w:val="center"/>
          </w:tcPr>
          <w:p w14:paraId="04EF89C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0FA981D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64CEE8A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20" w:type="dxa"/>
            <w:vAlign w:val="center"/>
          </w:tcPr>
          <w:p w14:paraId="6C71575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05" w:type="dxa"/>
            <w:vAlign w:val="center"/>
          </w:tcPr>
          <w:p w14:paraId="0D3C3FD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5F71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3EF9CE9B">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29618A3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4B7303E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038E5D95">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20" w:type="dxa"/>
            <w:vAlign w:val="center"/>
          </w:tcPr>
          <w:p w14:paraId="5ECDA7B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105" w:type="dxa"/>
            <w:vAlign w:val="center"/>
          </w:tcPr>
          <w:p w14:paraId="4B6F7A2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Y＜200</w:t>
            </w:r>
          </w:p>
        </w:tc>
      </w:tr>
      <w:tr w14:paraId="33A9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1E3C39EA">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53" w:type="dxa"/>
            <w:vAlign w:val="center"/>
          </w:tcPr>
          <w:p w14:paraId="3C985E8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6C9DD5E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21306C9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20" w:type="dxa"/>
            <w:vAlign w:val="center"/>
          </w:tcPr>
          <w:p w14:paraId="22EB295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20≤X＜100</w:t>
            </w:r>
          </w:p>
        </w:tc>
        <w:tc>
          <w:tcPr>
            <w:tcW w:w="1105" w:type="dxa"/>
            <w:vAlign w:val="center"/>
          </w:tcPr>
          <w:p w14:paraId="10D9DB2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7A60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1D40936A">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46E9931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13B11AD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08E590B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20" w:type="dxa"/>
            <w:vAlign w:val="center"/>
          </w:tcPr>
          <w:p w14:paraId="19141E7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05" w:type="dxa"/>
            <w:vAlign w:val="center"/>
          </w:tcPr>
          <w:p w14:paraId="5999BA8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39BB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0E8F9491">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53" w:type="dxa"/>
            <w:vAlign w:val="center"/>
          </w:tcPr>
          <w:p w14:paraId="1F34AAA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2D9C6F8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4B0578B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20" w:type="dxa"/>
            <w:vAlign w:val="center"/>
          </w:tcPr>
          <w:p w14:paraId="500DDF4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20≤X＜300</w:t>
            </w:r>
          </w:p>
        </w:tc>
        <w:tc>
          <w:tcPr>
            <w:tcW w:w="1105" w:type="dxa"/>
            <w:vAlign w:val="center"/>
          </w:tcPr>
          <w:p w14:paraId="0F5589C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X＜20</w:t>
            </w:r>
          </w:p>
        </w:tc>
      </w:tr>
      <w:tr w14:paraId="372B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25762AD7">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4854785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697F4D9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762146F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20" w:type="dxa"/>
            <w:vAlign w:val="center"/>
          </w:tcPr>
          <w:p w14:paraId="6F99048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05" w:type="dxa"/>
            <w:vAlign w:val="center"/>
          </w:tcPr>
          <w:p w14:paraId="455DB0F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6FCE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3FDBFA38">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53" w:type="dxa"/>
            <w:vAlign w:val="center"/>
          </w:tcPr>
          <w:p w14:paraId="6C14B7D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4E08F38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3D07C96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20" w:type="dxa"/>
            <w:vAlign w:val="center"/>
          </w:tcPr>
          <w:p w14:paraId="1CF0413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05" w:type="dxa"/>
            <w:vAlign w:val="center"/>
          </w:tcPr>
          <w:p w14:paraId="4749167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3F77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6AA26BA8">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2DD8CD2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4EBEDF3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46F047E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20" w:type="dxa"/>
            <w:vAlign w:val="center"/>
          </w:tcPr>
          <w:p w14:paraId="15BB0BA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05" w:type="dxa"/>
            <w:vAlign w:val="center"/>
          </w:tcPr>
          <w:p w14:paraId="60420E9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613B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2BAA8FB8">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53" w:type="dxa"/>
            <w:vAlign w:val="center"/>
          </w:tcPr>
          <w:p w14:paraId="72FBD39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22E91D1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1AD7509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20" w:type="dxa"/>
            <w:vAlign w:val="center"/>
          </w:tcPr>
          <w:p w14:paraId="7E941B2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05" w:type="dxa"/>
            <w:vAlign w:val="center"/>
          </w:tcPr>
          <w:p w14:paraId="5C5E3EF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04E6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0B3CAA08">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5AD5062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4EC1065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027E111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20" w:type="dxa"/>
            <w:vAlign w:val="center"/>
          </w:tcPr>
          <w:p w14:paraId="17AC3E8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05" w:type="dxa"/>
            <w:vAlign w:val="center"/>
          </w:tcPr>
          <w:p w14:paraId="34AC851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69D4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4DCADD08">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53" w:type="dxa"/>
            <w:vAlign w:val="center"/>
          </w:tcPr>
          <w:p w14:paraId="29499D4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2223CE6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0356A70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20" w:type="dxa"/>
            <w:vAlign w:val="center"/>
          </w:tcPr>
          <w:p w14:paraId="0AD6AA6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05" w:type="dxa"/>
            <w:vAlign w:val="center"/>
          </w:tcPr>
          <w:p w14:paraId="0ADFFFB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329C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599AEDB1">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24CF832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1717841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5946FFA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20" w:type="dxa"/>
            <w:vAlign w:val="center"/>
          </w:tcPr>
          <w:p w14:paraId="1385D4C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05" w:type="dxa"/>
            <w:vAlign w:val="center"/>
          </w:tcPr>
          <w:p w14:paraId="2A55F58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0F6B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0B8D50C5">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53" w:type="dxa"/>
            <w:vAlign w:val="center"/>
          </w:tcPr>
          <w:p w14:paraId="7CC9756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3C93B3D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1CD6849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20" w:type="dxa"/>
            <w:vAlign w:val="center"/>
          </w:tcPr>
          <w:p w14:paraId="59EA724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05" w:type="dxa"/>
            <w:vAlign w:val="center"/>
          </w:tcPr>
          <w:p w14:paraId="31F60A5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7803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492C1B43">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1AABEAD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4DAC780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17E1E5D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20" w:type="dxa"/>
            <w:vAlign w:val="center"/>
          </w:tcPr>
          <w:p w14:paraId="1D164F0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105" w:type="dxa"/>
            <w:vAlign w:val="center"/>
          </w:tcPr>
          <w:p w14:paraId="61136C7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7678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497CFF4B">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53" w:type="dxa"/>
            <w:vAlign w:val="center"/>
          </w:tcPr>
          <w:p w14:paraId="7C7A24B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3D8FB766">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7CE16DF1">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20" w:type="dxa"/>
            <w:vAlign w:val="center"/>
          </w:tcPr>
          <w:p w14:paraId="3FEEE00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105" w:type="dxa"/>
            <w:vAlign w:val="center"/>
          </w:tcPr>
          <w:p w14:paraId="62F16AC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6CD2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72DA0F01">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0BC4718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91" w:type="dxa"/>
            <w:vAlign w:val="center"/>
          </w:tcPr>
          <w:p w14:paraId="3A4B3EE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23B84A0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20" w:type="dxa"/>
            <w:vAlign w:val="center"/>
          </w:tcPr>
          <w:p w14:paraId="769C187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105" w:type="dxa"/>
            <w:vAlign w:val="center"/>
          </w:tcPr>
          <w:p w14:paraId="2FC70BA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Y＜2000</w:t>
            </w:r>
          </w:p>
        </w:tc>
      </w:tr>
      <w:tr w14:paraId="06A5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0302A62D">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53" w:type="dxa"/>
            <w:vAlign w:val="center"/>
          </w:tcPr>
          <w:p w14:paraId="5F6A132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03F58E43">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52BFE8C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20" w:type="dxa"/>
            <w:vAlign w:val="center"/>
          </w:tcPr>
          <w:p w14:paraId="4DC2A5E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105" w:type="dxa"/>
            <w:vAlign w:val="center"/>
          </w:tcPr>
          <w:p w14:paraId="06B079E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X＜100</w:t>
            </w:r>
          </w:p>
        </w:tc>
      </w:tr>
      <w:tr w14:paraId="2EE9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32BBEFDF">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6BD381EE">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91" w:type="dxa"/>
            <w:vAlign w:val="center"/>
          </w:tcPr>
          <w:p w14:paraId="09B555C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15C5F3A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20" w:type="dxa"/>
            <w:vAlign w:val="center"/>
          </w:tcPr>
          <w:p w14:paraId="4E4A3EE2">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105" w:type="dxa"/>
            <w:vAlign w:val="center"/>
          </w:tcPr>
          <w:p w14:paraId="593347A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Y＜500</w:t>
            </w:r>
          </w:p>
        </w:tc>
      </w:tr>
      <w:tr w14:paraId="78D7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restart"/>
            <w:vAlign w:val="bottom"/>
          </w:tcPr>
          <w:p w14:paraId="28711E63">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53" w:type="dxa"/>
            <w:vAlign w:val="center"/>
          </w:tcPr>
          <w:p w14:paraId="4C80AC0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327220F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44495D4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20" w:type="dxa"/>
            <w:vAlign w:val="center"/>
          </w:tcPr>
          <w:p w14:paraId="732C7CDF">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05" w:type="dxa"/>
            <w:vAlign w:val="center"/>
          </w:tcPr>
          <w:p w14:paraId="2FD59429">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r w14:paraId="7D15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Merge w:val="continue"/>
            <w:vAlign w:val="center"/>
          </w:tcPr>
          <w:p w14:paraId="21492E1D">
            <w:pPr>
              <w:widowControl/>
              <w:wordWrap w:val="0"/>
              <w:spacing w:line="360" w:lineRule="auto"/>
              <w:jc w:val="left"/>
              <w:rPr>
                <w:rFonts w:ascii="宋体" w:hAnsi="宋体" w:cs="宋体"/>
                <w:b/>
                <w:bCs/>
                <w:color w:val="auto"/>
                <w:kern w:val="0"/>
                <w:szCs w:val="21"/>
                <w:highlight w:val="none"/>
              </w:rPr>
            </w:pPr>
          </w:p>
        </w:tc>
        <w:tc>
          <w:tcPr>
            <w:tcW w:w="1653" w:type="dxa"/>
            <w:vAlign w:val="center"/>
          </w:tcPr>
          <w:p w14:paraId="68D8CB4B">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91" w:type="dxa"/>
            <w:vAlign w:val="center"/>
          </w:tcPr>
          <w:p w14:paraId="4BD91264">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35" w:type="dxa"/>
            <w:vAlign w:val="center"/>
          </w:tcPr>
          <w:p w14:paraId="12F90BFA">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20" w:type="dxa"/>
            <w:vAlign w:val="center"/>
          </w:tcPr>
          <w:p w14:paraId="47BBB110">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105" w:type="dxa"/>
            <w:vAlign w:val="center"/>
          </w:tcPr>
          <w:p w14:paraId="007050D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35FE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033" w:type="dxa"/>
            <w:vAlign w:val="bottom"/>
          </w:tcPr>
          <w:p w14:paraId="51FA2342">
            <w:pPr>
              <w:widowControl/>
              <w:wordWrap w:val="0"/>
              <w:spacing w:line="36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53" w:type="dxa"/>
            <w:vAlign w:val="center"/>
          </w:tcPr>
          <w:p w14:paraId="316E5EEC">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91" w:type="dxa"/>
            <w:vAlign w:val="center"/>
          </w:tcPr>
          <w:p w14:paraId="7E5F7B58">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935" w:type="dxa"/>
            <w:vAlign w:val="center"/>
          </w:tcPr>
          <w:p w14:paraId="0898A62D">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20" w:type="dxa"/>
            <w:vAlign w:val="center"/>
          </w:tcPr>
          <w:p w14:paraId="7C50DD97">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10≤X＜100</w:t>
            </w:r>
          </w:p>
        </w:tc>
        <w:tc>
          <w:tcPr>
            <w:tcW w:w="1105" w:type="dxa"/>
            <w:vAlign w:val="center"/>
          </w:tcPr>
          <w:p w14:paraId="37B56895">
            <w:pPr>
              <w:widowControl/>
              <w:wordWrap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X＜10</w:t>
            </w:r>
          </w:p>
        </w:tc>
      </w:tr>
    </w:tbl>
    <w:p w14:paraId="60A4AF31">
      <w:pPr>
        <w:wordWrap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0FA5ADE">
      <w:pPr>
        <w:widowControl/>
        <w:wordWrap w:val="0"/>
        <w:spacing w:line="360" w:lineRule="auto"/>
        <w:jc w:val="left"/>
        <w:rPr>
          <w:rFonts w:ascii="宋体" w:hAnsi="宋体" w:cs="宋体"/>
          <w:color w:val="auto"/>
          <w:szCs w:val="20"/>
          <w:highlight w:val="none"/>
        </w:rPr>
        <w:sectPr>
          <w:pgSz w:w="11906" w:h="16838"/>
          <w:pgMar w:top="1440" w:right="1080" w:bottom="1440" w:left="1080" w:header="720" w:footer="720" w:gutter="0"/>
          <w:pgNumType w:fmt="decimal"/>
          <w:cols w:space="720" w:num="1"/>
          <w:docGrid w:type="lines" w:linePitch="331" w:charSpace="0"/>
        </w:sectPr>
      </w:pPr>
    </w:p>
    <w:p w14:paraId="2976450B">
      <w:pPr>
        <w:pStyle w:val="12"/>
        <w:wordWrap w:val="0"/>
        <w:spacing w:line="360" w:lineRule="auto"/>
        <w:jc w:val="center"/>
        <w:outlineLvl w:val="0"/>
        <w:rPr>
          <w:rFonts w:hAnsi="宋体" w:cs="宋体"/>
          <w:b/>
          <w:color w:val="auto"/>
          <w:sz w:val="36"/>
          <w:szCs w:val="36"/>
          <w:highlight w:val="none"/>
        </w:rPr>
      </w:pPr>
      <w:bookmarkStart w:id="22" w:name="_Toc10629"/>
      <w:bookmarkStart w:id="23" w:name="_Toc532545044"/>
      <w:r>
        <w:rPr>
          <w:rFonts w:hint="eastAsia" w:hAnsi="宋体" w:cs="宋体"/>
          <w:b/>
          <w:color w:val="auto"/>
          <w:sz w:val="36"/>
          <w:highlight w:val="none"/>
        </w:rPr>
        <w:t>第三章  投标人须知</w:t>
      </w:r>
      <w:bookmarkEnd w:id="22"/>
      <w:bookmarkEnd w:id="23"/>
    </w:p>
    <w:p w14:paraId="2DD79E92">
      <w:pPr>
        <w:pStyle w:val="12"/>
        <w:wordWrap w:val="0"/>
        <w:spacing w:line="360" w:lineRule="auto"/>
        <w:jc w:val="center"/>
        <w:outlineLvl w:val="1"/>
        <w:rPr>
          <w:rFonts w:hAnsi="宋体" w:cs="宋体"/>
          <w:b/>
          <w:color w:val="auto"/>
          <w:sz w:val="30"/>
          <w:szCs w:val="30"/>
          <w:highlight w:val="none"/>
        </w:rPr>
      </w:pPr>
      <w:bookmarkStart w:id="24" w:name="_Toc10583"/>
      <w:r>
        <w:rPr>
          <w:rFonts w:hint="eastAsia" w:hAnsi="宋体" w:cs="宋体"/>
          <w:b/>
          <w:color w:val="auto"/>
          <w:sz w:val="30"/>
          <w:szCs w:val="30"/>
          <w:highlight w:val="none"/>
        </w:rPr>
        <w:t>第一节 投标人须知前附表</w:t>
      </w:r>
      <w:bookmarkEnd w:id="24"/>
    </w:p>
    <w:tbl>
      <w:tblPr>
        <w:tblStyle w:val="23"/>
        <w:tblW w:w="104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268"/>
        <w:gridCol w:w="7297"/>
      </w:tblGrid>
      <w:tr w14:paraId="7C5D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03AB771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2268" w:type="dxa"/>
            <w:vAlign w:val="center"/>
          </w:tcPr>
          <w:p w14:paraId="2C03C80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项目内容</w:t>
            </w:r>
          </w:p>
        </w:tc>
        <w:tc>
          <w:tcPr>
            <w:tcW w:w="7297" w:type="dxa"/>
            <w:vAlign w:val="center"/>
          </w:tcPr>
          <w:p w14:paraId="364787D1">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4495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5D4E0D8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6.1</w:t>
            </w:r>
          </w:p>
        </w:tc>
        <w:tc>
          <w:tcPr>
            <w:tcW w:w="2268" w:type="dxa"/>
            <w:vAlign w:val="center"/>
          </w:tcPr>
          <w:p w14:paraId="43107E1E">
            <w:pPr>
              <w:wordWrap w:val="0"/>
              <w:spacing w:line="360" w:lineRule="auto"/>
              <w:rPr>
                <w:rFonts w:ascii="宋体" w:hAnsi="宋体" w:cs="宋体"/>
                <w:color w:val="auto"/>
                <w:szCs w:val="21"/>
                <w:highlight w:val="none"/>
              </w:rPr>
            </w:pPr>
            <w:bookmarkStart w:id="25" w:name="_9.2"/>
            <w:bookmarkEnd w:id="25"/>
            <w:bookmarkStart w:id="26" w:name="_5"/>
            <w:bookmarkEnd w:id="26"/>
            <w:bookmarkStart w:id="27" w:name="_8.1"/>
            <w:bookmarkEnd w:id="27"/>
            <w:r>
              <w:rPr>
                <w:rFonts w:hint="eastAsia" w:ascii="宋体" w:hAnsi="宋体" w:cs="宋体"/>
                <w:color w:val="auto"/>
                <w:szCs w:val="21"/>
                <w:highlight w:val="none"/>
              </w:rPr>
              <w:t>是否接受联合体投标</w:t>
            </w:r>
          </w:p>
        </w:tc>
        <w:tc>
          <w:tcPr>
            <w:tcW w:w="7297" w:type="dxa"/>
            <w:vAlign w:val="center"/>
          </w:tcPr>
          <w:p w14:paraId="6CB84494">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不允许联合体投标</w:t>
            </w:r>
          </w:p>
        </w:tc>
      </w:tr>
      <w:tr w14:paraId="4596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26123EE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6.2</w:t>
            </w:r>
          </w:p>
        </w:tc>
        <w:tc>
          <w:tcPr>
            <w:tcW w:w="2268" w:type="dxa"/>
            <w:vAlign w:val="center"/>
          </w:tcPr>
          <w:p w14:paraId="52BB2FB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联合体投标要求</w:t>
            </w:r>
          </w:p>
        </w:tc>
        <w:tc>
          <w:tcPr>
            <w:tcW w:w="7297" w:type="dxa"/>
            <w:vAlign w:val="center"/>
          </w:tcPr>
          <w:p w14:paraId="0BD0769A">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3B12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55A1304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7.2</w:t>
            </w:r>
          </w:p>
        </w:tc>
        <w:tc>
          <w:tcPr>
            <w:tcW w:w="2268" w:type="dxa"/>
            <w:vAlign w:val="center"/>
          </w:tcPr>
          <w:p w14:paraId="6D6AD3B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是否允许转包/分包</w:t>
            </w:r>
          </w:p>
        </w:tc>
        <w:tc>
          <w:tcPr>
            <w:tcW w:w="7297" w:type="dxa"/>
            <w:vAlign w:val="center"/>
          </w:tcPr>
          <w:p w14:paraId="7944ED54">
            <w:pPr>
              <w:pStyle w:val="9"/>
              <w:wordWrap w:val="0"/>
              <w:spacing w:line="360" w:lineRule="auto"/>
              <w:rPr>
                <w:rFonts w:ascii="宋体" w:hAnsi="宋体" w:cs="宋体"/>
                <w:color w:val="auto"/>
                <w:szCs w:val="21"/>
                <w:highlight w:val="none"/>
              </w:rPr>
            </w:pPr>
            <w:bookmarkStart w:id="28" w:name="PO_3000001866_PM044"/>
            <w:r>
              <w:rPr>
                <w:rFonts w:hint="eastAsia" w:ascii="宋体" w:hAnsi="宋体" w:cs="宋体"/>
                <w:color w:val="auto"/>
                <w:szCs w:val="21"/>
                <w:highlight w:val="none"/>
              </w:rPr>
              <w:t>☑不允许分包</w:t>
            </w:r>
            <w:bookmarkEnd w:id="28"/>
          </w:p>
          <w:p w14:paraId="5379F3E3">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 xml:space="preserve">                                     。</w:t>
            </w:r>
          </w:p>
          <w:p w14:paraId="507E0D60">
            <w:pPr>
              <w:pStyle w:val="9"/>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 xml:space="preserve">                                     。</w:t>
            </w:r>
          </w:p>
        </w:tc>
      </w:tr>
      <w:tr w14:paraId="402B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03583B1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11.4</w:t>
            </w:r>
          </w:p>
        </w:tc>
        <w:tc>
          <w:tcPr>
            <w:tcW w:w="2268" w:type="dxa"/>
            <w:vAlign w:val="center"/>
          </w:tcPr>
          <w:p w14:paraId="5B2A03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媒体发布渠道</w:t>
            </w:r>
          </w:p>
        </w:tc>
        <w:tc>
          <w:tcPr>
            <w:tcW w:w="7297" w:type="dxa"/>
            <w:vAlign w:val="center"/>
          </w:tcPr>
          <w:p w14:paraId="7537675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2A81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79A47BE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11.6</w:t>
            </w:r>
          </w:p>
        </w:tc>
        <w:tc>
          <w:tcPr>
            <w:tcW w:w="2268" w:type="dxa"/>
            <w:vAlign w:val="center"/>
          </w:tcPr>
          <w:p w14:paraId="62943DC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是否组织标前答疑会</w:t>
            </w:r>
          </w:p>
        </w:tc>
        <w:tc>
          <w:tcPr>
            <w:tcW w:w="7297" w:type="dxa"/>
            <w:vAlign w:val="center"/>
          </w:tcPr>
          <w:p w14:paraId="04C063C8">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☑不组织召开开标前答疑会</w:t>
            </w:r>
          </w:p>
          <w:p w14:paraId="5EE628F0">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□组织召开开标前答疑会</w:t>
            </w:r>
          </w:p>
          <w:p w14:paraId="5EC102C8">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会议开始时间：年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p>
        </w:tc>
      </w:tr>
      <w:tr w14:paraId="3971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59B43EE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13.1</w:t>
            </w:r>
          </w:p>
        </w:tc>
        <w:tc>
          <w:tcPr>
            <w:tcW w:w="2268" w:type="dxa"/>
            <w:vAlign w:val="center"/>
          </w:tcPr>
          <w:p w14:paraId="3691776B">
            <w:pPr>
              <w:wordWrap w:val="0"/>
              <w:snapToGrid w:val="0"/>
              <w:spacing w:line="360" w:lineRule="auto"/>
              <w:jc w:val="left"/>
              <w:rPr>
                <w:rFonts w:ascii="宋体" w:hAnsi="宋体" w:cs="宋体"/>
                <w:color w:val="auto"/>
                <w:szCs w:val="21"/>
                <w:highlight w:val="none"/>
              </w:rPr>
            </w:pPr>
            <w:bookmarkStart w:id="29" w:name="_13.2"/>
            <w:bookmarkEnd w:id="29"/>
            <w:r>
              <w:rPr>
                <w:rFonts w:hint="eastAsia" w:ascii="宋体" w:hAnsi="宋体" w:cs="宋体"/>
                <w:color w:val="auto"/>
                <w:szCs w:val="21"/>
                <w:highlight w:val="none"/>
              </w:rPr>
              <w:t>资格证明文件组成</w:t>
            </w:r>
          </w:p>
        </w:tc>
        <w:tc>
          <w:tcPr>
            <w:tcW w:w="7297" w:type="dxa"/>
            <w:vAlign w:val="center"/>
          </w:tcPr>
          <w:p w14:paraId="61C7BC8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32"/>
                <w:rFonts w:hint="eastAsia"/>
                <w:color w:val="auto"/>
                <w:sz w:val="21"/>
                <w:szCs w:val="21"/>
                <w:highlight w:val="none"/>
              </w:rPr>
              <w:t>执业许可证</w:t>
            </w:r>
            <w:r>
              <w:rPr>
                <w:rFonts w:hint="eastAsia" w:ascii="宋体" w:hAnsi="宋体" w:cs="宋体"/>
                <w:color w:val="auto"/>
                <w:szCs w:val="21"/>
                <w:highlight w:val="none"/>
              </w:rPr>
              <w:t>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696E83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月]连续</w:t>
            </w:r>
            <w:r>
              <w:rPr>
                <w:rFonts w:hint="eastAsia" w:ascii="宋体" w:hAnsi="宋体" w:cs="宋体"/>
                <w:color w:val="auto"/>
                <w:szCs w:val="21"/>
                <w:highlight w:val="none"/>
                <w:u w:val="none"/>
              </w:rPr>
              <w:t xml:space="preserve"> 三 </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C945990">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月]连续</w:t>
            </w:r>
            <w:r>
              <w:rPr>
                <w:rFonts w:hint="eastAsia" w:ascii="宋体" w:hAnsi="宋体" w:cs="宋体"/>
                <w:color w:val="auto"/>
                <w:szCs w:val="21"/>
                <w:highlight w:val="none"/>
                <w:u w:val="none"/>
              </w:rPr>
              <w:t xml:space="preserve"> 三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B1DDA8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2025</w:t>
            </w:r>
            <w:r>
              <w:rPr>
                <w:rFonts w:hint="eastAsia" w:ascii="宋体" w:hAnsi="宋体" w:cs="宋体"/>
                <w:color w:val="auto"/>
                <w:szCs w:val="21"/>
                <w:highlight w:val="none"/>
              </w:rPr>
              <w:t>年]财务状况报告复印件；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A2BAAEA">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5.投标人直接控股股东信息表、投标人直接管理关系信息表。（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FD26877">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6.投标资格声明函。（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DDE4D09">
            <w:pPr>
              <w:pStyle w:val="2"/>
              <w:rPr>
                <w:rFonts w:hint="default" w:eastAsia="宋体"/>
                <w:color w:val="auto"/>
                <w:highlight w:val="none"/>
                <w:lang w:val="en-US" w:eastAsia="zh-CN"/>
              </w:rPr>
            </w:pPr>
            <w:r>
              <w:rPr>
                <w:rFonts w:hint="eastAsia" w:ascii="宋体" w:hAnsi="宋体" w:cs="宋体"/>
                <w:color w:val="auto"/>
                <w:szCs w:val="21"/>
                <w:highlight w:val="none"/>
                <w:lang w:val="en-US" w:eastAsia="zh-CN"/>
              </w:rPr>
              <w:t>7.中小企业声明函；（</w:t>
            </w:r>
            <w:r>
              <w:rPr>
                <w:rFonts w:hint="eastAsia" w:ascii="宋体" w:hAnsi="宋体" w:cs="宋体"/>
                <w:b/>
                <w:bCs/>
                <w:color w:val="auto"/>
                <w:szCs w:val="21"/>
                <w:highlight w:val="none"/>
                <w:lang w:val="en-US" w:eastAsia="zh-CN"/>
              </w:rPr>
              <w:t>必须提供，否则作无效投标处理</w:t>
            </w:r>
            <w:r>
              <w:rPr>
                <w:rFonts w:hint="eastAsia" w:ascii="宋体" w:hAnsi="宋体" w:cs="宋体"/>
                <w:color w:val="auto"/>
                <w:szCs w:val="21"/>
                <w:highlight w:val="none"/>
                <w:lang w:val="en-US" w:eastAsia="zh-CN"/>
              </w:rPr>
              <w:t>）</w:t>
            </w:r>
          </w:p>
          <w:p w14:paraId="244E2132">
            <w:pPr>
              <w:snapToGrid w:val="0"/>
              <w:spacing w:line="360" w:lineRule="auto"/>
              <w:jc w:val="left"/>
              <w:rPr>
                <w:rFonts w:ascii="宋体" w:hAnsi="宋体" w:cs="宋体"/>
                <w:b/>
                <w:bCs/>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.联合体协议书。</w:t>
            </w:r>
            <w:r>
              <w:rPr>
                <w:rFonts w:hint="eastAsia" w:ascii="宋体" w:hAnsi="宋体" w:cs="宋体"/>
                <w:b/>
                <w:bCs/>
                <w:color w:val="auto"/>
                <w:szCs w:val="21"/>
                <w:highlight w:val="none"/>
              </w:rPr>
              <w:t>（以联合体形式投标的，提供联合体协议；本项目不接受联合体投标或者投标人不以联合体形式投标的，则不需要提供）</w:t>
            </w:r>
          </w:p>
          <w:p w14:paraId="087F4467">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.除招标文件规定必须提供以外，投标人认为需要提供的其他证明材料。</w:t>
            </w:r>
          </w:p>
          <w:p w14:paraId="6613EBB0">
            <w:pPr>
              <w:wordWrap w:val="0"/>
              <w:snapToGrid w:val="0"/>
              <w:spacing w:line="360" w:lineRule="auto"/>
              <w:jc w:val="left"/>
              <w:rPr>
                <w:rFonts w:ascii="宋体" w:hAnsi="宋体" w:cs="宋体"/>
                <w:b/>
                <w:color w:val="auto"/>
                <w:szCs w:val="21"/>
                <w:highlight w:val="none"/>
              </w:rPr>
            </w:pPr>
            <w:r>
              <w:rPr>
                <w:rFonts w:hint="eastAsia" w:ascii="宋体" w:hAnsi="宋体" w:cs="宋体"/>
                <w:b/>
                <w:bCs/>
                <w:color w:val="auto"/>
                <w:szCs w:val="21"/>
                <w:highlight w:val="none"/>
              </w:rPr>
              <w:t>注：1.以上标明“必须提供”的材料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39B9B143">
            <w:pPr>
              <w:wordWrap w:val="0"/>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.联合体投标时，第1-5项资格证明文件联合体各方均必须分别提供，联合体各方分别盖章和签字，否则投标文件按无效投标处理。</w:t>
            </w:r>
          </w:p>
        </w:tc>
      </w:tr>
      <w:tr w14:paraId="260B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5D8F97DF">
            <w:pPr>
              <w:wordWrap w:val="0"/>
              <w:spacing w:line="360" w:lineRule="auto"/>
              <w:rPr>
                <w:rFonts w:ascii="宋体" w:hAnsi="宋体" w:cs="宋体"/>
                <w:color w:val="auto"/>
                <w:szCs w:val="21"/>
                <w:highlight w:val="none"/>
              </w:rPr>
            </w:pPr>
          </w:p>
        </w:tc>
        <w:tc>
          <w:tcPr>
            <w:tcW w:w="2268" w:type="dxa"/>
            <w:vAlign w:val="center"/>
          </w:tcPr>
          <w:p w14:paraId="1962DCAE">
            <w:pPr>
              <w:wordWrap w:val="0"/>
              <w:snapToGrid w:val="0"/>
              <w:spacing w:line="360" w:lineRule="auto"/>
              <w:jc w:val="left"/>
              <w:rPr>
                <w:rFonts w:ascii="宋体" w:hAnsi="宋体" w:cs="宋体"/>
                <w:color w:val="auto"/>
                <w:szCs w:val="21"/>
                <w:highlight w:val="none"/>
              </w:rPr>
            </w:pPr>
            <w:bookmarkStart w:id="30" w:name="_13.3"/>
            <w:bookmarkEnd w:id="30"/>
            <w:r>
              <w:rPr>
                <w:rFonts w:hint="eastAsia" w:ascii="宋体" w:hAnsi="宋体" w:cs="宋体"/>
                <w:color w:val="auto"/>
                <w:szCs w:val="21"/>
                <w:highlight w:val="none"/>
              </w:rPr>
              <w:t>商务文件组成</w:t>
            </w:r>
          </w:p>
        </w:tc>
        <w:tc>
          <w:tcPr>
            <w:tcW w:w="7297" w:type="dxa"/>
            <w:vAlign w:val="center"/>
          </w:tcPr>
          <w:p w14:paraId="7B4C6F09">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E2AF2C8">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45A977F">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5F7011B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bCs/>
                <w:color w:val="auto"/>
                <w:szCs w:val="21"/>
                <w:highlight w:val="none"/>
              </w:rPr>
              <w:t>（必须提供，否则作无效投标处理）</w:t>
            </w:r>
          </w:p>
          <w:p w14:paraId="1B640AC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5.投标人情况介绍；</w:t>
            </w:r>
          </w:p>
          <w:p w14:paraId="32360FEA">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6.投标人类似业绩的证明文件；（如有请提供）</w:t>
            </w:r>
          </w:p>
          <w:p w14:paraId="4355DC04">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7.除招标文件规定必须提供以外，投标人认为需要提供的其他证明材料。（投标人根据“第二章 采购需求”及“第四章 评标方法及评标标准”提供有关证明材料）。</w:t>
            </w:r>
          </w:p>
          <w:p w14:paraId="567D74D2">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 1.法定代表人授权委托书必须由法定代表人签字或盖章及委托代理人签字，并加盖投标人公章，否则作无效投标处理。</w:t>
            </w:r>
          </w:p>
          <w:p w14:paraId="389AA5BD">
            <w:pPr>
              <w:wordWrap w:val="0"/>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szCs w:val="21"/>
                <w:highlight w:val="none"/>
              </w:rPr>
              <w:t>2.以上标明“必须提供”的材料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254C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Merge w:val="restart"/>
            <w:vAlign w:val="center"/>
          </w:tcPr>
          <w:p w14:paraId="260E17DD">
            <w:pPr>
              <w:wordWrap w:val="0"/>
              <w:spacing w:line="360" w:lineRule="auto"/>
              <w:rPr>
                <w:rFonts w:ascii="宋体" w:hAnsi="宋体" w:cs="宋体"/>
                <w:color w:val="auto"/>
                <w:szCs w:val="21"/>
                <w:highlight w:val="none"/>
              </w:rPr>
            </w:pPr>
          </w:p>
        </w:tc>
        <w:tc>
          <w:tcPr>
            <w:tcW w:w="2268" w:type="dxa"/>
            <w:vAlign w:val="center"/>
          </w:tcPr>
          <w:p w14:paraId="1FDC6B6C">
            <w:pPr>
              <w:wordWrap w:val="0"/>
              <w:snapToGrid w:val="0"/>
              <w:spacing w:line="360" w:lineRule="auto"/>
              <w:jc w:val="left"/>
              <w:rPr>
                <w:rFonts w:ascii="宋体" w:hAnsi="宋体" w:cs="宋体"/>
                <w:color w:val="auto"/>
                <w:szCs w:val="21"/>
                <w:highlight w:val="none"/>
              </w:rPr>
            </w:pPr>
            <w:bookmarkStart w:id="31" w:name="_13.4"/>
            <w:bookmarkEnd w:id="31"/>
            <w:r>
              <w:rPr>
                <w:rFonts w:hint="eastAsia" w:ascii="宋体" w:hAnsi="宋体" w:cs="宋体"/>
                <w:color w:val="auto"/>
                <w:szCs w:val="21"/>
                <w:highlight w:val="none"/>
              </w:rPr>
              <w:t>技术文件组成</w:t>
            </w:r>
          </w:p>
        </w:tc>
        <w:tc>
          <w:tcPr>
            <w:tcW w:w="7297" w:type="dxa"/>
            <w:vAlign w:val="center"/>
          </w:tcPr>
          <w:p w14:paraId="6104CE35">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1.服务需求、技术需求偏离表；（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57F9DF4">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cs="宋体"/>
                <w:b/>
                <w:color w:val="auto"/>
                <w:szCs w:val="21"/>
                <w:highlight w:val="none"/>
              </w:rPr>
              <w:t>（如有请提供）</w:t>
            </w:r>
          </w:p>
          <w:p w14:paraId="0DF6CDE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3.售后服务方案；（</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9172DD8">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F46173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5.投标人对本项目的合理化建议和改进措施；（</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4D622A94">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6.优惠条件及特殊承诺；（</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52B6564">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7.备品备件及供选择的配套零部件清单；（</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5C59A61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8.培训计划（如有）；（</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8DDF88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9.认为需要的其他技术文件或说明。（</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47F24F70">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1CD6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Merge w:val="continue"/>
            <w:vAlign w:val="center"/>
          </w:tcPr>
          <w:p w14:paraId="1FBE82F1">
            <w:pPr>
              <w:widowControl/>
              <w:wordWrap w:val="0"/>
              <w:spacing w:line="360" w:lineRule="auto"/>
              <w:jc w:val="left"/>
              <w:rPr>
                <w:rFonts w:ascii="宋体" w:hAnsi="宋体" w:cs="宋体"/>
                <w:color w:val="auto"/>
                <w:szCs w:val="21"/>
                <w:highlight w:val="none"/>
              </w:rPr>
            </w:pPr>
          </w:p>
        </w:tc>
        <w:tc>
          <w:tcPr>
            <w:tcW w:w="2268" w:type="dxa"/>
            <w:vAlign w:val="center"/>
          </w:tcPr>
          <w:p w14:paraId="409BDE5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报价文件组成</w:t>
            </w:r>
          </w:p>
        </w:tc>
        <w:tc>
          <w:tcPr>
            <w:tcW w:w="7297" w:type="dxa"/>
            <w:vAlign w:val="center"/>
          </w:tcPr>
          <w:p w14:paraId="1A48CC8D">
            <w:pPr>
              <w:tabs>
                <w:tab w:val="left" w:pos="459"/>
              </w:tabs>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1.投标函；（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483B996">
            <w:pPr>
              <w:tabs>
                <w:tab w:val="left" w:pos="459"/>
              </w:tabs>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2.开标一览表；（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5054479">
            <w:pPr>
              <w:tabs>
                <w:tab w:val="left" w:pos="459"/>
              </w:tabs>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.投标人针对报价需要说明的其他文件和说明。（</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45527BDD">
            <w:pPr>
              <w:tabs>
                <w:tab w:val="left" w:pos="459"/>
              </w:tabs>
              <w:wordWrap w:val="0"/>
              <w:snapToGrid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755B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2B47498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16.2</w:t>
            </w:r>
          </w:p>
        </w:tc>
        <w:tc>
          <w:tcPr>
            <w:tcW w:w="2268" w:type="dxa"/>
            <w:vAlign w:val="center"/>
          </w:tcPr>
          <w:p w14:paraId="3C4004BE">
            <w:pPr>
              <w:wordWrap w:val="0"/>
              <w:spacing w:line="360" w:lineRule="auto"/>
              <w:rPr>
                <w:rFonts w:ascii="宋体" w:hAnsi="宋体" w:cs="宋体"/>
                <w:color w:val="auto"/>
                <w:szCs w:val="21"/>
                <w:highlight w:val="none"/>
              </w:rPr>
            </w:pPr>
            <w:bookmarkStart w:id="32" w:name="_16.2"/>
            <w:bookmarkEnd w:id="32"/>
            <w:r>
              <w:rPr>
                <w:rFonts w:hint="eastAsia" w:ascii="宋体" w:hAnsi="宋体" w:cs="宋体"/>
                <w:color w:val="auto"/>
                <w:szCs w:val="21"/>
                <w:highlight w:val="none"/>
              </w:rPr>
              <w:t>投标报价要求</w:t>
            </w:r>
          </w:p>
        </w:tc>
        <w:tc>
          <w:tcPr>
            <w:tcW w:w="7297" w:type="dxa"/>
            <w:vAlign w:val="center"/>
          </w:tcPr>
          <w:p w14:paraId="6C73AB4A">
            <w:pPr>
              <w:wordWrap w:val="0"/>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投标报价是履行合同的最终价格，必须包含满足本次投标全部采购需求所应提供的服务，以及伴随的货物和工程的价格；</w:t>
            </w:r>
          </w:p>
        </w:tc>
      </w:tr>
      <w:tr w14:paraId="5137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3BC8836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17.2</w:t>
            </w:r>
          </w:p>
        </w:tc>
        <w:tc>
          <w:tcPr>
            <w:tcW w:w="2268" w:type="dxa"/>
            <w:vAlign w:val="center"/>
          </w:tcPr>
          <w:p w14:paraId="43C73313">
            <w:pPr>
              <w:wordWrap w:val="0"/>
              <w:spacing w:line="360" w:lineRule="auto"/>
              <w:rPr>
                <w:rFonts w:ascii="宋体" w:hAnsi="宋体" w:cs="宋体"/>
                <w:color w:val="auto"/>
                <w:szCs w:val="21"/>
                <w:highlight w:val="none"/>
              </w:rPr>
            </w:pPr>
            <w:bookmarkStart w:id="33" w:name="_17.1"/>
            <w:bookmarkEnd w:id="33"/>
            <w:r>
              <w:rPr>
                <w:rFonts w:hint="eastAsia" w:ascii="宋体" w:hAnsi="宋体" w:cs="宋体"/>
                <w:color w:val="auto"/>
                <w:szCs w:val="21"/>
                <w:highlight w:val="none"/>
              </w:rPr>
              <w:t>投标有效期</w:t>
            </w:r>
          </w:p>
        </w:tc>
        <w:tc>
          <w:tcPr>
            <w:tcW w:w="7297" w:type="dxa"/>
            <w:vAlign w:val="center"/>
          </w:tcPr>
          <w:p w14:paraId="6994955B">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自投标截止之日起</w:t>
            </w:r>
            <w:bookmarkStart w:id="34" w:name="PO_3000001866_PM046"/>
            <w:r>
              <w:rPr>
                <w:rFonts w:hint="eastAsia" w:ascii="宋体" w:hAnsi="宋体" w:cs="宋体"/>
                <w:color w:val="auto"/>
                <w:szCs w:val="21"/>
                <w:highlight w:val="none"/>
                <w:u w:val="single"/>
              </w:rPr>
              <w:t>60日历天</w:t>
            </w:r>
            <w:bookmarkEnd w:id="34"/>
            <w:r>
              <w:rPr>
                <w:rFonts w:hint="eastAsia" w:ascii="宋体" w:hAnsi="宋体" w:cs="宋体"/>
                <w:color w:val="auto"/>
                <w:szCs w:val="21"/>
                <w:highlight w:val="none"/>
              </w:rPr>
              <w:t>。</w:t>
            </w:r>
          </w:p>
        </w:tc>
      </w:tr>
      <w:tr w14:paraId="1DAE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24E7FD4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18</w:t>
            </w:r>
          </w:p>
        </w:tc>
        <w:tc>
          <w:tcPr>
            <w:tcW w:w="2268" w:type="dxa"/>
            <w:vAlign w:val="center"/>
          </w:tcPr>
          <w:p w14:paraId="219960AB">
            <w:pPr>
              <w:wordWrap w:val="0"/>
              <w:spacing w:line="360" w:lineRule="auto"/>
              <w:rPr>
                <w:rFonts w:ascii="宋体" w:hAnsi="宋体" w:cs="宋体"/>
                <w:color w:val="auto"/>
                <w:szCs w:val="21"/>
                <w:highlight w:val="none"/>
              </w:rPr>
            </w:pPr>
            <w:bookmarkStart w:id="35" w:name="_18"/>
            <w:bookmarkEnd w:id="35"/>
            <w:r>
              <w:rPr>
                <w:rFonts w:hint="eastAsia" w:ascii="宋体" w:hAnsi="宋体" w:cs="宋体"/>
                <w:color w:val="auto"/>
                <w:szCs w:val="21"/>
                <w:highlight w:val="none"/>
              </w:rPr>
              <w:t>投标保证金金额</w:t>
            </w:r>
          </w:p>
        </w:tc>
        <w:tc>
          <w:tcPr>
            <w:tcW w:w="7297" w:type="dxa"/>
            <w:vAlign w:val="center"/>
          </w:tcPr>
          <w:p w14:paraId="58A69390">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2E11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1490E61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19.1</w:t>
            </w:r>
          </w:p>
        </w:tc>
        <w:tc>
          <w:tcPr>
            <w:tcW w:w="2268" w:type="dxa"/>
            <w:vAlign w:val="center"/>
          </w:tcPr>
          <w:p w14:paraId="16C36CC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投标文件编制要求</w:t>
            </w:r>
          </w:p>
        </w:tc>
        <w:tc>
          <w:tcPr>
            <w:tcW w:w="7297" w:type="dxa"/>
            <w:vAlign w:val="center"/>
          </w:tcPr>
          <w:p w14:paraId="2FFDC38C">
            <w:pPr>
              <w:wordWrap w:val="0"/>
              <w:spacing w:line="360" w:lineRule="auto"/>
              <w:rPr>
                <w:rFonts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投标文件应按报价文件、资格证明文件、商务文件、技术文件分别编制，报价文件、资格证明文件分别生产电子文件，商务文件和技术文件按顺序合并生成电子文件。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1EAA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3C85B90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20</w:t>
            </w:r>
          </w:p>
        </w:tc>
        <w:tc>
          <w:tcPr>
            <w:tcW w:w="2268" w:type="dxa"/>
            <w:vAlign w:val="center"/>
          </w:tcPr>
          <w:p w14:paraId="5B32932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备份投标文件</w:t>
            </w:r>
          </w:p>
        </w:tc>
        <w:tc>
          <w:tcPr>
            <w:tcW w:w="7297" w:type="dxa"/>
            <w:vAlign w:val="center"/>
          </w:tcPr>
          <w:p w14:paraId="1A94D49C">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3C1F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67" w:type="dxa"/>
            <w:vMerge w:val="restart"/>
            <w:vAlign w:val="center"/>
          </w:tcPr>
          <w:p w14:paraId="16F4B9D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21.1</w:t>
            </w:r>
          </w:p>
        </w:tc>
        <w:tc>
          <w:tcPr>
            <w:tcW w:w="2268" w:type="dxa"/>
            <w:vAlign w:val="center"/>
          </w:tcPr>
          <w:p w14:paraId="34407313">
            <w:pPr>
              <w:wordWrap w:val="0"/>
              <w:spacing w:line="360" w:lineRule="auto"/>
              <w:rPr>
                <w:rFonts w:ascii="宋体" w:hAnsi="宋体" w:cs="宋体"/>
                <w:color w:val="auto"/>
                <w:szCs w:val="21"/>
                <w:highlight w:val="none"/>
              </w:rPr>
            </w:pPr>
            <w:bookmarkStart w:id="36" w:name="_21.1"/>
            <w:bookmarkEnd w:id="36"/>
            <w:r>
              <w:rPr>
                <w:rFonts w:hint="eastAsia" w:ascii="宋体" w:hAnsi="宋体" w:cs="宋体"/>
                <w:color w:val="auto"/>
                <w:szCs w:val="21"/>
                <w:highlight w:val="none"/>
              </w:rPr>
              <w:t>投标截止时间</w:t>
            </w:r>
          </w:p>
        </w:tc>
        <w:tc>
          <w:tcPr>
            <w:tcW w:w="7297" w:type="dxa"/>
            <w:vAlign w:val="center"/>
          </w:tcPr>
          <w:p w14:paraId="24A07058">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6F8F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67" w:type="dxa"/>
            <w:vMerge w:val="continue"/>
            <w:vAlign w:val="center"/>
          </w:tcPr>
          <w:p w14:paraId="5CB460D1">
            <w:pPr>
              <w:widowControl/>
              <w:wordWrap w:val="0"/>
              <w:spacing w:line="360" w:lineRule="auto"/>
              <w:jc w:val="left"/>
              <w:rPr>
                <w:rFonts w:ascii="宋体" w:hAnsi="宋体" w:cs="宋体"/>
                <w:color w:val="auto"/>
                <w:szCs w:val="21"/>
                <w:highlight w:val="none"/>
              </w:rPr>
            </w:pPr>
          </w:p>
        </w:tc>
        <w:tc>
          <w:tcPr>
            <w:tcW w:w="2268" w:type="dxa"/>
            <w:vAlign w:val="center"/>
          </w:tcPr>
          <w:p w14:paraId="3A7B1C9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投标文件提交起止时间</w:t>
            </w:r>
          </w:p>
        </w:tc>
        <w:tc>
          <w:tcPr>
            <w:tcW w:w="7297" w:type="dxa"/>
            <w:vAlign w:val="center"/>
          </w:tcPr>
          <w:p w14:paraId="48A35EAD">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7527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67" w:type="dxa"/>
            <w:vMerge w:val="continue"/>
            <w:vAlign w:val="center"/>
          </w:tcPr>
          <w:p w14:paraId="71ACE593">
            <w:pPr>
              <w:widowControl/>
              <w:wordWrap w:val="0"/>
              <w:spacing w:line="360" w:lineRule="auto"/>
              <w:jc w:val="left"/>
              <w:rPr>
                <w:rFonts w:ascii="宋体" w:hAnsi="宋体" w:cs="宋体"/>
                <w:color w:val="auto"/>
                <w:szCs w:val="21"/>
                <w:highlight w:val="none"/>
              </w:rPr>
            </w:pPr>
          </w:p>
        </w:tc>
        <w:tc>
          <w:tcPr>
            <w:tcW w:w="2268" w:type="dxa"/>
            <w:vAlign w:val="center"/>
          </w:tcPr>
          <w:p w14:paraId="20E87A0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投标地点</w:t>
            </w:r>
          </w:p>
        </w:tc>
        <w:tc>
          <w:tcPr>
            <w:tcW w:w="7297" w:type="dxa"/>
            <w:vAlign w:val="center"/>
          </w:tcPr>
          <w:p w14:paraId="6B6D12A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34EE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67" w:type="dxa"/>
            <w:vMerge w:val="continue"/>
            <w:vAlign w:val="center"/>
          </w:tcPr>
          <w:p w14:paraId="34BE31DE">
            <w:pPr>
              <w:widowControl/>
              <w:wordWrap w:val="0"/>
              <w:spacing w:line="360" w:lineRule="auto"/>
              <w:jc w:val="left"/>
              <w:rPr>
                <w:rFonts w:ascii="宋体" w:hAnsi="宋体" w:cs="宋体"/>
                <w:color w:val="auto"/>
                <w:szCs w:val="21"/>
                <w:highlight w:val="none"/>
              </w:rPr>
            </w:pPr>
          </w:p>
        </w:tc>
        <w:tc>
          <w:tcPr>
            <w:tcW w:w="2268" w:type="dxa"/>
            <w:vAlign w:val="center"/>
          </w:tcPr>
          <w:p w14:paraId="2C93A6B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297" w:type="dxa"/>
            <w:vAlign w:val="center"/>
          </w:tcPr>
          <w:p w14:paraId="2A5499B6">
            <w:pPr>
              <w:wordWrap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/年 /月 / 日 / 时  /分</w:t>
            </w:r>
            <w:r>
              <w:rPr>
                <w:rFonts w:hint="eastAsia" w:ascii="宋体" w:hAnsi="宋体" w:cs="宋体"/>
                <w:bCs/>
                <w:color w:val="auto"/>
                <w:szCs w:val="21"/>
                <w:highlight w:val="none"/>
              </w:rPr>
              <w:t>（北京时间）</w:t>
            </w:r>
          </w:p>
          <w:p w14:paraId="237D5883">
            <w:pPr>
              <w:wordWrap w:val="0"/>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43DC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6296F3C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23</w:t>
            </w:r>
          </w:p>
        </w:tc>
        <w:tc>
          <w:tcPr>
            <w:tcW w:w="2268" w:type="dxa"/>
            <w:vAlign w:val="center"/>
          </w:tcPr>
          <w:p w14:paraId="172FC381">
            <w:pPr>
              <w:wordWrap w:val="0"/>
              <w:spacing w:line="360" w:lineRule="auto"/>
              <w:rPr>
                <w:rFonts w:ascii="宋体" w:hAnsi="宋体" w:cs="宋体"/>
                <w:color w:val="auto"/>
                <w:szCs w:val="21"/>
                <w:highlight w:val="none"/>
              </w:rPr>
            </w:pPr>
            <w:bookmarkStart w:id="37" w:name="_23"/>
            <w:bookmarkEnd w:id="37"/>
            <w:r>
              <w:rPr>
                <w:rFonts w:hint="eastAsia" w:ascii="宋体" w:hAnsi="宋体" w:cs="宋体"/>
                <w:color w:val="auto"/>
                <w:szCs w:val="21"/>
                <w:highlight w:val="none"/>
              </w:rPr>
              <w:t>开标时间、地点</w:t>
            </w:r>
          </w:p>
        </w:tc>
        <w:tc>
          <w:tcPr>
            <w:tcW w:w="7297" w:type="dxa"/>
            <w:vAlign w:val="center"/>
          </w:tcPr>
          <w:p w14:paraId="6F624CEF">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3059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867" w:type="dxa"/>
            <w:vMerge w:val="restart"/>
            <w:vAlign w:val="center"/>
          </w:tcPr>
          <w:p w14:paraId="24A1E56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25.3（2）</w:t>
            </w:r>
          </w:p>
        </w:tc>
        <w:tc>
          <w:tcPr>
            <w:tcW w:w="2268" w:type="dxa"/>
            <w:vAlign w:val="center"/>
          </w:tcPr>
          <w:p w14:paraId="16697177">
            <w:pPr>
              <w:wordWrap w:val="0"/>
              <w:spacing w:line="360" w:lineRule="auto"/>
              <w:rPr>
                <w:rFonts w:ascii="宋体" w:hAnsi="宋体" w:cs="宋体"/>
                <w:color w:val="auto"/>
                <w:szCs w:val="21"/>
                <w:highlight w:val="none"/>
              </w:rPr>
            </w:pPr>
            <w:bookmarkStart w:id="38" w:name="_25.3"/>
            <w:bookmarkEnd w:id="38"/>
            <w:r>
              <w:rPr>
                <w:rFonts w:hint="eastAsia" w:ascii="宋体" w:hAnsi="宋体" w:cs="宋体"/>
                <w:color w:val="auto"/>
                <w:szCs w:val="21"/>
                <w:highlight w:val="none"/>
              </w:rPr>
              <w:t>投标人信用查询渠道</w:t>
            </w:r>
          </w:p>
        </w:tc>
        <w:tc>
          <w:tcPr>
            <w:tcW w:w="7297" w:type="dxa"/>
            <w:vAlign w:val="center"/>
          </w:tcPr>
          <w:p w14:paraId="4A089EF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7DFA4C54">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6CC8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67" w:type="dxa"/>
            <w:vMerge w:val="continue"/>
            <w:vAlign w:val="center"/>
          </w:tcPr>
          <w:p w14:paraId="07B79CB3">
            <w:pPr>
              <w:widowControl/>
              <w:wordWrap w:val="0"/>
              <w:spacing w:line="360" w:lineRule="auto"/>
              <w:jc w:val="left"/>
              <w:rPr>
                <w:rFonts w:ascii="宋体" w:hAnsi="宋体" w:cs="宋体"/>
                <w:color w:val="auto"/>
                <w:szCs w:val="21"/>
                <w:highlight w:val="none"/>
              </w:rPr>
            </w:pPr>
          </w:p>
        </w:tc>
        <w:tc>
          <w:tcPr>
            <w:tcW w:w="2268" w:type="dxa"/>
            <w:vAlign w:val="center"/>
          </w:tcPr>
          <w:p w14:paraId="3E5D4F4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信用查询截止时点</w:t>
            </w:r>
          </w:p>
        </w:tc>
        <w:tc>
          <w:tcPr>
            <w:tcW w:w="7297" w:type="dxa"/>
            <w:vAlign w:val="center"/>
          </w:tcPr>
          <w:p w14:paraId="67505424">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资格审查结束前</w:t>
            </w:r>
          </w:p>
        </w:tc>
      </w:tr>
      <w:tr w14:paraId="2910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67" w:type="dxa"/>
            <w:vMerge w:val="continue"/>
            <w:vAlign w:val="center"/>
          </w:tcPr>
          <w:p w14:paraId="567088FF">
            <w:pPr>
              <w:widowControl/>
              <w:wordWrap w:val="0"/>
              <w:spacing w:line="360" w:lineRule="auto"/>
              <w:jc w:val="left"/>
              <w:rPr>
                <w:rFonts w:ascii="宋体" w:hAnsi="宋体" w:cs="宋体"/>
                <w:color w:val="auto"/>
                <w:szCs w:val="21"/>
                <w:highlight w:val="none"/>
              </w:rPr>
            </w:pPr>
          </w:p>
        </w:tc>
        <w:tc>
          <w:tcPr>
            <w:tcW w:w="2268" w:type="dxa"/>
            <w:vAlign w:val="center"/>
          </w:tcPr>
          <w:p w14:paraId="3A35A5E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297" w:type="dxa"/>
            <w:vAlign w:val="center"/>
          </w:tcPr>
          <w:p w14:paraId="4DB896D4">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在查询网站中直接截图查询记录，截图作为在“广西政府采购云”平台作为附件上传保存。</w:t>
            </w:r>
          </w:p>
        </w:tc>
      </w:tr>
      <w:tr w14:paraId="62A6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67" w:type="dxa"/>
            <w:vMerge w:val="continue"/>
            <w:vAlign w:val="center"/>
          </w:tcPr>
          <w:p w14:paraId="77E51CA7">
            <w:pPr>
              <w:widowControl/>
              <w:wordWrap w:val="0"/>
              <w:spacing w:line="360" w:lineRule="auto"/>
              <w:jc w:val="left"/>
              <w:rPr>
                <w:rFonts w:ascii="宋体" w:hAnsi="宋体" w:cs="宋体"/>
                <w:color w:val="auto"/>
                <w:szCs w:val="21"/>
                <w:highlight w:val="none"/>
              </w:rPr>
            </w:pPr>
          </w:p>
        </w:tc>
        <w:tc>
          <w:tcPr>
            <w:tcW w:w="2268" w:type="dxa"/>
            <w:vAlign w:val="center"/>
          </w:tcPr>
          <w:p w14:paraId="3407BB3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信用信息使用规则</w:t>
            </w:r>
          </w:p>
        </w:tc>
        <w:tc>
          <w:tcPr>
            <w:tcW w:w="7297" w:type="dxa"/>
            <w:vAlign w:val="center"/>
          </w:tcPr>
          <w:p w14:paraId="7377C4E7">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F04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040D8EA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29.1</w:t>
            </w:r>
          </w:p>
        </w:tc>
        <w:tc>
          <w:tcPr>
            <w:tcW w:w="2268" w:type="dxa"/>
            <w:vAlign w:val="center"/>
          </w:tcPr>
          <w:p w14:paraId="49471CEB">
            <w:pPr>
              <w:wordWrap w:val="0"/>
              <w:spacing w:line="360" w:lineRule="auto"/>
              <w:rPr>
                <w:rFonts w:ascii="宋体" w:hAnsi="宋体" w:cs="宋体"/>
                <w:color w:val="auto"/>
                <w:szCs w:val="21"/>
                <w:highlight w:val="none"/>
              </w:rPr>
            </w:pPr>
            <w:bookmarkStart w:id="39" w:name="_28.3"/>
            <w:bookmarkEnd w:id="39"/>
            <w:bookmarkStart w:id="40" w:name="_26"/>
            <w:bookmarkEnd w:id="40"/>
            <w:r>
              <w:rPr>
                <w:rFonts w:hint="eastAsia" w:ascii="宋体" w:hAnsi="宋体" w:cs="宋体"/>
                <w:color w:val="auto"/>
                <w:szCs w:val="21"/>
                <w:highlight w:val="none"/>
              </w:rPr>
              <w:t>评标方法</w:t>
            </w:r>
          </w:p>
        </w:tc>
        <w:tc>
          <w:tcPr>
            <w:tcW w:w="7297" w:type="dxa"/>
            <w:vAlign w:val="center"/>
          </w:tcPr>
          <w:p w14:paraId="47C1AE50">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☑综合评分法</w:t>
            </w:r>
          </w:p>
          <w:p w14:paraId="1083902E">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□最低评标价法</w:t>
            </w:r>
          </w:p>
        </w:tc>
      </w:tr>
      <w:tr w14:paraId="7CC6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67" w:type="dxa"/>
            <w:vAlign w:val="center"/>
          </w:tcPr>
          <w:p w14:paraId="7992D0C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29.2</w:t>
            </w:r>
          </w:p>
        </w:tc>
        <w:tc>
          <w:tcPr>
            <w:tcW w:w="2268" w:type="dxa"/>
            <w:vAlign w:val="center"/>
          </w:tcPr>
          <w:p w14:paraId="111C3F22">
            <w:pPr>
              <w:wordWrap w:val="0"/>
              <w:spacing w:line="360" w:lineRule="auto"/>
              <w:rPr>
                <w:rFonts w:ascii="宋体" w:hAnsi="宋体" w:cs="宋体"/>
                <w:color w:val="auto"/>
                <w:szCs w:val="21"/>
                <w:highlight w:val="none"/>
              </w:rPr>
            </w:pPr>
            <w:bookmarkStart w:id="41" w:name="_29.2.2（2）"/>
            <w:bookmarkEnd w:id="41"/>
            <w:r>
              <w:rPr>
                <w:rFonts w:hint="eastAsia" w:ascii="宋体" w:hAnsi="宋体" w:cs="宋体"/>
                <w:color w:val="auto"/>
                <w:szCs w:val="21"/>
                <w:highlight w:val="none"/>
              </w:rPr>
              <w:t>允许负偏离项</w:t>
            </w:r>
          </w:p>
        </w:tc>
        <w:tc>
          <w:tcPr>
            <w:tcW w:w="7297" w:type="dxa"/>
            <w:vAlign w:val="center"/>
          </w:tcPr>
          <w:p w14:paraId="37B8A7DD">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25A96C3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0 </w:t>
            </w:r>
            <w:r>
              <w:rPr>
                <w:rFonts w:hint="eastAsia" w:ascii="宋体" w:hAnsi="宋体" w:cs="宋体"/>
                <w:color w:val="auto"/>
                <w:szCs w:val="21"/>
                <w:highlight w:val="none"/>
              </w:rPr>
              <w:t>项。</w:t>
            </w:r>
          </w:p>
        </w:tc>
      </w:tr>
      <w:tr w14:paraId="2651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63C7F3A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30.1</w:t>
            </w:r>
          </w:p>
        </w:tc>
        <w:tc>
          <w:tcPr>
            <w:tcW w:w="2268" w:type="dxa"/>
            <w:vAlign w:val="center"/>
          </w:tcPr>
          <w:p w14:paraId="039E663C">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确定中标供应商时，出现中标候选人分数并列的情形，确定中标供应商方式 </w:t>
            </w:r>
          </w:p>
        </w:tc>
        <w:tc>
          <w:tcPr>
            <w:tcW w:w="7297" w:type="dxa"/>
            <w:vAlign w:val="center"/>
          </w:tcPr>
          <w:p w14:paraId="00C2CD1B">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□采用最低评标价法的，投标文件满足招标文件全部实质性要求且投标报价最低的投标人为排名第一的中标候选人； </w:t>
            </w:r>
          </w:p>
          <w:p w14:paraId="637F5A33">
            <w:pPr>
              <w:wordWrap w:val="0"/>
              <w:autoSpaceDE w:val="0"/>
              <w:autoSpaceDN w:val="0"/>
              <w:snapToGrid w:val="0"/>
              <w:spacing w:line="360" w:lineRule="auto"/>
              <w:textAlignment w:val="bottom"/>
              <w:rPr>
                <w:rFonts w:ascii="宋体" w:hAnsi="宋体" w:cs="宋体"/>
                <w:b/>
                <w:color w:val="auto"/>
                <w:szCs w:val="21"/>
                <w:highlight w:val="none"/>
              </w:rPr>
            </w:pPr>
            <w:r>
              <w:rPr>
                <w:rFonts w:hint="eastAsia" w:ascii="宋体" w:hAnsi="宋体" w:cs="宋体"/>
                <w:color w:val="auto"/>
                <w:szCs w:val="21"/>
                <w:highlight w:val="none"/>
              </w:rPr>
              <w:t>☑采用综合评分法的，根据总得分由高到低排列次序并推荐中标候选供应商。总得分相同的，以投标报价由低到高顺序排列。得分相同且投标报价相同的并列，投标文件满足招标文件全部实质性要求，且按照评审因素的量化指标评审得分最高的投标人为排名第一的中标候选供应商。</w:t>
            </w:r>
          </w:p>
        </w:tc>
      </w:tr>
      <w:tr w14:paraId="3B45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67" w:type="dxa"/>
            <w:vAlign w:val="center"/>
          </w:tcPr>
          <w:p w14:paraId="4A05EB7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35</w:t>
            </w:r>
          </w:p>
        </w:tc>
        <w:tc>
          <w:tcPr>
            <w:tcW w:w="2268" w:type="dxa"/>
            <w:vAlign w:val="center"/>
          </w:tcPr>
          <w:p w14:paraId="63BE11F7">
            <w:pPr>
              <w:wordWrap w:val="0"/>
              <w:spacing w:line="360" w:lineRule="auto"/>
              <w:rPr>
                <w:rFonts w:ascii="宋体" w:hAnsi="宋体" w:cs="宋体"/>
                <w:color w:val="auto"/>
                <w:szCs w:val="21"/>
                <w:highlight w:val="none"/>
              </w:rPr>
            </w:pPr>
            <w:bookmarkStart w:id="42" w:name="_39.1"/>
            <w:bookmarkEnd w:id="42"/>
            <w:r>
              <w:rPr>
                <w:rFonts w:hint="eastAsia" w:ascii="宋体" w:hAnsi="宋体" w:cs="宋体"/>
                <w:color w:val="auto"/>
                <w:szCs w:val="21"/>
                <w:highlight w:val="none"/>
              </w:rPr>
              <w:t>履约保证金金额</w:t>
            </w:r>
          </w:p>
        </w:tc>
        <w:tc>
          <w:tcPr>
            <w:tcW w:w="7297" w:type="dxa"/>
            <w:vAlign w:val="bottom"/>
          </w:tcPr>
          <w:p w14:paraId="28E20E5B">
            <w:pPr>
              <w:wordWrap w:val="0"/>
              <w:autoSpaceDE w:val="0"/>
              <w:autoSpaceDN w:val="0"/>
              <w:snapToGrid w:val="0"/>
              <w:spacing w:line="360" w:lineRule="auto"/>
              <w:jc w:val="left"/>
              <w:textAlignment w:val="bottom"/>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259B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6C39D38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36.1</w:t>
            </w:r>
          </w:p>
        </w:tc>
        <w:tc>
          <w:tcPr>
            <w:tcW w:w="2268" w:type="dxa"/>
            <w:vAlign w:val="center"/>
          </w:tcPr>
          <w:p w14:paraId="20826B2F">
            <w:pPr>
              <w:wordWrap w:val="0"/>
              <w:spacing w:line="360" w:lineRule="auto"/>
              <w:rPr>
                <w:rFonts w:ascii="宋体" w:hAnsi="宋体" w:cs="宋体"/>
                <w:color w:val="auto"/>
                <w:szCs w:val="21"/>
                <w:highlight w:val="none"/>
              </w:rPr>
            </w:pPr>
            <w:bookmarkStart w:id="43" w:name="_40.1"/>
            <w:bookmarkEnd w:id="43"/>
            <w:r>
              <w:rPr>
                <w:rFonts w:hint="eastAsia" w:ascii="宋体" w:hAnsi="宋体" w:cs="宋体"/>
                <w:color w:val="auto"/>
                <w:szCs w:val="21"/>
                <w:highlight w:val="none"/>
              </w:rPr>
              <w:t>签订电子合同携带的材料</w:t>
            </w:r>
          </w:p>
        </w:tc>
        <w:tc>
          <w:tcPr>
            <w:tcW w:w="7297" w:type="dxa"/>
            <w:vAlign w:val="center"/>
          </w:tcPr>
          <w:p w14:paraId="3402B7CF">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电子采购合同需要供应商通过有效CA证书进行电子签署</w:t>
            </w:r>
          </w:p>
        </w:tc>
      </w:tr>
      <w:tr w14:paraId="1AEB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67" w:type="dxa"/>
            <w:vMerge w:val="restart"/>
            <w:vAlign w:val="center"/>
          </w:tcPr>
          <w:p w14:paraId="3D6A7DC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38.2.1</w:t>
            </w:r>
          </w:p>
        </w:tc>
        <w:tc>
          <w:tcPr>
            <w:tcW w:w="2268" w:type="dxa"/>
            <w:vAlign w:val="center"/>
          </w:tcPr>
          <w:p w14:paraId="0D10E1F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7297" w:type="dxa"/>
            <w:vAlign w:val="center"/>
          </w:tcPr>
          <w:p w14:paraId="64851FE0">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以书面形式</w:t>
            </w:r>
          </w:p>
        </w:tc>
      </w:tr>
      <w:tr w14:paraId="2053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67" w:type="dxa"/>
            <w:vMerge w:val="continue"/>
            <w:vAlign w:val="center"/>
          </w:tcPr>
          <w:p w14:paraId="44462417">
            <w:pPr>
              <w:widowControl/>
              <w:wordWrap w:val="0"/>
              <w:spacing w:line="360" w:lineRule="auto"/>
              <w:jc w:val="left"/>
              <w:rPr>
                <w:rFonts w:ascii="宋体" w:hAnsi="宋体" w:cs="宋体"/>
                <w:color w:val="auto"/>
                <w:szCs w:val="21"/>
                <w:highlight w:val="none"/>
              </w:rPr>
            </w:pPr>
          </w:p>
        </w:tc>
        <w:tc>
          <w:tcPr>
            <w:tcW w:w="2268" w:type="dxa"/>
            <w:vAlign w:val="center"/>
          </w:tcPr>
          <w:p w14:paraId="66A3960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297" w:type="dxa"/>
            <w:vAlign w:val="center"/>
          </w:tcPr>
          <w:p w14:paraId="672949B1">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none"/>
              </w:rPr>
              <w:t>（1）</w:t>
            </w:r>
            <w:bookmarkStart w:id="44" w:name="PO_3000001866_PM031_3"/>
            <w:r>
              <w:rPr>
                <w:rFonts w:hint="eastAsia" w:ascii="宋体" w:hAnsi="宋体" w:cs="宋体"/>
                <w:color w:val="auto"/>
                <w:szCs w:val="21"/>
                <w:highlight w:val="none"/>
                <w:u w:val="single"/>
              </w:rPr>
              <w:t>广西邕政采购代理有限公司</w:t>
            </w:r>
            <w:bookmarkEnd w:id="44"/>
            <w:r>
              <w:rPr>
                <w:rFonts w:hint="eastAsia" w:ascii="宋体" w:hAnsi="宋体" w:cs="宋体"/>
                <w:color w:val="auto"/>
                <w:szCs w:val="21"/>
                <w:highlight w:val="none"/>
                <w:u w:val="single"/>
              </w:rPr>
              <w:t xml:space="preserve"> 部门；</w:t>
            </w:r>
          </w:p>
          <w:p w14:paraId="02A4F898">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联系电话：0771-2225338，</w:t>
            </w:r>
          </w:p>
          <w:p w14:paraId="2E8E2DDD">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 xml:space="preserve">通讯地址：南宁市青秀区民族大道180号（威壮大厦）22层2210～2217室 </w:t>
            </w:r>
          </w:p>
          <w:p w14:paraId="294AA7E7">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lang w:eastAsia="zh-CN"/>
              </w:rPr>
              <w:t>南宁市第一职业技术学校</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部门；</w:t>
            </w:r>
          </w:p>
          <w:p w14:paraId="040697F1">
            <w:pPr>
              <w:wordWrap w:val="0"/>
              <w:snapToGrid w:val="0"/>
              <w:spacing w:line="360" w:lineRule="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u w:val="single"/>
              </w:rPr>
              <w:t>联系电话：0771-2418141</w:t>
            </w:r>
          </w:p>
          <w:p w14:paraId="1F4665EE">
            <w:pPr>
              <w:wordWrap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rPr>
              <w:t>通讯地址：南宁市新阳北一路19号</w:t>
            </w:r>
          </w:p>
        </w:tc>
      </w:tr>
      <w:tr w14:paraId="0D3B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867" w:type="dxa"/>
            <w:vMerge w:val="continue"/>
            <w:vAlign w:val="center"/>
          </w:tcPr>
          <w:p w14:paraId="23A492A6">
            <w:pPr>
              <w:widowControl/>
              <w:wordWrap w:val="0"/>
              <w:spacing w:line="360" w:lineRule="auto"/>
              <w:jc w:val="left"/>
              <w:rPr>
                <w:rFonts w:ascii="宋体" w:hAnsi="宋体" w:cs="宋体"/>
                <w:color w:val="auto"/>
                <w:szCs w:val="21"/>
                <w:highlight w:val="none"/>
              </w:rPr>
            </w:pPr>
          </w:p>
        </w:tc>
        <w:tc>
          <w:tcPr>
            <w:tcW w:w="2268" w:type="dxa"/>
            <w:vAlign w:val="center"/>
          </w:tcPr>
          <w:p w14:paraId="5DB5F1B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现场提交质疑办理业务时间</w:t>
            </w:r>
          </w:p>
        </w:tc>
        <w:tc>
          <w:tcPr>
            <w:tcW w:w="7297" w:type="dxa"/>
            <w:vAlign w:val="center"/>
          </w:tcPr>
          <w:p w14:paraId="7CB08524">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质疑期内每个工作日</w:t>
            </w:r>
            <w:r>
              <w:rPr>
                <w:rFonts w:hint="eastAsia" w:ascii="宋体" w:hAnsi="宋体" w:cs="宋体"/>
                <w:color w:val="auto"/>
                <w:szCs w:val="21"/>
                <w:highlight w:val="none"/>
                <w:u w:val="single"/>
              </w:rPr>
              <w:t xml:space="preserve"> 09 </w:t>
            </w:r>
            <w:r>
              <w:rPr>
                <w:rFonts w:hint="eastAsia" w:ascii="宋体" w:hAnsi="宋体" w:cs="宋体"/>
                <w:color w:val="auto"/>
                <w:szCs w:val="21"/>
                <w:highlight w:val="none"/>
              </w:rPr>
              <w:t>时</w:t>
            </w:r>
            <w:r>
              <w:rPr>
                <w:rFonts w:hint="eastAsia" w:ascii="宋体" w:hAnsi="宋体" w:cs="宋体"/>
                <w:color w:val="auto"/>
                <w:szCs w:val="21"/>
                <w:highlight w:val="none"/>
                <w:u w:val="single"/>
              </w:rPr>
              <w:t>00</w:t>
            </w:r>
            <w:r>
              <w:rPr>
                <w:rFonts w:hint="eastAsia" w:ascii="宋体" w:hAnsi="宋体" w:cs="宋体"/>
                <w:color w:val="auto"/>
                <w:szCs w:val="21"/>
                <w:highlight w:val="none"/>
              </w:rPr>
              <w:t>分到</w:t>
            </w:r>
            <w:r>
              <w:rPr>
                <w:rFonts w:hint="eastAsia" w:ascii="宋体" w:hAnsi="宋体" w:cs="宋体"/>
                <w:color w:val="auto"/>
                <w:szCs w:val="21"/>
                <w:highlight w:val="none"/>
                <w:u w:val="single"/>
              </w:rPr>
              <w:t xml:space="preserve"> 12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00 </w:t>
            </w:r>
            <w:r>
              <w:rPr>
                <w:rFonts w:hint="eastAsia" w:ascii="宋体" w:hAnsi="宋体" w:cs="宋体"/>
                <w:color w:val="auto"/>
                <w:szCs w:val="21"/>
                <w:highlight w:val="none"/>
              </w:rPr>
              <w:t>分，</w:t>
            </w:r>
            <w:r>
              <w:rPr>
                <w:rFonts w:hint="eastAsia" w:ascii="宋体" w:hAnsi="宋体" w:cs="宋体"/>
                <w:color w:val="auto"/>
                <w:szCs w:val="21"/>
                <w:highlight w:val="none"/>
                <w:u w:val="single"/>
              </w:rPr>
              <w:t xml:space="preserve"> 15</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00 </w:t>
            </w:r>
            <w:r>
              <w:rPr>
                <w:rFonts w:hint="eastAsia" w:ascii="宋体" w:hAnsi="宋体" w:cs="宋体"/>
                <w:color w:val="auto"/>
                <w:szCs w:val="21"/>
                <w:highlight w:val="none"/>
              </w:rPr>
              <w:t>分到</w:t>
            </w:r>
            <w:r>
              <w:rPr>
                <w:rFonts w:hint="eastAsia" w:ascii="宋体" w:hAnsi="宋体" w:cs="宋体"/>
                <w:color w:val="auto"/>
                <w:szCs w:val="21"/>
                <w:highlight w:val="none"/>
                <w:u w:val="single"/>
              </w:rPr>
              <w:t xml:space="preserve"> 18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00 </w:t>
            </w:r>
            <w:r>
              <w:rPr>
                <w:rFonts w:hint="eastAsia" w:ascii="宋体" w:hAnsi="宋体" w:cs="宋体"/>
                <w:color w:val="auto"/>
                <w:szCs w:val="21"/>
                <w:highlight w:val="none"/>
              </w:rPr>
              <w:t>分</w:t>
            </w:r>
          </w:p>
        </w:tc>
      </w:tr>
      <w:tr w14:paraId="4F72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67" w:type="dxa"/>
            <w:vAlign w:val="center"/>
          </w:tcPr>
          <w:p w14:paraId="48A8C1D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38.3.1</w:t>
            </w:r>
          </w:p>
        </w:tc>
        <w:tc>
          <w:tcPr>
            <w:tcW w:w="2268" w:type="dxa"/>
            <w:vAlign w:val="center"/>
          </w:tcPr>
          <w:p w14:paraId="3468EFA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投诉受理方式</w:t>
            </w:r>
          </w:p>
        </w:tc>
        <w:tc>
          <w:tcPr>
            <w:tcW w:w="7297" w:type="dxa"/>
            <w:vAlign w:val="center"/>
          </w:tcPr>
          <w:p w14:paraId="65923480">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1.受理方式：纸质方式受理，投诉书正、副本（经过质疑的事项才可投诉）。</w:t>
            </w:r>
          </w:p>
          <w:p w14:paraId="7B88E258">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2.邮寄地址：</w:t>
            </w:r>
          </w:p>
          <w:p w14:paraId="308118AA">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名称：</w:t>
            </w:r>
            <w:bookmarkStart w:id="45" w:name="PO_3000001866_PM036"/>
            <w:r>
              <w:rPr>
                <w:rFonts w:hint="eastAsia" w:ascii="宋体" w:hAnsi="宋体" w:cs="宋体"/>
                <w:color w:val="auto"/>
                <w:szCs w:val="21"/>
                <w:highlight w:val="none"/>
              </w:rPr>
              <w:t>南宁市财政局政府采购监督管理科</w:t>
            </w:r>
            <w:bookmarkEnd w:id="45"/>
          </w:p>
          <w:p w14:paraId="64C58A2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地址：</w:t>
            </w:r>
            <w:bookmarkStart w:id="46" w:name="PO_3000001866_PM039"/>
            <w:r>
              <w:rPr>
                <w:rFonts w:hint="eastAsia" w:ascii="宋体" w:hAnsi="宋体" w:cs="宋体"/>
                <w:color w:val="auto"/>
                <w:szCs w:val="21"/>
                <w:highlight w:val="none"/>
              </w:rPr>
              <w:t xml:space="preserve">南宁市东葛路129号   </w:t>
            </w:r>
            <w:bookmarkEnd w:id="46"/>
          </w:p>
          <w:p w14:paraId="6704D15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联系电话：</w:t>
            </w:r>
            <w:bookmarkStart w:id="47" w:name="PO_3000001866_PM038_1"/>
            <w:r>
              <w:rPr>
                <w:rFonts w:hint="eastAsia" w:ascii="宋体" w:hAnsi="宋体" w:cs="宋体"/>
                <w:color w:val="auto"/>
                <w:szCs w:val="21"/>
                <w:highlight w:val="none"/>
              </w:rPr>
              <w:t>0771-2189091</w:t>
            </w:r>
            <w:bookmarkEnd w:id="47"/>
          </w:p>
        </w:tc>
      </w:tr>
      <w:tr w14:paraId="42CE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867" w:type="dxa"/>
            <w:vMerge w:val="restart"/>
            <w:vAlign w:val="center"/>
          </w:tcPr>
          <w:p w14:paraId="6C9DBF7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40</w:t>
            </w:r>
          </w:p>
        </w:tc>
        <w:tc>
          <w:tcPr>
            <w:tcW w:w="2268" w:type="dxa"/>
            <w:vAlign w:val="center"/>
          </w:tcPr>
          <w:p w14:paraId="5AB04836">
            <w:pPr>
              <w:wordWrap w:val="0"/>
              <w:spacing w:line="360" w:lineRule="auto"/>
              <w:rPr>
                <w:rFonts w:ascii="宋体" w:hAnsi="宋体" w:cs="宋体"/>
                <w:color w:val="auto"/>
                <w:szCs w:val="21"/>
                <w:highlight w:val="none"/>
              </w:rPr>
            </w:pPr>
            <w:bookmarkStart w:id="48" w:name="_42"/>
            <w:bookmarkEnd w:id="48"/>
            <w:bookmarkStart w:id="49" w:name="_41"/>
            <w:bookmarkEnd w:id="49"/>
            <w:r>
              <w:rPr>
                <w:rFonts w:hint="eastAsia" w:ascii="宋体" w:hAnsi="宋体" w:cs="宋体"/>
                <w:color w:val="auto"/>
                <w:szCs w:val="21"/>
                <w:highlight w:val="none"/>
              </w:rPr>
              <w:t>采购代理费支付方式</w:t>
            </w:r>
          </w:p>
        </w:tc>
        <w:tc>
          <w:tcPr>
            <w:tcW w:w="7297" w:type="dxa"/>
            <w:vAlign w:val="center"/>
          </w:tcPr>
          <w:p w14:paraId="5FA25E4E">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☑本项目代理服务费由</w:t>
            </w:r>
            <w:r>
              <w:rPr>
                <w:rFonts w:hint="eastAsia" w:hAnsi="宋体" w:cs="宋体"/>
                <w:color w:val="auto"/>
                <w:szCs w:val="21"/>
                <w:highlight w:val="none"/>
                <w:u w:val="single"/>
              </w:rPr>
              <w:t>中标供应商</w:t>
            </w:r>
            <w:r>
              <w:rPr>
                <w:rFonts w:hint="eastAsia" w:hAnsi="宋体" w:cs="宋体"/>
                <w:color w:val="auto"/>
                <w:szCs w:val="21"/>
                <w:highlight w:val="none"/>
              </w:rPr>
              <w:t>在领取中标通知书时，一次性向采购代理机构支付。</w:t>
            </w:r>
          </w:p>
          <w:p w14:paraId="14EF30B7">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□采购人支付。</w:t>
            </w:r>
          </w:p>
          <w:p w14:paraId="142290B7">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□本项目不收取代理服务费。</w:t>
            </w:r>
          </w:p>
        </w:tc>
      </w:tr>
      <w:tr w14:paraId="07B7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trPr>
        <w:tc>
          <w:tcPr>
            <w:tcW w:w="867" w:type="dxa"/>
            <w:vMerge w:val="continue"/>
            <w:vAlign w:val="center"/>
          </w:tcPr>
          <w:p w14:paraId="226ECDA8">
            <w:pPr>
              <w:widowControl/>
              <w:wordWrap w:val="0"/>
              <w:spacing w:line="360" w:lineRule="auto"/>
              <w:jc w:val="left"/>
              <w:rPr>
                <w:rFonts w:ascii="宋体" w:hAnsi="宋体" w:cs="宋体"/>
                <w:color w:val="auto"/>
                <w:szCs w:val="21"/>
                <w:highlight w:val="none"/>
              </w:rPr>
            </w:pPr>
          </w:p>
        </w:tc>
        <w:tc>
          <w:tcPr>
            <w:tcW w:w="2268" w:type="dxa"/>
            <w:vAlign w:val="center"/>
          </w:tcPr>
          <w:p w14:paraId="1226B1F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采购代理费收取标准</w:t>
            </w:r>
          </w:p>
        </w:tc>
        <w:tc>
          <w:tcPr>
            <w:tcW w:w="7297" w:type="dxa"/>
            <w:vAlign w:val="center"/>
          </w:tcPr>
          <w:p w14:paraId="0F86FE8A">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lang w:eastAsia="zh-CN"/>
              </w:rPr>
              <w:t>□</w:t>
            </w:r>
            <w:r>
              <w:rPr>
                <w:rFonts w:hint="eastAsia" w:hAnsi="宋体" w:cs="宋体"/>
                <w:color w:val="auto"/>
                <w:szCs w:val="21"/>
                <w:highlight w:val="none"/>
              </w:rPr>
              <w:t>以分标（□中标金额/□采购预算/□暂定中标金额/□其他）为计费额，按国家发改委（计价格[2002]1980号）规定的收费标准计取，采购代理收费以（□收费基准价格/□收费基准价格下浮</w:t>
            </w:r>
            <w:r>
              <w:rPr>
                <w:rFonts w:hint="eastAsia" w:hAnsi="宋体" w:cs="宋体"/>
                <w:color w:val="auto"/>
                <w:szCs w:val="21"/>
                <w:highlight w:val="none"/>
                <w:u w:val="single"/>
              </w:rPr>
              <w:t xml:space="preserve">  %</w:t>
            </w:r>
            <w:r>
              <w:rPr>
                <w:rFonts w:hint="eastAsia" w:hAnsi="宋体" w:cs="宋体"/>
                <w:color w:val="auto"/>
                <w:szCs w:val="21"/>
                <w:highlight w:val="none"/>
              </w:rPr>
              <w:t>/□收费基准价格上浮</w:t>
            </w:r>
            <w:r>
              <w:rPr>
                <w:rFonts w:hint="eastAsia" w:hAnsi="宋体" w:cs="宋体"/>
                <w:color w:val="auto"/>
                <w:szCs w:val="21"/>
                <w:highlight w:val="none"/>
                <w:u w:val="single"/>
              </w:rPr>
              <w:t xml:space="preserve">   %</w:t>
            </w:r>
            <w:r>
              <w:rPr>
                <w:rFonts w:hint="eastAsia" w:hAnsi="宋体" w:cs="宋体"/>
                <w:color w:val="auto"/>
                <w:szCs w:val="21"/>
                <w:highlight w:val="none"/>
              </w:rPr>
              <w:t>）收取。</w:t>
            </w:r>
          </w:p>
          <w:p w14:paraId="3AC9D450">
            <w:pPr>
              <w:pStyle w:val="12"/>
              <w:wordWrap w:val="0"/>
              <w:snapToGrid w:val="0"/>
              <w:spacing w:line="360" w:lineRule="auto"/>
              <w:rPr>
                <w:rFonts w:hAnsi="宋体" w:cs="宋体"/>
                <w:color w:val="auto"/>
                <w:szCs w:val="21"/>
                <w:highlight w:val="none"/>
                <w:u w:val="single"/>
              </w:rPr>
            </w:pPr>
            <w:r>
              <w:rPr>
                <w:rFonts w:hint="eastAsia" w:hAnsi="宋体" w:cs="宋体"/>
                <w:color w:val="auto"/>
                <w:szCs w:val="21"/>
                <w:highlight w:val="none"/>
                <w:lang w:eastAsia="zh-CN"/>
              </w:rPr>
              <w:t>☑</w:t>
            </w:r>
            <w:r>
              <w:rPr>
                <w:rFonts w:hint="eastAsia" w:hAnsi="宋体" w:cs="宋体"/>
                <w:b/>
                <w:bCs/>
                <w:color w:val="auto"/>
                <w:szCs w:val="21"/>
                <w:highlight w:val="none"/>
              </w:rPr>
              <w:t>固定采购代理</w:t>
            </w:r>
            <w:r>
              <w:rPr>
                <w:rFonts w:hint="eastAsia" w:hAnsi="宋体" w:cs="宋体"/>
                <w:b/>
                <w:bCs/>
                <w:color w:val="auto"/>
                <w:szCs w:val="21"/>
                <w:highlight w:val="none"/>
                <w:lang w:val="en-US" w:eastAsia="zh-CN"/>
              </w:rPr>
              <w:t>费</w:t>
            </w:r>
            <w:r>
              <w:rPr>
                <w:rFonts w:hint="eastAsia" w:hAnsi="宋体" w:cs="宋体"/>
                <w:b/>
                <w:bCs/>
                <w:color w:val="auto"/>
                <w:szCs w:val="21"/>
                <w:highlight w:val="none"/>
              </w:rPr>
              <w:t>收费</w:t>
            </w:r>
            <w:r>
              <w:rPr>
                <w:rFonts w:hint="eastAsia" w:hAnsi="宋体" w:cs="宋体"/>
                <w:b/>
                <w:bCs/>
                <w:color w:val="auto"/>
                <w:szCs w:val="21"/>
                <w:highlight w:val="none"/>
                <w:u w:val="single"/>
                <w:lang w:val="en-US" w:eastAsia="zh-CN"/>
              </w:rPr>
              <w:t xml:space="preserve"> 分标1：14000.00</w:t>
            </w:r>
            <w:r>
              <w:rPr>
                <w:rFonts w:hint="eastAsia" w:hAnsi="宋体" w:cs="宋体"/>
                <w:b/>
                <w:bCs/>
                <w:color w:val="auto"/>
                <w:szCs w:val="21"/>
                <w:highlight w:val="none"/>
                <w:u w:val="single"/>
              </w:rPr>
              <w:t>元</w:t>
            </w:r>
            <w:r>
              <w:rPr>
                <w:rFonts w:hint="eastAsia" w:hAnsi="宋体" w:cs="宋体"/>
                <w:b/>
                <w:bCs/>
                <w:color w:val="auto"/>
                <w:szCs w:val="21"/>
                <w:highlight w:val="none"/>
                <w:u w:val="single"/>
                <w:lang w:eastAsia="zh-CN"/>
              </w:rPr>
              <w:t>；</w:t>
            </w:r>
            <w:r>
              <w:rPr>
                <w:rFonts w:hint="eastAsia" w:hAnsi="宋体" w:cs="宋体"/>
                <w:b/>
                <w:bCs/>
                <w:color w:val="auto"/>
                <w:szCs w:val="21"/>
                <w:highlight w:val="none"/>
                <w:u w:val="single"/>
                <w:lang w:val="en-US" w:eastAsia="zh-CN"/>
              </w:rPr>
              <w:t>分标2：4000.00</w:t>
            </w:r>
            <w:r>
              <w:rPr>
                <w:rFonts w:hint="eastAsia" w:hAnsi="宋体" w:cs="宋体"/>
                <w:b/>
                <w:bCs/>
                <w:color w:val="auto"/>
                <w:szCs w:val="21"/>
                <w:highlight w:val="none"/>
                <w:u w:val="single"/>
              </w:rPr>
              <w:t>元</w:t>
            </w:r>
            <w:r>
              <w:rPr>
                <w:rFonts w:hint="eastAsia" w:hAnsi="宋体" w:cs="宋体"/>
                <w:b/>
                <w:bCs/>
                <w:color w:val="auto"/>
                <w:szCs w:val="21"/>
                <w:highlight w:val="none"/>
                <w:u w:val="single"/>
                <w:lang w:eastAsia="zh-CN"/>
              </w:rPr>
              <w:t>；</w:t>
            </w:r>
            <w:r>
              <w:rPr>
                <w:rFonts w:hint="eastAsia" w:hAnsi="宋体" w:cs="宋体"/>
                <w:b/>
                <w:bCs/>
                <w:color w:val="auto"/>
                <w:szCs w:val="21"/>
                <w:highlight w:val="none"/>
                <w:u w:val="single"/>
                <w:lang w:val="en-US" w:eastAsia="zh-CN"/>
              </w:rPr>
              <w:t>分标3：3000.00</w:t>
            </w:r>
            <w:r>
              <w:rPr>
                <w:rFonts w:hint="eastAsia" w:hAnsi="宋体" w:cs="宋体"/>
                <w:b/>
                <w:bCs/>
                <w:color w:val="auto"/>
                <w:szCs w:val="21"/>
                <w:highlight w:val="none"/>
                <w:u w:val="single"/>
              </w:rPr>
              <w:t>元</w:t>
            </w:r>
            <w:r>
              <w:rPr>
                <w:rFonts w:hint="eastAsia" w:hAnsi="宋体" w:cs="宋体"/>
                <w:b/>
                <w:bCs/>
                <w:color w:val="auto"/>
                <w:szCs w:val="21"/>
                <w:highlight w:val="none"/>
                <w:u w:val="single"/>
                <w:lang w:eastAsia="zh-CN"/>
              </w:rPr>
              <w:t>；</w:t>
            </w:r>
            <w:r>
              <w:rPr>
                <w:rFonts w:hint="eastAsia" w:hAnsi="宋体" w:cs="宋体"/>
                <w:b/>
                <w:bCs/>
                <w:color w:val="auto"/>
                <w:szCs w:val="21"/>
                <w:highlight w:val="none"/>
                <w:u w:val="single"/>
                <w:lang w:val="en-US" w:eastAsia="zh-CN"/>
              </w:rPr>
              <w:t>分标4：3000.00</w:t>
            </w:r>
            <w:r>
              <w:rPr>
                <w:rFonts w:hint="eastAsia" w:hAnsi="宋体" w:cs="宋体"/>
                <w:b/>
                <w:bCs/>
                <w:color w:val="auto"/>
                <w:szCs w:val="21"/>
                <w:highlight w:val="none"/>
                <w:u w:val="single"/>
              </w:rPr>
              <w:t>元</w:t>
            </w:r>
            <w:r>
              <w:rPr>
                <w:rFonts w:hint="eastAsia" w:hAnsi="宋体" w:cs="宋体"/>
                <w:b/>
                <w:bCs/>
                <w:color w:val="auto"/>
                <w:szCs w:val="21"/>
                <w:highlight w:val="none"/>
                <w:u w:val="single"/>
                <w:lang w:eastAsia="zh-CN"/>
              </w:rPr>
              <w:t>；</w:t>
            </w:r>
            <w:r>
              <w:rPr>
                <w:rFonts w:hint="eastAsia" w:hAnsi="宋体" w:cs="宋体"/>
                <w:b/>
                <w:bCs/>
                <w:color w:val="auto"/>
                <w:szCs w:val="21"/>
                <w:highlight w:val="none"/>
                <w:u w:val="single"/>
              </w:rPr>
              <w:t>。</w:t>
            </w:r>
          </w:p>
        </w:tc>
      </w:tr>
      <w:tr w14:paraId="310C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867" w:type="dxa"/>
            <w:vMerge w:val="continue"/>
            <w:vAlign w:val="center"/>
          </w:tcPr>
          <w:p w14:paraId="0FDCD0FD">
            <w:pPr>
              <w:widowControl/>
              <w:wordWrap w:val="0"/>
              <w:spacing w:line="360" w:lineRule="auto"/>
              <w:jc w:val="left"/>
              <w:rPr>
                <w:rFonts w:ascii="宋体" w:hAnsi="宋体" w:cs="宋体"/>
                <w:color w:val="auto"/>
                <w:szCs w:val="21"/>
                <w:highlight w:val="none"/>
              </w:rPr>
            </w:pPr>
          </w:p>
        </w:tc>
        <w:tc>
          <w:tcPr>
            <w:tcW w:w="2268" w:type="dxa"/>
            <w:vAlign w:val="center"/>
          </w:tcPr>
          <w:p w14:paraId="58C1077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代理服务费收款账户信息</w:t>
            </w:r>
          </w:p>
        </w:tc>
        <w:tc>
          <w:tcPr>
            <w:tcW w:w="7297" w:type="dxa"/>
            <w:vAlign w:val="center"/>
          </w:tcPr>
          <w:p w14:paraId="3F5C45AF">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账户名称：广西邕政采购代理有限公司</w:t>
            </w:r>
          </w:p>
          <w:p w14:paraId="41B447C8">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开户银行：交通银行南宁东葛西支行</w:t>
            </w:r>
          </w:p>
          <w:p w14:paraId="69F7F879">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 xml:space="preserve">银行账号：4510 6070 1018 1602 32818 </w:t>
            </w:r>
          </w:p>
          <w:p w14:paraId="45B529A6">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开户行行号：301611000718</w:t>
            </w:r>
          </w:p>
        </w:tc>
      </w:tr>
      <w:tr w14:paraId="6629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0BEA6D78">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41.1</w:t>
            </w:r>
          </w:p>
        </w:tc>
        <w:tc>
          <w:tcPr>
            <w:tcW w:w="2268" w:type="dxa"/>
            <w:vAlign w:val="center"/>
          </w:tcPr>
          <w:p w14:paraId="0E288CD6">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解释</w:t>
            </w:r>
          </w:p>
        </w:tc>
        <w:tc>
          <w:tcPr>
            <w:tcW w:w="7297" w:type="dxa"/>
            <w:vAlign w:val="center"/>
          </w:tcPr>
          <w:p w14:paraId="0B7A6062">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0D3CE462">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法律责任：</w:t>
            </w:r>
          </w:p>
          <w:p w14:paraId="26DC2470">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本招标文件根据《中华人民共和国政府采购法》、《中华人民共和国民法典》；《中华人民共和国政府采购法实施条例》等有关法律、法规编制，参与本项目的各政府采购当事人依法享有上述法律法规所赋予的权利与义务。</w:t>
            </w:r>
          </w:p>
          <w:p w14:paraId="5083F4F4">
            <w:pPr>
              <w:wordWrap w:val="0"/>
              <w:spacing w:line="360" w:lineRule="auto"/>
              <w:rPr>
                <w:rFonts w:ascii="宋体" w:hAnsi="宋体" w:cs="宋体"/>
                <w:color w:val="auto"/>
                <w:szCs w:val="21"/>
                <w:highlight w:val="none"/>
              </w:rPr>
            </w:pPr>
            <w:r>
              <w:rPr>
                <w:rFonts w:hint="eastAsia" w:ascii="宋体" w:hAnsi="宋体" w:cs="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5CDC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 w:type="dxa"/>
            <w:vAlign w:val="center"/>
          </w:tcPr>
          <w:p w14:paraId="3A4D3FBC">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41.2</w:t>
            </w:r>
          </w:p>
        </w:tc>
        <w:tc>
          <w:tcPr>
            <w:tcW w:w="2268" w:type="dxa"/>
            <w:vAlign w:val="center"/>
          </w:tcPr>
          <w:p w14:paraId="5D4AFE3B">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其他释义</w:t>
            </w:r>
          </w:p>
        </w:tc>
        <w:tc>
          <w:tcPr>
            <w:tcW w:w="7297" w:type="dxa"/>
            <w:vAlign w:val="center"/>
          </w:tcPr>
          <w:p w14:paraId="1AD6B889">
            <w:pPr>
              <w:pStyle w:val="12"/>
              <w:wordWrap w:val="0"/>
              <w:snapToGrid w:val="0"/>
              <w:spacing w:line="360" w:lineRule="auto"/>
              <w:rPr>
                <w:rFonts w:hAnsi="宋体" w:cs="宋体"/>
                <w:b/>
                <w:bCs/>
                <w:color w:val="auto"/>
                <w:szCs w:val="21"/>
                <w:highlight w:val="none"/>
              </w:rPr>
            </w:pPr>
            <w:r>
              <w:rPr>
                <w:rFonts w:hint="eastAsia" w:hAnsi="宋体" w:cs="宋体"/>
                <w:b/>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4F7575C">
            <w:pPr>
              <w:pStyle w:val="12"/>
              <w:wordWrap w:val="0"/>
              <w:snapToGrid w:val="0"/>
              <w:spacing w:line="360" w:lineRule="auto"/>
              <w:rPr>
                <w:rFonts w:hAnsi="宋体" w:cs="宋体"/>
                <w:b/>
                <w:bCs/>
                <w:color w:val="auto"/>
                <w:szCs w:val="21"/>
                <w:highlight w:val="none"/>
              </w:rPr>
            </w:pPr>
            <w:r>
              <w:rPr>
                <w:rFonts w:hint="eastAsia" w:hAnsi="宋体" w:cs="宋体"/>
                <w:b/>
                <w:bCs/>
                <w:color w:val="auto"/>
                <w:szCs w:val="21"/>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60B3515">
            <w:pPr>
              <w:pStyle w:val="12"/>
              <w:wordWrap w:val="0"/>
              <w:snapToGrid w:val="0"/>
              <w:spacing w:line="360" w:lineRule="auto"/>
              <w:rPr>
                <w:rFonts w:hAnsi="宋体" w:cs="宋体"/>
                <w:b/>
                <w:bCs/>
                <w:color w:val="auto"/>
                <w:szCs w:val="21"/>
                <w:highlight w:val="none"/>
              </w:rPr>
            </w:pPr>
            <w:r>
              <w:rPr>
                <w:rFonts w:hint="eastAsia" w:hAnsi="宋体" w:cs="宋体"/>
                <w:b/>
                <w:bCs/>
                <w:color w:val="auto"/>
                <w:szCs w:val="21"/>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68B5F8A4">
            <w:pPr>
              <w:pStyle w:val="12"/>
              <w:wordWrap w:val="0"/>
              <w:snapToGrid w:val="0"/>
              <w:spacing w:line="360" w:lineRule="auto"/>
              <w:rPr>
                <w:rFonts w:hAnsi="宋体" w:cs="宋体"/>
                <w:b/>
                <w:bCs/>
                <w:color w:val="auto"/>
                <w:szCs w:val="21"/>
                <w:highlight w:val="none"/>
              </w:rPr>
            </w:pPr>
            <w:r>
              <w:rPr>
                <w:rFonts w:hint="eastAsia" w:hAnsi="宋体" w:cs="宋体"/>
                <w:b/>
                <w:bCs/>
                <w:color w:val="auto"/>
                <w:szCs w:val="21"/>
                <w:highlight w:val="none"/>
              </w:rPr>
              <w:t>4.自然人投标的，招标文件规定盖公章处由自然人摁手指指印。</w:t>
            </w:r>
          </w:p>
          <w:p w14:paraId="73561C49">
            <w:pPr>
              <w:wordWrap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5FFC18D2">
      <w:pPr>
        <w:widowControl/>
        <w:wordWrap w:val="0"/>
        <w:spacing w:line="360" w:lineRule="auto"/>
        <w:jc w:val="left"/>
        <w:rPr>
          <w:rFonts w:ascii="宋体" w:hAnsi="宋体" w:cs="宋体"/>
          <w:b/>
          <w:bCs/>
          <w:color w:val="auto"/>
          <w:sz w:val="32"/>
          <w:szCs w:val="32"/>
          <w:highlight w:val="none"/>
        </w:rPr>
        <w:sectPr>
          <w:footerReference r:id="rId6" w:type="default"/>
          <w:pgSz w:w="11906" w:h="16838"/>
          <w:pgMar w:top="1440" w:right="1080" w:bottom="1440" w:left="1080" w:header="720" w:footer="720" w:gutter="0"/>
          <w:pgNumType w:fmt="decimal"/>
          <w:cols w:space="720" w:num="1"/>
          <w:docGrid w:type="lines" w:linePitch="331" w:charSpace="0"/>
        </w:sectPr>
      </w:pPr>
    </w:p>
    <w:p w14:paraId="51488BD3">
      <w:pPr>
        <w:wordWrap w:val="0"/>
        <w:spacing w:line="360" w:lineRule="auto"/>
        <w:rPr>
          <w:rFonts w:ascii="宋体" w:hAnsi="宋体" w:cs="宋体"/>
          <w:color w:val="auto"/>
          <w:highlight w:val="none"/>
        </w:rPr>
      </w:pPr>
    </w:p>
    <w:p w14:paraId="21217B63">
      <w:pPr>
        <w:pStyle w:val="4"/>
        <w:wordWrap w:val="0"/>
        <w:spacing w:before="0" w:after="0" w:line="360" w:lineRule="auto"/>
        <w:jc w:val="center"/>
        <w:rPr>
          <w:rFonts w:ascii="宋体" w:hAnsi="宋体" w:eastAsia="宋体" w:cs="宋体"/>
          <w:color w:val="auto"/>
          <w:highlight w:val="none"/>
        </w:rPr>
      </w:pPr>
      <w:bookmarkStart w:id="50" w:name="_Toc624"/>
      <w:r>
        <w:rPr>
          <w:rFonts w:hint="eastAsia" w:ascii="宋体" w:hAnsi="宋体" w:eastAsia="宋体" w:cs="宋体"/>
          <w:color w:val="auto"/>
          <w:highlight w:val="none"/>
        </w:rPr>
        <w:t>第二节 投标人须知正文</w:t>
      </w:r>
      <w:bookmarkEnd w:id="50"/>
    </w:p>
    <w:p w14:paraId="49E1001A">
      <w:pPr>
        <w:pStyle w:val="5"/>
        <w:keepNext w:val="0"/>
        <w:keepLines w:val="0"/>
        <w:wordWrap w:val="0"/>
        <w:spacing w:line="360" w:lineRule="auto"/>
        <w:jc w:val="center"/>
        <w:rPr>
          <w:rFonts w:ascii="宋体" w:hAnsi="宋体" w:cs="宋体"/>
          <w:color w:val="auto"/>
          <w:highlight w:val="none"/>
        </w:rPr>
      </w:pPr>
      <w:bookmarkStart w:id="51" w:name="_Toc4908"/>
      <w:r>
        <w:rPr>
          <w:rFonts w:hint="eastAsia" w:ascii="宋体" w:hAnsi="宋体" w:cs="宋体"/>
          <w:color w:val="auto"/>
          <w:highlight w:val="none"/>
        </w:rPr>
        <w:t>一、总  则</w:t>
      </w:r>
      <w:bookmarkEnd w:id="51"/>
    </w:p>
    <w:p w14:paraId="6632FFCE">
      <w:pPr>
        <w:wordWrap w:val="0"/>
        <w:spacing w:line="360" w:lineRule="auto"/>
        <w:ind w:firstLine="480" w:firstLineChars="200"/>
        <w:rPr>
          <w:rFonts w:ascii="宋体" w:hAnsi="宋体" w:cs="宋体"/>
          <w:color w:val="auto"/>
          <w:sz w:val="24"/>
          <w:highlight w:val="none"/>
        </w:rPr>
      </w:pPr>
      <w:bookmarkStart w:id="52" w:name="_Toc254970527"/>
      <w:bookmarkStart w:id="53" w:name="_Toc254970668"/>
      <w:r>
        <w:rPr>
          <w:rFonts w:hint="eastAsia" w:ascii="宋体" w:hAnsi="宋体" w:cs="宋体"/>
          <w:color w:val="auto"/>
          <w:sz w:val="24"/>
          <w:highlight w:val="none"/>
        </w:rPr>
        <w:t>1.适用范围</w:t>
      </w:r>
      <w:bookmarkEnd w:id="52"/>
      <w:bookmarkEnd w:id="53"/>
    </w:p>
    <w:p w14:paraId="26A396B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084D04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0BBC6EA1">
      <w:pPr>
        <w:wordWrap w:val="0"/>
        <w:spacing w:line="360" w:lineRule="auto"/>
        <w:ind w:firstLine="480" w:firstLineChars="200"/>
        <w:rPr>
          <w:rFonts w:ascii="宋体" w:hAnsi="宋体" w:cs="宋体"/>
          <w:color w:val="auto"/>
          <w:sz w:val="24"/>
          <w:highlight w:val="none"/>
        </w:rPr>
      </w:pPr>
      <w:bookmarkStart w:id="54" w:name="_Toc254970669"/>
      <w:bookmarkStart w:id="55" w:name="_Toc254970528"/>
      <w:r>
        <w:rPr>
          <w:rFonts w:hint="eastAsia" w:ascii="宋体" w:hAnsi="宋体" w:cs="宋体"/>
          <w:color w:val="auto"/>
          <w:sz w:val="24"/>
          <w:highlight w:val="none"/>
        </w:rPr>
        <w:t>2.定义</w:t>
      </w:r>
      <w:bookmarkEnd w:id="54"/>
      <w:bookmarkEnd w:id="55"/>
    </w:p>
    <w:p w14:paraId="324C974E">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143DFFBB">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5F1B2D3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47A3B4D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7FD01D9F">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2242552A">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5CE5F8AB">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419FB2D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27543D1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60DEEC7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56" w:name="_Toc254970529"/>
      <w:bookmarkStart w:id="57" w:name="_Toc254970670"/>
    </w:p>
    <w:p w14:paraId="019A7AF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bookmarkEnd w:id="56"/>
      <w:bookmarkEnd w:id="57"/>
      <w:r>
        <w:rPr>
          <w:rFonts w:hint="eastAsia" w:ascii="宋体" w:hAnsi="宋体" w:cs="宋体"/>
          <w:color w:val="auto"/>
          <w:sz w:val="24"/>
          <w:highlight w:val="none"/>
        </w:rPr>
        <w:t>投标人的资格要求</w:t>
      </w:r>
    </w:p>
    <w:p w14:paraId="3034BF6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115038FB">
      <w:pPr>
        <w:wordWrap w:val="0"/>
        <w:spacing w:line="360" w:lineRule="auto"/>
        <w:ind w:firstLine="480" w:firstLineChars="200"/>
        <w:rPr>
          <w:rFonts w:ascii="宋体" w:hAnsi="宋体" w:cs="宋体"/>
          <w:color w:val="auto"/>
          <w:sz w:val="24"/>
          <w:highlight w:val="none"/>
        </w:rPr>
      </w:pPr>
      <w:bookmarkStart w:id="58" w:name="_Toc254970530"/>
      <w:bookmarkStart w:id="59" w:name="_Toc254970671"/>
      <w:r>
        <w:rPr>
          <w:rFonts w:hint="eastAsia" w:ascii="宋体" w:hAnsi="宋体" w:cs="宋体"/>
          <w:color w:val="auto"/>
          <w:sz w:val="24"/>
          <w:highlight w:val="none"/>
        </w:rPr>
        <w:t>4.投标委托</w:t>
      </w:r>
      <w:bookmarkEnd w:id="58"/>
      <w:bookmarkEnd w:id="59"/>
    </w:p>
    <w:p w14:paraId="6A1C054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734131AB">
      <w:pPr>
        <w:wordWrap w:val="0"/>
        <w:spacing w:line="360" w:lineRule="auto"/>
        <w:ind w:firstLine="480" w:firstLineChars="200"/>
        <w:rPr>
          <w:rFonts w:ascii="宋体" w:hAnsi="宋体" w:cs="宋体"/>
          <w:color w:val="auto"/>
          <w:sz w:val="24"/>
          <w:highlight w:val="none"/>
        </w:rPr>
      </w:pPr>
      <w:bookmarkStart w:id="60" w:name="_5.投标费用"/>
      <w:bookmarkEnd w:id="60"/>
      <w:bookmarkStart w:id="61" w:name="_Toc254970672"/>
      <w:bookmarkStart w:id="62" w:name="_Toc254970531"/>
      <w:r>
        <w:rPr>
          <w:rFonts w:hint="eastAsia" w:ascii="宋体" w:hAnsi="宋体" w:cs="宋体"/>
          <w:color w:val="auto"/>
          <w:sz w:val="24"/>
          <w:highlight w:val="none"/>
        </w:rPr>
        <w:t>5.投标费用</w:t>
      </w:r>
      <w:bookmarkEnd w:id="61"/>
      <w:bookmarkEnd w:id="62"/>
    </w:p>
    <w:p w14:paraId="3F7F53C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4EB22BD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09AD9B7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0519304A">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18677516">
      <w:pPr>
        <w:wordWrap w:val="0"/>
        <w:spacing w:line="360" w:lineRule="auto"/>
        <w:ind w:firstLine="420" w:firstLineChars="200"/>
        <w:rPr>
          <w:rFonts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6.3根据《政府采购促进中小企业发展管理办法》（财库[2020]46号）第九条、《广西壮族自治区财政厅关于持续优化政府采购营商环境推动高质量发展的通知》（桂财采〔2024〕55号）、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591FCCC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7B5FAA39">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346AE652">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7.2根据《政府采购促进中小企业发展管理办法》（财库[2020]46号）第九条及《广西壮族自治区财政厅关于持续优化政府采购营商环境推动高质量发展的通知》（桂财采〔2024〕55号）、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574C109">
      <w:pPr>
        <w:wordWrap w:val="0"/>
        <w:spacing w:line="360" w:lineRule="auto"/>
        <w:ind w:firstLine="480" w:firstLineChars="200"/>
        <w:rPr>
          <w:rFonts w:ascii="宋体" w:hAnsi="宋体" w:cs="宋体"/>
          <w:color w:val="auto"/>
          <w:sz w:val="24"/>
          <w:highlight w:val="none"/>
        </w:rPr>
      </w:pPr>
      <w:bookmarkStart w:id="63" w:name="_Toc254970673"/>
      <w:bookmarkStart w:id="64" w:name="_Toc254970532"/>
      <w:r>
        <w:rPr>
          <w:rFonts w:hint="eastAsia" w:ascii="宋体" w:hAnsi="宋体" w:cs="宋体"/>
          <w:color w:val="auto"/>
          <w:sz w:val="24"/>
          <w:highlight w:val="none"/>
        </w:rPr>
        <w:t>8.特别说明：</w:t>
      </w:r>
      <w:bookmarkEnd w:id="63"/>
      <w:bookmarkEnd w:id="64"/>
      <w:bookmarkStart w:id="65" w:name="_8.1提供相同品牌产品且通过资格审查、符合性审查的不同投标人参加同一合"/>
      <w:bookmarkEnd w:id="65"/>
    </w:p>
    <w:p w14:paraId="4652F5C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2B8EFB6A">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385052AF">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7059320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11DA4E0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6B099AA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7462F91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62CCE93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213E4C0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582046D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63359DF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76229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458FAB63">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7A52B210">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38482F3E">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36353040">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378D0308">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（5）不同投标人的纸质投标文件相互混装；</w:t>
      </w:r>
    </w:p>
    <w:p w14:paraId="474C710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514EA0B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0D55D85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2EE582E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347129D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716642F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722B448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07A5100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0C1FB98E">
      <w:pPr>
        <w:pStyle w:val="12"/>
        <w:wordWrap w:val="0"/>
        <w:snapToGrid w:val="0"/>
        <w:spacing w:line="360" w:lineRule="auto"/>
        <w:ind w:left="2" w:leftChars="1" w:firstLine="422" w:firstLineChars="200"/>
        <w:rPr>
          <w:rFonts w:hAnsi="宋体" w:cs="宋体"/>
          <w:b/>
          <w:color w:val="auto"/>
          <w:highlight w:val="none"/>
        </w:rPr>
      </w:pPr>
    </w:p>
    <w:p w14:paraId="0C6F81E8">
      <w:pPr>
        <w:pStyle w:val="5"/>
        <w:keepNext w:val="0"/>
        <w:keepLines w:val="0"/>
        <w:wordWrap w:val="0"/>
        <w:spacing w:line="360" w:lineRule="auto"/>
        <w:jc w:val="center"/>
        <w:rPr>
          <w:rFonts w:ascii="宋体" w:hAnsi="宋体" w:cs="宋体"/>
          <w:color w:val="auto"/>
          <w:highlight w:val="none"/>
        </w:rPr>
      </w:pPr>
      <w:bookmarkStart w:id="66" w:name="_Toc23507"/>
      <w:bookmarkStart w:id="67" w:name="_Toc254970675"/>
      <w:bookmarkStart w:id="68" w:name="_Toc254970534"/>
      <w:r>
        <w:rPr>
          <w:rFonts w:hint="eastAsia" w:ascii="宋体" w:hAnsi="宋体" w:cs="宋体"/>
          <w:color w:val="auto"/>
          <w:highlight w:val="none"/>
        </w:rPr>
        <w:t>二、招标文件</w:t>
      </w:r>
      <w:bookmarkEnd w:id="66"/>
      <w:bookmarkEnd w:id="67"/>
      <w:bookmarkEnd w:id="68"/>
    </w:p>
    <w:p w14:paraId="2022185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261D4E4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 招标公告；</w:t>
      </w:r>
    </w:p>
    <w:p w14:paraId="7BBF4C5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第二章 采购需求； </w:t>
      </w:r>
    </w:p>
    <w:p w14:paraId="255E24F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 投标人须知；</w:t>
      </w:r>
    </w:p>
    <w:p w14:paraId="7B5AA10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 评标方法及评标标准；</w:t>
      </w:r>
    </w:p>
    <w:p w14:paraId="2E1C938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 拟签订的合同文本；</w:t>
      </w:r>
    </w:p>
    <w:p w14:paraId="125FD5F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77A2D94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6AA9A72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1E0D377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235C90C0">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6A3A96B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7664EDB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10A081E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044B4C1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w:t>
      </w:r>
      <w:bookmarkStart w:id="69"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69"/>
    <w:p w14:paraId="362205CC">
      <w:pPr>
        <w:pStyle w:val="5"/>
        <w:keepNext w:val="0"/>
        <w:keepLines w:val="0"/>
        <w:wordWrap w:val="0"/>
        <w:spacing w:line="360" w:lineRule="auto"/>
        <w:jc w:val="center"/>
        <w:rPr>
          <w:rFonts w:ascii="宋体" w:hAnsi="宋体" w:cs="宋体"/>
          <w:color w:val="auto"/>
          <w:highlight w:val="none"/>
        </w:rPr>
      </w:pPr>
      <w:bookmarkStart w:id="70" w:name="_Toc25725"/>
      <w:bookmarkStart w:id="71" w:name="_Toc254970535"/>
      <w:bookmarkStart w:id="72" w:name="_Toc254970676"/>
      <w:r>
        <w:rPr>
          <w:rFonts w:hint="eastAsia" w:ascii="宋体" w:hAnsi="宋体" w:cs="宋体"/>
          <w:color w:val="auto"/>
          <w:highlight w:val="none"/>
        </w:rPr>
        <w:t>三、投标文件的编制</w:t>
      </w:r>
      <w:bookmarkEnd w:id="70"/>
      <w:bookmarkEnd w:id="71"/>
      <w:bookmarkEnd w:id="72"/>
    </w:p>
    <w:p w14:paraId="4C07BDB0">
      <w:pPr>
        <w:wordWrap w:val="0"/>
        <w:spacing w:line="360" w:lineRule="auto"/>
        <w:ind w:firstLine="480" w:firstLineChars="200"/>
        <w:rPr>
          <w:rFonts w:ascii="宋体" w:hAnsi="宋体" w:cs="宋体"/>
          <w:color w:val="auto"/>
          <w:sz w:val="24"/>
          <w:highlight w:val="none"/>
        </w:rPr>
      </w:pPr>
      <w:bookmarkStart w:id="73" w:name="_Toc254970677"/>
      <w:bookmarkStart w:id="74" w:name="_Toc254970536"/>
      <w:r>
        <w:rPr>
          <w:rFonts w:hint="eastAsia" w:ascii="宋体" w:hAnsi="宋体" w:cs="宋体"/>
          <w:color w:val="auto"/>
          <w:sz w:val="24"/>
          <w:highlight w:val="none"/>
        </w:rPr>
        <w:t>12.投标文件的编制原则</w:t>
      </w:r>
    </w:p>
    <w:p w14:paraId="213B274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42B8633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979EF2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73"/>
      <w:bookmarkEnd w:id="74"/>
    </w:p>
    <w:p w14:paraId="6F699D4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46CDAE77">
      <w:pPr>
        <w:wordWrap w:val="0"/>
        <w:spacing w:line="360" w:lineRule="auto"/>
        <w:ind w:firstLine="420" w:firstLineChars="200"/>
        <w:rPr>
          <w:rFonts w:ascii="宋体" w:hAnsi="宋体" w:cs="宋体"/>
          <w:bCs/>
          <w:color w:val="auto"/>
          <w:szCs w:val="21"/>
          <w:highlight w:val="none"/>
        </w:rPr>
      </w:pPr>
      <w:bookmarkStart w:id="75" w:name="_13.1报价文件:_具体材料见“投标人须知前附表”。"/>
      <w:bookmarkEnd w:id="75"/>
      <w:bookmarkStart w:id="76" w:name="_13.2资格证明文件：具体材料见“投标人须知前附表”。"/>
      <w:bookmarkEnd w:id="76"/>
      <w:r>
        <w:rPr>
          <w:rFonts w:hint="eastAsia" w:ascii="宋体" w:hAnsi="宋体" w:cs="宋体"/>
          <w:bCs/>
          <w:color w:val="auto"/>
          <w:szCs w:val="21"/>
          <w:highlight w:val="none"/>
        </w:rPr>
        <w:t>（1）资格证明文件：具体材料见“投标人须知前附表”。</w:t>
      </w:r>
    </w:p>
    <w:p w14:paraId="6FCD6B8E">
      <w:pPr>
        <w:wordWrap w:val="0"/>
        <w:spacing w:line="360" w:lineRule="auto"/>
        <w:ind w:firstLine="420" w:firstLineChars="200"/>
        <w:rPr>
          <w:rFonts w:ascii="宋体" w:hAnsi="宋体" w:cs="宋体"/>
          <w:bCs/>
          <w:color w:val="auto"/>
          <w:szCs w:val="21"/>
          <w:highlight w:val="none"/>
        </w:rPr>
      </w:pPr>
      <w:bookmarkStart w:id="77" w:name="_13.3商务文件:_具体材料见“投标人须知前附表”。"/>
      <w:bookmarkEnd w:id="77"/>
      <w:r>
        <w:rPr>
          <w:rFonts w:hint="eastAsia" w:ascii="宋体" w:hAnsi="宋体" w:cs="宋体"/>
          <w:bCs/>
          <w:color w:val="auto"/>
          <w:szCs w:val="21"/>
          <w:highlight w:val="none"/>
        </w:rPr>
        <w:t>（2）商务文件：具体材料见“投标人须知前附表”。</w:t>
      </w:r>
    </w:p>
    <w:p w14:paraId="5EDF1883">
      <w:pPr>
        <w:wordWrap w:val="0"/>
        <w:spacing w:line="360" w:lineRule="auto"/>
        <w:ind w:firstLine="420" w:firstLineChars="200"/>
        <w:rPr>
          <w:rFonts w:ascii="宋体" w:hAnsi="宋体" w:cs="宋体"/>
          <w:bCs/>
          <w:color w:val="auto"/>
          <w:szCs w:val="21"/>
          <w:highlight w:val="none"/>
        </w:rPr>
      </w:pPr>
      <w:bookmarkStart w:id="78" w:name="_13.4技术文件：具体材料见“投标人须知前附表”。"/>
      <w:bookmarkEnd w:id="78"/>
      <w:r>
        <w:rPr>
          <w:rFonts w:hint="eastAsia" w:ascii="宋体" w:hAnsi="宋体" w:cs="宋体"/>
          <w:bCs/>
          <w:color w:val="auto"/>
          <w:szCs w:val="21"/>
          <w:highlight w:val="none"/>
        </w:rPr>
        <w:t xml:space="preserve">（3）技术文件：具体材料见“投标人须知前附表”。 </w:t>
      </w:r>
    </w:p>
    <w:p w14:paraId="042B3FD6">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42C873D0">
      <w:pPr>
        <w:wordWrap w:val="0"/>
        <w:spacing w:line="360" w:lineRule="auto"/>
        <w:ind w:firstLine="420" w:firstLineChars="200"/>
        <w:rPr>
          <w:rFonts w:ascii="宋体" w:hAnsi="宋体" w:cs="宋体"/>
          <w:bCs/>
          <w:color w:val="auto"/>
          <w:szCs w:val="21"/>
          <w:highlight w:val="none"/>
        </w:rPr>
      </w:pPr>
      <w:bookmarkStart w:id="79" w:name="_13.5投标文件电子版：具体材料见“投标人须知前附表”。"/>
      <w:bookmarkEnd w:id="79"/>
      <w:r>
        <w:rPr>
          <w:rFonts w:hint="eastAsia" w:ascii="宋体" w:hAnsi="宋体" w:cs="宋体"/>
          <w:bCs/>
          <w:color w:val="auto"/>
          <w:szCs w:val="21"/>
          <w:highlight w:val="none"/>
        </w:rPr>
        <w:t>13.2投标文件电子版：具体要求见本节19.投标文件编制。</w:t>
      </w:r>
    </w:p>
    <w:p w14:paraId="31400651">
      <w:pPr>
        <w:wordWrap w:val="0"/>
        <w:spacing w:line="360" w:lineRule="auto"/>
        <w:ind w:firstLine="480" w:firstLineChars="200"/>
        <w:rPr>
          <w:rFonts w:ascii="宋体" w:hAnsi="宋体" w:cs="宋体"/>
          <w:color w:val="auto"/>
          <w:sz w:val="24"/>
          <w:highlight w:val="none"/>
        </w:rPr>
      </w:pPr>
      <w:bookmarkStart w:id="80" w:name="_Toc254970678"/>
      <w:bookmarkStart w:id="81" w:name="_Toc254970537"/>
      <w:r>
        <w:rPr>
          <w:rFonts w:hint="eastAsia" w:ascii="宋体" w:hAnsi="宋体" w:cs="宋体"/>
          <w:color w:val="auto"/>
          <w:sz w:val="24"/>
          <w:highlight w:val="none"/>
        </w:rPr>
        <w:t>14.投标文件的语言及计量</w:t>
      </w:r>
      <w:bookmarkEnd w:id="80"/>
      <w:bookmarkEnd w:id="81"/>
    </w:p>
    <w:p w14:paraId="0A3FAD93">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14.1语言文字</w:t>
      </w:r>
    </w:p>
    <w:p w14:paraId="716276B2">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EA1DF11">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14.2投标计量单位</w:t>
      </w:r>
    </w:p>
    <w:p w14:paraId="0E767BB3">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0F92F06F">
      <w:pPr>
        <w:wordWrap w:val="0"/>
        <w:spacing w:line="360" w:lineRule="auto"/>
        <w:ind w:firstLine="480" w:firstLineChars="200"/>
        <w:rPr>
          <w:rFonts w:ascii="宋体" w:hAnsi="宋体" w:cs="宋体"/>
          <w:color w:val="auto"/>
          <w:sz w:val="24"/>
          <w:highlight w:val="none"/>
        </w:rPr>
      </w:pPr>
      <w:bookmarkStart w:id="82" w:name="_Toc254970538"/>
      <w:bookmarkStart w:id="83" w:name="_Toc254970679"/>
      <w:r>
        <w:rPr>
          <w:rFonts w:hint="eastAsia" w:ascii="宋体" w:hAnsi="宋体" w:cs="宋体"/>
          <w:color w:val="auto"/>
          <w:sz w:val="24"/>
          <w:highlight w:val="none"/>
        </w:rPr>
        <w:t>15.投标的风险</w:t>
      </w:r>
    </w:p>
    <w:p w14:paraId="2CA9E683">
      <w:pPr>
        <w:wordWrap w:val="0"/>
        <w:spacing w:line="360" w:lineRule="auto"/>
        <w:ind w:firstLine="420" w:firstLineChars="200"/>
        <w:rPr>
          <w:rFonts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0F7B7F2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16.投标报价</w:t>
      </w:r>
      <w:bookmarkEnd w:id="82"/>
      <w:bookmarkEnd w:id="83"/>
    </w:p>
    <w:p w14:paraId="7D41ED7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2FA5540C">
      <w:pPr>
        <w:wordWrap w:val="0"/>
        <w:spacing w:line="360" w:lineRule="auto"/>
        <w:ind w:firstLine="420" w:firstLineChars="200"/>
        <w:rPr>
          <w:rFonts w:ascii="宋体" w:hAnsi="宋体" w:cs="宋体"/>
          <w:bCs/>
          <w:color w:val="auto"/>
          <w:szCs w:val="21"/>
          <w:highlight w:val="none"/>
        </w:rPr>
      </w:pPr>
      <w:bookmarkStart w:id="84" w:name="_16.2投标报价具体定义见投标人须知前附表。"/>
      <w:bookmarkEnd w:id="84"/>
      <w:r>
        <w:rPr>
          <w:rFonts w:hint="eastAsia" w:ascii="宋体" w:hAnsi="宋体" w:cs="宋体"/>
          <w:bCs/>
          <w:color w:val="auto"/>
          <w:szCs w:val="21"/>
          <w:highlight w:val="none"/>
        </w:rPr>
        <w:t>16.2投标报价具体包括内容详见“投标人须知前附表”。</w:t>
      </w:r>
    </w:p>
    <w:p w14:paraId="60553EFF">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43AE57F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643F12CD">
      <w:pPr>
        <w:wordWrap w:val="0"/>
        <w:spacing w:line="360" w:lineRule="auto"/>
        <w:ind w:firstLine="420" w:firstLineChars="200"/>
        <w:rPr>
          <w:rFonts w:ascii="宋体" w:hAnsi="宋体" w:cs="宋体"/>
          <w:bCs/>
          <w:color w:val="auto"/>
          <w:szCs w:val="21"/>
          <w:highlight w:val="none"/>
        </w:rPr>
      </w:pPr>
      <w:bookmarkStart w:id="85" w:name="_17.1投标有效期应按“投标人须知中的前附表”规定的期限。"/>
      <w:bookmarkEnd w:id="85"/>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5049E68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17.2</w:t>
      </w:r>
      <w:bookmarkStart w:id="86" w:name="_Toc254970540"/>
      <w:bookmarkStart w:id="87" w:name="_Toc254970681"/>
      <w:r>
        <w:rPr>
          <w:rFonts w:hint="eastAsia" w:ascii="宋体" w:hAnsi="宋体" w:cs="宋体"/>
          <w:bCs/>
          <w:color w:val="auto"/>
          <w:szCs w:val="21"/>
          <w:highlight w:val="none"/>
        </w:rPr>
        <w:t xml:space="preserve"> 投标有效期应按规定的期限作出承诺，具体详见“投标人须知前附表”。</w:t>
      </w:r>
    </w:p>
    <w:p w14:paraId="123E545D">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86"/>
      <w:bookmarkEnd w:id="87"/>
    </w:p>
    <w:p w14:paraId="30A0688D">
      <w:pPr>
        <w:wordWrap w:val="0"/>
        <w:spacing w:line="360" w:lineRule="auto"/>
        <w:ind w:firstLine="480" w:firstLineChars="200"/>
        <w:rPr>
          <w:rFonts w:ascii="宋体" w:hAnsi="宋体" w:cs="宋体"/>
          <w:color w:val="auto"/>
          <w:sz w:val="24"/>
          <w:highlight w:val="none"/>
        </w:rPr>
      </w:pPr>
      <w:bookmarkStart w:id="88" w:name="_18.投标保证金"/>
      <w:bookmarkEnd w:id="88"/>
      <w:bookmarkStart w:id="89" w:name="_Toc254970682"/>
      <w:bookmarkStart w:id="90" w:name="_Toc254970541"/>
      <w:r>
        <w:rPr>
          <w:rFonts w:hint="eastAsia" w:ascii="宋体" w:hAnsi="宋体" w:cs="宋体"/>
          <w:color w:val="auto"/>
          <w:sz w:val="24"/>
          <w:highlight w:val="none"/>
        </w:rPr>
        <w:t>18.投标保证金</w:t>
      </w:r>
      <w:bookmarkEnd w:id="89"/>
      <w:bookmarkEnd w:id="90"/>
    </w:p>
    <w:p w14:paraId="64978DD1">
      <w:pPr>
        <w:wordWrap w:val="0"/>
        <w:spacing w:line="360" w:lineRule="auto"/>
        <w:ind w:firstLine="420" w:firstLineChars="200"/>
        <w:rPr>
          <w:rFonts w:ascii="宋体" w:hAnsi="宋体" w:cs="宋体"/>
          <w:color w:val="auto"/>
          <w:szCs w:val="21"/>
          <w:highlight w:val="none"/>
        </w:rPr>
      </w:pPr>
      <w:bookmarkStart w:id="91" w:name="_Toc254970683"/>
      <w:bookmarkStart w:id="92" w:name="_Toc254970542"/>
      <w:r>
        <w:rPr>
          <w:rFonts w:hint="eastAsia" w:ascii="宋体" w:hAnsi="宋体" w:cs="宋体"/>
          <w:color w:val="auto"/>
          <w:szCs w:val="21"/>
          <w:highlight w:val="none"/>
        </w:rPr>
        <w:t>见“投标人须知前附表”。</w:t>
      </w:r>
    </w:p>
    <w:p w14:paraId="7289616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19.投标文件的</w:t>
      </w:r>
      <w:bookmarkEnd w:id="91"/>
      <w:bookmarkEnd w:id="92"/>
      <w:r>
        <w:rPr>
          <w:rFonts w:hint="eastAsia" w:ascii="宋体" w:hAnsi="宋体" w:cs="宋体"/>
          <w:color w:val="auto"/>
          <w:sz w:val="24"/>
          <w:highlight w:val="none"/>
        </w:rPr>
        <w:t>编制</w:t>
      </w:r>
    </w:p>
    <w:p w14:paraId="450C5EC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93" w:name="_19.2投标文件应按报价文件、资格证明文件、商务文件、技术文件分别编制"/>
      <w:bookmarkEnd w:id="93"/>
    </w:p>
    <w:p w14:paraId="0ADBC0A7">
      <w:pPr>
        <w:pStyle w:val="33"/>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047A3062">
      <w:pPr>
        <w:pStyle w:val="33"/>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0DC80B27">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4F65621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47FD5F75">
      <w:pPr>
        <w:wordWrap w:val="0"/>
        <w:spacing w:line="360" w:lineRule="auto"/>
        <w:ind w:firstLine="525" w:firstLineChars="250"/>
        <w:rPr>
          <w:rFonts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207F10C4">
      <w:pPr>
        <w:wordWrap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7EC5CE4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20.备份投标文件</w:t>
      </w:r>
    </w:p>
    <w:p w14:paraId="40356171">
      <w:pPr>
        <w:wordWrap w:val="0"/>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详见在“投标人须知前附表”。</w:t>
      </w:r>
    </w:p>
    <w:p w14:paraId="786D1EE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351F2A3C">
      <w:pPr>
        <w:wordWrap w:val="0"/>
        <w:spacing w:line="360" w:lineRule="auto"/>
        <w:ind w:firstLine="420" w:firstLineChars="200"/>
        <w:rPr>
          <w:rFonts w:ascii="宋体" w:hAnsi="宋体" w:cs="宋体"/>
          <w:b/>
          <w:color w:val="auto"/>
          <w:highlight w:val="none"/>
        </w:rPr>
      </w:pPr>
      <w:bookmarkStart w:id="94" w:name="_21.1投标人必须在“投标人须知中的前附表”规定的投标文件接收时间和投"/>
      <w:bookmarkEnd w:id="94"/>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p>
    <w:p w14:paraId="62D1A191">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63450C8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66007DD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bookmarkStart w:id="95" w:name="_Toc254970684"/>
      <w:bookmarkStart w:id="96" w:name="_Toc254970543"/>
    </w:p>
    <w:p w14:paraId="54433CD6">
      <w:pPr>
        <w:wordWrap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F850905">
      <w:pPr>
        <w:pStyle w:val="33"/>
        <w:wordWrap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95"/>
    <w:bookmarkEnd w:id="96"/>
    <w:p w14:paraId="6402CC8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5D6A21F8">
      <w:pPr>
        <w:pStyle w:val="10"/>
        <w:wordWrap w:val="0"/>
        <w:snapToGrid w:val="0"/>
        <w:spacing w:line="360" w:lineRule="auto"/>
        <w:ind w:firstLine="739"/>
        <w:rPr>
          <w:rFonts w:hAnsi="宋体" w:cs="宋体"/>
          <w:snapToGrid w:val="0"/>
          <w:color w:val="auto"/>
          <w:sz w:val="21"/>
          <w:szCs w:val="21"/>
          <w:highlight w:val="none"/>
        </w:rPr>
      </w:pPr>
    </w:p>
    <w:p w14:paraId="29231033">
      <w:pPr>
        <w:pStyle w:val="5"/>
        <w:keepNext w:val="0"/>
        <w:keepLines w:val="0"/>
        <w:wordWrap w:val="0"/>
        <w:spacing w:line="360" w:lineRule="auto"/>
        <w:jc w:val="center"/>
        <w:rPr>
          <w:rFonts w:ascii="宋体" w:hAnsi="宋体" w:cs="宋体"/>
          <w:color w:val="auto"/>
          <w:highlight w:val="none"/>
        </w:rPr>
      </w:pPr>
      <w:bookmarkStart w:id="97" w:name="_Toc254970544"/>
      <w:bookmarkStart w:id="98" w:name="_Toc26899"/>
      <w:bookmarkStart w:id="99" w:name="_Toc254970685"/>
      <w:r>
        <w:rPr>
          <w:rFonts w:hint="eastAsia" w:ascii="宋体" w:hAnsi="宋体" w:cs="宋体"/>
          <w:color w:val="auto"/>
          <w:highlight w:val="none"/>
        </w:rPr>
        <w:t>四、开    标</w:t>
      </w:r>
      <w:bookmarkEnd w:id="97"/>
      <w:bookmarkEnd w:id="98"/>
      <w:bookmarkEnd w:id="99"/>
    </w:p>
    <w:p w14:paraId="12BFB207">
      <w:pPr>
        <w:wordWrap w:val="0"/>
        <w:spacing w:line="360" w:lineRule="auto"/>
        <w:ind w:firstLine="480" w:firstLineChars="200"/>
        <w:rPr>
          <w:rFonts w:ascii="宋体" w:hAnsi="宋体" w:cs="宋体"/>
          <w:color w:val="auto"/>
          <w:sz w:val="24"/>
          <w:highlight w:val="none"/>
        </w:rPr>
      </w:pPr>
      <w:bookmarkStart w:id="100" w:name="_23.开标时间和地点"/>
      <w:bookmarkEnd w:id="100"/>
      <w:r>
        <w:rPr>
          <w:rFonts w:hint="eastAsia" w:ascii="宋体" w:hAnsi="宋体" w:cs="宋体"/>
          <w:color w:val="auto"/>
          <w:sz w:val="24"/>
          <w:highlight w:val="none"/>
        </w:rPr>
        <w:t>23.开标时间和地点</w:t>
      </w:r>
    </w:p>
    <w:p w14:paraId="08A450D3">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23.1开标时间及地点详见“投标人须知前附表”</w:t>
      </w:r>
    </w:p>
    <w:p w14:paraId="2B47060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投标人成功解密投标文件，但未在“广西政府采购云”电子开标大厅参加开标的，视同认可开标过程和结果，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26F1935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6B225536">
      <w:pPr>
        <w:wordWrap w:val="0"/>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03D330B2">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56ACE694">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3F8CFCC">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24.2开标程序：</w:t>
      </w:r>
    </w:p>
    <w:p w14:paraId="56BABCC2">
      <w:pPr>
        <w:pStyle w:val="12"/>
        <w:wordWrap w:val="0"/>
        <w:snapToGrid w:val="0"/>
        <w:spacing w:line="360" w:lineRule="auto"/>
        <w:ind w:firstLine="422" w:firstLineChars="200"/>
        <w:rPr>
          <w:rFonts w:hAnsi="宋体" w:cs="宋体"/>
          <w:color w:val="auto"/>
          <w:szCs w:val="21"/>
          <w:highlight w:val="none"/>
        </w:rPr>
      </w:pPr>
      <w:r>
        <w:rPr>
          <w:rFonts w:hint="eastAsia" w:hAnsi="宋体" w:cs="宋体"/>
          <w:b/>
          <w:color w:val="auto"/>
          <w:szCs w:val="21"/>
          <w:highlight w:val="none"/>
        </w:rPr>
        <w:t>（1）解密电子投标文件。“</w:t>
      </w:r>
      <w:r>
        <w:rPr>
          <w:rFonts w:hint="eastAsia" w:hAnsi="宋体" w:cs="宋体"/>
          <w:color w:val="auto"/>
          <w:szCs w:val="21"/>
          <w:highlight w:val="none"/>
        </w:rPr>
        <w:t>广西政府采购云”平台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280551B6">
      <w:pPr>
        <w:pStyle w:val="12"/>
        <w:wordWrap w:val="0"/>
        <w:snapToGrid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3C65D08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投标文件解密结束，各投标人报价均在“广西政府采购云”平台远程不见面开标大厅展示；</w:t>
      </w:r>
    </w:p>
    <w:p w14:paraId="35A81F0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18225B22">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507AA48F">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41753DA">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（6）开标结束。</w:t>
      </w:r>
    </w:p>
    <w:p w14:paraId="6AD8FDF0">
      <w:pPr>
        <w:pStyle w:val="12"/>
        <w:wordWrap w:val="0"/>
        <w:snapToGrid w:val="0"/>
        <w:spacing w:line="360" w:lineRule="auto"/>
        <w:ind w:firstLine="422" w:firstLineChars="200"/>
        <w:rPr>
          <w:rFonts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58AEC2A1">
      <w:pPr>
        <w:pStyle w:val="12"/>
        <w:wordWrap w:val="0"/>
        <w:snapToGrid w:val="0"/>
        <w:spacing w:line="360" w:lineRule="auto"/>
        <w:ind w:left="689" w:leftChars="228" w:hanging="210" w:hangingChars="100"/>
        <w:rPr>
          <w:rFonts w:hAnsi="宋体" w:cs="宋体"/>
          <w:color w:val="auto"/>
          <w:highlight w:val="none"/>
        </w:rPr>
      </w:pPr>
    </w:p>
    <w:p w14:paraId="37F597AF">
      <w:pPr>
        <w:pStyle w:val="5"/>
        <w:keepNext w:val="0"/>
        <w:keepLines w:val="0"/>
        <w:wordWrap w:val="0"/>
        <w:spacing w:line="360" w:lineRule="auto"/>
        <w:jc w:val="center"/>
        <w:rPr>
          <w:rFonts w:ascii="宋体" w:hAnsi="宋体" w:cs="宋体"/>
          <w:color w:val="auto"/>
          <w:highlight w:val="none"/>
        </w:rPr>
      </w:pPr>
      <w:bookmarkStart w:id="101" w:name="_Toc27719"/>
      <w:r>
        <w:rPr>
          <w:rFonts w:hint="eastAsia" w:ascii="宋体" w:hAnsi="宋体" w:cs="宋体"/>
          <w:color w:val="auto"/>
          <w:highlight w:val="none"/>
        </w:rPr>
        <w:t>五、资格审查</w:t>
      </w:r>
      <w:bookmarkEnd w:id="101"/>
    </w:p>
    <w:p w14:paraId="1DAE4B9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39C164D3">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630E5395">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6CAA57B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02B85D9B">
      <w:pPr>
        <w:wordWrap w:val="0"/>
        <w:spacing w:line="360" w:lineRule="auto"/>
        <w:ind w:firstLine="422" w:firstLineChars="200"/>
        <w:rPr>
          <w:rFonts w:ascii="宋体" w:hAnsi="宋体" w:cs="宋体"/>
          <w:b/>
          <w:bCs/>
          <w:color w:val="auto"/>
          <w:szCs w:val="20"/>
          <w:highlight w:val="none"/>
        </w:rPr>
      </w:pPr>
      <w:bookmarkStart w:id="102" w:name="_25.3_投标人有下列情形之一的，资格审查不通过而导致其投标无效："/>
      <w:bookmarkEnd w:id="102"/>
      <w:r>
        <w:rPr>
          <w:rFonts w:hint="eastAsia" w:ascii="宋体" w:hAnsi="宋体" w:cs="宋体"/>
          <w:b/>
          <w:bCs/>
          <w:color w:val="auto"/>
          <w:szCs w:val="20"/>
          <w:highlight w:val="none"/>
        </w:rPr>
        <w:t>25.4投标人有下列情形之一的，资格审查不通过，作无效投标处理：</w:t>
      </w:r>
    </w:p>
    <w:p w14:paraId="6FDA03B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35A7539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25CAFB8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666F3CCC">
      <w:pPr>
        <w:wordWrap w:val="0"/>
        <w:spacing w:line="360" w:lineRule="auto"/>
        <w:ind w:firstLine="420" w:firstLineChars="200"/>
        <w:rPr>
          <w:rFonts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09A1C1D9">
      <w:pPr>
        <w:pStyle w:val="5"/>
        <w:keepNext w:val="0"/>
        <w:keepLines w:val="0"/>
        <w:wordWrap w:val="0"/>
        <w:spacing w:line="360" w:lineRule="auto"/>
        <w:jc w:val="center"/>
        <w:rPr>
          <w:rFonts w:ascii="宋体" w:hAnsi="宋体" w:cs="宋体"/>
          <w:color w:val="auto"/>
          <w:highlight w:val="none"/>
        </w:rPr>
      </w:pPr>
      <w:bookmarkStart w:id="103" w:name="_Toc10681"/>
      <w:r>
        <w:rPr>
          <w:rFonts w:hint="eastAsia" w:ascii="宋体" w:hAnsi="宋体" w:cs="宋体"/>
          <w:color w:val="auto"/>
          <w:highlight w:val="none"/>
        </w:rPr>
        <w:t>六、评   标</w:t>
      </w:r>
      <w:bookmarkEnd w:id="103"/>
    </w:p>
    <w:p w14:paraId="5C219391">
      <w:pPr>
        <w:wordWrap w:val="0"/>
        <w:spacing w:line="360" w:lineRule="auto"/>
        <w:ind w:firstLine="480" w:firstLineChars="200"/>
        <w:rPr>
          <w:rFonts w:ascii="宋体" w:hAnsi="宋体" w:cs="宋体"/>
          <w:color w:val="auto"/>
          <w:sz w:val="24"/>
          <w:highlight w:val="none"/>
        </w:rPr>
      </w:pPr>
      <w:bookmarkStart w:id="104" w:name="_26.组建评标委员会"/>
      <w:bookmarkEnd w:id="104"/>
      <w:r>
        <w:rPr>
          <w:rFonts w:hint="eastAsia" w:ascii="宋体" w:hAnsi="宋体" w:cs="宋体"/>
          <w:color w:val="auto"/>
          <w:sz w:val="24"/>
          <w:highlight w:val="none"/>
        </w:rPr>
        <w:t>26.组建评标委员会</w:t>
      </w:r>
    </w:p>
    <w:p w14:paraId="5B1CCD6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622EDC4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1BCADBF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5660A18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1BFDFC7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61908EB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504747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05" w:name="_28.3评标方法。本项目将按须知前附表规定的评标办法进行评标，具体评标"/>
      <w:bookmarkEnd w:id="105"/>
    </w:p>
    <w:p w14:paraId="35B2E97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FD601F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71A6426E">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A92FC0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29.评标方法及评标标准</w:t>
      </w:r>
    </w:p>
    <w:p w14:paraId="6F86A40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29.1本项目的评标方法详见“投标人须知前附表”。</w:t>
      </w:r>
    </w:p>
    <w:p w14:paraId="41A2559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1F42930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12D5197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71F5DD5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433289A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A2CB1A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07C3BC2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40F0F2C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57C8044">
      <w:pPr>
        <w:pStyle w:val="12"/>
        <w:wordWrap w:val="0"/>
        <w:snapToGrid w:val="0"/>
        <w:spacing w:line="360" w:lineRule="auto"/>
        <w:ind w:firstLine="420" w:firstLineChars="200"/>
        <w:rPr>
          <w:rFonts w:hAnsi="宋体" w:cs="宋体"/>
          <w:color w:val="auto"/>
          <w:highlight w:val="none"/>
        </w:rPr>
      </w:pPr>
    </w:p>
    <w:p w14:paraId="509F38AF">
      <w:pPr>
        <w:pStyle w:val="5"/>
        <w:keepNext w:val="0"/>
        <w:keepLines w:val="0"/>
        <w:wordWrap w:val="0"/>
        <w:spacing w:line="360" w:lineRule="auto"/>
        <w:jc w:val="center"/>
        <w:rPr>
          <w:rFonts w:ascii="宋体" w:hAnsi="宋体" w:cs="宋体"/>
          <w:color w:val="auto"/>
          <w:highlight w:val="none"/>
        </w:rPr>
      </w:pPr>
      <w:bookmarkStart w:id="106" w:name="_Toc254970687"/>
      <w:bookmarkStart w:id="107" w:name="_Toc254970546"/>
      <w:bookmarkStart w:id="108" w:name="_Toc28260"/>
      <w:r>
        <w:rPr>
          <w:rFonts w:hint="eastAsia" w:ascii="宋体" w:hAnsi="宋体" w:cs="宋体"/>
          <w:color w:val="auto"/>
          <w:highlight w:val="none"/>
        </w:rPr>
        <w:t>七、</w:t>
      </w:r>
      <w:bookmarkEnd w:id="106"/>
      <w:bookmarkEnd w:id="107"/>
      <w:r>
        <w:rPr>
          <w:rFonts w:hint="eastAsia" w:ascii="宋体" w:hAnsi="宋体" w:cs="宋体"/>
          <w:color w:val="auto"/>
          <w:highlight w:val="none"/>
        </w:rPr>
        <w:t>中标和合同</w:t>
      </w:r>
      <w:bookmarkEnd w:id="108"/>
    </w:p>
    <w:p w14:paraId="7E6FC26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30.确定中标供应商</w:t>
      </w:r>
    </w:p>
    <w:p w14:paraId="6BFDDE30">
      <w:pPr>
        <w:wordWrap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30.1本项目授权评标委员会直接按第四章“评标方法及标准”的规定排列中标候选人顺序，并依照次序确定中标供应商。</w:t>
      </w:r>
    </w:p>
    <w:p w14:paraId="754F9FB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6E2D99E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3A80008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04B030F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0C2AD7FC">
      <w:pPr>
        <w:wordWrap w:val="0"/>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排名第二的中标候选人因前款规定的同样原因被取消中标资格的，授权的评标委员会可以确定排名第三的中标候选人为中标供应商，以此类推。</w:t>
      </w:r>
    </w:p>
    <w:p w14:paraId="7BE4005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1CEB790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0D0ADAC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1A570F7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32.1在发布中标公告的同时，采购代理机构向中标供应商通过“广西政府采购云”平台发出电子中标通知书。</w:t>
      </w:r>
    </w:p>
    <w:p w14:paraId="70B3C5C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32.2对未通过资格审查的投标人，采购人或采购机构应当告知其未通过的原因；采用综合评分办法评审的，采购人或采购机构还应当告知未中标供应商本人的评审得分与排序。</w:t>
      </w:r>
    </w:p>
    <w:p w14:paraId="63D5525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172A7DB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35CC495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38AB65B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合同将授予被确定实质上响应招标文件要求，具备履行合同能力的中标供应商（招标文件另有约定多名中标供应商的除外）。</w:t>
      </w:r>
    </w:p>
    <w:p w14:paraId="4CA59BF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1979EDF1">
      <w:pPr>
        <w:wordWrap w:val="0"/>
        <w:spacing w:line="360" w:lineRule="auto"/>
        <w:ind w:firstLine="420" w:firstLineChars="200"/>
        <w:rPr>
          <w:rFonts w:ascii="宋体" w:hAnsi="宋体" w:cs="宋体"/>
          <w:color w:val="auto"/>
          <w:szCs w:val="21"/>
          <w:highlight w:val="none"/>
        </w:rPr>
      </w:pPr>
      <w:bookmarkStart w:id="109" w:name="_39.1中标人须于签订合同前按本须知前附表规定的金额转账或电汇到指定账"/>
      <w:bookmarkEnd w:id="109"/>
      <w:r>
        <w:rPr>
          <w:rFonts w:hint="eastAsia" w:ascii="宋体" w:hAnsi="宋体" w:cs="宋体"/>
          <w:color w:val="auto"/>
          <w:szCs w:val="21"/>
          <w:highlight w:val="none"/>
        </w:rPr>
        <w:t>见“投标人须知前附表”。</w:t>
      </w:r>
    </w:p>
    <w:p w14:paraId="729B0B2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7EA2303D">
      <w:pPr>
        <w:pStyle w:val="33"/>
        <w:wordWrap w:val="0"/>
        <w:snapToGrid w:val="0"/>
        <w:spacing w:before="0"/>
        <w:ind w:firstLine="422"/>
        <w:rPr>
          <w:rFonts w:ascii="宋体" w:hAnsi="宋体" w:cs="宋体"/>
          <w:color w:val="auto"/>
          <w:kern w:val="0"/>
          <w:sz w:val="21"/>
          <w:szCs w:val="21"/>
          <w:highlight w:val="none"/>
          <w:lang w:val="zh-CN"/>
        </w:rPr>
      </w:pPr>
      <w:bookmarkStart w:id="110" w:name="_40.1投标人接到中标通知书后，按须知前附表规定向采购人出示相关资格证"/>
      <w:bookmarkEnd w:id="110"/>
      <w:r>
        <w:rPr>
          <w:rFonts w:hint="eastAsia" w:ascii="宋体" w:hAnsi="宋体" w:cs="宋体"/>
          <w:b/>
          <w:color w:val="auto"/>
          <w:sz w:val="21"/>
          <w:szCs w:val="21"/>
          <w:highlight w:val="none"/>
        </w:rPr>
        <w:t xml:space="preserve"> 36.1中标供应商领取电子中标通知书后，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4D04C2AE">
      <w:pPr>
        <w:pStyle w:val="33"/>
        <w:wordWrap w:val="0"/>
        <w:snapToGrid w:val="0"/>
        <w:spacing w:before="0"/>
        <w:ind w:firstLine="42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2F25FC94">
      <w:pPr>
        <w:pStyle w:val="33"/>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5D8BE21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4AC476D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9FDAF9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646EA49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1740CFD3">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08589DA1">
      <w:pPr>
        <w:wordWrap w:val="0"/>
        <w:spacing w:line="360" w:lineRule="auto"/>
        <w:ind w:firstLine="480" w:firstLineChars="200"/>
        <w:rPr>
          <w:rFonts w:ascii="宋体" w:hAnsi="宋体" w:cs="宋体"/>
          <w:color w:val="auto"/>
          <w:sz w:val="24"/>
          <w:highlight w:val="none"/>
        </w:rPr>
      </w:pPr>
      <w:bookmarkStart w:id="111" w:name="_41.政府采购合同公告"/>
      <w:bookmarkEnd w:id="111"/>
      <w:r>
        <w:rPr>
          <w:rFonts w:hint="eastAsia" w:ascii="宋体" w:hAnsi="宋体" w:cs="宋体"/>
          <w:color w:val="auto"/>
          <w:sz w:val="24"/>
          <w:highlight w:val="none"/>
        </w:rPr>
        <w:t>37.政府采购合同公告</w:t>
      </w:r>
    </w:p>
    <w:p w14:paraId="583982D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1FEC6A5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1CFFE08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38.1询问</w:t>
      </w:r>
    </w:p>
    <w:p w14:paraId="44542A16">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62346055">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14DF8F5A">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54082FD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38.2质疑</w:t>
      </w:r>
    </w:p>
    <w:p w14:paraId="5505740D">
      <w:pPr>
        <w:wordWrap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7166B767">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7F52E60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7F3BA57">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6ABAB5FE">
      <w:pPr>
        <w:wordWrap w:val="0"/>
        <w:spacing w:line="360" w:lineRule="auto"/>
        <w:ind w:firstLine="422" w:firstLineChars="200"/>
        <w:rPr>
          <w:rFonts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052324A6">
      <w:pPr>
        <w:wordWrap w:val="0"/>
        <w:spacing w:line="360" w:lineRule="auto"/>
        <w:ind w:firstLine="422" w:firstLineChars="200"/>
        <w:rPr>
          <w:rFonts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69E4CDD8">
      <w:pPr>
        <w:wordWrap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2E0C3143">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采购活动的供应商（潜在供应商已依法获取可之一的采购文件的，可以对该采购文件质疑）；</w:t>
      </w:r>
    </w:p>
    <w:p w14:paraId="5BCEC1D6">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（2）质疑函内容符合本章第38.2.5项的规定；</w:t>
      </w:r>
    </w:p>
    <w:p w14:paraId="0AB35647">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（3）在质疑有效期限内提起质疑；</w:t>
      </w:r>
    </w:p>
    <w:p w14:paraId="18D693B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0B68DDE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49E3E1E3">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3853040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5D9AA799">
      <w:pPr>
        <w:wordWrap w:val="0"/>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（8）财政部门规定的其他条件。</w:t>
      </w:r>
    </w:p>
    <w:p w14:paraId="7C78CC5A">
      <w:pPr>
        <w:wordWrap w:val="0"/>
        <w:spacing w:line="360" w:lineRule="auto"/>
        <w:ind w:firstLine="420" w:firstLineChars="200"/>
        <w:rPr>
          <w:rFonts w:ascii="宋体" w:hAnsi="宋体" w:cs="宋体"/>
          <w:b/>
          <w:color w:val="auto"/>
          <w:szCs w:val="21"/>
          <w:highlight w:val="none"/>
        </w:rPr>
      </w:pPr>
      <w:bookmarkStart w:id="112" w:name="_9.2质疑、投诉应当采用书面形式，质疑函、投诉书均应明确阐述招标文件、"/>
      <w:bookmarkEnd w:id="112"/>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13D04F1A">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651594D4">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（2）质疑项目的名称、编号；</w:t>
      </w:r>
    </w:p>
    <w:p w14:paraId="44FC02D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4D7CFF6A">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（4）事实依据（列明权益受到损害的事实和理由）；</w:t>
      </w:r>
    </w:p>
    <w:p w14:paraId="408A97F6">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（5）必要的法律依据；</w:t>
      </w:r>
    </w:p>
    <w:p w14:paraId="79729DD9">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（6）提出质疑的日期。</w:t>
      </w:r>
    </w:p>
    <w:p w14:paraId="5D9BF7E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24FC4AFB">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1DA68520">
      <w:pPr>
        <w:wordWrap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3CEE4E4E">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D0CAD9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44D83D5E">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4EA8407D">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38.3投诉</w:t>
      </w:r>
    </w:p>
    <w:p w14:paraId="58E58B38">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未在规定期限内做出答复的，供应商可以在答复期满后15个工作日内向南宁市政府采购监督管理部门提起投诉，投诉方式见“投标人须知前附表”。</w:t>
      </w:r>
    </w:p>
    <w:p w14:paraId="6DC9F54A">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44BEDC3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4A5C861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28390B5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1743B14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65C8532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（5）法律依据；</w:t>
      </w:r>
    </w:p>
    <w:p w14:paraId="609F055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（6）提起投诉的日期。</w:t>
      </w:r>
    </w:p>
    <w:p w14:paraId="60F667C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auto"/>
          <w:highlight w:val="none"/>
        </w:rPr>
        <w:tab/>
      </w:r>
    </w:p>
    <w:p w14:paraId="275244C9">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187353AF">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663042E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（1）投诉人是参与所投诉政府采购活动的供应商；</w:t>
      </w:r>
    </w:p>
    <w:p w14:paraId="5D58DBB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（2）提起投诉前已依法进行质疑；</w:t>
      </w:r>
    </w:p>
    <w:p w14:paraId="1783E37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（3）投诉书内容符合本章第38.3.2项的规定；</w:t>
      </w:r>
    </w:p>
    <w:p w14:paraId="5C86593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（4）在投诉有效期限内提起投诉；</w:t>
      </w:r>
    </w:p>
    <w:p w14:paraId="7FDC670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（5）属于南宁市政府采购监督管理部门管辖；</w:t>
      </w:r>
    </w:p>
    <w:p w14:paraId="4D89A52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6A54DBE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（7）国务院财政部门规定的其他条件。</w:t>
      </w:r>
    </w:p>
    <w:p w14:paraId="6BEB1CD2">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76FBE682">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40149944">
      <w:pPr>
        <w:wordWrap w:val="0"/>
        <w:snapToGrid w:val="0"/>
        <w:spacing w:line="360" w:lineRule="auto"/>
        <w:ind w:left="120" w:leftChars="57" w:firstLine="482" w:firstLineChars="150"/>
        <w:jc w:val="center"/>
        <w:outlineLvl w:val="2"/>
        <w:rPr>
          <w:rFonts w:ascii="宋体" w:hAnsi="宋体" w:cs="宋体"/>
          <w:b/>
          <w:bCs/>
          <w:color w:val="auto"/>
          <w:sz w:val="32"/>
          <w:szCs w:val="32"/>
          <w:highlight w:val="none"/>
        </w:rPr>
      </w:pPr>
      <w:bookmarkStart w:id="113" w:name="_Toc29384"/>
      <w:r>
        <w:rPr>
          <w:rFonts w:hint="eastAsia" w:ascii="宋体" w:hAnsi="宋体" w:cs="宋体"/>
          <w:b/>
          <w:bCs/>
          <w:color w:val="auto"/>
          <w:sz w:val="32"/>
          <w:szCs w:val="32"/>
          <w:highlight w:val="none"/>
        </w:rPr>
        <w:t>八、验收</w:t>
      </w:r>
      <w:bookmarkEnd w:id="113"/>
    </w:p>
    <w:p w14:paraId="34F34B18">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39.验收</w:t>
      </w:r>
    </w:p>
    <w:p w14:paraId="57C45022">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8F39810">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262F73C0">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0473EDD">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C90748D">
      <w:pPr>
        <w:pStyle w:val="12"/>
        <w:wordWrap w:val="0"/>
        <w:snapToGrid w:val="0"/>
        <w:spacing w:line="360" w:lineRule="auto"/>
        <w:rPr>
          <w:rFonts w:hAnsi="宋体" w:cs="宋体"/>
          <w:color w:val="auto"/>
          <w:highlight w:val="none"/>
        </w:rPr>
      </w:pPr>
    </w:p>
    <w:p w14:paraId="7FF65E36">
      <w:pPr>
        <w:pStyle w:val="5"/>
        <w:keepNext w:val="0"/>
        <w:keepLines w:val="0"/>
        <w:wordWrap w:val="0"/>
        <w:spacing w:line="360" w:lineRule="auto"/>
        <w:jc w:val="center"/>
        <w:rPr>
          <w:rFonts w:ascii="宋体" w:hAnsi="宋体" w:cs="宋体"/>
          <w:color w:val="auto"/>
          <w:highlight w:val="none"/>
        </w:rPr>
      </w:pPr>
      <w:bookmarkStart w:id="114" w:name="_八、其他事项"/>
      <w:bookmarkEnd w:id="114"/>
      <w:bookmarkStart w:id="115" w:name="_Toc21021"/>
      <w:r>
        <w:rPr>
          <w:rFonts w:hint="eastAsia" w:ascii="宋体" w:hAnsi="宋体" w:cs="宋体"/>
          <w:color w:val="auto"/>
          <w:highlight w:val="none"/>
        </w:rPr>
        <w:t>九、其他事项</w:t>
      </w:r>
      <w:bookmarkEnd w:id="115"/>
    </w:p>
    <w:p w14:paraId="6FA71214">
      <w:pPr>
        <w:wordWrap w:val="0"/>
        <w:spacing w:line="360" w:lineRule="auto"/>
        <w:ind w:firstLine="480" w:firstLineChars="200"/>
        <w:rPr>
          <w:rFonts w:ascii="宋体" w:hAnsi="宋体" w:cs="宋体"/>
          <w:color w:val="auto"/>
          <w:sz w:val="24"/>
          <w:highlight w:val="none"/>
        </w:rPr>
      </w:pPr>
      <w:bookmarkStart w:id="116" w:name="_42.代理服务费"/>
      <w:bookmarkEnd w:id="116"/>
      <w:r>
        <w:rPr>
          <w:rFonts w:hint="eastAsia" w:ascii="宋体" w:hAnsi="宋体" w:cs="宋体"/>
          <w:color w:val="auto"/>
          <w:sz w:val="24"/>
          <w:highlight w:val="none"/>
        </w:rPr>
        <w:t>40.代理服务费</w:t>
      </w:r>
    </w:p>
    <w:p w14:paraId="71D35E0F">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302165D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7F02B8A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41.1本招标文件解释规则详见“投标人须知前附表”。</w:t>
      </w:r>
    </w:p>
    <w:p w14:paraId="6AC8DEC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41.2 其他事项详见“投标人须知前附表”。</w:t>
      </w:r>
    </w:p>
    <w:p w14:paraId="310A9B2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4DB4B52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58FFDC0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5D12962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 政采贷相关说明</w:t>
      </w:r>
    </w:p>
    <w:p w14:paraId="116CF735">
      <w:p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5D863186">
      <w:pPr>
        <w:numPr>
          <w:ilvl w:val="0"/>
          <w:numId w:val="2"/>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8"/>
          <w:rFonts w:hint="eastAsia" w:ascii="宋体" w:hAnsi="宋体" w:cs="宋体"/>
          <w:color w:val="auto"/>
          <w:highlight w:val="none"/>
        </w:rPr>
        <w:t>http://www.nnggzy.org.cn）“交易信息-政府采购-政府采购信用融资”中融资银行和南宁市企业融资服务中心专栏信息申请政府采购信用融资。</w:t>
      </w:r>
      <w:r>
        <w:rPr>
          <w:rStyle w:val="28"/>
          <w:rFonts w:hint="eastAsia" w:ascii="宋体" w:hAnsi="宋体" w:cs="宋体"/>
          <w:color w:val="auto"/>
          <w:highlight w:val="none"/>
        </w:rPr>
        <w:fldChar w:fldCharType="end"/>
      </w:r>
    </w:p>
    <w:p w14:paraId="06728197">
      <w:pPr>
        <w:numPr>
          <w:ilvl w:val="0"/>
          <w:numId w:val="2"/>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auto"/>
          <w:highlight w:val="none"/>
        </w:rPr>
        <w:br w:type="page"/>
      </w:r>
      <w:bookmarkStart w:id="117" w:name="_Toc532545043"/>
    </w:p>
    <w:p w14:paraId="170487D1">
      <w:pPr>
        <w:pStyle w:val="12"/>
        <w:wordWrap w:val="0"/>
        <w:spacing w:line="360" w:lineRule="auto"/>
        <w:jc w:val="center"/>
        <w:outlineLvl w:val="0"/>
        <w:rPr>
          <w:rFonts w:hAnsi="宋体" w:cs="宋体"/>
          <w:b/>
          <w:color w:val="auto"/>
          <w:sz w:val="36"/>
          <w:highlight w:val="none"/>
        </w:rPr>
      </w:pPr>
      <w:bookmarkStart w:id="118" w:name="_Toc909"/>
      <w:r>
        <w:rPr>
          <w:rFonts w:hint="eastAsia" w:hAnsi="宋体" w:cs="宋体"/>
          <w:b/>
          <w:color w:val="auto"/>
          <w:sz w:val="36"/>
          <w:highlight w:val="none"/>
        </w:rPr>
        <w:t>第四章  评标方法</w:t>
      </w:r>
      <w:bookmarkEnd w:id="117"/>
      <w:r>
        <w:rPr>
          <w:rFonts w:hint="eastAsia" w:hAnsi="宋体" w:cs="宋体"/>
          <w:b/>
          <w:color w:val="auto"/>
          <w:sz w:val="36"/>
          <w:highlight w:val="none"/>
        </w:rPr>
        <w:t>及评分标准</w:t>
      </w:r>
      <w:bookmarkEnd w:id="118"/>
    </w:p>
    <w:p w14:paraId="2C1C0AF3">
      <w:pPr>
        <w:pStyle w:val="12"/>
        <w:wordWrap w:val="0"/>
        <w:spacing w:line="360" w:lineRule="auto"/>
        <w:jc w:val="center"/>
        <w:outlineLvl w:val="1"/>
        <w:rPr>
          <w:rFonts w:hAnsi="宋体" w:cs="宋体"/>
          <w:b/>
          <w:bCs/>
          <w:color w:val="auto"/>
          <w:sz w:val="32"/>
          <w:szCs w:val="32"/>
          <w:highlight w:val="none"/>
        </w:rPr>
      </w:pPr>
      <w:bookmarkStart w:id="119" w:name="_Toc547"/>
      <w:r>
        <w:rPr>
          <w:rFonts w:hint="eastAsia" w:hAnsi="宋体" w:cs="宋体"/>
          <w:b/>
          <w:bCs/>
          <w:color w:val="auto"/>
          <w:sz w:val="32"/>
          <w:szCs w:val="32"/>
          <w:highlight w:val="none"/>
        </w:rPr>
        <w:t>第一节 评标方法</w:t>
      </w:r>
      <w:bookmarkEnd w:id="119"/>
    </w:p>
    <w:p w14:paraId="72BC0702">
      <w:pPr>
        <w:pStyle w:val="12"/>
        <w:tabs>
          <w:tab w:val="left" w:pos="2472"/>
        </w:tabs>
        <w:wordWrap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48E40CE0">
      <w:pPr>
        <w:pStyle w:val="12"/>
        <w:wordWrap w:val="0"/>
        <w:spacing w:line="360" w:lineRule="auto"/>
        <w:ind w:firstLine="420"/>
        <w:rPr>
          <w:rFonts w:hAnsi="宋体" w:cs="宋体"/>
          <w:color w:val="auto"/>
          <w:highlight w:val="none"/>
        </w:rPr>
      </w:pPr>
      <w:r>
        <w:rPr>
          <w:rFonts w:hint="eastAsia" w:hAnsi="宋体" w:cs="宋体"/>
          <w:color w:val="auto"/>
          <w:szCs w:val="21"/>
          <w:highlight w:val="none"/>
        </w:rPr>
        <w:t>□最低评标价法，是指投标文件满足招标文件</w:t>
      </w:r>
      <w:r>
        <w:rPr>
          <w:rFonts w:hint="eastAsia" w:hAnsi="宋体" w:cs="宋体"/>
          <w:color w:val="auto"/>
          <w:highlight w:val="none"/>
        </w:rPr>
        <w:t>全部实质性要求，且投标报价最低的投标人为中标候选人的评标方法。</w:t>
      </w:r>
    </w:p>
    <w:p w14:paraId="69E5D375">
      <w:pPr>
        <w:wordWrap w:val="0"/>
        <w:autoSpaceDE w:val="0"/>
        <w:autoSpaceDN w:val="0"/>
        <w:adjustRightInd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highlight w:val="none"/>
        </w:rPr>
        <w:t>综合评分法，</w:t>
      </w:r>
      <w:r>
        <w:rPr>
          <w:rFonts w:hint="eastAsia" w:ascii="宋体" w:hAnsi="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42F62BAC">
      <w:pPr>
        <w:pStyle w:val="12"/>
        <w:wordWrap w:val="0"/>
        <w:spacing w:line="360" w:lineRule="auto"/>
        <w:ind w:firstLine="420"/>
        <w:rPr>
          <w:rFonts w:hAnsi="宋体" w:cs="宋体"/>
          <w:color w:val="auto"/>
          <w:highlight w:val="none"/>
        </w:rPr>
      </w:pPr>
    </w:p>
    <w:p w14:paraId="35BF8F27">
      <w:pPr>
        <w:pStyle w:val="12"/>
        <w:tabs>
          <w:tab w:val="left" w:pos="2472"/>
        </w:tabs>
        <w:wordWrap w:val="0"/>
        <w:spacing w:line="360" w:lineRule="auto"/>
        <w:jc w:val="center"/>
        <w:outlineLvl w:val="1"/>
        <w:rPr>
          <w:rFonts w:hAnsi="宋体" w:cs="宋体"/>
          <w:b/>
          <w:bCs/>
          <w:color w:val="auto"/>
          <w:sz w:val="32"/>
          <w:szCs w:val="32"/>
          <w:highlight w:val="none"/>
        </w:rPr>
      </w:pPr>
      <w:bookmarkStart w:id="120" w:name="_Toc2595"/>
      <w:r>
        <w:rPr>
          <w:rFonts w:hint="eastAsia" w:hAnsi="宋体" w:cs="宋体"/>
          <w:b/>
          <w:bCs/>
          <w:color w:val="auto"/>
          <w:sz w:val="32"/>
          <w:szCs w:val="32"/>
          <w:highlight w:val="none"/>
        </w:rPr>
        <w:t>第二节 评标程序</w:t>
      </w:r>
      <w:bookmarkEnd w:id="120"/>
    </w:p>
    <w:p w14:paraId="11D8446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1.符合性审查</w:t>
      </w:r>
    </w:p>
    <w:p w14:paraId="0CABE5D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68936E4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1BA606B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2A13C42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3E61839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5449CD9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75DD557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（3）报价超出招标文件规定最高限价，或者超出采购预算金额（包括分项预算）的；</w:t>
      </w:r>
    </w:p>
    <w:p w14:paraId="46E7E0A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236314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（5）修正后的报价，投标人不确认的；</w:t>
      </w:r>
    </w:p>
    <w:p w14:paraId="3570778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（6）投标人属于本章第5条第（2）项情形的。</w:t>
      </w:r>
    </w:p>
    <w:p w14:paraId="1B0771D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7F28B5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3EB4749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7E4ACFB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453D85A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（4）投标有效期、项目完成时间（交货时间、服务完成时间或者服务期等）、质保期、售后服务等招标文件中标“▲”的商务条款发生负偏离的；</w:t>
      </w:r>
    </w:p>
    <w:p w14:paraId="02CEE41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29CE4A2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223DF24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2DB0893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53F9874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（9）未响应招标文件实质性要求的；</w:t>
      </w:r>
    </w:p>
    <w:p w14:paraId="47DE387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4EEBE1B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（11）法律、法规和招标文件规定的其他无效情形。</w:t>
      </w:r>
    </w:p>
    <w:p w14:paraId="6EA6B5F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200CBF9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（1）不满足招标文件要求的服务内容、技术要求、安全、质量标准，或者与招标文件中标“▲”的技术需求发生负偏离的；</w:t>
      </w:r>
    </w:p>
    <w:p w14:paraId="627A3FD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64A3DC8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215E6CA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52E8FCB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（5）如招标文件需要提供技术方案的，投标技术方案不明确，招标文件未允许但存在一个或者一个以上备选（替代）投标方案的。</w:t>
      </w:r>
    </w:p>
    <w:p w14:paraId="69D590DC">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3.澄清补正、说明或者补正</w:t>
      </w:r>
    </w:p>
    <w:p w14:paraId="5CF56B3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39FC6EB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78242A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4.投标文件修正</w:t>
      </w:r>
    </w:p>
    <w:p w14:paraId="783D9E2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41A45E2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20BDC03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（2）大写金额和小写金额不一致的，以大写金额为准；</w:t>
      </w:r>
    </w:p>
    <w:p w14:paraId="35E12F7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13C8C47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48A4DF2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05D8D08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18AE220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598156D1">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5.比较与评价</w:t>
      </w:r>
    </w:p>
    <w:p w14:paraId="0350E9A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5.1评标委员会按照招标文件中规定的评标方法和评标标准，对符合性审查合格的投标文件进行商务和技术评估，综合比较与评价。</w:t>
      </w:r>
    </w:p>
    <w:p w14:paraId="5F3D778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5.2评标委员会独立对每个投标人的投标文件进行评价，并汇总每个投标人的得分。</w:t>
      </w:r>
    </w:p>
    <w:p w14:paraId="1FE51D5D">
      <w:pPr>
        <w:widowControl/>
        <w:numPr>
          <w:ilvl w:val="0"/>
          <w:numId w:val="3"/>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D3334B4">
      <w:pPr>
        <w:widowControl/>
        <w:numPr>
          <w:ilvl w:val="0"/>
          <w:numId w:val="3"/>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06E7F03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5.3评标委员会按照招标文件中规定的评标方法和标准计算各投标人的报价得分。在计算过程中，不得去掉最高报价或者最低报价。</w:t>
      </w:r>
    </w:p>
    <w:p w14:paraId="318AA52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5.4各投标人的得分为所有评委的有效评分的算术平均数。</w:t>
      </w:r>
    </w:p>
    <w:p w14:paraId="10F4E9C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5.5评标委员会按照招标文件中的规定推荐中标候选人。</w:t>
      </w:r>
    </w:p>
    <w:p w14:paraId="123C5F8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B0F021E">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6.</w:t>
      </w:r>
      <w:r>
        <w:rPr>
          <w:rFonts w:hint="eastAsia" w:ascii="宋体" w:hAnsi="宋体" w:cs="宋体"/>
          <w:b/>
          <w:bCs/>
          <w:color w:val="auto"/>
          <w:szCs w:val="21"/>
          <w:highlight w:val="none"/>
        </w:rPr>
        <w:t>异常低价审查</w:t>
      </w:r>
    </w:p>
    <w:p w14:paraId="0FCBDDED">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6.1根据《关于推动解决政府采购异常低价问题的通知》(财库〔2026〕2号)规定，政府采购评审中出现异常低价下列情形之一的，评审委员会应当启动异常低价投标审查程序：</w:t>
      </w:r>
    </w:p>
    <w:p w14:paraId="6E83E85F">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37A74B7F">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1E91A24A">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2D60208F">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4914817E">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（5）相关法律法规对供应商报价有规定的，从其规定。</w:t>
      </w:r>
    </w:p>
    <w:p w14:paraId="75D060B3">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6.2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9A6CB3">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6.3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686477C">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6.4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F99A3D2">
      <w:pPr>
        <w:widowControl/>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6.5记录及归档：异常低价投标（响应）审查的启动原因、审查意见和审查结果应当在评审报告中记录，并随供应商提供的相关书面说明及证明材料，以及评审委员会有关互联网浏览、查询历史一并归档。</w:t>
      </w:r>
    </w:p>
    <w:p w14:paraId="05F46438">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7.评审复核</w:t>
      </w:r>
    </w:p>
    <w:p w14:paraId="42B99D3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7.1评标报告签署前，评标委员会要对评审结果进行复核，复核意见要体现在评标报告中。</w:t>
      </w:r>
    </w:p>
    <w:p w14:paraId="31971857">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rPr>
        <w:t>7.2评标结果汇总完成后，除下列情形外，任何人不得修改评标结果：</w:t>
      </w:r>
    </w:p>
    <w:p w14:paraId="0A434AF6">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（一）分值汇总计算错误的；</w:t>
      </w:r>
    </w:p>
    <w:p w14:paraId="280F0306">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（二）分项评分超出评分标准范围的；</w:t>
      </w:r>
    </w:p>
    <w:p w14:paraId="68508810">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（三）评标委员会成员对客观评审因素评分不一致的；</w:t>
      </w:r>
    </w:p>
    <w:p w14:paraId="090F6F59">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（四）经评标委员会认定评分畸高、畸低的。</w:t>
      </w:r>
    </w:p>
    <w:p w14:paraId="12C243F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4D2BA8A">
      <w:pPr>
        <w:pStyle w:val="4"/>
        <w:wordWrap w:val="0"/>
        <w:spacing w:before="0" w:after="0" w:line="360" w:lineRule="auto"/>
        <w:jc w:val="center"/>
        <w:rPr>
          <w:rFonts w:ascii="宋体" w:hAnsi="宋体" w:eastAsia="宋体" w:cs="宋体"/>
          <w:b w:val="0"/>
          <w:color w:val="auto"/>
          <w:sz w:val="30"/>
          <w:szCs w:val="30"/>
          <w:highlight w:val="none"/>
        </w:rPr>
      </w:pPr>
      <w:bookmarkStart w:id="121" w:name="_Toc29067"/>
      <w:bookmarkStart w:id="122" w:name="PO_TDCUS_ITEM_SM_TABLE_1"/>
      <w:r>
        <w:rPr>
          <w:rFonts w:hint="eastAsia" w:ascii="宋体" w:hAnsi="宋体" w:eastAsia="宋体" w:cs="宋体"/>
          <w:b w:val="0"/>
          <w:color w:val="auto"/>
          <w:sz w:val="30"/>
          <w:szCs w:val="30"/>
          <w:highlight w:val="none"/>
        </w:rPr>
        <w:t>第三节 评分标准</w:t>
      </w:r>
      <w:bookmarkEnd w:id="121"/>
    </w:p>
    <w:p w14:paraId="027E6F10">
      <w:pPr>
        <w:pStyle w:val="12"/>
        <w:widowControl/>
        <w:wordWrap w:val="0"/>
        <w:spacing w:line="360" w:lineRule="auto"/>
        <w:ind w:firstLine="602" w:firstLineChars="200"/>
        <w:jc w:val="center"/>
        <w:rPr>
          <w:rFonts w:hAnsi="宋体" w:cs="宋体"/>
          <w:b/>
          <w:color w:val="auto"/>
          <w:sz w:val="30"/>
          <w:szCs w:val="30"/>
          <w:highlight w:val="none"/>
        </w:rPr>
      </w:pPr>
      <w:r>
        <w:rPr>
          <w:rFonts w:hint="eastAsia" w:hAnsi="宋体" w:cs="宋体"/>
          <w:b/>
          <w:color w:val="auto"/>
          <w:sz w:val="30"/>
          <w:szCs w:val="30"/>
          <w:highlight w:val="none"/>
        </w:rPr>
        <w:t>二、综合评分法</w:t>
      </w:r>
    </w:p>
    <w:p w14:paraId="168F198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注：1.计分方法按四舍五入取至百分位。</w:t>
      </w:r>
    </w:p>
    <w:p w14:paraId="606B9BCA">
      <w:pPr>
        <w:wordWrap w:val="0"/>
        <w:spacing w:line="360" w:lineRule="auto"/>
        <w:ind w:firstLine="1050" w:firstLineChars="500"/>
        <w:rPr>
          <w:rFonts w:ascii="宋体" w:hAnsi="宋体" w:cs="宋体"/>
          <w:color w:val="auto"/>
          <w:szCs w:val="21"/>
          <w:highlight w:val="none"/>
        </w:rPr>
      </w:pPr>
      <w:r>
        <w:rPr>
          <w:rFonts w:hint="eastAsia" w:ascii="宋体" w:hAnsi="宋体" w:cs="宋体"/>
          <w:color w:val="auto"/>
          <w:szCs w:val="21"/>
          <w:highlight w:val="none"/>
        </w:rPr>
        <w:t>总得分=报价分+技术分+商务分</w:t>
      </w:r>
    </w:p>
    <w:p w14:paraId="329327F1">
      <w:pPr>
        <w:numPr>
          <w:ilvl w:val="0"/>
          <w:numId w:val="4"/>
        </w:numPr>
        <w:wordWrap w:val="0"/>
        <w:spacing w:line="440" w:lineRule="exact"/>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商务技术评审因素为客观评分项的，应在评分项目或评分标准中予以标注为‘客观分’。对投标人的客观评分项目，各评标专家评分应当一致。</w:t>
      </w:r>
      <w:bookmarkStart w:id="123" w:name="PO_TDCUS_ITEM_SM_TITLE_1"/>
    </w:p>
    <w:tbl>
      <w:tblPr>
        <w:tblStyle w:val="23"/>
        <w:tblW w:w="10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49"/>
        <w:gridCol w:w="6613"/>
        <w:gridCol w:w="1183"/>
      </w:tblGrid>
      <w:tr w14:paraId="5063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5" w:type="dxa"/>
            <w:tcBorders>
              <w:top w:val="single" w:color="auto" w:sz="4" w:space="0"/>
              <w:left w:val="single" w:color="auto" w:sz="4" w:space="0"/>
              <w:bottom w:val="single" w:color="auto" w:sz="4" w:space="0"/>
              <w:right w:val="single" w:color="auto" w:sz="4" w:space="0"/>
            </w:tcBorders>
            <w:vAlign w:val="center"/>
          </w:tcPr>
          <w:p w14:paraId="7260C62F">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eastAsia="宋体" w:cs="宋体"/>
                <w:b/>
                <w:color w:val="auto"/>
                <w:szCs w:val="21"/>
                <w:highlight w:val="none"/>
                <w:lang w:val="en-US" w:eastAsia="zh-CN"/>
              </w:rPr>
            </w:pPr>
            <w:r>
              <w:rPr>
                <w:rFonts w:hint="eastAsia" w:hAnsi="宋体" w:cs="宋体"/>
                <w:b/>
                <w:color w:val="auto"/>
                <w:szCs w:val="21"/>
                <w:highlight w:val="none"/>
                <w:lang w:val="en-US" w:eastAsia="zh-CN"/>
              </w:rPr>
              <w:t>标段</w:t>
            </w:r>
          </w:p>
        </w:tc>
        <w:tc>
          <w:tcPr>
            <w:tcW w:w="9445" w:type="dxa"/>
            <w:gridSpan w:val="3"/>
            <w:tcBorders>
              <w:top w:val="single" w:color="auto" w:sz="4" w:space="0"/>
              <w:left w:val="single" w:color="auto" w:sz="4" w:space="0"/>
              <w:bottom w:val="single" w:color="auto" w:sz="4" w:space="0"/>
              <w:right w:val="single" w:color="auto" w:sz="4" w:space="0"/>
            </w:tcBorders>
            <w:vAlign w:val="center"/>
          </w:tcPr>
          <w:p w14:paraId="28F42925">
            <w:pPr>
              <w:pStyle w:val="12"/>
              <w:keepNext w:val="0"/>
              <w:keepLines w:val="0"/>
              <w:pageBreakBefore w:val="0"/>
              <w:widowControl/>
              <w:kinsoku/>
              <w:wordWrap w:val="0"/>
              <w:overflowPunct/>
              <w:topLinePunct w:val="0"/>
              <w:bidi w:val="0"/>
              <w:adjustRightInd/>
              <w:snapToGrid/>
              <w:spacing w:line="400" w:lineRule="exact"/>
              <w:jc w:val="left"/>
              <w:textAlignment w:val="auto"/>
              <w:rPr>
                <w:rFonts w:hint="default" w:hAnsi="宋体" w:eastAsia="宋体" w:cs="宋体"/>
                <w:b/>
                <w:color w:val="auto"/>
                <w:szCs w:val="21"/>
                <w:highlight w:val="none"/>
                <w:lang w:val="en-US" w:eastAsia="zh-CN"/>
              </w:rPr>
            </w:pPr>
            <w:r>
              <w:rPr>
                <w:rFonts w:hint="eastAsia" w:hAnsi="宋体" w:cs="宋体"/>
                <w:b/>
                <w:color w:val="auto"/>
                <w:szCs w:val="21"/>
                <w:highlight w:val="none"/>
                <w:lang w:val="en-US" w:eastAsia="zh-CN"/>
              </w:rPr>
              <w:t>分标1</w:t>
            </w:r>
          </w:p>
        </w:tc>
      </w:tr>
      <w:bookmarkEnd w:id="123"/>
      <w:tr w14:paraId="6226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85" w:type="dxa"/>
            <w:tcBorders>
              <w:top w:val="single" w:color="auto" w:sz="4" w:space="0"/>
              <w:left w:val="single" w:color="auto" w:sz="4" w:space="0"/>
              <w:bottom w:val="single" w:color="auto" w:sz="4" w:space="0"/>
              <w:right w:val="single" w:color="auto" w:sz="4" w:space="0"/>
            </w:tcBorders>
            <w:vAlign w:val="center"/>
          </w:tcPr>
          <w:p w14:paraId="7E8527A5">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
                <w:color w:val="auto"/>
                <w:szCs w:val="21"/>
                <w:highlight w:val="none"/>
                <w:lang w:val="en-US" w:eastAsia="zh-CN"/>
              </w:rPr>
            </w:pPr>
            <w:r>
              <w:rPr>
                <w:rFonts w:hint="eastAsia" w:hAnsi="宋体" w:cs="宋体"/>
                <w:b/>
                <w:color w:val="auto"/>
                <w:szCs w:val="21"/>
                <w:highlight w:val="none"/>
                <w:lang w:val="en-US" w:eastAsia="zh-CN"/>
              </w:rPr>
              <w:t>序号</w:t>
            </w:r>
          </w:p>
        </w:tc>
        <w:tc>
          <w:tcPr>
            <w:tcW w:w="1649" w:type="dxa"/>
            <w:tcBorders>
              <w:top w:val="single" w:color="auto" w:sz="4" w:space="0"/>
              <w:left w:val="single" w:color="auto" w:sz="4" w:space="0"/>
              <w:bottom w:val="single" w:color="auto" w:sz="4" w:space="0"/>
              <w:right w:val="single" w:color="auto" w:sz="4" w:space="0"/>
            </w:tcBorders>
            <w:vAlign w:val="center"/>
          </w:tcPr>
          <w:p w14:paraId="03BAB79B">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
                <w:color w:val="auto"/>
                <w:szCs w:val="21"/>
                <w:highlight w:val="none"/>
                <w:lang w:val="en-US" w:eastAsia="zh-CN"/>
              </w:rPr>
            </w:pPr>
            <w:r>
              <w:rPr>
                <w:rFonts w:hint="eastAsia" w:hAnsi="宋体" w:cs="宋体"/>
                <w:b/>
                <w:color w:val="auto"/>
                <w:szCs w:val="21"/>
                <w:highlight w:val="none"/>
                <w:lang w:val="en-US" w:eastAsia="zh-CN"/>
              </w:rPr>
              <w:t>评分类型</w:t>
            </w:r>
          </w:p>
        </w:tc>
        <w:tc>
          <w:tcPr>
            <w:tcW w:w="6613" w:type="dxa"/>
            <w:tcBorders>
              <w:top w:val="single" w:color="auto" w:sz="4" w:space="0"/>
              <w:left w:val="single" w:color="auto" w:sz="4" w:space="0"/>
              <w:bottom w:val="single" w:color="auto" w:sz="4" w:space="0"/>
              <w:right w:val="single" w:color="auto" w:sz="4" w:space="0"/>
            </w:tcBorders>
            <w:vAlign w:val="center"/>
          </w:tcPr>
          <w:p w14:paraId="294AB17E">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
                <w:color w:val="auto"/>
                <w:szCs w:val="21"/>
                <w:highlight w:val="none"/>
                <w:lang w:val="en-US" w:eastAsia="zh-CN"/>
              </w:rPr>
            </w:pPr>
            <w:r>
              <w:rPr>
                <w:rFonts w:hint="eastAsia" w:hAnsi="宋体" w:cs="宋体"/>
                <w:b/>
                <w:color w:val="auto"/>
                <w:szCs w:val="21"/>
                <w:highlight w:val="none"/>
                <w:lang w:val="en-US" w:eastAsia="zh-CN"/>
              </w:rPr>
              <w:t>评分标准</w:t>
            </w:r>
          </w:p>
        </w:tc>
        <w:tc>
          <w:tcPr>
            <w:tcW w:w="1183" w:type="dxa"/>
            <w:tcBorders>
              <w:top w:val="single" w:color="auto" w:sz="4" w:space="0"/>
              <w:left w:val="single" w:color="auto" w:sz="4" w:space="0"/>
              <w:bottom w:val="single" w:color="auto" w:sz="4" w:space="0"/>
              <w:right w:val="single" w:color="auto" w:sz="4" w:space="0"/>
            </w:tcBorders>
            <w:vAlign w:val="center"/>
          </w:tcPr>
          <w:p w14:paraId="66075BA7">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
                <w:color w:val="auto"/>
                <w:szCs w:val="21"/>
                <w:highlight w:val="none"/>
                <w:lang w:val="en-US" w:eastAsia="zh-CN"/>
              </w:rPr>
            </w:pPr>
            <w:r>
              <w:rPr>
                <w:rFonts w:hint="eastAsia" w:hAnsi="宋体" w:cs="宋体"/>
                <w:b/>
                <w:color w:val="auto"/>
                <w:szCs w:val="21"/>
                <w:highlight w:val="none"/>
                <w:lang w:val="en-US" w:eastAsia="zh-CN"/>
              </w:rPr>
              <w:t>分值</w:t>
            </w:r>
          </w:p>
        </w:tc>
      </w:tr>
      <w:tr w14:paraId="4F63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4" w:space="0"/>
              <w:left w:val="single" w:color="auto" w:sz="4" w:space="0"/>
              <w:bottom w:val="single" w:color="auto" w:sz="4" w:space="0"/>
              <w:right w:val="single" w:color="auto" w:sz="4" w:space="0"/>
            </w:tcBorders>
            <w:vAlign w:val="center"/>
          </w:tcPr>
          <w:p w14:paraId="3B82BDD2">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1</w:t>
            </w:r>
          </w:p>
        </w:tc>
        <w:tc>
          <w:tcPr>
            <w:tcW w:w="1649" w:type="dxa"/>
            <w:tcBorders>
              <w:top w:val="single" w:color="auto" w:sz="4" w:space="0"/>
              <w:left w:val="single" w:color="auto" w:sz="4" w:space="0"/>
              <w:bottom w:val="single" w:color="auto" w:sz="4" w:space="0"/>
              <w:right w:val="single" w:color="auto" w:sz="4" w:space="0"/>
            </w:tcBorders>
            <w:vAlign w:val="center"/>
          </w:tcPr>
          <w:p w14:paraId="68457DEB">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价格分</w:t>
            </w:r>
          </w:p>
          <w:p w14:paraId="03D6CA26">
            <w:pPr>
              <w:keepNext w:val="0"/>
              <w:keepLines w:val="0"/>
              <w:pageBreakBefore w:val="0"/>
              <w:kinsoku/>
              <w:wordWrap w:val="0"/>
              <w:overflowPunct/>
              <w:topLinePunct w:val="0"/>
              <w:bidi w:val="0"/>
              <w:adjustRightInd/>
              <w:snapToGrid/>
              <w:spacing w:line="400" w:lineRule="exact"/>
              <w:textAlignment w:val="auto"/>
              <w:rPr>
                <w:rFonts w:ascii="宋体" w:hAnsi="宋体" w:cs="宋体"/>
                <w:bCs/>
                <w:color w:val="auto"/>
                <w:szCs w:val="21"/>
                <w:highlight w:val="none"/>
              </w:rPr>
            </w:pPr>
            <w:r>
              <w:rPr>
                <w:rFonts w:hint="eastAsia" w:ascii="宋体" w:hAnsi="宋体" w:cs="宋体"/>
                <w:b/>
                <w:color w:val="auto"/>
                <w:szCs w:val="21"/>
                <w:highlight w:val="none"/>
              </w:rPr>
              <w:t>（满分1</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shd w:val="clear" w:color="auto" w:fill="auto"/>
            <w:vAlign w:val="center"/>
          </w:tcPr>
          <w:p w14:paraId="095351BC">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（1）评标报价为投标人的投标报价进行政策性扣除后的价格，评标报价只是作为评标时使用。最终中标供应商的中标金额＝投标报价。</w:t>
            </w:r>
          </w:p>
          <w:p w14:paraId="17778028">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（2）按照《政府采购促进中小企业发展管理办法》（财库〔2020〕46号）规定，投标人在其投标文件中提供《中小企业声明函》，且服务全部由小型和微型企业承接的，对其最后报价给予20%的扣除。</w:t>
            </w:r>
          </w:p>
          <w:p w14:paraId="1892545B">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F805981">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D49E17F">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（5）政策性扣除计算方法。</w:t>
            </w:r>
          </w:p>
          <w:p w14:paraId="2AABEB61">
            <w:pPr>
              <w:keepNext w:val="0"/>
              <w:keepLines w:val="0"/>
              <w:pageBreakBefore w:val="0"/>
              <w:kinsoku/>
              <w:wordWrap w:val="0"/>
              <w:overflowPunct/>
              <w:topLinePunct w:val="0"/>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在服务采购项目中，服务由小微企业承接；对符合上述要求的投标人的投标报价给予20%的扣除，扣除后的价格为评标报价，即评标报价=投标报价×（1-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%的扣除，用扣除后的价格参加评审，扣除后的价格为评标价，即评标报价=投标报价×（1-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%）。除上述情况外，评标报价＝投标报价；</w:t>
            </w:r>
          </w:p>
          <w:p w14:paraId="1BBC947C">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（6）以进入综合评分环节的有效最低的评标报价为评标基准价，评标基准价报价得分为</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4E2DB3C3">
            <w:pPr>
              <w:keepNext w:val="0"/>
              <w:keepLines w:val="0"/>
              <w:pageBreakBefore w:val="0"/>
              <w:kinsoku/>
              <w:wordWrap w:val="0"/>
              <w:overflowPunct/>
              <w:topLinePunct w:val="0"/>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（7）价格分计算公式：某投标人价格分=评标基准价/某投标人评标报价金额×1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p>
        </w:tc>
        <w:tc>
          <w:tcPr>
            <w:tcW w:w="1183" w:type="dxa"/>
            <w:tcBorders>
              <w:top w:val="single" w:color="auto" w:sz="4" w:space="0"/>
              <w:left w:val="single" w:color="auto" w:sz="4" w:space="0"/>
              <w:bottom w:val="single" w:color="auto" w:sz="4" w:space="0"/>
              <w:right w:val="single" w:color="auto" w:sz="4" w:space="0"/>
            </w:tcBorders>
            <w:vAlign w:val="center"/>
          </w:tcPr>
          <w:p w14:paraId="0635649C">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0~1</w:t>
            </w:r>
            <w:r>
              <w:rPr>
                <w:rFonts w:hint="eastAsia" w:hAnsi="宋体" w:cs="宋体"/>
                <w:bCs/>
                <w:color w:val="auto"/>
                <w:szCs w:val="21"/>
                <w:highlight w:val="none"/>
                <w:lang w:val="en-US" w:eastAsia="zh-CN"/>
              </w:rPr>
              <w:t>0</w:t>
            </w:r>
            <w:r>
              <w:rPr>
                <w:rFonts w:hint="eastAsia" w:hAnsi="宋体" w:cs="宋体"/>
                <w:bCs/>
                <w:color w:val="auto"/>
                <w:szCs w:val="21"/>
                <w:highlight w:val="none"/>
              </w:rPr>
              <w:t>分（客观分）</w:t>
            </w:r>
          </w:p>
        </w:tc>
      </w:tr>
      <w:tr w14:paraId="4D3A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85" w:type="dxa"/>
            <w:vMerge w:val="restart"/>
            <w:tcBorders>
              <w:top w:val="single" w:color="auto" w:sz="4" w:space="0"/>
              <w:left w:val="single" w:color="auto" w:sz="4" w:space="0"/>
              <w:right w:val="single" w:color="auto" w:sz="4" w:space="0"/>
            </w:tcBorders>
            <w:vAlign w:val="center"/>
          </w:tcPr>
          <w:p w14:paraId="1FCBD2AB">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2</w:t>
            </w:r>
          </w:p>
        </w:tc>
        <w:tc>
          <w:tcPr>
            <w:tcW w:w="1649" w:type="dxa"/>
            <w:tcBorders>
              <w:top w:val="single" w:color="auto" w:sz="4" w:space="0"/>
              <w:left w:val="single" w:color="auto" w:sz="4" w:space="0"/>
              <w:bottom w:val="single" w:color="auto" w:sz="4" w:space="0"/>
              <w:right w:val="single" w:color="auto" w:sz="4" w:space="0"/>
            </w:tcBorders>
          </w:tcPr>
          <w:p w14:paraId="3BBBBC43">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技术分（满分</w:t>
            </w:r>
          </w:p>
          <w:p w14:paraId="3B89F59E">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70</w:t>
            </w:r>
            <w:r>
              <w:rPr>
                <w:rFonts w:hint="eastAsia"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vAlign w:val="center"/>
          </w:tcPr>
          <w:p w14:paraId="50E2DB6F">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1D6FAFA3">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0F8C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85" w:type="dxa"/>
            <w:vMerge w:val="continue"/>
            <w:tcBorders>
              <w:left w:val="single" w:color="auto" w:sz="4" w:space="0"/>
              <w:right w:val="single" w:color="auto" w:sz="4" w:space="0"/>
            </w:tcBorders>
          </w:tcPr>
          <w:p w14:paraId="0DDF8EB3">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7A88F8F1">
            <w:pPr>
              <w:pStyle w:val="12"/>
              <w:keepNext w:val="0"/>
              <w:keepLines w:val="0"/>
              <w:pageBreakBefore w:val="0"/>
              <w:widowControl/>
              <w:kinsoku/>
              <w:wordWrap w:val="0"/>
              <w:overflowPunct/>
              <w:topLinePunct w:val="0"/>
              <w:bidi w:val="0"/>
              <w:adjustRightInd/>
              <w:snapToGrid/>
              <w:spacing w:line="400" w:lineRule="exact"/>
              <w:jc w:val="left"/>
              <w:textAlignment w:val="auto"/>
              <w:rPr>
                <w:rFonts w:hAnsi="宋体" w:cs="宋体"/>
                <w:color w:val="auto"/>
                <w:szCs w:val="21"/>
                <w:highlight w:val="none"/>
              </w:rPr>
            </w:pPr>
            <w:r>
              <w:rPr>
                <w:rFonts w:hint="eastAsia" w:hAnsi="宋体" w:cs="宋体"/>
                <w:b w:val="0"/>
                <w:bCs w:val="0"/>
                <w:color w:val="auto"/>
                <w:szCs w:val="21"/>
                <w:highlight w:val="none"/>
                <w:lang w:val="en-US" w:eastAsia="zh-CN"/>
              </w:rPr>
              <w:t>技术服务参数（满分24分）</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0032DD10">
            <w:pPr>
              <w:pStyle w:val="9"/>
              <w:keepNext w:val="0"/>
              <w:keepLines w:val="0"/>
              <w:pageBreakBefore w:val="0"/>
              <w:kinsoku/>
              <w:wordWrap w:val="0"/>
              <w:overflowPunct/>
              <w:topLinePunct w:val="0"/>
              <w:bidi w:val="0"/>
              <w:adjustRightInd/>
              <w:snapToGrid/>
              <w:spacing w:line="400" w:lineRule="exact"/>
              <w:ind w:firstLine="210" w:firstLineChars="100"/>
              <w:textAlignment w:val="auto"/>
              <w:rPr>
                <w:rFonts w:ascii="宋体" w:hAnsi="宋体" w:cs="宋体"/>
                <w:b w:val="0"/>
                <w:bCs/>
                <w:color w:val="auto"/>
                <w:szCs w:val="21"/>
                <w:highlight w:val="none"/>
                <w:lang w:val="zh-CN"/>
              </w:rPr>
            </w:pPr>
            <w:r>
              <w:rPr>
                <w:rFonts w:hint="eastAsia" w:ascii="宋体" w:hAnsi="宋体" w:cs="宋体"/>
                <w:b w:val="0"/>
                <w:bCs/>
                <w:color w:val="auto"/>
                <w:szCs w:val="21"/>
                <w:highlight w:val="none"/>
                <w:lang w:val="zh-CN" w:eastAsia="zh-CN"/>
              </w:rPr>
              <w:t>投标人满足全部技术服务参数的，得基本分24分。其中服务需求一览表中标注“█”的技术服务参数，每有一项负偏离的扣1.5分，最多扣24分。</w:t>
            </w:r>
          </w:p>
        </w:tc>
        <w:tc>
          <w:tcPr>
            <w:tcW w:w="1183" w:type="dxa"/>
            <w:tcBorders>
              <w:top w:val="single" w:color="auto" w:sz="4" w:space="0"/>
              <w:left w:val="single" w:color="auto" w:sz="4" w:space="0"/>
              <w:bottom w:val="single" w:color="auto" w:sz="4" w:space="0"/>
              <w:right w:val="single" w:color="auto" w:sz="4" w:space="0"/>
            </w:tcBorders>
            <w:vAlign w:val="center"/>
          </w:tcPr>
          <w:p w14:paraId="1BB3FF83">
            <w:pPr>
              <w:keepNext w:val="0"/>
              <w:keepLines w:val="0"/>
              <w:pageBreakBefore w:val="0"/>
              <w:kinsoku/>
              <w:wordWrap w:val="0"/>
              <w:overflowPunct/>
              <w:topLinePunct w:val="0"/>
              <w:bidi w:val="0"/>
              <w:adjustRightInd/>
              <w:snapToGrid/>
              <w:spacing w:line="400" w:lineRule="exact"/>
              <w:jc w:val="center"/>
              <w:textAlignment w:val="auto"/>
              <w:rPr>
                <w:rFonts w:ascii="宋体" w:hAnsi="宋体" w:cs="宋体"/>
                <w:bCs/>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客</w:t>
            </w:r>
            <w:r>
              <w:rPr>
                <w:rFonts w:hint="eastAsia" w:hAnsi="宋体" w:cs="宋体"/>
                <w:bCs/>
                <w:color w:val="auto"/>
                <w:szCs w:val="21"/>
                <w:highlight w:val="none"/>
              </w:rPr>
              <w:t>观分）</w:t>
            </w:r>
          </w:p>
        </w:tc>
      </w:tr>
      <w:tr w14:paraId="5295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85" w:type="dxa"/>
            <w:vMerge w:val="continue"/>
            <w:tcBorders>
              <w:left w:val="single" w:color="auto" w:sz="4" w:space="0"/>
              <w:right w:val="single" w:color="auto" w:sz="4" w:space="0"/>
            </w:tcBorders>
          </w:tcPr>
          <w:p w14:paraId="1EE08E0F">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4152866E">
            <w:pPr>
              <w:pStyle w:val="12"/>
              <w:keepNext w:val="0"/>
              <w:keepLines w:val="0"/>
              <w:pageBreakBefore w:val="0"/>
              <w:widowControl/>
              <w:kinsoku/>
              <w:wordWrap w:val="0"/>
              <w:overflowPunct/>
              <w:topLinePunct w:val="0"/>
              <w:bidi w:val="0"/>
              <w:adjustRightInd/>
              <w:snapToGrid/>
              <w:spacing w:line="400" w:lineRule="exact"/>
              <w:jc w:val="left"/>
              <w:textAlignment w:val="auto"/>
              <w:rPr>
                <w:rFonts w:hAnsi="宋体" w:cs="宋体"/>
                <w:bCs/>
                <w:color w:val="auto"/>
                <w:kern w:val="0"/>
                <w:szCs w:val="21"/>
                <w:highlight w:val="none"/>
              </w:rPr>
            </w:pPr>
            <w:r>
              <w:rPr>
                <w:rFonts w:hint="eastAsia" w:hAnsi="宋体" w:cs="宋体"/>
                <w:bCs/>
                <w:color w:val="auto"/>
                <w:kern w:val="0"/>
                <w:szCs w:val="21"/>
                <w:highlight w:val="none"/>
              </w:rPr>
              <w:t>技术服务方案（满分30分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hAnsi="宋体" w:cs="宋体"/>
                <w:bCs/>
                <w:color w:val="auto"/>
                <w:kern w:val="0"/>
                <w:szCs w:val="21"/>
                <w:highlight w:val="none"/>
                <w:lang w:val="en-US" w:eastAsia="zh-CN"/>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28B64EC8">
            <w:pPr>
              <w:pStyle w:val="9"/>
              <w:keepNext w:val="0"/>
              <w:keepLines w:val="0"/>
              <w:pageBreakBefore w:val="0"/>
              <w:kinsoku/>
              <w:overflowPunct/>
              <w:topLinePunct w:val="0"/>
              <w:bidi w:val="0"/>
              <w:adjustRightInd/>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提供符合本项目特点的技术服务方案，内容包括但不限于：专业教学资源库平台运行维护方案、专业群知识图谱建设方案、智慧课程建设方案、视频资源制作方案、数字化教材建设方案、教师专业调研方案、项目实施方案及项目建设人员配置方案等。评审委员依据方案完整性、细节深度、针对性、实施可行性及保障措施打分。</w:t>
            </w:r>
          </w:p>
          <w:p w14:paraId="7FE486EF">
            <w:pPr>
              <w:pStyle w:val="9"/>
              <w:keepNext w:val="0"/>
              <w:keepLines w:val="0"/>
              <w:pageBreakBefore w:val="0"/>
              <w:kinsoku/>
              <w:overflowPunct/>
              <w:topLinePunct w:val="0"/>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一档（15分）要求覆盖所有子方案，</w:t>
            </w:r>
            <w:r>
              <w:rPr>
                <w:rFonts w:hint="eastAsia" w:ascii="宋体" w:hAnsi="宋体" w:cs="宋体"/>
                <w:color w:val="auto"/>
                <w:szCs w:val="21"/>
                <w:highlight w:val="none"/>
                <w:lang w:val="en-US" w:eastAsia="zh-CN"/>
              </w:rPr>
              <w:t>整体以框架性表述为主</w:t>
            </w:r>
            <w:r>
              <w:rPr>
                <w:rFonts w:hint="eastAsia" w:ascii="宋体" w:hAnsi="宋体" w:cs="宋体"/>
                <w:color w:val="auto"/>
                <w:szCs w:val="21"/>
                <w:highlight w:val="none"/>
              </w:rPr>
              <w:t>，仅体现基本思路</w:t>
            </w:r>
            <w:r>
              <w:rPr>
                <w:rFonts w:hint="eastAsia" w:ascii="宋体" w:hAnsi="宋体" w:cs="宋体"/>
                <w:color w:val="auto"/>
                <w:szCs w:val="21"/>
                <w:highlight w:val="none"/>
                <w:lang w:val="en-US" w:eastAsia="zh-CN"/>
              </w:rPr>
              <w:t>；方案内容包含基本的实施计划、人员配置与进度安排</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符合项目基本建设要求</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但</w:t>
            </w:r>
            <w:r>
              <w:rPr>
                <w:rFonts w:hint="eastAsia" w:ascii="宋体" w:hAnsi="宋体" w:cs="宋体"/>
                <w:color w:val="auto"/>
                <w:szCs w:val="21"/>
                <w:highlight w:val="none"/>
              </w:rPr>
              <w:t>针对性较弱；</w:t>
            </w:r>
          </w:p>
          <w:p w14:paraId="53FEDA32">
            <w:pPr>
              <w:pStyle w:val="9"/>
              <w:keepNext w:val="0"/>
              <w:keepLines w:val="0"/>
              <w:pageBreakBefore w:val="0"/>
              <w:kinsoku/>
              <w:overflowPunct/>
              <w:topLinePunct w:val="0"/>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二档（22分）方案完整覆盖所有子方案，各项内容要素齐全、条理清晰；项目实施流程、人员职责、进度节点明确具体，质量与风险保障措施合理可行，与项目实际需求匹配度较高、能保障项目实施。</w:t>
            </w:r>
          </w:p>
          <w:p w14:paraId="077B24B0">
            <w:pPr>
              <w:pStyle w:val="9"/>
              <w:keepNext w:val="0"/>
              <w:keepLines w:val="0"/>
              <w:pageBreakBefore w:val="0"/>
              <w:kinsoku/>
              <w:wordWrap w:val="0"/>
              <w:overflowPunct/>
              <w:topLinePunct w:val="0"/>
              <w:bidi w:val="0"/>
              <w:adjustRightInd/>
              <w:snapToGrid/>
              <w:spacing w:line="40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三档（30分）：方案完整覆盖所有子方案，各项内容详实全面、重点突出、逻辑严谨；针对项目建设重难点设有专项应对方案，实施路径、人员配置、进度管控、质量保障体系完善科学</w:t>
            </w:r>
            <w:r>
              <w:rPr>
                <w:rFonts w:hint="eastAsia" w:ascii="宋体" w:hAnsi="宋体" w:cs="宋体"/>
                <w:color w:val="auto"/>
                <w:szCs w:val="21"/>
                <w:highlight w:val="none"/>
                <w:lang w:eastAsia="zh-CN"/>
              </w:rPr>
              <w:t>、</w:t>
            </w:r>
            <w:r>
              <w:rPr>
                <w:rFonts w:hint="eastAsia" w:ascii="宋体" w:hAnsi="宋体" w:cs="宋体"/>
                <w:color w:val="auto"/>
                <w:szCs w:val="21"/>
                <w:highlight w:val="none"/>
              </w:rPr>
              <w:t>可行、步骤清晰，深度贴合本项目建设目标，指导性与可操作性强。</w:t>
            </w:r>
          </w:p>
        </w:tc>
        <w:tc>
          <w:tcPr>
            <w:tcW w:w="1183" w:type="dxa"/>
            <w:tcBorders>
              <w:top w:val="single" w:color="auto" w:sz="4" w:space="0"/>
              <w:left w:val="single" w:color="auto" w:sz="4" w:space="0"/>
              <w:bottom w:val="single" w:color="auto" w:sz="4" w:space="0"/>
              <w:right w:val="single" w:color="auto" w:sz="4" w:space="0"/>
            </w:tcBorders>
            <w:vAlign w:val="center"/>
          </w:tcPr>
          <w:p w14:paraId="15AA4514">
            <w:pPr>
              <w:keepNext w:val="0"/>
              <w:keepLines w:val="0"/>
              <w:pageBreakBefore w:val="0"/>
              <w:kinsoku/>
              <w:wordWrap w:val="0"/>
              <w:overflowPunct/>
              <w:topLinePunct w:val="0"/>
              <w:bidi w:val="0"/>
              <w:adjustRightInd/>
              <w:snapToGrid/>
              <w:spacing w:line="400" w:lineRule="exact"/>
              <w:jc w:val="center"/>
              <w:textAlignment w:val="auto"/>
              <w:rPr>
                <w:rFonts w:ascii="宋体" w:hAnsi="宋体" w:cs="宋体"/>
                <w:bCs/>
                <w:color w:val="auto"/>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63CD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atLeast"/>
        </w:trPr>
        <w:tc>
          <w:tcPr>
            <w:tcW w:w="685" w:type="dxa"/>
            <w:vMerge w:val="continue"/>
            <w:tcBorders>
              <w:left w:val="single" w:color="auto" w:sz="4" w:space="0"/>
              <w:right w:val="single" w:color="auto" w:sz="4" w:space="0"/>
            </w:tcBorders>
          </w:tcPr>
          <w:p w14:paraId="20C2ECC4">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500465B4">
            <w:pPr>
              <w:keepNext w:val="0"/>
              <w:keepLines w:val="0"/>
              <w:pageBreakBefore w:val="0"/>
              <w:kinsoku/>
              <w:wordWrap w:val="0"/>
              <w:overflowPunct/>
              <w:topLinePunct w:val="0"/>
              <w:autoSpaceDE w:val="0"/>
              <w:autoSpaceDN w:val="0"/>
              <w:bidi w:val="0"/>
              <w:adjustRightInd/>
              <w:snapToGrid/>
              <w:spacing w:line="400" w:lineRule="exact"/>
              <w:jc w:val="center"/>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rPr>
              <w:t>实施团队</w:t>
            </w:r>
            <w:r>
              <w:rPr>
                <w:rFonts w:hint="eastAsia" w:ascii="宋体" w:hAnsi="宋体" w:cs="宋体"/>
                <w:bCs/>
                <w:color w:val="auto"/>
                <w:kern w:val="0"/>
                <w:szCs w:val="21"/>
                <w:highlight w:val="none"/>
                <w:lang w:val="en-US" w:eastAsia="zh-CN"/>
              </w:rPr>
              <w:t>配备</w:t>
            </w:r>
            <w:r>
              <w:rPr>
                <w:rFonts w:hint="eastAsia" w:ascii="宋体" w:hAnsi="宋体" w:cs="宋体"/>
                <w:bCs/>
                <w:color w:val="auto"/>
                <w:kern w:val="0"/>
                <w:szCs w:val="21"/>
                <w:highlight w:val="none"/>
              </w:rPr>
              <w:t>（满分16分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Cs/>
                <w:color w:val="auto"/>
                <w:kern w:val="0"/>
                <w:szCs w:val="21"/>
                <w:highlight w:val="none"/>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1B14527E">
            <w:pPr>
              <w:pStyle w:val="9"/>
              <w:keepNext w:val="0"/>
              <w:keepLines w:val="0"/>
              <w:pageBreakBefore w:val="0"/>
              <w:kinsoku/>
              <w:wordWrap w:val="0"/>
              <w:overflowPunct/>
              <w:topLinePunct w:val="0"/>
              <w:bidi w:val="0"/>
              <w:adjustRightInd/>
              <w:snapToGrid/>
              <w:spacing w:line="400" w:lineRule="exact"/>
              <w:ind w:firstLine="210" w:firstLineChars="10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一档（5分）：拟投入的技术力量及人员配置方案基本能满足项目实施需求，提供拟投入本项目的实施团队人员名单，实施团队人员不少于</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人，但缺少详细的组织措施和明确的分工安排</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团队</w:t>
            </w:r>
            <w:r>
              <w:rPr>
                <w:rFonts w:hint="eastAsia" w:ascii="宋体" w:hAnsi="宋体" w:cs="宋体"/>
                <w:bCs/>
                <w:color w:val="auto"/>
                <w:kern w:val="0"/>
                <w:szCs w:val="21"/>
                <w:highlight w:val="none"/>
                <w:lang w:val="en-US" w:eastAsia="zh-CN"/>
              </w:rPr>
              <w:t>人员中至少1人具备</w:t>
            </w:r>
            <w:r>
              <w:rPr>
                <w:rFonts w:hint="eastAsia" w:ascii="宋体" w:hAnsi="宋体" w:cs="宋体"/>
                <w:bCs/>
                <w:color w:val="auto"/>
                <w:kern w:val="0"/>
                <w:szCs w:val="21"/>
                <w:highlight w:val="none"/>
              </w:rPr>
              <w:t>酒店管理</w:t>
            </w:r>
            <w:r>
              <w:rPr>
                <w:rFonts w:hint="eastAsia" w:ascii="宋体" w:hAnsi="宋体" w:cs="宋体"/>
                <w:bCs/>
                <w:color w:val="auto"/>
                <w:kern w:val="0"/>
                <w:szCs w:val="21"/>
                <w:highlight w:val="none"/>
                <w:lang w:val="en-US" w:eastAsia="zh-CN"/>
              </w:rPr>
              <w:t>或教育类相关专业正高级技术职称</w:t>
            </w:r>
            <w:r>
              <w:rPr>
                <w:rFonts w:hint="eastAsia" w:ascii="宋体" w:hAnsi="宋体" w:cs="宋体"/>
                <w:bCs/>
                <w:color w:val="auto"/>
                <w:kern w:val="0"/>
                <w:szCs w:val="21"/>
                <w:highlight w:val="none"/>
              </w:rPr>
              <w:t>。</w:t>
            </w:r>
          </w:p>
          <w:p w14:paraId="06A0C646">
            <w:pPr>
              <w:pStyle w:val="9"/>
              <w:keepNext w:val="0"/>
              <w:keepLines w:val="0"/>
              <w:pageBreakBefore w:val="0"/>
              <w:kinsoku/>
              <w:wordWrap w:val="0"/>
              <w:overflowPunct/>
              <w:topLinePunct w:val="0"/>
              <w:bidi w:val="0"/>
              <w:adjustRightInd/>
              <w:snapToGrid/>
              <w:spacing w:line="400" w:lineRule="exact"/>
              <w:ind w:firstLine="210" w:firstLineChars="10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二档（11分）：拟投入的技术力量及人员配置方案较好满足项目实施需求，提供拟投入本项目的实施团队人员名单，实施团队人员不少于</w:t>
            </w:r>
            <w:r>
              <w:rPr>
                <w:rFonts w:hint="default" w:ascii="宋体" w:hAnsi="宋体" w:cs="宋体"/>
                <w:bCs/>
                <w:color w:val="auto"/>
                <w:kern w:val="0"/>
                <w:szCs w:val="21"/>
                <w:highlight w:val="none"/>
                <w:lang w:val="en-US"/>
              </w:rPr>
              <w:t>8</w:t>
            </w:r>
            <w:r>
              <w:rPr>
                <w:rFonts w:hint="eastAsia" w:ascii="宋体" w:hAnsi="宋体" w:cs="宋体"/>
                <w:bCs/>
                <w:color w:val="auto"/>
                <w:kern w:val="0"/>
                <w:szCs w:val="21"/>
                <w:highlight w:val="none"/>
              </w:rPr>
              <w:t>人，有简单的组织措施，团队人员分工、组织架构、岗位职责需对应本项目六大服务模块（专业教学资源库平台运行维护、知识图谱、AI 课程、视频、教材、调研），分工安排较明确</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团队</w:t>
            </w:r>
            <w:r>
              <w:rPr>
                <w:rFonts w:hint="eastAsia" w:ascii="宋体" w:hAnsi="宋体" w:cs="宋体"/>
                <w:bCs/>
                <w:color w:val="auto"/>
                <w:kern w:val="0"/>
                <w:szCs w:val="21"/>
                <w:highlight w:val="none"/>
                <w:lang w:val="en-US" w:eastAsia="zh-CN"/>
              </w:rPr>
              <w:t>人员中至少1人具备摄影或影视制作相关专业中级或以上技术职称，至少2人具备</w:t>
            </w:r>
            <w:r>
              <w:rPr>
                <w:rFonts w:hint="eastAsia" w:ascii="宋体" w:hAnsi="宋体" w:cs="宋体"/>
                <w:bCs/>
                <w:color w:val="auto"/>
                <w:kern w:val="0"/>
                <w:szCs w:val="21"/>
                <w:highlight w:val="none"/>
              </w:rPr>
              <w:t>酒店管理</w:t>
            </w:r>
            <w:r>
              <w:rPr>
                <w:rFonts w:hint="eastAsia" w:ascii="宋体" w:hAnsi="宋体" w:cs="宋体"/>
                <w:bCs/>
                <w:color w:val="auto"/>
                <w:kern w:val="0"/>
                <w:szCs w:val="21"/>
                <w:highlight w:val="none"/>
                <w:lang w:val="en-US" w:eastAsia="zh-CN"/>
              </w:rPr>
              <w:t>或教育类相关专业正高级技术职称</w:t>
            </w:r>
            <w:r>
              <w:rPr>
                <w:rFonts w:hint="eastAsia" w:ascii="宋体" w:hAnsi="宋体" w:cs="宋体"/>
                <w:bCs/>
                <w:color w:val="auto"/>
                <w:kern w:val="0"/>
                <w:szCs w:val="21"/>
                <w:highlight w:val="none"/>
              </w:rPr>
              <w:t>。</w:t>
            </w:r>
          </w:p>
          <w:p w14:paraId="1ED3563E">
            <w:pPr>
              <w:pStyle w:val="9"/>
              <w:keepNext w:val="0"/>
              <w:keepLines w:val="0"/>
              <w:pageBreakBefore w:val="0"/>
              <w:kinsoku/>
              <w:wordWrap w:val="0"/>
              <w:overflowPunct/>
              <w:topLinePunct w:val="0"/>
              <w:bidi w:val="0"/>
              <w:adjustRightInd/>
              <w:snapToGrid/>
              <w:spacing w:line="400" w:lineRule="exact"/>
              <w:ind w:firstLine="210" w:firstLineChars="10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rPr>
              <w:t>三档（16分）：拟投入的技术力量及人员配置方案充分满足项目实施需求，提供拟投入本项目的实施团队人员名单，实施团队人员不少于</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人</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有详细的人员安排计划、组织措施及细致的分工安排，团队人员分工、组织架构、岗位职责需对应本项目六大服务模块（专业教学资源库平台运行维护、知识图谱、AI 课程、视频、教材、调研），分工</w:t>
            </w:r>
            <w:r>
              <w:rPr>
                <w:rFonts w:hint="eastAsia" w:ascii="宋体" w:hAnsi="宋体" w:cs="宋体"/>
                <w:bCs/>
                <w:color w:val="auto"/>
                <w:kern w:val="0"/>
                <w:szCs w:val="21"/>
                <w:highlight w:val="none"/>
                <w:lang w:val="en-US" w:eastAsia="zh-CN"/>
              </w:rPr>
              <w:t>明确、</w:t>
            </w:r>
            <w:r>
              <w:rPr>
                <w:rFonts w:hint="eastAsia" w:ascii="宋体" w:hAnsi="宋体" w:cs="宋体"/>
                <w:bCs/>
                <w:color w:val="auto"/>
                <w:kern w:val="0"/>
                <w:szCs w:val="21"/>
                <w:highlight w:val="none"/>
              </w:rPr>
              <w:t>合理</w:t>
            </w:r>
            <w:r>
              <w:rPr>
                <w:rFonts w:hint="eastAsia" w:ascii="宋体" w:hAnsi="宋体" w:cs="宋体"/>
                <w:bCs/>
                <w:color w:val="auto"/>
                <w:kern w:val="0"/>
                <w:szCs w:val="21"/>
                <w:highlight w:val="none"/>
                <w:lang w:val="en-US" w:eastAsia="zh-CN"/>
              </w:rPr>
              <w:t>可行</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团队</w:t>
            </w:r>
            <w:r>
              <w:rPr>
                <w:rFonts w:hint="eastAsia" w:ascii="宋体" w:hAnsi="宋体" w:cs="宋体"/>
                <w:bCs/>
                <w:color w:val="auto"/>
                <w:kern w:val="0"/>
                <w:szCs w:val="21"/>
                <w:highlight w:val="none"/>
                <w:lang w:val="en-US" w:eastAsia="zh-CN"/>
              </w:rPr>
              <w:t>人员中至少2人具备摄影或影视制作相关专业中级或以上技术职称，至少3人具备</w:t>
            </w:r>
            <w:r>
              <w:rPr>
                <w:rFonts w:hint="eastAsia" w:ascii="宋体" w:hAnsi="宋体" w:cs="宋体"/>
                <w:bCs/>
                <w:color w:val="auto"/>
                <w:kern w:val="0"/>
                <w:szCs w:val="21"/>
                <w:highlight w:val="none"/>
              </w:rPr>
              <w:t>酒店管理</w:t>
            </w:r>
            <w:r>
              <w:rPr>
                <w:rFonts w:hint="eastAsia" w:ascii="宋体" w:hAnsi="宋体" w:cs="宋体"/>
                <w:bCs/>
                <w:color w:val="auto"/>
                <w:kern w:val="0"/>
                <w:szCs w:val="21"/>
                <w:highlight w:val="none"/>
                <w:lang w:val="en-US" w:eastAsia="zh-CN"/>
              </w:rPr>
              <w:t>或教育类相关专业正高级技术职称。</w:t>
            </w:r>
          </w:p>
          <w:p w14:paraId="27CFE48B">
            <w:pPr>
              <w:pStyle w:val="9"/>
              <w:keepNext w:val="0"/>
              <w:keepLines w:val="0"/>
              <w:pageBreakBefore w:val="0"/>
              <w:kinsoku/>
              <w:wordWrap w:val="0"/>
              <w:overflowPunct/>
              <w:topLinePunct w:val="0"/>
              <w:bidi w:val="0"/>
              <w:adjustRightInd/>
              <w:snapToGrid/>
              <w:spacing w:line="400" w:lineRule="exact"/>
              <w:ind w:firstLine="210" w:firstLineChars="10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注：须提供相关证书复印件并加盖投标人公章，否则不予计分。</w:t>
            </w:r>
          </w:p>
        </w:tc>
        <w:tc>
          <w:tcPr>
            <w:tcW w:w="1183" w:type="dxa"/>
            <w:tcBorders>
              <w:top w:val="single" w:color="auto" w:sz="4" w:space="0"/>
              <w:left w:val="single" w:color="auto" w:sz="4" w:space="0"/>
              <w:bottom w:val="single" w:color="auto" w:sz="4" w:space="0"/>
              <w:right w:val="single" w:color="auto" w:sz="4" w:space="0"/>
            </w:tcBorders>
            <w:vAlign w:val="center"/>
          </w:tcPr>
          <w:p w14:paraId="118624D0">
            <w:pPr>
              <w:keepNext w:val="0"/>
              <w:keepLines w:val="0"/>
              <w:pageBreakBefore w:val="0"/>
              <w:kinsoku/>
              <w:wordWrap w:val="0"/>
              <w:overflowPunct/>
              <w:topLinePunct w:val="0"/>
              <w:bidi w:val="0"/>
              <w:adjustRightInd/>
              <w:snapToGrid/>
              <w:spacing w:line="400" w:lineRule="exact"/>
              <w:jc w:val="center"/>
              <w:textAlignment w:val="auto"/>
              <w:rPr>
                <w:rFonts w:ascii="宋体" w:hAnsi="宋体" w:cs="宋体"/>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16</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p w14:paraId="1C6504B0">
            <w:pPr>
              <w:keepNext w:val="0"/>
              <w:keepLines w:val="0"/>
              <w:pageBreakBefore w:val="0"/>
              <w:kinsoku/>
              <w:wordWrap w:val="0"/>
              <w:overflowPunct/>
              <w:topLinePunct w:val="0"/>
              <w:bidi w:val="0"/>
              <w:adjustRightInd/>
              <w:snapToGrid/>
              <w:spacing w:line="400" w:lineRule="exact"/>
              <w:jc w:val="center"/>
              <w:textAlignment w:val="auto"/>
              <w:rPr>
                <w:rFonts w:ascii="宋体" w:hAnsi="宋体" w:cs="宋体"/>
                <w:bCs/>
                <w:color w:val="auto"/>
                <w:kern w:val="0"/>
                <w:szCs w:val="21"/>
                <w:highlight w:val="none"/>
              </w:rPr>
            </w:pPr>
          </w:p>
        </w:tc>
      </w:tr>
      <w:tr w14:paraId="4A78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85" w:type="dxa"/>
            <w:vMerge w:val="restart"/>
            <w:tcBorders>
              <w:top w:val="single" w:color="auto" w:sz="4" w:space="0"/>
              <w:left w:val="single" w:color="auto" w:sz="4" w:space="0"/>
              <w:right w:val="single" w:color="auto" w:sz="4" w:space="0"/>
            </w:tcBorders>
            <w:vAlign w:val="center"/>
          </w:tcPr>
          <w:p w14:paraId="557C8717">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3</w:t>
            </w:r>
          </w:p>
        </w:tc>
        <w:tc>
          <w:tcPr>
            <w:tcW w:w="1649" w:type="dxa"/>
            <w:tcBorders>
              <w:top w:val="single" w:color="auto" w:sz="4" w:space="0"/>
              <w:left w:val="single" w:color="auto" w:sz="4" w:space="0"/>
              <w:right w:val="single" w:color="auto" w:sz="4" w:space="0"/>
            </w:tcBorders>
            <w:vAlign w:val="center"/>
          </w:tcPr>
          <w:p w14:paraId="20136B27">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商务分（满分</w:t>
            </w:r>
          </w:p>
          <w:p w14:paraId="428D4062">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20</w:t>
            </w:r>
            <w:r>
              <w:rPr>
                <w:rFonts w:hint="eastAsia" w:hAnsi="宋体" w:cs="宋体"/>
                <w:b/>
                <w:color w:val="auto"/>
                <w:szCs w:val="21"/>
                <w:highlight w:val="none"/>
              </w:rPr>
              <w:t>分）</w:t>
            </w:r>
          </w:p>
        </w:tc>
        <w:tc>
          <w:tcPr>
            <w:tcW w:w="6613" w:type="dxa"/>
            <w:tcBorders>
              <w:top w:val="single" w:color="auto" w:sz="4" w:space="0"/>
              <w:left w:val="single" w:color="auto" w:sz="4" w:space="0"/>
              <w:right w:val="single" w:color="auto" w:sz="4" w:space="0"/>
            </w:tcBorders>
            <w:vAlign w:val="center"/>
          </w:tcPr>
          <w:p w14:paraId="2C5CFBA4">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15F7B981">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ermStart w:id="2" w:edGrp="everyone"/>
            <w:permEnd w:id="2"/>
            <w:bookmarkStart w:id="310" w:name="_GoBack"/>
            <w:bookmarkEnd w:id="310"/>
          </w:p>
        </w:tc>
      </w:tr>
      <w:tr w14:paraId="6AEE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685" w:type="dxa"/>
            <w:vMerge w:val="continue"/>
            <w:tcBorders>
              <w:left w:val="single" w:color="auto" w:sz="4" w:space="0"/>
              <w:right w:val="single" w:color="auto" w:sz="4" w:space="0"/>
            </w:tcBorders>
          </w:tcPr>
          <w:p w14:paraId="46A1740E">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472B3A9F">
            <w:pPr>
              <w:keepNext w:val="0"/>
              <w:keepLines w:val="0"/>
              <w:pageBreakBefore w:val="0"/>
              <w:kinsoku/>
              <w:wordWrap w:val="0"/>
              <w:overflowPunct/>
              <w:topLinePunct w:val="0"/>
              <w:bidi w:val="0"/>
              <w:adjustRightInd/>
              <w:snapToGrid/>
              <w:spacing w:line="400" w:lineRule="exact"/>
              <w:textAlignment w:val="auto"/>
              <w:rPr>
                <w:rFonts w:ascii="宋体" w:hAnsi="宋体" w:cs="宋体"/>
                <w:b w:val="0"/>
                <w:bCs/>
                <w:color w:val="auto"/>
                <w:szCs w:val="21"/>
                <w:highlight w:val="none"/>
              </w:rPr>
            </w:pPr>
            <w:r>
              <w:rPr>
                <w:rFonts w:hint="eastAsia" w:ascii="宋体" w:hAnsi="宋体" w:cs="宋体"/>
                <w:b w:val="0"/>
                <w:bCs/>
                <w:color w:val="auto"/>
                <w:szCs w:val="21"/>
                <w:highlight w:val="none"/>
                <w:lang w:val="en-US" w:eastAsia="zh-CN"/>
              </w:rPr>
              <w:t>售后服务方案（满分7分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 w:val="0"/>
                <w:bCs/>
                <w:color w:val="auto"/>
                <w:szCs w:val="21"/>
                <w:highlight w:val="none"/>
                <w:lang w:val="en-US" w:eastAsia="zh-CN"/>
              </w:rPr>
              <w:t>）</w:t>
            </w:r>
          </w:p>
        </w:tc>
        <w:tc>
          <w:tcPr>
            <w:tcW w:w="6613" w:type="dxa"/>
            <w:tcBorders>
              <w:top w:val="single" w:color="auto" w:sz="4" w:space="0"/>
              <w:left w:val="single" w:color="auto" w:sz="4" w:space="0"/>
              <w:right w:val="single" w:color="auto" w:sz="4" w:space="0"/>
            </w:tcBorders>
            <w:shd w:val="clear" w:color="auto" w:fill="auto"/>
            <w:vAlign w:val="center"/>
          </w:tcPr>
          <w:p w14:paraId="2F823561">
            <w:pPr>
              <w:keepNext w:val="0"/>
              <w:keepLines w:val="0"/>
              <w:pageBreakBefore w:val="0"/>
              <w:kinsoku/>
              <w:wordWrap w:val="0"/>
              <w:overflowPunct/>
              <w:topLinePunct w:val="0"/>
              <w:bidi w:val="0"/>
              <w:adjustRightInd/>
              <w:snapToGrid/>
              <w:spacing w:line="400" w:lineRule="exact"/>
              <w:textAlignment w:val="auto"/>
              <w:rPr>
                <w:rFonts w:hint="default" w:ascii="宋体" w:hAnsi="宋体" w:cs="宋体"/>
                <w:bCs/>
                <w:color w:val="auto"/>
                <w:szCs w:val="21"/>
                <w:highlight w:val="none"/>
                <w:lang w:val="en-US" w:eastAsia="zh-CN"/>
              </w:rPr>
            </w:pPr>
            <w:r>
              <w:rPr>
                <w:rFonts w:hint="default" w:ascii="宋体" w:hAnsi="宋体" w:cs="宋体"/>
                <w:bCs/>
                <w:color w:val="auto"/>
                <w:szCs w:val="21"/>
                <w:highlight w:val="none"/>
                <w:lang w:val="en-US" w:eastAsia="zh-CN"/>
              </w:rPr>
              <w:t>一档（</w:t>
            </w:r>
            <w:r>
              <w:rPr>
                <w:rFonts w:hint="eastAsia" w:ascii="宋体" w:hAnsi="宋体" w:cs="宋体"/>
                <w:bCs/>
                <w:color w:val="auto"/>
                <w:szCs w:val="21"/>
                <w:highlight w:val="none"/>
                <w:lang w:val="en-US" w:eastAsia="zh-CN"/>
              </w:rPr>
              <w:t>1</w:t>
            </w:r>
            <w:r>
              <w:rPr>
                <w:rFonts w:hint="default" w:ascii="宋体" w:hAnsi="宋体" w:cs="宋体"/>
                <w:bCs/>
                <w:color w:val="auto"/>
                <w:szCs w:val="21"/>
                <w:highlight w:val="none"/>
                <w:lang w:val="en-US" w:eastAsia="zh-CN"/>
              </w:rPr>
              <w:t>分）：方案完整覆盖核心售后事项，完全满足招标文件基准要求</w:t>
            </w:r>
            <w:r>
              <w:rPr>
                <w:rFonts w:hint="eastAsia" w:ascii="宋体" w:hAnsi="宋体" w:cs="宋体"/>
                <w:bCs/>
                <w:color w:val="auto"/>
                <w:szCs w:val="21"/>
                <w:highlight w:val="none"/>
                <w:lang w:val="en-US" w:eastAsia="zh-CN"/>
              </w:rPr>
              <w:t>，</w:t>
            </w:r>
            <w:r>
              <w:rPr>
                <w:rFonts w:hint="default" w:ascii="宋体" w:hAnsi="宋体" w:cs="宋体"/>
                <w:bCs/>
                <w:color w:val="auto"/>
                <w:szCs w:val="21"/>
                <w:highlight w:val="none"/>
                <w:lang w:val="en-US" w:eastAsia="zh-CN"/>
              </w:rPr>
              <w:t>方案具备基本服务流程，可保障项目常规售后运行。</w:t>
            </w:r>
          </w:p>
          <w:p w14:paraId="17F5792F">
            <w:pPr>
              <w:keepNext w:val="0"/>
              <w:keepLines w:val="0"/>
              <w:pageBreakBefore w:val="0"/>
              <w:kinsoku/>
              <w:wordWrap w:val="0"/>
              <w:overflowPunct/>
              <w:topLinePunct w:val="0"/>
              <w:bidi w:val="0"/>
              <w:adjustRightInd/>
              <w:snapToGrid/>
              <w:spacing w:line="400" w:lineRule="exact"/>
              <w:textAlignment w:val="auto"/>
              <w:rPr>
                <w:rFonts w:hint="default" w:ascii="宋体" w:hAnsi="宋体" w:cs="宋体"/>
                <w:bCs/>
                <w:color w:val="auto"/>
                <w:szCs w:val="21"/>
                <w:highlight w:val="none"/>
                <w:lang w:val="en-US" w:eastAsia="zh-CN"/>
              </w:rPr>
            </w:pPr>
            <w:r>
              <w:rPr>
                <w:rFonts w:hint="default" w:ascii="宋体" w:hAnsi="宋体" w:cs="宋体"/>
                <w:bCs/>
                <w:color w:val="auto"/>
                <w:szCs w:val="21"/>
                <w:highlight w:val="none"/>
                <w:lang w:val="en-US" w:eastAsia="zh-CN"/>
              </w:rPr>
              <w:t>二档（</w:t>
            </w:r>
            <w:r>
              <w:rPr>
                <w:rFonts w:hint="eastAsia" w:ascii="宋体" w:hAnsi="宋体" w:cs="宋体"/>
                <w:bCs/>
                <w:color w:val="auto"/>
                <w:szCs w:val="21"/>
                <w:highlight w:val="none"/>
                <w:lang w:val="en-US" w:eastAsia="zh-CN"/>
              </w:rPr>
              <w:t>4</w:t>
            </w:r>
            <w:r>
              <w:rPr>
                <w:rFonts w:hint="default" w:ascii="宋体" w:hAnsi="宋体" w:cs="宋体"/>
                <w:bCs/>
                <w:color w:val="auto"/>
                <w:szCs w:val="21"/>
                <w:highlight w:val="none"/>
                <w:lang w:val="en-US" w:eastAsia="zh-CN"/>
              </w:rPr>
              <w:t>分）：在满足一档全部要求的基础上，方案内容详实、服务流程清晰；配套建立故障分级处理机制与定期巡检服务安排，适配教育数字化项目特点，服务保障能力较强</w:t>
            </w:r>
            <w:r>
              <w:rPr>
                <w:rFonts w:hint="eastAsia" w:ascii="宋体" w:hAnsi="宋体" w:cs="宋体"/>
                <w:bCs/>
                <w:color w:val="auto"/>
                <w:szCs w:val="21"/>
                <w:highlight w:val="none"/>
                <w:lang w:val="en-US" w:eastAsia="zh-CN"/>
              </w:rPr>
              <w:t>；供应商承诺在1.5小时内响应并远程处理，3小时内到达采购人指定现场</w:t>
            </w:r>
            <w:r>
              <w:rPr>
                <w:rFonts w:hint="default" w:ascii="宋体" w:hAnsi="宋体" w:cs="宋体"/>
                <w:bCs/>
                <w:color w:val="auto"/>
                <w:szCs w:val="21"/>
                <w:highlight w:val="none"/>
                <w:lang w:val="en-US" w:eastAsia="zh-CN"/>
              </w:rPr>
              <w:t>。</w:t>
            </w:r>
          </w:p>
          <w:p w14:paraId="15506602">
            <w:pPr>
              <w:keepNext w:val="0"/>
              <w:keepLines w:val="0"/>
              <w:pageBreakBefore w:val="0"/>
              <w:kinsoku/>
              <w:wordWrap w:val="0"/>
              <w:overflowPunct/>
              <w:topLinePunct w:val="0"/>
              <w:bidi w:val="0"/>
              <w:adjustRightInd/>
              <w:snapToGrid/>
              <w:spacing w:line="400" w:lineRule="exact"/>
              <w:textAlignment w:val="auto"/>
              <w:rPr>
                <w:rFonts w:hint="eastAsia" w:ascii="宋体" w:hAnsi="宋体" w:eastAsia="宋体" w:cs="宋体"/>
                <w:bCs/>
                <w:color w:val="auto"/>
                <w:kern w:val="2"/>
                <w:sz w:val="21"/>
                <w:szCs w:val="21"/>
                <w:highlight w:val="none"/>
                <w:lang w:val="en-US" w:eastAsia="zh-CN" w:bidi="ar-SA"/>
              </w:rPr>
            </w:pPr>
            <w:r>
              <w:rPr>
                <w:rFonts w:hint="default" w:ascii="宋体" w:hAnsi="宋体" w:cs="宋体"/>
                <w:bCs/>
                <w:color w:val="auto"/>
                <w:szCs w:val="21"/>
                <w:highlight w:val="none"/>
                <w:lang w:val="en-US" w:eastAsia="zh-CN"/>
              </w:rPr>
              <w:t>三档（</w:t>
            </w:r>
            <w:r>
              <w:rPr>
                <w:rFonts w:hint="eastAsia" w:ascii="宋体" w:hAnsi="宋体" w:cs="宋体"/>
                <w:bCs/>
                <w:color w:val="auto"/>
                <w:szCs w:val="21"/>
                <w:highlight w:val="none"/>
                <w:lang w:val="en-US" w:eastAsia="zh-CN"/>
              </w:rPr>
              <w:t>7</w:t>
            </w:r>
            <w:r>
              <w:rPr>
                <w:rFonts w:hint="default" w:ascii="宋体" w:hAnsi="宋体" w:cs="宋体"/>
                <w:bCs/>
                <w:color w:val="auto"/>
                <w:szCs w:val="21"/>
                <w:highlight w:val="none"/>
                <w:lang w:val="en-US" w:eastAsia="zh-CN"/>
              </w:rPr>
              <w:t>分）：在满足二档全部要求的基础上，售后服务体系完善、项目针对性强；针对本项目教学服务属性，配套开学季专项保障、质保期内免费功能优化、年度应用培训、预防性巡检等专项服务机制，全周期服务保障能力突出</w:t>
            </w:r>
            <w:r>
              <w:rPr>
                <w:rFonts w:hint="eastAsia" w:ascii="宋体" w:hAnsi="宋体" w:cs="宋体"/>
                <w:bCs/>
                <w:color w:val="auto"/>
                <w:szCs w:val="21"/>
                <w:highlight w:val="none"/>
                <w:lang w:val="en-US" w:eastAsia="zh-CN"/>
              </w:rPr>
              <w:t>；供应商承诺在1小时内响应并远程处理，2小时内到达采购人指定现场</w:t>
            </w:r>
            <w:r>
              <w:rPr>
                <w:rFonts w:hint="default" w:ascii="宋体" w:hAnsi="宋体" w:cs="宋体"/>
                <w:bCs/>
                <w:color w:val="auto"/>
                <w:szCs w:val="21"/>
                <w:highlight w:val="none"/>
                <w:lang w:val="en-US" w:eastAsia="zh-CN"/>
              </w:rPr>
              <w:t>。</w:t>
            </w:r>
          </w:p>
        </w:tc>
        <w:tc>
          <w:tcPr>
            <w:tcW w:w="1183" w:type="dxa"/>
            <w:tcBorders>
              <w:top w:val="single" w:color="auto" w:sz="4" w:space="0"/>
              <w:left w:val="single" w:color="auto" w:sz="4" w:space="0"/>
              <w:bottom w:val="single" w:color="auto" w:sz="4" w:space="0"/>
              <w:right w:val="single" w:color="auto" w:sz="4" w:space="0"/>
            </w:tcBorders>
            <w:vAlign w:val="center"/>
          </w:tcPr>
          <w:p w14:paraId="3774C3DC">
            <w:pPr>
              <w:pStyle w:val="12"/>
              <w:keepNext w:val="0"/>
              <w:keepLines w:val="0"/>
              <w:pageBreakBefore w:val="0"/>
              <w:widowControl/>
              <w:kinsoku/>
              <w:wordWrap w:val="0"/>
              <w:overflowPunct/>
              <w:topLinePunct w:val="0"/>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7</w:t>
            </w:r>
            <w:r>
              <w:rPr>
                <w:rFonts w:hint="eastAsia" w:hAnsi="宋体" w:cs="宋体"/>
                <w:bCs/>
                <w:color w:val="auto"/>
                <w:szCs w:val="21"/>
                <w:highlight w:val="none"/>
              </w:rPr>
              <w:t>分（</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1680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dxa"/>
            <w:vMerge w:val="continue"/>
            <w:tcBorders>
              <w:left w:val="single" w:color="auto" w:sz="4" w:space="0"/>
              <w:right w:val="single" w:color="auto" w:sz="4" w:space="0"/>
            </w:tcBorders>
          </w:tcPr>
          <w:p w14:paraId="6C68AA14">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1293F0AF">
            <w:pPr>
              <w:keepNext w:val="0"/>
              <w:keepLines w:val="0"/>
              <w:pageBreakBefore w:val="0"/>
              <w:kinsoku/>
              <w:wordWrap w:val="0"/>
              <w:overflowPunct/>
              <w:topLinePunct w:val="0"/>
              <w:bidi w:val="0"/>
              <w:adjustRightInd/>
              <w:snapToGrid/>
              <w:spacing w:line="400" w:lineRule="exact"/>
              <w:textAlignment w:val="auto"/>
              <w:rPr>
                <w:rFonts w:hint="eastAsia" w:ascii="宋体" w:hAnsi="宋体" w:cs="宋体"/>
                <w:b/>
                <w:bCs w:val="0"/>
                <w:color w:val="auto"/>
                <w:szCs w:val="21"/>
                <w:highlight w:val="none"/>
              </w:rPr>
            </w:pPr>
            <w:r>
              <w:rPr>
                <w:rFonts w:hint="eastAsia" w:ascii="宋体" w:hAnsi="宋体" w:cs="宋体"/>
                <w:bCs/>
                <w:color w:val="auto"/>
                <w:szCs w:val="21"/>
                <w:highlight w:val="none"/>
                <w:lang w:val="en-US" w:eastAsia="zh-CN"/>
              </w:rPr>
              <w:t>业绩（满分10分）</w:t>
            </w:r>
          </w:p>
        </w:tc>
        <w:tc>
          <w:tcPr>
            <w:tcW w:w="6613" w:type="dxa"/>
            <w:tcBorders>
              <w:top w:val="single" w:color="auto" w:sz="4" w:space="0"/>
              <w:left w:val="single" w:color="auto" w:sz="4" w:space="0"/>
              <w:right w:val="single" w:color="auto" w:sz="4" w:space="0"/>
            </w:tcBorders>
            <w:vAlign w:val="center"/>
          </w:tcPr>
          <w:p w14:paraId="2C22F6B1">
            <w:pPr>
              <w:keepNext w:val="0"/>
              <w:keepLines w:val="0"/>
              <w:pageBreakBefore w:val="0"/>
              <w:kinsoku/>
              <w:wordWrap w:val="0"/>
              <w:overflowPunct/>
              <w:topLinePunct w:val="0"/>
              <w:bidi w:val="0"/>
              <w:adjustRightInd/>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投标人2023年以来具有同类（系统运维服务项目）业绩的，每项业绩得2分，满分10分。</w:t>
            </w:r>
          </w:p>
          <w:p w14:paraId="6B566D0F">
            <w:pPr>
              <w:keepNext w:val="0"/>
              <w:keepLines w:val="0"/>
              <w:pageBreakBefore w:val="0"/>
              <w:kinsoku/>
              <w:wordWrap w:val="0"/>
              <w:overflowPunct/>
              <w:topLinePunct w:val="0"/>
              <w:bidi w:val="0"/>
              <w:adjustRightInd/>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（投标文件中须提供有效的中标（成交）通知书或合同复印件加盖投标人公章，否则不予计分。）</w:t>
            </w:r>
          </w:p>
        </w:tc>
        <w:tc>
          <w:tcPr>
            <w:tcW w:w="1183" w:type="dxa"/>
            <w:tcBorders>
              <w:top w:val="single" w:color="auto" w:sz="4" w:space="0"/>
              <w:left w:val="single" w:color="auto" w:sz="4" w:space="0"/>
              <w:bottom w:val="single" w:color="auto" w:sz="4" w:space="0"/>
              <w:right w:val="single" w:color="auto" w:sz="4" w:space="0"/>
            </w:tcBorders>
            <w:vAlign w:val="center"/>
          </w:tcPr>
          <w:p w14:paraId="79D6EEAE">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10</w:t>
            </w:r>
            <w:r>
              <w:rPr>
                <w:rFonts w:hint="eastAsia" w:hAnsi="宋体" w:cs="宋体"/>
                <w:bCs/>
                <w:color w:val="auto"/>
                <w:szCs w:val="21"/>
                <w:highlight w:val="none"/>
              </w:rPr>
              <w:t>分（客观分）</w:t>
            </w:r>
          </w:p>
        </w:tc>
      </w:tr>
      <w:tr w14:paraId="0ABD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dxa"/>
            <w:vMerge w:val="continue"/>
            <w:tcBorders>
              <w:left w:val="single" w:color="auto" w:sz="4" w:space="0"/>
              <w:right w:val="single" w:color="auto" w:sz="4" w:space="0"/>
            </w:tcBorders>
          </w:tcPr>
          <w:p w14:paraId="53EAFA53">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22986E81">
            <w:pPr>
              <w:keepNext w:val="0"/>
              <w:keepLines w:val="0"/>
              <w:pageBreakBefore w:val="0"/>
              <w:kinsoku/>
              <w:wordWrap w:val="0"/>
              <w:overflowPunct/>
              <w:topLinePunct w:val="0"/>
              <w:bidi w:val="0"/>
              <w:adjustRightInd/>
              <w:snapToGrid/>
              <w:spacing w:line="400" w:lineRule="exact"/>
              <w:jc w:val="center"/>
              <w:textAlignment w:val="auto"/>
              <w:rPr>
                <w:rFonts w:hint="default" w:ascii="宋体" w:hAnsi="宋体" w:cs="宋体"/>
                <w:b/>
                <w:bCs w:val="0"/>
                <w:color w:val="auto"/>
                <w:szCs w:val="21"/>
                <w:highlight w:val="none"/>
                <w:lang w:val="en-US"/>
              </w:rPr>
            </w:pPr>
            <w:r>
              <w:rPr>
                <w:rFonts w:hint="eastAsia" w:ascii="宋体" w:hAnsi="宋体" w:cs="宋体"/>
                <w:bCs/>
                <w:color w:val="auto"/>
                <w:szCs w:val="21"/>
                <w:highlight w:val="none"/>
                <w:lang w:val="en-US" w:eastAsia="zh-CN"/>
              </w:rPr>
              <w:t>企业实力（满分3分）</w:t>
            </w:r>
          </w:p>
        </w:tc>
        <w:tc>
          <w:tcPr>
            <w:tcW w:w="6613" w:type="dxa"/>
            <w:tcBorders>
              <w:top w:val="single" w:color="auto" w:sz="4" w:space="0"/>
              <w:left w:val="single" w:color="auto" w:sz="4" w:space="0"/>
              <w:right w:val="single" w:color="auto" w:sz="4" w:space="0"/>
            </w:tcBorders>
            <w:vAlign w:val="center"/>
          </w:tcPr>
          <w:p w14:paraId="726EA19F">
            <w:pPr>
              <w:keepNext w:val="0"/>
              <w:keepLines w:val="0"/>
              <w:pageBreakBefore w:val="0"/>
              <w:kinsoku/>
              <w:wordWrap w:val="0"/>
              <w:overflowPunct/>
              <w:topLinePunct w:val="0"/>
              <w:bidi w:val="0"/>
              <w:adjustRightInd/>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投标人具备资源库建设及运行平台、知识图谱在线制作平台、AI学伴系统/AI助教系统计算机软件著作权登记证书的，每提供1个证书得1分，满分3分；（须提交证书复印件并加盖投标人公章，否则不予计分。）</w:t>
            </w:r>
          </w:p>
        </w:tc>
        <w:tc>
          <w:tcPr>
            <w:tcW w:w="1183" w:type="dxa"/>
            <w:tcBorders>
              <w:top w:val="single" w:color="auto" w:sz="4" w:space="0"/>
              <w:left w:val="single" w:color="auto" w:sz="4" w:space="0"/>
              <w:bottom w:val="single" w:color="auto" w:sz="4" w:space="0"/>
              <w:right w:val="single" w:color="auto" w:sz="4" w:space="0"/>
            </w:tcBorders>
            <w:vAlign w:val="center"/>
          </w:tcPr>
          <w:p w14:paraId="75CD49FA">
            <w:pPr>
              <w:pStyle w:val="12"/>
              <w:keepNext w:val="0"/>
              <w:keepLines w:val="0"/>
              <w:pageBreakBefore w:val="0"/>
              <w:widowControl/>
              <w:kinsoku/>
              <w:wordWrap w:val="0"/>
              <w:overflowPunct/>
              <w:topLinePunct w:val="0"/>
              <w:bidi w:val="0"/>
              <w:adjustRightInd/>
              <w:snapToGrid/>
              <w:spacing w:line="400" w:lineRule="exact"/>
              <w:jc w:val="center"/>
              <w:textAlignment w:val="auto"/>
              <w:rPr>
                <w:rFonts w:hint="eastAsia"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3</w:t>
            </w:r>
            <w:r>
              <w:rPr>
                <w:rFonts w:hint="eastAsia" w:hAnsi="宋体" w:cs="宋体"/>
                <w:bCs/>
                <w:color w:val="auto"/>
                <w:szCs w:val="21"/>
                <w:highlight w:val="none"/>
              </w:rPr>
              <w:t>分（客观分）</w:t>
            </w:r>
          </w:p>
        </w:tc>
      </w:tr>
      <w:tr w14:paraId="292A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130" w:type="dxa"/>
            <w:gridSpan w:val="4"/>
            <w:tcBorders>
              <w:left w:val="single" w:color="auto" w:sz="4" w:space="0"/>
              <w:bottom w:val="single" w:color="auto" w:sz="4" w:space="0"/>
              <w:right w:val="single" w:color="auto" w:sz="4" w:space="0"/>
            </w:tcBorders>
          </w:tcPr>
          <w:p w14:paraId="26491F26">
            <w:pPr>
              <w:pStyle w:val="12"/>
              <w:keepNext w:val="0"/>
              <w:keepLines w:val="0"/>
              <w:pageBreakBefore w:val="0"/>
              <w:widowControl/>
              <w:kinsoku/>
              <w:wordWrap w:val="0"/>
              <w:overflowPunct/>
              <w:topLinePunct w:val="0"/>
              <w:bidi w:val="0"/>
              <w:adjustRightInd/>
              <w:snapToGrid/>
              <w:spacing w:line="400" w:lineRule="exact"/>
              <w:textAlignment w:val="auto"/>
              <w:rPr>
                <w:rFonts w:hAnsi="宋体" w:cs="宋体"/>
                <w:bCs/>
                <w:color w:val="auto"/>
                <w:szCs w:val="21"/>
                <w:highlight w:val="none"/>
              </w:rPr>
            </w:pPr>
            <w:r>
              <w:rPr>
                <w:rFonts w:hint="eastAsia" w:hAnsi="宋体" w:cs="宋体"/>
                <w:b/>
                <w:bCs/>
                <w:color w:val="auto"/>
                <w:szCs w:val="21"/>
                <w:highlight w:val="none"/>
              </w:rPr>
              <w:t>总得分=1+2+3</w:t>
            </w:r>
          </w:p>
        </w:tc>
      </w:tr>
    </w:tbl>
    <w:p w14:paraId="3E0B1E0B">
      <w:pPr>
        <w:pStyle w:val="12"/>
        <w:wordWrap w:val="0"/>
        <w:spacing w:line="360" w:lineRule="auto"/>
        <w:ind w:firstLine="420"/>
        <w:rPr>
          <w:rFonts w:hAnsi="宋体" w:cs="宋体"/>
          <w:bCs/>
          <w:color w:val="auto"/>
          <w:sz w:val="24"/>
          <w:szCs w:val="24"/>
          <w:highlight w:val="none"/>
        </w:rPr>
      </w:pPr>
    </w:p>
    <w:p w14:paraId="080A4067">
      <w:pPr>
        <w:rPr>
          <w:rFonts w:hint="eastAsia"/>
          <w:color w:val="auto"/>
          <w:highlight w:val="none"/>
          <w:lang w:val="en-US" w:eastAsia="zh-CN"/>
        </w:rPr>
      </w:pPr>
      <w:r>
        <w:rPr>
          <w:rFonts w:hint="eastAsia"/>
          <w:color w:val="auto"/>
          <w:highlight w:val="none"/>
          <w:lang w:val="en-US" w:eastAsia="zh-CN"/>
        </w:rPr>
        <w:br w:type="page"/>
      </w:r>
    </w:p>
    <w:bookmarkEnd w:id="122"/>
    <w:tbl>
      <w:tblPr>
        <w:tblStyle w:val="23"/>
        <w:tblW w:w="10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49"/>
        <w:gridCol w:w="6613"/>
        <w:gridCol w:w="1183"/>
      </w:tblGrid>
      <w:tr w14:paraId="7AAC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685" w:type="dxa"/>
            <w:tcBorders>
              <w:top w:val="single" w:color="auto" w:sz="4" w:space="0"/>
              <w:left w:val="single" w:color="auto" w:sz="4" w:space="0"/>
              <w:bottom w:val="single" w:color="auto" w:sz="4" w:space="0"/>
              <w:right w:val="single" w:color="auto" w:sz="4" w:space="0"/>
            </w:tcBorders>
            <w:vAlign w:val="center"/>
          </w:tcPr>
          <w:p w14:paraId="2F9FD9DF">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eastAsia="宋体" w:cs="宋体"/>
                <w:b/>
                <w:color w:val="auto"/>
                <w:szCs w:val="21"/>
                <w:highlight w:val="none"/>
                <w:lang w:val="en-US" w:eastAsia="zh-CN"/>
              </w:rPr>
            </w:pPr>
            <w:bookmarkStart w:id="124" w:name="_Toc23822"/>
            <w:r>
              <w:rPr>
                <w:rFonts w:hint="eastAsia" w:hAnsi="宋体" w:cs="宋体"/>
                <w:b/>
                <w:color w:val="auto"/>
                <w:szCs w:val="21"/>
                <w:highlight w:val="none"/>
                <w:lang w:val="en-US" w:eastAsia="zh-CN"/>
              </w:rPr>
              <w:t>标段</w:t>
            </w:r>
          </w:p>
        </w:tc>
        <w:tc>
          <w:tcPr>
            <w:tcW w:w="9445" w:type="dxa"/>
            <w:gridSpan w:val="3"/>
            <w:tcBorders>
              <w:top w:val="single" w:color="auto" w:sz="4" w:space="0"/>
              <w:left w:val="single" w:color="auto" w:sz="4" w:space="0"/>
              <w:bottom w:val="single" w:color="auto" w:sz="4" w:space="0"/>
              <w:right w:val="single" w:color="auto" w:sz="4" w:space="0"/>
            </w:tcBorders>
            <w:vAlign w:val="center"/>
          </w:tcPr>
          <w:p w14:paraId="0EA3FC77">
            <w:pPr>
              <w:pStyle w:val="12"/>
              <w:keepNext w:val="0"/>
              <w:keepLines w:val="0"/>
              <w:pageBreakBefore w:val="0"/>
              <w:widowControl/>
              <w:kinsoku/>
              <w:wordWrap w:val="0"/>
              <w:overflowPunct/>
              <w:topLinePunct w:val="0"/>
              <w:bidi w:val="0"/>
              <w:snapToGrid/>
              <w:spacing w:line="400" w:lineRule="exact"/>
              <w:jc w:val="left"/>
              <w:textAlignment w:val="auto"/>
              <w:rPr>
                <w:rFonts w:hint="default" w:hAnsi="宋体" w:eastAsia="宋体" w:cs="宋体"/>
                <w:b/>
                <w:color w:val="auto"/>
                <w:szCs w:val="21"/>
                <w:highlight w:val="none"/>
                <w:lang w:val="en-US" w:eastAsia="zh-CN"/>
              </w:rPr>
            </w:pPr>
            <w:r>
              <w:rPr>
                <w:rFonts w:hint="eastAsia" w:hAnsi="宋体" w:cs="宋体"/>
                <w:b/>
                <w:color w:val="auto"/>
                <w:szCs w:val="21"/>
                <w:highlight w:val="none"/>
                <w:lang w:val="en-US" w:eastAsia="zh-CN"/>
              </w:rPr>
              <w:t>分标2</w:t>
            </w:r>
          </w:p>
        </w:tc>
      </w:tr>
      <w:tr w14:paraId="2057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85" w:type="dxa"/>
            <w:tcBorders>
              <w:top w:val="single" w:color="auto" w:sz="4" w:space="0"/>
              <w:left w:val="single" w:color="auto" w:sz="4" w:space="0"/>
              <w:bottom w:val="single" w:color="auto" w:sz="4" w:space="0"/>
              <w:right w:val="single" w:color="auto" w:sz="4" w:space="0"/>
            </w:tcBorders>
            <w:vAlign w:val="center"/>
          </w:tcPr>
          <w:p w14:paraId="32119C44">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序号</w:t>
            </w:r>
          </w:p>
        </w:tc>
        <w:tc>
          <w:tcPr>
            <w:tcW w:w="1649" w:type="dxa"/>
            <w:tcBorders>
              <w:top w:val="single" w:color="auto" w:sz="4" w:space="0"/>
              <w:left w:val="single" w:color="auto" w:sz="4" w:space="0"/>
              <w:bottom w:val="single" w:color="auto" w:sz="4" w:space="0"/>
              <w:right w:val="single" w:color="auto" w:sz="4" w:space="0"/>
            </w:tcBorders>
            <w:vAlign w:val="center"/>
          </w:tcPr>
          <w:p w14:paraId="1CA29335">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评分类型</w:t>
            </w:r>
          </w:p>
        </w:tc>
        <w:tc>
          <w:tcPr>
            <w:tcW w:w="6613" w:type="dxa"/>
            <w:tcBorders>
              <w:top w:val="single" w:color="auto" w:sz="4" w:space="0"/>
              <w:left w:val="single" w:color="auto" w:sz="4" w:space="0"/>
              <w:bottom w:val="single" w:color="auto" w:sz="4" w:space="0"/>
              <w:right w:val="single" w:color="auto" w:sz="4" w:space="0"/>
            </w:tcBorders>
            <w:vAlign w:val="center"/>
          </w:tcPr>
          <w:p w14:paraId="74C898E7">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评分标准</w:t>
            </w:r>
          </w:p>
        </w:tc>
        <w:tc>
          <w:tcPr>
            <w:tcW w:w="1183" w:type="dxa"/>
            <w:tcBorders>
              <w:top w:val="single" w:color="auto" w:sz="4" w:space="0"/>
              <w:left w:val="single" w:color="auto" w:sz="4" w:space="0"/>
              <w:bottom w:val="single" w:color="auto" w:sz="4" w:space="0"/>
              <w:right w:val="single" w:color="auto" w:sz="4" w:space="0"/>
            </w:tcBorders>
            <w:vAlign w:val="center"/>
          </w:tcPr>
          <w:p w14:paraId="5AA65031">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0192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4" w:space="0"/>
              <w:left w:val="single" w:color="auto" w:sz="4" w:space="0"/>
              <w:bottom w:val="single" w:color="auto" w:sz="4" w:space="0"/>
              <w:right w:val="single" w:color="auto" w:sz="4" w:space="0"/>
            </w:tcBorders>
            <w:vAlign w:val="center"/>
          </w:tcPr>
          <w:p w14:paraId="735E52D5">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1</w:t>
            </w:r>
          </w:p>
        </w:tc>
        <w:tc>
          <w:tcPr>
            <w:tcW w:w="1649" w:type="dxa"/>
            <w:tcBorders>
              <w:top w:val="single" w:color="auto" w:sz="4" w:space="0"/>
              <w:left w:val="single" w:color="auto" w:sz="4" w:space="0"/>
              <w:bottom w:val="single" w:color="auto" w:sz="4" w:space="0"/>
              <w:right w:val="single" w:color="auto" w:sz="4" w:space="0"/>
            </w:tcBorders>
            <w:vAlign w:val="center"/>
          </w:tcPr>
          <w:p w14:paraId="7E96F926">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价格分</w:t>
            </w:r>
          </w:p>
          <w:p w14:paraId="0B10E406">
            <w:pPr>
              <w:keepNext w:val="0"/>
              <w:keepLines w:val="0"/>
              <w:pageBreakBefore w:val="0"/>
              <w:kinsoku/>
              <w:wordWrap w:val="0"/>
              <w:overflowPunct/>
              <w:topLinePunct w:val="0"/>
              <w:autoSpaceDE/>
              <w:autoSpaceDN/>
              <w:bidi w:val="0"/>
              <w:adjustRightInd/>
              <w:snapToGrid/>
              <w:spacing w:line="400" w:lineRule="exact"/>
              <w:textAlignment w:val="auto"/>
              <w:rPr>
                <w:rFonts w:ascii="宋体" w:hAnsi="宋体" w:cs="宋体"/>
                <w:bCs/>
                <w:color w:val="auto"/>
                <w:szCs w:val="21"/>
                <w:highlight w:val="none"/>
              </w:rPr>
            </w:pP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shd w:val="clear" w:color="auto" w:fill="auto"/>
            <w:vAlign w:val="center"/>
          </w:tcPr>
          <w:p w14:paraId="71FA9D8F">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（1）评标报价为投标人的投标报价进行政策性扣除后的价格，评标报价只是作为评标时使用。最终中标供应商的中标金额＝投标报价。</w:t>
            </w:r>
          </w:p>
          <w:p w14:paraId="7DBF54A8">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（2）按照《政府采购促进中小企业发展管理办法》（财库〔2020〕46号）规定，投标人在其投标文件中提供《中小企业声明函》，且服务全部由小型和微型企业承接的，对其最后报价给予20%的扣除。</w:t>
            </w:r>
          </w:p>
          <w:p w14:paraId="7EAB7150">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2A953B5">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5C94BAB">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（5）政策性扣除计算方法。</w:t>
            </w:r>
          </w:p>
          <w:p w14:paraId="6B322861">
            <w:pPr>
              <w:keepNext w:val="0"/>
              <w:keepLines w:val="0"/>
              <w:pageBreakBefore w:val="0"/>
              <w:kinsoku/>
              <w:wordWrap w:val="0"/>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在服务采购项目中，服务由小微企业承接；对符合上述要求的投标人的投标报价给予20%的扣除，扣除后的价格为评标报价，即评标报价=投标报价×（1-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%的扣除，用扣除后的价格参加评审，扣除后的价格为评标价，即评标报价=投标报价×（1-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%）。除上述情况外，评标报价＝投标报价；</w:t>
            </w:r>
          </w:p>
          <w:p w14:paraId="0B6544D5">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（6）以进入综合评分环节的有效最低的评标报价为评标基准价，评标基准价报价得分为</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1A0312E1">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（7）价格分计算公式：某投标人价格分=评标基准价/某投标人评标报价金额×</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1183" w:type="dxa"/>
            <w:tcBorders>
              <w:top w:val="single" w:color="auto" w:sz="4" w:space="0"/>
              <w:left w:val="single" w:color="auto" w:sz="4" w:space="0"/>
              <w:bottom w:val="single" w:color="auto" w:sz="4" w:space="0"/>
              <w:right w:val="single" w:color="auto" w:sz="4" w:space="0"/>
            </w:tcBorders>
            <w:vAlign w:val="center"/>
          </w:tcPr>
          <w:p w14:paraId="2EEFDE3A">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10</w:t>
            </w:r>
            <w:r>
              <w:rPr>
                <w:rFonts w:hint="eastAsia" w:hAnsi="宋体" w:cs="宋体"/>
                <w:bCs/>
                <w:color w:val="auto"/>
                <w:szCs w:val="21"/>
                <w:highlight w:val="none"/>
              </w:rPr>
              <w:t>分（客观分）</w:t>
            </w:r>
          </w:p>
        </w:tc>
      </w:tr>
      <w:tr w14:paraId="36AB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85" w:type="dxa"/>
            <w:vMerge w:val="restart"/>
            <w:tcBorders>
              <w:top w:val="single" w:color="auto" w:sz="4" w:space="0"/>
              <w:left w:val="single" w:color="auto" w:sz="4" w:space="0"/>
              <w:right w:val="single" w:color="auto" w:sz="4" w:space="0"/>
            </w:tcBorders>
            <w:vAlign w:val="center"/>
          </w:tcPr>
          <w:p w14:paraId="06ABA6C6">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2</w:t>
            </w:r>
          </w:p>
        </w:tc>
        <w:tc>
          <w:tcPr>
            <w:tcW w:w="1649" w:type="dxa"/>
            <w:tcBorders>
              <w:top w:val="single" w:color="auto" w:sz="4" w:space="0"/>
              <w:left w:val="single" w:color="auto" w:sz="4" w:space="0"/>
              <w:bottom w:val="single" w:color="auto" w:sz="4" w:space="0"/>
              <w:right w:val="single" w:color="auto" w:sz="4" w:space="0"/>
            </w:tcBorders>
          </w:tcPr>
          <w:p w14:paraId="2460FF9F">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技术分（满分</w:t>
            </w:r>
          </w:p>
          <w:p w14:paraId="38D47AE1">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72</w:t>
            </w:r>
            <w:r>
              <w:rPr>
                <w:rFonts w:hint="eastAsia"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vAlign w:val="center"/>
          </w:tcPr>
          <w:p w14:paraId="5458EE90">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41CF4274">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1AFF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85" w:type="dxa"/>
            <w:vMerge w:val="continue"/>
            <w:tcBorders>
              <w:left w:val="single" w:color="auto" w:sz="4" w:space="0"/>
              <w:right w:val="single" w:color="auto" w:sz="4" w:space="0"/>
            </w:tcBorders>
          </w:tcPr>
          <w:p w14:paraId="687E2898">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007116BC">
            <w:pPr>
              <w:pStyle w:val="12"/>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Ansi="宋体" w:cs="宋体"/>
                <w:color w:val="auto"/>
                <w:szCs w:val="21"/>
                <w:highlight w:val="none"/>
              </w:rPr>
            </w:pPr>
            <w:r>
              <w:rPr>
                <w:rFonts w:hint="eastAsia" w:hAnsi="宋体" w:cs="宋体"/>
                <w:b w:val="0"/>
                <w:bCs w:val="0"/>
                <w:color w:val="auto"/>
                <w:szCs w:val="21"/>
                <w:highlight w:val="none"/>
                <w:lang w:val="en-US" w:eastAsia="zh-CN"/>
              </w:rPr>
              <w:t>技术服务参数（满分24分）</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14A25772">
            <w:pPr>
              <w:pStyle w:val="9"/>
              <w:keepNext w:val="0"/>
              <w:keepLines w:val="0"/>
              <w:pageBreakBefore w:val="0"/>
              <w:kinsoku/>
              <w:overflowPunct/>
              <w:topLinePunct w:val="0"/>
              <w:autoSpaceDE/>
              <w:autoSpaceDN/>
              <w:bidi w:val="0"/>
              <w:adjustRightInd/>
              <w:snapToGrid/>
              <w:spacing w:line="400" w:lineRule="exact"/>
              <w:textAlignment w:val="auto"/>
              <w:rPr>
                <w:rFonts w:hint="default" w:ascii="宋体" w:hAnsi="宋体" w:cs="宋体"/>
                <w:color w:val="auto"/>
                <w:szCs w:val="21"/>
                <w:highlight w:val="none"/>
                <w:lang w:val="zh-CN" w:eastAsia="zh-CN"/>
              </w:rPr>
            </w:pPr>
            <w:r>
              <w:rPr>
                <w:rFonts w:hint="eastAsia" w:ascii="宋体" w:hAnsi="宋体" w:cs="宋体"/>
                <w:color w:val="auto"/>
                <w:szCs w:val="21"/>
                <w:highlight w:val="none"/>
                <w:lang w:val="en-US" w:eastAsia="zh-CN"/>
              </w:rPr>
              <w:t>投标人满足全部技术服务参数的，得基本分24分。其中服务需求一览表中标注“█”的技术服务参数，每有一项负偏离的扣1.5分，最多扣24分。</w:t>
            </w:r>
          </w:p>
        </w:tc>
        <w:tc>
          <w:tcPr>
            <w:tcW w:w="1183" w:type="dxa"/>
            <w:tcBorders>
              <w:top w:val="single" w:color="auto" w:sz="4" w:space="0"/>
              <w:left w:val="single" w:color="auto" w:sz="4" w:space="0"/>
              <w:bottom w:val="single" w:color="auto" w:sz="4" w:space="0"/>
              <w:right w:val="single" w:color="auto" w:sz="4" w:space="0"/>
            </w:tcBorders>
            <w:vAlign w:val="center"/>
          </w:tcPr>
          <w:p w14:paraId="652336ED">
            <w:pPr>
              <w:keepNext w:val="0"/>
              <w:keepLines w:val="0"/>
              <w:pageBreakBefore w:val="0"/>
              <w:kinsoku/>
              <w:wordWrap w:val="0"/>
              <w:overflowPunct/>
              <w:topLinePunct w:val="0"/>
              <w:autoSpaceDE/>
              <w:autoSpaceDN/>
              <w:bidi w:val="0"/>
              <w:adjustRightInd/>
              <w:snapToGrid/>
              <w:spacing w:line="400" w:lineRule="exact"/>
              <w:jc w:val="center"/>
              <w:textAlignment w:val="auto"/>
              <w:rPr>
                <w:rFonts w:ascii="宋体" w:hAnsi="宋体" w:cs="宋体"/>
                <w:bCs/>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分</w:t>
            </w:r>
            <w:r>
              <w:rPr>
                <w:rFonts w:hint="eastAsia" w:hAnsi="宋体" w:cs="宋体"/>
                <w:color w:val="auto"/>
                <w:kern w:val="0"/>
                <w:szCs w:val="21"/>
                <w:highlight w:val="none"/>
                <w:lang w:eastAsia="zh-CN"/>
              </w:rPr>
              <w:t>（</w:t>
            </w:r>
            <w:r>
              <w:rPr>
                <w:rFonts w:hint="eastAsia" w:hAnsi="宋体" w:cs="宋体"/>
                <w:color w:val="auto"/>
                <w:kern w:val="0"/>
                <w:szCs w:val="21"/>
                <w:highlight w:val="none"/>
                <w:lang w:val="en-US" w:eastAsia="zh-CN"/>
              </w:rPr>
              <w:t>客观分</w:t>
            </w:r>
            <w:r>
              <w:rPr>
                <w:rFonts w:hint="eastAsia" w:hAnsi="宋体" w:cs="宋体"/>
                <w:color w:val="auto"/>
                <w:kern w:val="0"/>
                <w:szCs w:val="21"/>
                <w:highlight w:val="none"/>
                <w:lang w:eastAsia="zh-CN"/>
              </w:rPr>
              <w:t>）</w:t>
            </w:r>
          </w:p>
        </w:tc>
      </w:tr>
      <w:tr w14:paraId="55C1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85" w:type="dxa"/>
            <w:vMerge w:val="continue"/>
            <w:tcBorders>
              <w:left w:val="single" w:color="auto" w:sz="4" w:space="0"/>
              <w:right w:val="single" w:color="auto" w:sz="4" w:space="0"/>
            </w:tcBorders>
          </w:tcPr>
          <w:p w14:paraId="1E355B96">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06D916AC">
            <w:pPr>
              <w:pStyle w:val="12"/>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hAnsi="宋体" w:cs="宋体"/>
                <w:bCs/>
                <w:color w:val="auto"/>
                <w:kern w:val="0"/>
                <w:szCs w:val="21"/>
                <w:highlight w:val="none"/>
              </w:rPr>
            </w:pPr>
          </w:p>
          <w:p w14:paraId="7F64CAB9">
            <w:pPr>
              <w:pStyle w:val="12"/>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Ansi="宋体" w:cs="宋体"/>
                <w:bCs/>
                <w:color w:val="auto"/>
                <w:kern w:val="0"/>
                <w:szCs w:val="21"/>
                <w:highlight w:val="none"/>
              </w:rPr>
            </w:pPr>
            <w:r>
              <w:rPr>
                <w:rFonts w:hint="eastAsia" w:hAnsi="宋体" w:cs="宋体"/>
                <w:bCs/>
                <w:color w:val="auto"/>
                <w:kern w:val="0"/>
                <w:szCs w:val="21"/>
                <w:highlight w:val="none"/>
              </w:rPr>
              <w:t>服务方案（满分</w:t>
            </w:r>
            <w:r>
              <w:rPr>
                <w:rFonts w:hint="eastAsia" w:hAnsi="宋体" w:cs="宋体"/>
                <w:bCs/>
                <w:color w:val="auto"/>
                <w:kern w:val="0"/>
                <w:szCs w:val="21"/>
                <w:highlight w:val="none"/>
                <w:lang w:val="en-US" w:eastAsia="zh-CN"/>
              </w:rPr>
              <w:t>24</w:t>
            </w:r>
            <w:r>
              <w:rPr>
                <w:rFonts w:hint="eastAsia" w:hAnsi="宋体" w:cs="宋体"/>
                <w:bCs/>
                <w:color w:val="auto"/>
                <w:kern w:val="0"/>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hAnsi="宋体" w:cs="宋体"/>
                <w:bCs/>
                <w:color w:val="auto"/>
                <w:kern w:val="0"/>
                <w:szCs w:val="21"/>
                <w:highlight w:val="none"/>
                <w:lang w:val="en-US" w:eastAsia="zh-CN"/>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433AEB94">
            <w:pPr>
              <w:keepNext w:val="0"/>
              <w:keepLines w:val="0"/>
              <w:pageBreakBefore w:val="0"/>
              <w:kinsoku/>
              <w:wordWrap w:val="0"/>
              <w:overflowPunct/>
              <w:topLinePunct w:val="0"/>
              <w:autoSpaceDE/>
              <w:autoSpaceDN/>
              <w:bidi w:val="0"/>
              <w:adjustRightInd/>
              <w:snapToGrid/>
              <w:spacing w:line="400" w:lineRule="exact"/>
              <w:textAlignment w:val="auto"/>
              <w:rPr>
                <w:rFonts w:hint="default" w:ascii="宋体" w:hAnsi="宋体" w:cs="宋体"/>
                <w:b w:val="0"/>
                <w:bCs/>
                <w:color w:val="auto"/>
                <w:szCs w:val="21"/>
                <w:highlight w:val="none"/>
                <w:lang w:val="en-US" w:eastAsia="zh-CN"/>
              </w:rPr>
            </w:pPr>
            <w:r>
              <w:rPr>
                <w:rFonts w:hint="default" w:ascii="宋体" w:hAnsi="宋体" w:cs="宋体"/>
                <w:b w:val="0"/>
                <w:bCs/>
                <w:color w:val="auto"/>
                <w:szCs w:val="21"/>
                <w:highlight w:val="none"/>
                <w:lang w:val="en-US" w:eastAsia="zh-CN"/>
              </w:rPr>
              <w:t>针对本项目制定的服务方案进行评审，方案</w:t>
            </w:r>
            <w:r>
              <w:rPr>
                <w:rFonts w:hint="eastAsia" w:ascii="宋体" w:hAnsi="宋体" w:cs="宋体"/>
                <w:b w:val="0"/>
                <w:bCs/>
                <w:color w:val="auto"/>
                <w:szCs w:val="21"/>
                <w:highlight w:val="none"/>
                <w:lang w:val="en-US" w:eastAsia="zh-CN"/>
              </w:rPr>
              <w:t>包括但不限于</w:t>
            </w:r>
            <w:r>
              <w:rPr>
                <w:rFonts w:hint="default" w:ascii="宋体" w:hAnsi="宋体" w:cs="宋体"/>
                <w:b w:val="0"/>
                <w:bCs/>
                <w:color w:val="auto"/>
                <w:szCs w:val="21"/>
                <w:highlight w:val="none"/>
                <w:lang w:val="en-US" w:eastAsia="zh-CN"/>
              </w:rPr>
              <w:t xml:space="preserve">专业调研、人才培养方案修订、课程标准研制、专家论证组织、成果交付全流程工作。未提供方案或核心工作内容缺失，无法保障项目实施的，得0分。 </w:t>
            </w:r>
          </w:p>
          <w:p w14:paraId="55B025DE">
            <w:pPr>
              <w:keepNext w:val="0"/>
              <w:keepLines w:val="0"/>
              <w:pageBreakBefore w:val="0"/>
              <w:kinsoku/>
              <w:wordWrap w:val="0"/>
              <w:overflowPunct/>
              <w:topLinePunct w:val="0"/>
              <w:autoSpaceDE/>
              <w:autoSpaceDN/>
              <w:bidi w:val="0"/>
              <w:adjustRightInd/>
              <w:snapToGrid/>
              <w:spacing w:line="400" w:lineRule="exact"/>
              <w:textAlignment w:val="auto"/>
              <w:rPr>
                <w:rFonts w:hint="default" w:ascii="宋体" w:hAnsi="宋体" w:cs="宋体"/>
                <w:b w:val="0"/>
                <w:bCs/>
                <w:color w:val="auto"/>
                <w:szCs w:val="21"/>
                <w:highlight w:val="none"/>
                <w:lang w:val="en-US" w:eastAsia="zh-CN"/>
              </w:rPr>
            </w:pPr>
            <w:r>
              <w:rPr>
                <w:rFonts w:hint="default" w:ascii="宋体" w:hAnsi="宋体" w:cs="宋体"/>
                <w:b w:val="0"/>
                <w:bCs/>
                <w:color w:val="auto"/>
                <w:szCs w:val="21"/>
                <w:highlight w:val="none"/>
                <w:lang w:val="en-US" w:eastAsia="zh-CN"/>
              </w:rPr>
              <w:t>一档（</w:t>
            </w:r>
            <w:r>
              <w:rPr>
                <w:rFonts w:hint="eastAsia" w:ascii="宋体" w:hAnsi="宋体" w:cs="宋体"/>
                <w:b w:val="0"/>
                <w:bCs/>
                <w:color w:val="auto"/>
                <w:szCs w:val="21"/>
                <w:highlight w:val="none"/>
                <w:lang w:val="en-US" w:eastAsia="zh-CN"/>
              </w:rPr>
              <w:t>8</w:t>
            </w:r>
            <w:r>
              <w:rPr>
                <w:rFonts w:hint="default" w:ascii="宋体" w:hAnsi="宋体" w:cs="宋体"/>
                <w:b w:val="0"/>
                <w:bCs/>
                <w:color w:val="auto"/>
                <w:szCs w:val="21"/>
                <w:highlight w:val="none"/>
                <w:lang w:val="en-US" w:eastAsia="zh-CN"/>
              </w:rPr>
              <w:t>分）：方案覆盖全部核心工作模块，明确各环节基本工作要求与总体进度安排，人员配置满足项目基本运转，可按采购文件要求完成基本交付。</w:t>
            </w:r>
          </w:p>
          <w:p w14:paraId="7230F8C1">
            <w:pPr>
              <w:keepNext w:val="0"/>
              <w:keepLines w:val="0"/>
              <w:pageBreakBefore w:val="0"/>
              <w:kinsoku/>
              <w:wordWrap w:val="0"/>
              <w:overflowPunct/>
              <w:topLinePunct w:val="0"/>
              <w:autoSpaceDE/>
              <w:autoSpaceDN/>
              <w:bidi w:val="0"/>
              <w:adjustRightInd/>
              <w:snapToGrid/>
              <w:spacing w:line="400" w:lineRule="exact"/>
              <w:textAlignment w:val="auto"/>
              <w:rPr>
                <w:rFonts w:hint="default" w:ascii="宋体" w:hAnsi="宋体" w:cs="宋体"/>
                <w:b w:val="0"/>
                <w:bCs/>
                <w:color w:val="auto"/>
                <w:szCs w:val="21"/>
                <w:highlight w:val="none"/>
                <w:lang w:val="en-US" w:eastAsia="zh-CN"/>
              </w:rPr>
            </w:pPr>
            <w:r>
              <w:rPr>
                <w:rFonts w:hint="default" w:ascii="宋体" w:hAnsi="宋体" w:cs="宋体"/>
                <w:b w:val="0"/>
                <w:bCs/>
                <w:color w:val="auto"/>
                <w:szCs w:val="21"/>
                <w:highlight w:val="none"/>
                <w:lang w:val="en-US" w:eastAsia="zh-CN"/>
              </w:rPr>
              <w:t>二档（</w:t>
            </w:r>
            <w:r>
              <w:rPr>
                <w:rFonts w:hint="eastAsia" w:ascii="宋体" w:hAnsi="宋体" w:cs="宋体"/>
                <w:b w:val="0"/>
                <w:bCs/>
                <w:color w:val="auto"/>
                <w:szCs w:val="21"/>
                <w:highlight w:val="none"/>
                <w:lang w:val="en-US" w:eastAsia="zh-CN"/>
              </w:rPr>
              <w:t>16</w:t>
            </w:r>
            <w:r>
              <w:rPr>
                <w:rFonts w:hint="default" w:ascii="宋体" w:hAnsi="宋体" w:cs="宋体"/>
                <w:b w:val="0"/>
                <w:bCs/>
                <w:color w:val="auto"/>
                <w:szCs w:val="21"/>
                <w:highlight w:val="none"/>
                <w:lang w:val="en-US" w:eastAsia="zh-CN"/>
              </w:rPr>
              <w:t>分）：方案各环节任务分解明确，专业调研符合采购文件规定的要素要求，人才培养方案修订思路清晰，课程标准框架完整；列明各阶段交付节点与质量要求，配套进度管控措施，贴合餐旅专业群建设实际。</w:t>
            </w:r>
          </w:p>
          <w:p w14:paraId="61D44F25">
            <w:pPr>
              <w:keepNext w:val="0"/>
              <w:keepLines w:val="0"/>
              <w:pageBreakBefore w:val="0"/>
              <w:kinsoku/>
              <w:wordWrap w:val="0"/>
              <w:overflowPunct/>
              <w:topLinePunct w:val="0"/>
              <w:autoSpaceDE/>
              <w:autoSpaceDN/>
              <w:bidi w:val="0"/>
              <w:adjustRightInd/>
              <w:snapToGrid/>
              <w:spacing w:line="400" w:lineRule="exact"/>
              <w:textAlignment w:val="auto"/>
              <w:rPr>
                <w:rFonts w:hint="default" w:ascii="宋体" w:hAnsi="宋体" w:cs="宋体"/>
                <w:b w:val="0"/>
                <w:bCs/>
                <w:color w:val="auto"/>
                <w:szCs w:val="21"/>
                <w:highlight w:val="none"/>
                <w:lang w:val="en-US" w:eastAsia="zh-CN"/>
              </w:rPr>
            </w:pPr>
            <w:r>
              <w:rPr>
                <w:rFonts w:hint="default" w:ascii="宋体" w:hAnsi="宋体" w:cs="宋体"/>
                <w:b w:val="0"/>
                <w:bCs/>
                <w:color w:val="auto"/>
                <w:szCs w:val="21"/>
                <w:highlight w:val="none"/>
                <w:lang w:val="en-US" w:eastAsia="zh-CN"/>
              </w:rPr>
              <w:t>三档（</w:t>
            </w:r>
            <w:r>
              <w:rPr>
                <w:rFonts w:hint="eastAsia" w:ascii="宋体" w:hAnsi="宋体" w:cs="宋体"/>
                <w:b w:val="0"/>
                <w:bCs/>
                <w:color w:val="auto"/>
                <w:szCs w:val="21"/>
                <w:highlight w:val="none"/>
                <w:lang w:val="en-US" w:eastAsia="zh-CN"/>
              </w:rPr>
              <w:t>24</w:t>
            </w:r>
            <w:r>
              <w:rPr>
                <w:rFonts w:hint="default" w:ascii="宋体" w:hAnsi="宋体" w:cs="宋体"/>
                <w:b w:val="0"/>
                <w:bCs/>
                <w:color w:val="auto"/>
                <w:szCs w:val="21"/>
                <w:highlight w:val="none"/>
                <w:lang w:val="en-US" w:eastAsia="zh-CN"/>
              </w:rPr>
              <w:t>分）：方案针对性强，针对岗课赛证融通、实践学时占比达标、课程思政融入等核心要求制定专项落实措施；调研设计贴合区域餐旅产业人才需求，修订路径科学合理；建立多级质量复核机制，进度管控与风险应对措施具体，可有效保障成果质量与落地效果。</w:t>
            </w:r>
          </w:p>
        </w:tc>
        <w:tc>
          <w:tcPr>
            <w:tcW w:w="1183" w:type="dxa"/>
            <w:tcBorders>
              <w:top w:val="single" w:color="auto" w:sz="4" w:space="0"/>
              <w:left w:val="single" w:color="auto" w:sz="4" w:space="0"/>
              <w:bottom w:val="single" w:color="auto" w:sz="4" w:space="0"/>
              <w:right w:val="single" w:color="auto" w:sz="4" w:space="0"/>
            </w:tcBorders>
            <w:vAlign w:val="center"/>
          </w:tcPr>
          <w:p w14:paraId="516850C3">
            <w:pPr>
              <w:keepNext w:val="0"/>
              <w:keepLines w:val="0"/>
              <w:pageBreakBefore w:val="0"/>
              <w:kinsoku/>
              <w:wordWrap w:val="0"/>
              <w:overflowPunct/>
              <w:topLinePunct w:val="0"/>
              <w:autoSpaceDE/>
              <w:autoSpaceDN/>
              <w:bidi w:val="0"/>
              <w:adjustRightInd/>
              <w:snapToGrid/>
              <w:spacing w:line="400" w:lineRule="exact"/>
              <w:jc w:val="center"/>
              <w:textAlignment w:val="auto"/>
              <w:rPr>
                <w:rFonts w:ascii="宋体" w:hAnsi="宋体" w:cs="宋体"/>
                <w:bCs/>
                <w:color w:val="auto"/>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分</w:t>
            </w:r>
            <w:r>
              <w:rPr>
                <w:rFonts w:hint="eastAsia" w:hAnsi="宋体" w:cs="宋体"/>
                <w:color w:val="auto"/>
                <w:kern w:val="0"/>
                <w:szCs w:val="21"/>
                <w:highlight w:val="none"/>
                <w:lang w:eastAsia="zh-CN"/>
              </w:rPr>
              <w:t>（</w:t>
            </w:r>
            <w:r>
              <w:rPr>
                <w:rFonts w:hint="eastAsia" w:hAnsi="宋体" w:cs="宋体"/>
                <w:color w:val="auto"/>
                <w:kern w:val="0"/>
                <w:szCs w:val="21"/>
                <w:highlight w:val="none"/>
                <w:lang w:val="en-US" w:eastAsia="zh-CN"/>
              </w:rPr>
              <w:t>主观分</w:t>
            </w:r>
            <w:r>
              <w:rPr>
                <w:rFonts w:hint="eastAsia" w:hAnsi="宋体" w:cs="宋体"/>
                <w:color w:val="auto"/>
                <w:kern w:val="0"/>
                <w:szCs w:val="21"/>
                <w:highlight w:val="none"/>
                <w:lang w:eastAsia="zh-CN"/>
              </w:rPr>
              <w:t>）</w:t>
            </w:r>
          </w:p>
        </w:tc>
      </w:tr>
      <w:tr w14:paraId="6226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4" w:hRule="atLeast"/>
        </w:trPr>
        <w:tc>
          <w:tcPr>
            <w:tcW w:w="685" w:type="dxa"/>
            <w:vMerge w:val="continue"/>
            <w:tcBorders>
              <w:left w:val="single" w:color="auto" w:sz="4" w:space="0"/>
              <w:right w:val="single" w:color="auto" w:sz="4" w:space="0"/>
            </w:tcBorders>
          </w:tcPr>
          <w:p w14:paraId="215FBEFA">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6661A3B3">
            <w:pPr>
              <w:keepNext w:val="0"/>
              <w:keepLines w:val="0"/>
              <w:pageBreakBefore w:val="0"/>
              <w:widowControl w:val="0"/>
              <w:kinsoku/>
              <w:wordWrap w:val="0"/>
              <w:overflowPunct/>
              <w:topLinePunct w:val="0"/>
              <w:autoSpaceDE w:val="0"/>
              <w:autoSpaceDN w:val="0"/>
              <w:bidi w:val="0"/>
              <w:adjustRightInd w:val="0"/>
              <w:snapToGrid/>
              <w:spacing w:line="400" w:lineRule="exact"/>
              <w:jc w:val="center"/>
              <w:textAlignment w:val="auto"/>
              <w:rPr>
                <w:rFonts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培训方案</w:t>
            </w:r>
            <w:r>
              <w:rPr>
                <w:rFonts w:hint="eastAsia" w:ascii="宋体" w:hAnsi="宋体" w:cs="宋体"/>
                <w:bCs/>
                <w:color w:val="auto"/>
                <w:kern w:val="0"/>
                <w:szCs w:val="21"/>
                <w:highlight w:val="none"/>
              </w:rPr>
              <w:t>（满分</w:t>
            </w:r>
            <w:r>
              <w:rPr>
                <w:rFonts w:hint="eastAsia" w:ascii="宋体" w:hAnsi="宋体" w:cs="宋体"/>
                <w:bCs/>
                <w:color w:val="auto"/>
                <w:kern w:val="0"/>
                <w:szCs w:val="21"/>
                <w:highlight w:val="none"/>
                <w:lang w:val="en-US" w:eastAsia="zh-CN"/>
              </w:rPr>
              <w:t>24</w:t>
            </w:r>
            <w:r>
              <w:rPr>
                <w:rFonts w:hint="eastAsia" w:ascii="宋体" w:hAnsi="宋体" w:cs="宋体"/>
                <w:bCs/>
                <w:color w:val="auto"/>
                <w:kern w:val="0"/>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Cs/>
                <w:color w:val="auto"/>
                <w:kern w:val="0"/>
                <w:szCs w:val="21"/>
                <w:highlight w:val="none"/>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777ED0FC">
            <w:pPr>
              <w:pStyle w:val="9"/>
              <w:keepNext w:val="0"/>
              <w:keepLines w:val="0"/>
              <w:pageBreakBefore w:val="0"/>
              <w:widowControl w:val="0"/>
              <w:kinsoku/>
              <w:wordWrap w:val="0"/>
              <w:overflowPunct/>
              <w:topLinePunct w:val="0"/>
              <w:bidi w:val="0"/>
              <w:snapToGrid/>
              <w:spacing w:line="400" w:lineRule="exact"/>
              <w:ind w:firstLine="0" w:firstLineChars="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eastAsia="zh-CN"/>
              </w:rPr>
              <w:t xml:space="preserve">针对人才培养方案修订、在线精品课程建设两项专项培训的方案进行评审，单场培训时长须不少于4课时。未提供方案或未达到基本课时要求的，得0分。 </w:t>
            </w:r>
          </w:p>
          <w:p w14:paraId="3A07B094">
            <w:pPr>
              <w:pStyle w:val="9"/>
              <w:keepNext w:val="0"/>
              <w:keepLines w:val="0"/>
              <w:pageBreakBefore w:val="0"/>
              <w:widowControl w:val="0"/>
              <w:kinsoku/>
              <w:wordWrap w:val="0"/>
              <w:overflowPunct/>
              <w:topLinePunct w:val="0"/>
              <w:bidi w:val="0"/>
              <w:snapToGrid/>
              <w:spacing w:line="400" w:lineRule="exact"/>
              <w:ind w:firstLine="0" w:firstLineChars="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eastAsia="zh-CN"/>
              </w:rPr>
              <w:t>一档（</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lang w:eastAsia="zh-CN"/>
              </w:rPr>
              <w:t>分）：方案覆盖两项培训的基本内容框架，满足单场不少于4课时的时长要求，明确核心授课模块与基本流程，师资配备符合职称要求，可保障培训正常开展。</w:t>
            </w:r>
          </w:p>
          <w:p w14:paraId="1F3AB12C">
            <w:pPr>
              <w:pStyle w:val="9"/>
              <w:keepNext w:val="0"/>
              <w:keepLines w:val="0"/>
              <w:pageBreakBefore w:val="0"/>
              <w:widowControl w:val="0"/>
              <w:kinsoku/>
              <w:wordWrap w:val="0"/>
              <w:overflowPunct/>
              <w:topLinePunct w:val="0"/>
              <w:bidi w:val="0"/>
              <w:snapToGrid/>
              <w:spacing w:line="400" w:lineRule="exact"/>
              <w:ind w:firstLine="0" w:firstLineChars="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eastAsia="zh-CN"/>
              </w:rPr>
              <w:t>二档（</w:t>
            </w:r>
            <w:r>
              <w:rPr>
                <w:rFonts w:hint="eastAsia" w:ascii="宋体" w:hAnsi="宋体" w:cs="宋体"/>
                <w:bCs/>
                <w:color w:val="auto"/>
                <w:kern w:val="0"/>
                <w:szCs w:val="21"/>
                <w:highlight w:val="none"/>
                <w:lang w:val="en-US" w:eastAsia="zh-CN"/>
              </w:rPr>
              <w:t>16</w:t>
            </w:r>
            <w:r>
              <w:rPr>
                <w:rFonts w:hint="eastAsia" w:ascii="宋体" w:hAnsi="宋体" w:cs="宋体"/>
                <w:bCs/>
                <w:color w:val="auto"/>
                <w:kern w:val="0"/>
                <w:szCs w:val="21"/>
                <w:highlight w:val="none"/>
                <w:lang w:eastAsia="zh-CN"/>
              </w:rPr>
              <w:t>分）：方案中两项培训的课程模块、课时分配、授课大纲清晰具体，师资配置明确到</w:t>
            </w:r>
            <w:r>
              <w:rPr>
                <w:rFonts w:hint="eastAsia" w:ascii="宋体" w:hAnsi="宋体" w:cs="宋体"/>
                <w:bCs/>
                <w:color w:val="auto"/>
                <w:kern w:val="0"/>
                <w:szCs w:val="21"/>
                <w:highlight w:val="none"/>
                <w:lang w:val="en-US" w:eastAsia="zh-CN"/>
              </w:rPr>
              <w:t>个</w:t>
            </w:r>
            <w:r>
              <w:rPr>
                <w:rFonts w:hint="eastAsia" w:ascii="宋体" w:hAnsi="宋体" w:cs="宋体"/>
                <w:bCs/>
                <w:color w:val="auto"/>
                <w:kern w:val="0"/>
                <w:szCs w:val="21"/>
                <w:highlight w:val="none"/>
                <w:lang w:eastAsia="zh-CN"/>
              </w:rPr>
              <w:t>人，配套培训课件、参考资料等教学素材；设置课后答疑环节，贴合职业院校教师实际学习需求。</w:t>
            </w:r>
          </w:p>
          <w:p w14:paraId="2FE4288C">
            <w:pPr>
              <w:pStyle w:val="9"/>
              <w:keepNext w:val="0"/>
              <w:keepLines w:val="0"/>
              <w:pageBreakBefore w:val="0"/>
              <w:widowControl w:val="0"/>
              <w:kinsoku/>
              <w:wordWrap w:val="0"/>
              <w:overflowPunct/>
              <w:topLinePunct w:val="0"/>
              <w:bidi w:val="0"/>
              <w:snapToGrid/>
              <w:spacing w:line="400" w:lineRule="exact"/>
              <w:ind w:firstLine="0" w:firstLineChars="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lang w:eastAsia="zh-CN"/>
              </w:rPr>
              <w:t>三档（</w:t>
            </w:r>
            <w:r>
              <w:rPr>
                <w:rFonts w:hint="eastAsia" w:ascii="宋体" w:hAnsi="宋体" w:cs="宋体"/>
                <w:bCs/>
                <w:color w:val="auto"/>
                <w:kern w:val="0"/>
                <w:szCs w:val="21"/>
                <w:highlight w:val="none"/>
                <w:lang w:val="en-US" w:eastAsia="zh-CN"/>
              </w:rPr>
              <w:t>24</w:t>
            </w:r>
            <w:r>
              <w:rPr>
                <w:rFonts w:hint="eastAsia" w:ascii="宋体" w:hAnsi="宋体" w:cs="宋体"/>
                <w:bCs/>
                <w:color w:val="auto"/>
                <w:kern w:val="0"/>
                <w:szCs w:val="21"/>
                <w:highlight w:val="none"/>
                <w:lang w:eastAsia="zh-CN"/>
              </w:rPr>
              <w:t>分）：方案定制化程度高，两项培训内容结合餐旅专业群场景设计，兼顾政策解读、实操指导与成果产出；培训师资具备同类项目指导与申报经验（</w:t>
            </w:r>
            <w:r>
              <w:rPr>
                <w:rFonts w:hint="eastAsia" w:ascii="宋体" w:hAnsi="宋体" w:cs="宋体"/>
                <w:bCs/>
                <w:color w:val="auto"/>
                <w:kern w:val="0"/>
                <w:szCs w:val="21"/>
                <w:highlight w:val="none"/>
                <w:lang w:val="en-US" w:eastAsia="zh-CN"/>
              </w:rPr>
              <w:t>以提供的相关证明材料为准</w:t>
            </w:r>
            <w:r>
              <w:rPr>
                <w:rFonts w:hint="eastAsia" w:ascii="宋体" w:hAnsi="宋体" w:cs="宋体"/>
                <w:bCs/>
                <w:color w:val="auto"/>
                <w:kern w:val="0"/>
                <w:szCs w:val="21"/>
                <w:highlight w:val="none"/>
                <w:lang w:eastAsia="zh-CN"/>
              </w:rPr>
              <w:t>），配套完整教学资源包与课后成果打磨指导，可切实提升参训教师实操能力。</w:t>
            </w:r>
          </w:p>
        </w:tc>
        <w:tc>
          <w:tcPr>
            <w:tcW w:w="1183" w:type="dxa"/>
            <w:tcBorders>
              <w:top w:val="single" w:color="auto" w:sz="4" w:space="0"/>
              <w:left w:val="single" w:color="auto" w:sz="4" w:space="0"/>
              <w:bottom w:val="single" w:color="auto" w:sz="4" w:space="0"/>
              <w:right w:val="single" w:color="auto" w:sz="4" w:space="0"/>
            </w:tcBorders>
            <w:vAlign w:val="center"/>
          </w:tcPr>
          <w:p w14:paraId="148350DD">
            <w:pPr>
              <w:keepNext w:val="0"/>
              <w:keepLines w:val="0"/>
              <w:pageBreakBefore w:val="0"/>
              <w:kinsoku/>
              <w:wordWrap w:val="0"/>
              <w:overflowPunct/>
              <w:topLinePunct w:val="0"/>
              <w:bidi w:val="0"/>
              <w:snapToGrid/>
              <w:spacing w:line="400" w:lineRule="exact"/>
              <w:jc w:val="center"/>
              <w:textAlignment w:val="auto"/>
              <w:rPr>
                <w:rFonts w:ascii="宋体" w:hAnsi="宋体" w:cs="宋体"/>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分</w:t>
            </w:r>
            <w:r>
              <w:rPr>
                <w:rFonts w:hint="eastAsia" w:hAnsi="宋体" w:cs="宋体"/>
                <w:color w:val="auto"/>
                <w:kern w:val="0"/>
                <w:szCs w:val="21"/>
                <w:highlight w:val="none"/>
                <w:lang w:eastAsia="zh-CN"/>
              </w:rPr>
              <w:t>（</w:t>
            </w:r>
            <w:r>
              <w:rPr>
                <w:rFonts w:hint="eastAsia" w:hAnsi="宋体" w:cs="宋体"/>
                <w:color w:val="auto"/>
                <w:kern w:val="0"/>
                <w:szCs w:val="21"/>
                <w:highlight w:val="none"/>
                <w:lang w:val="en-US" w:eastAsia="zh-CN"/>
              </w:rPr>
              <w:t>主观分</w:t>
            </w:r>
            <w:r>
              <w:rPr>
                <w:rFonts w:hint="eastAsia" w:hAnsi="宋体" w:cs="宋体"/>
                <w:color w:val="auto"/>
                <w:kern w:val="0"/>
                <w:szCs w:val="21"/>
                <w:highlight w:val="none"/>
                <w:lang w:eastAsia="zh-CN"/>
              </w:rPr>
              <w:t>）</w:t>
            </w:r>
          </w:p>
          <w:p w14:paraId="229B49A4">
            <w:pPr>
              <w:keepNext w:val="0"/>
              <w:keepLines w:val="0"/>
              <w:pageBreakBefore w:val="0"/>
              <w:kinsoku/>
              <w:wordWrap w:val="0"/>
              <w:overflowPunct/>
              <w:topLinePunct w:val="0"/>
              <w:bidi w:val="0"/>
              <w:snapToGrid/>
              <w:spacing w:line="400" w:lineRule="exact"/>
              <w:jc w:val="center"/>
              <w:textAlignment w:val="auto"/>
              <w:rPr>
                <w:rFonts w:ascii="宋体" w:hAnsi="宋体" w:cs="宋体"/>
                <w:bCs/>
                <w:color w:val="auto"/>
                <w:kern w:val="0"/>
                <w:szCs w:val="21"/>
                <w:highlight w:val="none"/>
              </w:rPr>
            </w:pPr>
          </w:p>
        </w:tc>
      </w:tr>
      <w:tr w14:paraId="3F7E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85" w:type="dxa"/>
            <w:vMerge w:val="restart"/>
            <w:tcBorders>
              <w:top w:val="single" w:color="auto" w:sz="4" w:space="0"/>
              <w:left w:val="single" w:color="auto" w:sz="4" w:space="0"/>
              <w:right w:val="single" w:color="auto" w:sz="4" w:space="0"/>
            </w:tcBorders>
            <w:vAlign w:val="center"/>
          </w:tcPr>
          <w:p w14:paraId="7167A8C1">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3</w:t>
            </w:r>
          </w:p>
        </w:tc>
        <w:tc>
          <w:tcPr>
            <w:tcW w:w="1649" w:type="dxa"/>
            <w:tcBorders>
              <w:top w:val="single" w:color="auto" w:sz="4" w:space="0"/>
              <w:left w:val="single" w:color="auto" w:sz="4" w:space="0"/>
              <w:right w:val="single" w:color="auto" w:sz="4" w:space="0"/>
            </w:tcBorders>
            <w:vAlign w:val="center"/>
          </w:tcPr>
          <w:p w14:paraId="0A7352ED">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商务分（满分</w:t>
            </w:r>
          </w:p>
          <w:p w14:paraId="6A1F4880">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18</w:t>
            </w:r>
            <w:r>
              <w:rPr>
                <w:rFonts w:hint="eastAsia" w:hAnsi="宋体" w:cs="宋体"/>
                <w:b/>
                <w:color w:val="auto"/>
                <w:szCs w:val="21"/>
                <w:highlight w:val="none"/>
              </w:rPr>
              <w:t>分）</w:t>
            </w:r>
          </w:p>
        </w:tc>
        <w:tc>
          <w:tcPr>
            <w:tcW w:w="6613" w:type="dxa"/>
            <w:tcBorders>
              <w:top w:val="single" w:color="auto" w:sz="4" w:space="0"/>
              <w:left w:val="single" w:color="auto" w:sz="4" w:space="0"/>
              <w:right w:val="single" w:color="auto" w:sz="4" w:space="0"/>
            </w:tcBorders>
            <w:vAlign w:val="center"/>
          </w:tcPr>
          <w:p w14:paraId="19DB07F4">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131F328B">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4C55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685" w:type="dxa"/>
            <w:vMerge w:val="continue"/>
            <w:tcBorders>
              <w:left w:val="single" w:color="auto" w:sz="4" w:space="0"/>
              <w:right w:val="single" w:color="auto" w:sz="4" w:space="0"/>
            </w:tcBorders>
          </w:tcPr>
          <w:p w14:paraId="4D0063F4">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74AA0878">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b w:val="0"/>
                <w:bCs/>
                <w:color w:val="auto"/>
                <w:szCs w:val="21"/>
                <w:highlight w:val="none"/>
              </w:rPr>
            </w:pPr>
            <w:r>
              <w:rPr>
                <w:rFonts w:hint="eastAsia" w:ascii="宋体" w:hAnsi="宋体" w:cs="宋体"/>
                <w:b w:val="0"/>
                <w:bCs/>
                <w:color w:val="auto"/>
                <w:szCs w:val="21"/>
                <w:highlight w:val="none"/>
                <w:lang w:val="en-US" w:eastAsia="zh-CN"/>
              </w:rPr>
              <w:t>售后服务方案（满分8分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 w:val="0"/>
                <w:bCs/>
                <w:color w:val="auto"/>
                <w:szCs w:val="21"/>
                <w:highlight w:val="none"/>
                <w:lang w:val="en-US" w:eastAsia="zh-CN"/>
              </w:rPr>
              <w:t>）</w:t>
            </w:r>
          </w:p>
        </w:tc>
        <w:tc>
          <w:tcPr>
            <w:tcW w:w="6613" w:type="dxa"/>
            <w:tcBorders>
              <w:top w:val="single" w:color="auto" w:sz="4" w:space="0"/>
              <w:left w:val="single" w:color="auto" w:sz="4" w:space="0"/>
              <w:right w:val="single" w:color="auto" w:sz="4" w:space="0"/>
            </w:tcBorders>
            <w:vAlign w:val="center"/>
          </w:tcPr>
          <w:p w14:paraId="1F51CACE">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default" w:ascii="宋体" w:hAnsi="宋体" w:cs="宋体"/>
                <w:bCs/>
                <w:color w:val="auto"/>
                <w:szCs w:val="21"/>
                <w:highlight w:val="none"/>
                <w:lang w:val="en-US" w:eastAsia="zh-CN"/>
              </w:rPr>
            </w:pPr>
            <w:r>
              <w:rPr>
                <w:rFonts w:hint="default" w:ascii="宋体" w:hAnsi="宋体" w:cs="宋体"/>
                <w:bCs/>
                <w:color w:val="auto"/>
                <w:szCs w:val="21"/>
                <w:highlight w:val="none"/>
                <w:lang w:val="en-US" w:eastAsia="zh-CN"/>
              </w:rPr>
              <w:t>一档（</w:t>
            </w:r>
            <w:r>
              <w:rPr>
                <w:rFonts w:hint="eastAsia" w:ascii="宋体" w:hAnsi="宋体" w:cs="宋体"/>
                <w:bCs/>
                <w:color w:val="auto"/>
                <w:szCs w:val="21"/>
                <w:highlight w:val="none"/>
                <w:lang w:val="en-US" w:eastAsia="zh-CN"/>
              </w:rPr>
              <w:t>2</w:t>
            </w:r>
            <w:r>
              <w:rPr>
                <w:rFonts w:hint="default" w:ascii="宋体" w:hAnsi="宋体" w:cs="宋体"/>
                <w:bCs/>
                <w:color w:val="auto"/>
                <w:szCs w:val="21"/>
                <w:highlight w:val="none"/>
                <w:lang w:val="en-US" w:eastAsia="zh-CN"/>
              </w:rPr>
              <w:t>分）：方案</w:t>
            </w:r>
            <w:r>
              <w:rPr>
                <w:rFonts w:hint="eastAsia" w:ascii="宋体" w:hAnsi="宋体" w:cs="宋体"/>
                <w:bCs/>
                <w:color w:val="auto"/>
                <w:szCs w:val="21"/>
                <w:highlight w:val="none"/>
                <w:lang w:val="en-US" w:eastAsia="zh-CN"/>
              </w:rPr>
              <w:t>满足招标文件基本要求，接到采购人通知后6小时内到达指定现场；配备专职售后人员；方案包含成果答疑、基础修订指导等内容，可保障项目成果常规使用需求</w:t>
            </w:r>
            <w:r>
              <w:rPr>
                <w:rFonts w:hint="default" w:ascii="宋体" w:hAnsi="宋体" w:cs="宋体"/>
                <w:bCs/>
                <w:color w:val="auto"/>
                <w:szCs w:val="21"/>
                <w:highlight w:val="none"/>
                <w:lang w:val="en-US" w:eastAsia="zh-CN"/>
              </w:rPr>
              <w:t>。</w:t>
            </w:r>
          </w:p>
          <w:p w14:paraId="5303D74D">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default" w:ascii="宋体" w:hAnsi="宋体" w:cs="宋体"/>
                <w:bCs/>
                <w:color w:val="auto"/>
                <w:szCs w:val="21"/>
                <w:highlight w:val="none"/>
                <w:lang w:val="en-US" w:eastAsia="zh-CN"/>
              </w:rPr>
            </w:pPr>
            <w:r>
              <w:rPr>
                <w:rFonts w:hint="default" w:ascii="宋体" w:hAnsi="宋体" w:cs="宋体"/>
                <w:bCs/>
                <w:color w:val="auto"/>
                <w:szCs w:val="21"/>
                <w:highlight w:val="none"/>
                <w:lang w:val="en-US" w:eastAsia="zh-CN"/>
              </w:rPr>
              <w:t>二档（</w:t>
            </w:r>
            <w:r>
              <w:rPr>
                <w:rFonts w:hint="eastAsia" w:ascii="宋体" w:hAnsi="宋体" w:cs="宋体"/>
                <w:bCs/>
                <w:color w:val="auto"/>
                <w:szCs w:val="21"/>
                <w:highlight w:val="none"/>
                <w:lang w:val="en-US" w:eastAsia="zh-CN"/>
              </w:rPr>
              <w:t>4</w:t>
            </w:r>
            <w:r>
              <w:rPr>
                <w:rFonts w:hint="default" w:ascii="宋体" w:hAnsi="宋体" w:cs="宋体"/>
                <w:bCs/>
                <w:color w:val="auto"/>
                <w:szCs w:val="21"/>
                <w:highlight w:val="none"/>
                <w:lang w:val="en-US" w:eastAsia="zh-CN"/>
              </w:rPr>
              <w:t>分）：在满足一档的基础上，方案内容详实、服务流程清晰；</w:t>
            </w:r>
            <w:r>
              <w:rPr>
                <w:rFonts w:hint="eastAsia" w:ascii="宋体" w:hAnsi="宋体" w:cs="宋体"/>
                <w:bCs/>
                <w:color w:val="auto"/>
                <w:szCs w:val="21"/>
                <w:highlight w:val="none"/>
                <w:lang w:val="en-US" w:eastAsia="zh-CN"/>
              </w:rPr>
              <w:t>接到采购人通知后4小时内到达指定现场；配备专属项目对接人，建立半年回访机制；质保期内免费提供职业教育政策更新解读，服务适配性较强</w:t>
            </w:r>
            <w:r>
              <w:rPr>
                <w:rFonts w:hint="default" w:ascii="宋体" w:hAnsi="宋体" w:cs="宋体"/>
                <w:bCs/>
                <w:color w:val="auto"/>
                <w:szCs w:val="21"/>
                <w:highlight w:val="none"/>
                <w:lang w:val="en-US" w:eastAsia="zh-CN"/>
              </w:rPr>
              <w:t>。</w:t>
            </w:r>
          </w:p>
          <w:p w14:paraId="5DBC9EAB">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宋体" w:hAnsi="宋体" w:cs="宋体"/>
                <w:bCs/>
                <w:color w:val="auto"/>
                <w:szCs w:val="21"/>
                <w:highlight w:val="none"/>
                <w:lang w:val="en-US" w:eastAsia="zh-CN"/>
              </w:rPr>
            </w:pPr>
            <w:r>
              <w:rPr>
                <w:rFonts w:hint="default" w:ascii="宋体" w:hAnsi="宋体" w:cs="宋体"/>
                <w:bCs/>
                <w:color w:val="auto"/>
                <w:szCs w:val="21"/>
                <w:highlight w:val="none"/>
                <w:lang w:val="en-US" w:eastAsia="zh-CN"/>
              </w:rPr>
              <w:t>三档（</w:t>
            </w:r>
            <w:r>
              <w:rPr>
                <w:rFonts w:hint="eastAsia" w:ascii="宋体" w:hAnsi="宋体" w:cs="宋体"/>
                <w:bCs/>
                <w:color w:val="auto"/>
                <w:szCs w:val="21"/>
                <w:highlight w:val="none"/>
                <w:lang w:val="en-US" w:eastAsia="zh-CN"/>
              </w:rPr>
              <w:t>8</w:t>
            </w:r>
            <w:r>
              <w:rPr>
                <w:rFonts w:hint="default" w:ascii="宋体" w:hAnsi="宋体" w:cs="宋体"/>
                <w:bCs/>
                <w:color w:val="auto"/>
                <w:szCs w:val="21"/>
                <w:highlight w:val="none"/>
                <w:lang w:val="en-US" w:eastAsia="zh-CN"/>
              </w:rPr>
              <w:t>分）：在满足二档基础上，售后服务体系完善、项目针对性强；</w:t>
            </w:r>
            <w:r>
              <w:rPr>
                <w:rFonts w:hint="eastAsia" w:ascii="宋体" w:hAnsi="宋体" w:cs="宋体"/>
                <w:bCs/>
                <w:color w:val="auto"/>
                <w:szCs w:val="21"/>
                <w:highlight w:val="none"/>
                <w:lang w:val="en-US" w:eastAsia="zh-CN"/>
              </w:rPr>
              <w:t>接到采购人通知后2小时内到达指定现场；组建具备职业教育专业背景的专属售后团队，建立季度回访与成果适用性诊断机制；质保期内免费提供成果优化建议、配套项目申报咨询等深度服务，全周期保障能力突出</w:t>
            </w:r>
            <w:r>
              <w:rPr>
                <w:rFonts w:hint="default" w:ascii="宋体" w:hAnsi="宋体" w:cs="宋体"/>
                <w:bCs/>
                <w:color w:val="auto"/>
                <w:szCs w:val="21"/>
                <w:highlight w:val="none"/>
                <w:lang w:val="en-US" w:eastAsia="zh-CN"/>
              </w:rPr>
              <w:t>。</w:t>
            </w:r>
          </w:p>
        </w:tc>
        <w:tc>
          <w:tcPr>
            <w:tcW w:w="1183" w:type="dxa"/>
            <w:tcBorders>
              <w:top w:val="single" w:color="auto" w:sz="4" w:space="0"/>
              <w:left w:val="single" w:color="auto" w:sz="4" w:space="0"/>
              <w:bottom w:val="single" w:color="auto" w:sz="4" w:space="0"/>
              <w:right w:val="single" w:color="auto" w:sz="4" w:space="0"/>
            </w:tcBorders>
            <w:vAlign w:val="center"/>
          </w:tcPr>
          <w:p w14:paraId="20C1943A">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eastAsia="宋体" w:cs="宋体"/>
                <w:bCs/>
                <w:strike/>
                <w:dstrike w:val="0"/>
                <w:color w:val="auto"/>
                <w:szCs w:val="21"/>
                <w:highlight w:val="none"/>
                <w:lang w:eastAsia="zh-CN"/>
              </w:rPr>
            </w:pPr>
            <w:r>
              <w:rPr>
                <w:rFonts w:hint="eastAsia" w:ascii="宋体" w:hAnsi="宋体" w:cs="宋体"/>
                <w:color w:val="auto"/>
                <w:kern w:val="0"/>
                <w:szCs w:val="21"/>
                <w:highlight w:val="none"/>
              </w:rPr>
              <w:t>0~</w:t>
            </w:r>
            <w:r>
              <w:rPr>
                <w:rFonts w:hint="eastAsia" w:hAnsi="宋体" w:cs="宋体"/>
                <w:color w:val="auto"/>
                <w:kern w:val="0"/>
                <w:szCs w:val="21"/>
                <w:highlight w:val="none"/>
                <w:lang w:val="en-US" w:eastAsia="zh-CN"/>
              </w:rPr>
              <w:t>8</w:t>
            </w:r>
            <w:r>
              <w:rPr>
                <w:rFonts w:hint="eastAsia" w:ascii="宋体" w:hAnsi="宋体" w:cs="宋体"/>
                <w:color w:val="auto"/>
                <w:kern w:val="0"/>
                <w:szCs w:val="21"/>
                <w:highlight w:val="none"/>
              </w:rPr>
              <w:t>分</w:t>
            </w:r>
            <w:r>
              <w:rPr>
                <w:rFonts w:hint="eastAsia" w:hAnsi="宋体" w:cs="宋体"/>
                <w:color w:val="auto"/>
                <w:kern w:val="0"/>
                <w:szCs w:val="21"/>
                <w:highlight w:val="none"/>
                <w:lang w:eastAsia="zh-CN"/>
              </w:rPr>
              <w:t>（</w:t>
            </w:r>
            <w:r>
              <w:rPr>
                <w:rFonts w:hint="eastAsia" w:hAnsi="宋体" w:cs="宋体"/>
                <w:color w:val="auto"/>
                <w:kern w:val="0"/>
                <w:szCs w:val="21"/>
                <w:highlight w:val="none"/>
                <w:lang w:val="en-US" w:eastAsia="zh-CN"/>
              </w:rPr>
              <w:t>主观分</w:t>
            </w:r>
            <w:r>
              <w:rPr>
                <w:rFonts w:hint="eastAsia" w:hAnsi="宋体" w:cs="宋体"/>
                <w:color w:val="auto"/>
                <w:kern w:val="0"/>
                <w:szCs w:val="21"/>
                <w:highlight w:val="none"/>
                <w:lang w:eastAsia="zh-CN"/>
              </w:rPr>
              <w:t>）</w:t>
            </w:r>
          </w:p>
        </w:tc>
      </w:tr>
      <w:tr w14:paraId="6AEE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dxa"/>
            <w:vMerge w:val="continue"/>
            <w:tcBorders>
              <w:left w:val="single" w:color="auto" w:sz="4" w:space="0"/>
              <w:right w:val="single" w:color="auto" w:sz="4" w:space="0"/>
            </w:tcBorders>
          </w:tcPr>
          <w:p w14:paraId="71F0398B">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020977B5">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b w:val="0"/>
                <w:bCs/>
                <w:color w:val="auto"/>
                <w:szCs w:val="21"/>
                <w:highlight w:val="none"/>
              </w:rPr>
            </w:pPr>
            <w:r>
              <w:rPr>
                <w:rFonts w:hint="eastAsia" w:ascii="宋体" w:hAnsi="宋体" w:cs="宋体"/>
                <w:b w:val="0"/>
                <w:bCs/>
                <w:color w:val="auto"/>
                <w:szCs w:val="21"/>
                <w:highlight w:val="none"/>
                <w:lang w:val="en-US" w:eastAsia="zh-CN"/>
              </w:rPr>
              <w:t>业绩（满分10分）</w:t>
            </w:r>
          </w:p>
        </w:tc>
        <w:tc>
          <w:tcPr>
            <w:tcW w:w="6613" w:type="dxa"/>
            <w:tcBorders>
              <w:top w:val="single" w:color="auto" w:sz="4" w:space="0"/>
              <w:left w:val="single" w:color="auto" w:sz="4" w:space="0"/>
              <w:right w:val="single" w:color="auto" w:sz="4" w:space="0"/>
            </w:tcBorders>
            <w:vAlign w:val="center"/>
          </w:tcPr>
          <w:p w14:paraId="5CD0F882">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投标人2023年以来具有同类（培训项目）业绩的，每项业绩得2分，满分10分。</w:t>
            </w:r>
          </w:p>
          <w:p w14:paraId="00085A95">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bCs/>
                <w:color w:val="auto"/>
                <w:szCs w:val="21"/>
                <w:highlight w:val="none"/>
              </w:rPr>
            </w:pPr>
            <w:r>
              <w:rPr>
                <w:rFonts w:hint="eastAsia" w:ascii="宋体" w:hAnsi="宋体" w:cs="宋体"/>
                <w:bCs/>
                <w:color w:val="auto"/>
                <w:szCs w:val="21"/>
                <w:highlight w:val="none"/>
                <w:lang w:val="en-US" w:eastAsia="zh-CN"/>
              </w:rPr>
              <w:t>（投标文件中须提供有效的中标（成交）通知书或合同复印件加盖投标人公章，否则不予计分。）</w:t>
            </w:r>
          </w:p>
        </w:tc>
        <w:tc>
          <w:tcPr>
            <w:tcW w:w="1183" w:type="dxa"/>
            <w:tcBorders>
              <w:top w:val="single" w:color="auto" w:sz="4" w:space="0"/>
              <w:left w:val="single" w:color="auto" w:sz="4" w:space="0"/>
              <w:bottom w:val="single" w:color="auto" w:sz="4" w:space="0"/>
              <w:right w:val="single" w:color="auto" w:sz="4" w:space="0"/>
            </w:tcBorders>
            <w:vAlign w:val="center"/>
          </w:tcPr>
          <w:p w14:paraId="0F173F04">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10</w:t>
            </w:r>
            <w:r>
              <w:rPr>
                <w:rFonts w:hint="eastAsia" w:hAnsi="宋体" w:cs="宋体"/>
                <w:bCs/>
                <w:color w:val="auto"/>
                <w:szCs w:val="21"/>
                <w:highlight w:val="none"/>
              </w:rPr>
              <w:t>分（客观分）</w:t>
            </w:r>
          </w:p>
        </w:tc>
      </w:tr>
      <w:tr w14:paraId="68B8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130" w:type="dxa"/>
            <w:gridSpan w:val="4"/>
            <w:tcBorders>
              <w:left w:val="single" w:color="auto" w:sz="4" w:space="0"/>
              <w:bottom w:val="single" w:color="auto" w:sz="4" w:space="0"/>
              <w:right w:val="single" w:color="auto" w:sz="4" w:space="0"/>
            </w:tcBorders>
          </w:tcPr>
          <w:p w14:paraId="1501A4FB">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r>
              <w:rPr>
                <w:rFonts w:hint="eastAsia" w:hAnsi="宋体" w:cs="宋体"/>
                <w:b/>
                <w:bCs/>
                <w:color w:val="auto"/>
                <w:szCs w:val="21"/>
                <w:highlight w:val="none"/>
              </w:rPr>
              <w:t>总得分=1+2+3</w:t>
            </w:r>
          </w:p>
        </w:tc>
      </w:tr>
    </w:tbl>
    <w:p w14:paraId="2D393EA6">
      <w:pP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br w:type="page"/>
      </w:r>
    </w:p>
    <w:tbl>
      <w:tblPr>
        <w:tblStyle w:val="23"/>
        <w:tblW w:w="10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49"/>
        <w:gridCol w:w="6613"/>
        <w:gridCol w:w="1183"/>
      </w:tblGrid>
      <w:tr w14:paraId="4C3A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85" w:type="dxa"/>
            <w:tcBorders>
              <w:top w:val="single" w:color="auto" w:sz="4" w:space="0"/>
              <w:left w:val="single" w:color="auto" w:sz="4" w:space="0"/>
              <w:bottom w:val="single" w:color="auto" w:sz="4" w:space="0"/>
              <w:right w:val="single" w:color="auto" w:sz="4" w:space="0"/>
            </w:tcBorders>
          </w:tcPr>
          <w:p w14:paraId="28F64E89">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int="eastAsia" w:hAnsi="宋体" w:eastAsia="宋体" w:cs="宋体"/>
                <w:b/>
                <w:color w:val="auto"/>
                <w:szCs w:val="21"/>
                <w:highlight w:val="none"/>
                <w:lang w:val="en-US" w:eastAsia="zh-CN"/>
              </w:rPr>
            </w:pPr>
            <w:r>
              <w:rPr>
                <w:rFonts w:hint="eastAsia" w:hAnsi="宋体" w:cs="宋体"/>
                <w:b/>
                <w:color w:val="auto"/>
                <w:szCs w:val="21"/>
                <w:highlight w:val="none"/>
                <w:lang w:val="en-US" w:eastAsia="zh-CN"/>
              </w:rPr>
              <w:t>标段</w:t>
            </w:r>
          </w:p>
        </w:tc>
        <w:tc>
          <w:tcPr>
            <w:tcW w:w="9445" w:type="dxa"/>
            <w:gridSpan w:val="3"/>
            <w:tcBorders>
              <w:top w:val="single" w:color="auto" w:sz="4" w:space="0"/>
              <w:left w:val="single" w:color="auto" w:sz="4" w:space="0"/>
              <w:bottom w:val="single" w:color="auto" w:sz="4" w:space="0"/>
              <w:right w:val="single" w:color="auto" w:sz="4" w:space="0"/>
            </w:tcBorders>
          </w:tcPr>
          <w:p w14:paraId="7DA6AB18">
            <w:pPr>
              <w:pStyle w:val="12"/>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default" w:hAnsi="宋体" w:eastAsia="宋体" w:cs="宋体"/>
                <w:b/>
                <w:color w:val="auto"/>
                <w:szCs w:val="21"/>
                <w:highlight w:val="none"/>
                <w:lang w:val="en-US" w:eastAsia="zh-CN"/>
              </w:rPr>
            </w:pPr>
            <w:r>
              <w:rPr>
                <w:rFonts w:hint="eastAsia" w:hAnsi="宋体" w:cs="宋体"/>
                <w:b/>
                <w:color w:val="auto"/>
                <w:szCs w:val="21"/>
                <w:highlight w:val="none"/>
                <w:lang w:val="en-US" w:eastAsia="zh-CN"/>
              </w:rPr>
              <w:t>分标3</w:t>
            </w:r>
          </w:p>
        </w:tc>
      </w:tr>
      <w:tr w14:paraId="7D8E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85" w:type="dxa"/>
            <w:tcBorders>
              <w:top w:val="single" w:color="auto" w:sz="4" w:space="0"/>
              <w:left w:val="single" w:color="auto" w:sz="4" w:space="0"/>
              <w:bottom w:val="single" w:color="auto" w:sz="4" w:space="0"/>
              <w:right w:val="single" w:color="auto" w:sz="4" w:space="0"/>
            </w:tcBorders>
          </w:tcPr>
          <w:p w14:paraId="65E48E6F">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
                <w:color w:val="auto"/>
                <w:szCs w:val="21"/>
                <w:highlight w:val="none"/>
              </w:rPr>
            </w:pPr>
            <w:r>
              <w:rPr>
                <w:rFonts w:hint="eastAsia" w:hAnsi="宋体" w:cs="宋体"/>
                <w:b/>
                <w:color w:val="auto"/>
                <w:szCs w:val="21"/>
                <w:highlight w:val="none"/>
              </w:rPr>
              <w:t>序号</w:t>
            </w:r>
          </w:p>
        </w:tc>
        <w:tc>
          <w:tcPr>
            <w:tcW w:w="1649" w:type="dxa"/>
            <w:tcBorders>
              <w:top w:val="single" w:color="auto" w:sz="4" w:space="0"/>
              <w:left w:val="single" w:color="auto" w:sz="4" w:space="0"/>
              <w:bottom w:val="single" w:color="auto" w:sz="4" w:space="0"/>
              <w:right w:val="single" w:color="auto" w:sz="4" w:space="0"/>
            </w:tcBorders>
          </w:tcPr>
          <w:p w14:paraId="3EDC8A1F">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评分类型</w:t>
            </w:r>
          </w:p>
        </w:tc>
        <w:tc>
          <w:tcPr>
            <w:tcW w:w="6613" w:type="dxa"/>
            <w:tcBorders>
              <w:top w:val="single" w:color="auto" w:sz="4" w:space="0"/>
              <w:left w:val="single" w:color="auto" w:sz="4" w:space="0"/>
              <w:bottom w:val="single" w:color="auto" w:sz="4" w:space="0"/>
              <w:right w:val="single" w:color="auto" w:sz="4" w:space="0"/>
            </w:tcBorders>
          </w:tcPr>
          <w:p w14:paraId="4686172F">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评分标准</w:t>
            </w:r>
          </w:p>
        </w:tc>
        <w:tc>
          <w:tcPr>
            <w:tcW w:w="1183" w:type="dxa"/>
            <w:tcBorders>
              <w:top w:val="single" w:color="auto" w:sz="4" w:space="0"/>
              <w:left w:val="single" w:color="auto" w:sz="4" w:space="0"/>
              <w:bottom w:val="single" w:color="auto" w:sz="4" w:space="0"/>
              <w:right w:val="single" w:color="auto" w:sz="4" w:space="0"/>
            </w:tcBorders>
          </w:tcPr>
          <w:p w14:paraId="445FF1C9">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3CB9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4" w:space="0"/>
              <w:left w:val="single" w:color="auto" w:sz="4" w:space="0"/>
              <w:bottom w:val="single" w:color="auto" w:sz="4" w:space="0"/>
              <w:right w:val="single" w:color="auto" w:sz="4" w:space="0"/>
            </w:tcBorders>
            <w:vAlign w:val="center"/>
          </w:tcPr>
          <w:p w14:paraId="603B27D2">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1</w:t>
            </w:r>
          </w:p>
        </w:tc>
        <w:tc>
          <w:tcPr>
            <w:tcW w:w="1649" w:type="dxa"/>
            <w:tcBorders>
              <w:top w:val="single" w:color="auto" w:sz="4" w:space="0"/>
              <w:left w:val="single" w:color="auto" w:sz="4" w:space="0"/>
              <w:bottom w:val="single" w:color="auto" w:sz="4" w:space="0"/>
              <w:right w:val="single" w:color="auto" w:sz="4" w:space="0"/>
            </w:tcBorders>
            <w:vAlign w:val="center"/>
          </w:tcPr>
          <w:p w14:paraId="55CAEC8E">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价格分</w:t>
            </w:r>
          </w:p>
          <w:p w14:paraId="0350686D">
            <w:pPr>
              <w:keepNext w:val="0"/>
              <w:keepLines w:val="0"/>
              <w:pageBreakBefore w:val="0"/>
              <w:kinsoku/>
              <w:wordWrap w:val="0"/>
              <w:overflowPunct/>
              <w:topLinePunct w:val="0"/>
              <w:autoSpaceDE/>
              <w:autoSpaceDN/>
              <w:bidi w:val="0"/>
              <w:adjustRightInd/>
              <w:snapToGrid/>
              <w:spacing w:line="400" w:lineRule="exact"/>
              <w:textAlignment w:val="auto"/>
              <w:rPr>
                <w:rFonts w:ascii="宋体" w:hAnsi="宋体" w:cs="宋体"/>
                <w:bCs/>
                <w:color w:val="auto"/>
                <w:szCs w:val="21"/>
                <w:highlight w:val="none"/>
              </w:rPr>
            </w:pP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shd w:val="clear" w:color="auto" w:fill="auto"/>
            <w:vAlign w:val="center"/>
          </w:tcPr>
          <w:p w14:paraId="47C8777E">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（1）评标报价为投标人的投标报价进行政策性扣除后的价格，评标报价只是作为评标时使用。最终中标供应商的中标金额＝投标报价。</w:t>
            </w:r>
          </w:p>
          <w:p w14:paraId="77E0E003">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（2）按照《政府采购促进中小企业发展管理办法》（财库〔2020〕46号）规定，投标人在其投标文件中提供《中小企业声明函》，且服务全部由小型和微型企业承接的，对其最后报价给予20%的扣除。</w:t>
            </w:r>
          </w:p>
          <w:p w14:paraId="4EF0314A">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6132EFE">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1FDFAB9">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（5）政策性扣除计算方法。</w:t>
            </w:r>
          </w:p>
          <w:p w14:paraId="503EA965">
            <w:pPr>
              <w:keepNext w:val="0"/>
              <w:keepLines w:val="0"/>
              <w:pageBreakBefore w:val="0"/>
              <w:kinsoku/>
              <w:wordWrap w:val="0"/>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在服务采购项目中，服务由小微企业承接；对符合上述要求的投标人的投标报价给予20%的扣除，扣除后的价格为评标报价，即评标报价=投标报价×（1-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%的扣除，用扣除后的价格参加评审，扣除后的价格为评标价，即评标报价=投标报价×（1-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%）。除上述情况外，评标报价＝投标报价；</w:t>
            </w:r>
          </w:p>
          <w:p w14:paraId="2E96972E">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（6）以进入综合评分环节的有效最低的评标报价为评标基准价，评标基准价报价得分为</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0DFCA0B7">
            <w:pPr>
              <w:keepNext w:val="0"/>
              <w:keepLines w:val="0"/>
              <w:pageBreakBefore w:val="0"/>
              <w:kinsoku/>
              <w:wordWrap w:val="0"/>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（7）价格分计算公式：某投标人价格分=评标基准价/某投标人评标报价金额×1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1183" w:type="dxa"/>
            <w:tcBorders>
              <w:top w:val="single" w:color="auto" w:sz="4" w:space="0"/>
              <w:left w:val="single" w:color="auto" w:sz="4" w:space="0"/>
              <w:bottom w:val="single" w:color="auto" w:sz="4" w:space="0"/>
              <w:right w:val="single" w:color="auto" w:sz="4" w:space="0"/>
            </w:tcBorders>
            <w:vAlign w:val="center"/>
          </w:tcPr>
          <w:p w14:paraId="5D430565">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0~1</w:t>
            </w:r>
            <w:r>
              <w:rPr>
                <w:rFonts w:hint="eastAsia" w:hAnsi="宋体" w:cs="宋体"/>
                <w:bCs/>
                <w:color w:val="auto"/>
                <w:szCs w:val="21"/>
                <w:highlight w:val="none"/>
                <w:lang w:val="en-US" w:eastAsia="zh-CN"/>
              </w:rPr>
              <w:t>0</w:t>
            </w:r>
            <w:r>
              <w:rPr>
                <w:rFonts w:hint="eastAsia" w:hAnsi="宋体" w:cs="宋体"/>
                <w:bCs/>
                <w:color w:val="auto"/>
                <w:szCs w:val="21"/>
                <w:highlight w:val="none"/>
              </w:rPr>
              <w:t>分（客观分）</w:t>
            </w:r>
          </w:p>
        </w:tc>
      </w:tr>
      <w:tr w14:paraId="3BBF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85" w:type="dxa"/>
            <w:vMerge w:val="restart"/>
            <w:tcBorders>
              <w:top w:val="single" w:color="auto" w:sz="4" w:space="0"/>
              <w:left w:val="single" w:color="auto" w:sz="4" w:space="0"/>
              <w:right w:val="single" w:color="auto" w:sz="4" w:space="0"/>
            </w:tcBorders>
            <w:vAlign w:val="center"/>
          </w:tcPr>
          <w:p w14:paraId="3CE456E0">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2</w:t>
            </w:r>
          </w:p>
        </w:tc>
        <w:tc>
          <w:tcPr>
            <w:tcW w:w="1649" w:type="dxa"/>
            <w:tcBorders>
              <w:top w:val="single" w:color="auto" w:sz="4" w:space="0"/>
              <w:left w:val="single" w:color="auto" w:sz="4" w:space="0"/>
              <w:bottom w:val="single" w:color="auto" w:sz="4" w:space="0"/>
              <w:right w:val="single" w:color="auto" w:sz="4" w:space="0"/>
            </w:tcBorders>
          </w:tcPr>
          <w:p w14:paraId="1379DB10">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技术分（满分</w:t>
            </w:r>
          </w:p>
          <w:p w14:paraId="1E32D782">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60</w:t>
            </w:r>
            <w:r>
              <w:rPr>
                <w:rFonts w:hint="eastAsia"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vAlign w:val="center"/>
          </w:tcPr>
          <w:p w14:paraId="4D0BD679">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44E4B5D4">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7491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85" w:type="dxa"/>
            <w:vMerge w:val="continue"/>
            <w:tcBorders>
              <w:left w:val="single" w:color="auto" w:sz="4" w:space="0"/>
              <w:right w:val="single" w:color="auto" w:sz="4" w:space="0"/>
            </w:tcBorders>
          </w:tcPr>
          <w:p w14:paraId="0A6D28E2">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2045F6AF">
            <w:pPr>
              <w:pStyle w:val="12"/>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hAnsi="宋体" w:eastAsia="宋体" w:cs="宋体"/>
                <w:color w:val="auto"/>
                <w:szCs w:val="21"/>
                <w:highlight w:val="none"/>
                <w:lang w:eastAsia="zh-CN"/>
              </w:rPr>
            </w:pPr>
            <w:r>
              <w:rPr>
                <w:rFonts w:hint="eastAsia" w:hAnsi="宋体" w:cs="宋体"/>
                <w:color w:val="auto"/>
                <w:szCs w:val="21"/>
                <w:highlight w:val="none"/>
              </w:rPr>
              <w:t>整体实施方案（满分</w:t>
            </w:r>
            <w:r>
              <w:rPr>
                <w:rFonts w:hint="eastAsia" w:hAnsi="宋体" w:cs="宋体"/>
                <w:color w:val="auto"/>
                <w:szCs w:val="21"/>
                <w:highlight w:val="none"/>
                <w:lang w:val="en-US" w:eastAsia="zh-CN"/>
              </w:rPr>
              <w:t>30</w:t>
            </w:r>
            <w:r>
              <w:rPr>
                <w:rFonts w:hint="eastAsia" w:hAnsi="宋体" w:cs="宋体"/>
                <w:color w:val="auto"/>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hAnsi="宋体" w:cs="宋体"/>
                <w:bCs/>
                <w:color w:val="auto"/>
                <w:kern w:val="0"/>
                <w:szCs w:val="21"/>
                <w:highlight w:val="none"/>
                <w:lang w:val="en-US" w:eastAsia="zh-CN"/>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1EAF2326">
            <w:pPr>
              <w:pStyle w:val="9"/>
              <w:keepNext w:val="0"/>
              <w:keepLines w:val="0"/>
              <w:pageBreakBefore w:val="0"/>
              <w:kinsoku/>
              <w:wordWrap w:val="0"/>
              <w:overflowPunct/>
              <w:topLinePunct w:val="0"/>
              <w:autoSpaceDE/>
              <w:autoSpaceDN/>
              <w:bidi w:val="0"/>
              <w:adjustRightInd/>
              <w:snapToGrid/>
              <w:spacing w:line="400" w:lineRule="exact"/>
              <w:ind w:firstLine="210" w:firstLineChars="100"/>
              <w:textAlignment w:val="auto"/>
              <w:rPr>
                <w:rFonts w:hint="eastAsia" w:ascii="宋体" w:hAnsi="宋体" w:cs="宋体"/>
                <w:b w:val="0"/>
                <w:bCs/>
                <w:color w:val="auto"/>
                <w:szCs w:val="21"/>
                <w:highlight w:val="none"/>
                <w:lang w:val="zh-CN"/>
              </w:rPr>
            </w:pPr>
            <w:r>
              <w:rPr>
                <w:rFonts w:hint="eastAsia" w:ascii="宋体" w:hAnsi="宋体" w:cs="宋体"/>
                <w:b w:val="0"/>
                <w:bCs/>
                <w:color w:val="auto"/>
                <w:szCs w:val="21"/>
                <w:highlight w:val="none"/>
                <w:lang w:val="zh-CN"/>
              </w:rPr>
              <w:t>根据供应商对本项目两本活页式规划教材编写出版的理解，考察总体思路、实施路径、进度管控、团队配置、交付安排的完整性、针对性与可行性。</w:t>
            </w:r>
          </w:p>
          <w:p w14:paraId="49923565">
            <w:pPr>
              <w:pStyle w:val="9"/>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b w:val="0"/>
                <w:bCs/>
                <w:color w:val="auto"/>
                <w:szCs w:val="21"/>
                <w:highlight w:val="none"/>
                <w:lang w:val="zh-CN"/>
              </w:rPr>
            </w:pPr>
            <w:r>
              <w:rPr>
                <w:rFonts w:hint="eastAsia" w:ascii="宋体" w:hAnsi="宋体" w:cs="宋体"/>
                <w:b w:val="0"/>
                <w:bCs/>
                <w:color w:val="auto"/>
                <w:szCs w:val="21"/>
                <w:highlight w:val="none"/>
                <w:lang w:val="zh-CN"/>
              </w:rPr>
              <w:t>一档（</w:t>
            </w:r>
            <w:r>
              <w:rPr>
                <w:rFonts w:hint="eastAsia" w:ascii="宋体" w:hAnsi="宋体" w:cs="宋体"/>
                <w:b w:val="0"/>
                <w:bCs/>
                <w:color w:val="auto"/>
                <w:szCs w:val="21"/>
                <w:highlight w:val="none"/>
                <w:lang w:val="en-US" w:eastAsia="zh-CN"/>
              </w:rPr>
              <w:t>14</w:t>
            </w:r>
            <w:r>
              <w:rPr>
                <w:rFonts w:hint="eastAsia" w:ascii="宋体" w:hAnsi="宋体" w:cs="宋体"/>
                <w:b w:val="0"/>
                <w:bCs/>
                <w:color w:val="auto"/>
                <w:szCs w:val="21"/>
                <w:highlight w:val="none"/>
                <w:lang w:val="zh-CN"/>
              </w:rPr>
              <w:t>分）：基本匹配招标文件需求，有总体编写思路与实施框架，覆盖两本教材核心工作模块；但内容偏笼统，对自治区规划教材建设标准、校企双元开发要求理解不深，进度与人员安排较粗略，针对性不足。</w:t>
            </w:r>
          </w:p>
          <w:p w14:paraId="2E50772C">
            <w:pPr>
              <w:pStyle w:val="9"/>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b w:val="0"/>
                <w:bCs/>
                <w:color w:val="auto"/>
                <w:szCs w:val="21"/>
                <w:highlight w:val="none"/>
                <w:lang w:val="zh-CN"/>
              </w:rPr>
            </w:pPr>
            <w:r>
              <w:rPr>
                <w:rFonts w:hint="eastAsia" w:ascii="宋体" w:hAnsi="宋体" w:cs="宋体"/>
                <w:b w:val="0"/>
                <w:bCs/>
                <w:color w:val="auto"/>
                <w:szCs w:val="21"/>
                <w:highlight w:val="none"/>
                <w:lang w:val="zh-CN"/>
              </w:rPr>
              <w:t>二档（</w:t>
            </w:r>
            <w:r>
              <w:rPr>
                <w:rFonts w:hint="eastAsia" w:ascii="宋体" w:hAnsi="宋体" w:cs="宋体"/>
                <w:b w:val="0"/>
                <w:bCs/>
                <w:color w:val="auto"/>
                <w:szCs w:val="21"/>
                <w:highlight w:val="none"/>
                <w:lang w:val="en-US" w:eastAsia="zh-CN"/>
              </w:rPr>
              <w:t>22</w:t>
            </w:r>
            <w:r>
              <w:rPr>
                <w:rFonts w:hint="eastAsia" w:ascii="宋体" w:hAnsi="宋体" w:cs="宋体"/>
                <w:b w:val="0"/>
                <w:bCs/>
                <w:color w:val="auto"/>
                <w:szCs w:val="21"/>
                <w:highlight w:val="none"/>
                <w:lang w:val="zh-CN"/>
              </w:rPr>
              <w:t>分）：符合招标文件需求，对项目建设背景、建设目标、两本教材核心建设内容理解较充分；实施计划完整，明确大纲编制、文稿撰写、专家论证、排版出版各阶段节点，人员配置与交付安排基本清晰，可支撑项目落地。</w:t>
            </w:r>
          </w:p>
          <w:p w14:paraId="4FD9396B">
            <w:pPr>
              <w:pStyle w:val="9"/>
              <w:keepNext w:val="0"/>
              <w:keepLines w:val="0"/>
              <w:pageBreakBefore w:val="0"/>
              <w:kinsoku/>
              <w:wordWrap w:val="0"/>
              <w:overflowPunct/>
              <w:topLinePunct w:val="0"/>
              <w:autoSpaceDE/>
              <w:autoSpaceDN/>
              <w:bidi w:val="0"/>
              <w:adjustRightInd/>
              <w:snapToGrid/>
              <w:spacing w:line="400" w:lineRule="exact"/>
              <w:textAlignment w:val="auto"/>
              <w:rPr>
                <w:rFonts w:ascii="宋体" w:hAnsi="宋体" w:cs="宋体"/>
                <w:b/>
                <w:color w:val="auto"/>
                <w:szCs w:val="21"/>
                <w:highlight w:val="none"/>
                <w:lang w:val="zh-CN"/>
              </w:rPr>
            </w:pPr>
            <w:r>
              <w:rPr>
                <w:rFonts w:hint="eastAsia" w:ascii="宋体" w:hAnsi="宋体" w:cs="宋体"/>
                <w:b w:val="0"/>
                <w:bCs/>
                <w:color w:val="auto"/>
                <w:szCs w:val="21"/>
                <w:highlight w:val="none"/>
                <w:lang w:val="zh-CN"/>
              </w:rPr>
              <w:t>三档（</w:t>
            </w:r>
            <w:r>
              <w:rPr>
                <w:rFonts w:hint="eastAsia" w:ascii="宋体" w:hAnsi="宋体" w:cs="宋体"/>
                <w:b w:val="0"/>
                <w:bCs/>
                <w:color w:val="auto"/>
                <w:szCs w:val="21"/>
                <w:highlight w:val="none"/>
                <w:lang w:val="en-US" w:eastAsia="zh-CN"/>
              </w:rPr>
              <w:t>30</w:t>
            </w:r>
            <w:r>
              <w:rPr>
                <w:rFonts w:hint="eastAsia" w:ascii="宋体" w:hAnsi="宋体" w:cs="宋体"/>
                <w:b w:val="0"/>
                <w:bCs/>
                <w:color w:val="auto"/>
                <w:szCs w:val="21"/>
                <w:highlight w:val="none"/>
                <w:lang w:val="zh-CN"/>
              </w:rPr>
              <w:t>分）：准确理解并完全匹配招标文件需求，对自治区规划教材建设标准、岗课赛证融通、校企双元开发要求认识深入；总体思路清晰、重点突出，进度计划细化到</w:t>
            </w:r>
            <w:r>
              <w:rPr>
                <w:rFonts w:hint="eastAsia" w:ascii="宋体" w:hAnsi="宋体" w:cs="宋体"/>
                <w:b w:val="0"/>
                <w:bCs/>
                <w:color w:val="auto"/>
                <w:szCs w:val="21"/>
                <w:highlight w:val="none"/>
                <w:lang w:val="en-US" w:eastAsia="zh-CN"/>
              </w:rPr>
              <w:t>每</w:t>
            </w:r>
            <w:r>
              <w:rPr>
                <w:rFonts w:hint="eastAsia" w:ascii="宋体" w:hAnsi="宋体" w:cs="宋体"/>
                <w:b w:val="0"/>
                <w:bCs/>
                <w:color w:val="auto"/>
                <w:szCs w:val="21"/>
                <w:highlight w:val="none"/>
                <w:lang w:val="zh-CN"/>
              </w:rPr>
              <w:t>周，团队分工对应两本教材的专业方向，交付安排、质量节点、风险预案完整具体，针对性与可操作性强，完全适配项目定稿出版的周期要求。</w:t>
            </w:r>
          </w:p>
        </w:tc>
        <w:tc>
          <w:tcPr>
            <w:tcW w:w="1183" w:type="dxa"/>
            <w:tcBorders>
              <w:top w:val="single" w:color="auto" w:sz="4" w:space="0"/>
              <w:left w:val="single" w:color="auto" w:sz="4" w:space="0"/>
              <w:bottom w:val="single" w:color="auto" w:sz="4" w:space="0"/>
              <w:right w:val="single" w:color="auto" w:sz="4" w:space="0"/>
            </w:tcBorders>
            <w:vAlign w:val="center"/>
          </w:tcPr>
          <w:p w14:paraId="20B48FAE">
            <w:pPr>
              <w:keepNext w:val="0"/>
              <w:keepLines w:val="0"/>
              <w:pageBreakBefore w:val="0"/>
              <w:kinsoku/>
              <w:wordWrap w:val="0"/>
              <w:overflowPunct/>
              <w:topLinePunct w:val="0"/>
              <w:autoSpaceDE/>
              <w:autoSpaceDN/>
              <w:bidi w:val="0"/>
              <w:adjustRightInd/>
              <w:snapToGrid/>
              <w:spacing w:line="400" w:lineRule="exact"/>
              <w:jc w:val="center"/>
              <w:textAlignment w:val="auto"/>
              <w:rPr>
                <w:rFonts w:ascii="宋体" w:hAnsi="宋体" w:cs="宋体"/>
                <w:bCs/>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26C6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85" w:type="dxa"/>
            <w:vMerge w:val="continue"/>
            <w:tcBorders>
              <w:left w:val="single" w:color="auto" w:sz="4" w:space="0"/>
              <w:right w:val="single" w:color="auto" w:sz="4" w:space="0"/>
            </w:tcBorders>
          </w:tcPr>
          <w:p w14:paraId="07B4A531">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63EFBBDA">
            <w:pPr>
              <w:pStyle w:val="12"/>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Ansi="宋体" w:cs="宋体"/>
                <w:bCs/>
                <w:color w:val="auto"/>
                <w:kern w:val="0"/>
                <w:szCs w:val="21"/>
                <w:highlight w:val="none"/>
              </w:rPr>
            </w:pPr>
            <w:r>
              <w:rPr>
                <w:rFonts w:hint="eastAsia" w:hAnsi="宋体" w:cs="宋体"/>
                <w:bCs/>
                <w:color w:val="auto"/>
                <w:kern w:val="0"/>
                <w:szCs w:val="21"/>
                <w:highlight w:val="none"/>
              </w:rPr>
              <w:t>服务实施及质量保证（满分</w:t>
            </w:r>
            <w:r>
              <w:rPr>
                <w:rFonts w:hint="eastAsia" w:hAnsi="宋体" w:cs="宋体"/>
                <w:bCs/>
                <w:color w:val="auto"/>
                <w:kern w:val="0"/>
                <w:szCs w:val="21"/>
                <w:highlight w:val="none"/>
                <w:lang w:val="en-US" w:eastAsia="zh-CN"/>
              </w:rPr>
              <w:t>30</w:t>
            </w:r>
            <w:r>
              <w:rPr>
                <w:rFonts w:hint="eastAsia" w:hAnsi="宋体" w:cs="宋体"/>
                <w:bCs/>
                <w:color w:val="auto"/>
                <w:kern w:val="0"/>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hAnsi="宋体" w:cs="宋体"/>
                <w:bCs/>
                <w:color w:val="auto"/>
                <w:kern w:val="0"/>
                <w:szCs w:val="21"/>
                <w:highlight w:val="none"/>
                <w:lang w:val="en-US" w:eastAsia="zh-CN"/>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5EC05E1E">
            <w:pPr>
              <w:pStyle w:val="9"/>
              <w:keepNext w:val="0"/>
              <w:keepLines w:val="0"/>
              <w:pageBreakBefore w:val="0"/>
              <w:kinsoku/>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根据供应商的服务组织架构、质量管控体系、专项履约保障及人员专业能力，保障教材编写出版全流程合规、质量达标等方面进行评定。</w:t>
            </w:r>
          </w:p>
          <w:p w14:paraId="4AF9CBB4">
            <w:pPr>
              <w:pStyle w:val="9"/>
              <w:keepNext w:val="0"/>
              <w:keepLines w:val="0"/>
              <w:pageBreakBefore w:val="0"/>
              <w:kinsoku/>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分）：基本符合招标文件需求，有基础的服务安排与人员配置，明确项目对接人；质量管控要求较笼统，信息安全、知识产权、出版履约保障仅有原则性表述，缺乏具体措施</w:t>
            </w:r>
            <w:r>
              <w:rPr>
                <w:rFonts w:hint="eastAsia" w:ascii="宋体" w:hAnsi="宋体" w:cs="宋体"/>
                <w:color w:val="auto"/>
                <w:szCs w:val="21"/>
                <w:highlight w:val="none"/>
                <w:lang w:eastAsia="zh-CN"/>
              </w:rPr>
              <w:t>；</w:t>
            </w:r>
          </w:p>
          <w:p w14:paraId="0DB5A9C1">
            <w:pPr>
              <w:pStyle w:val="9"/>
              <w:keepNext w:val="0"/>
              <w:keepLines w:val="0"/>
              <w:pageBreakBefore w:val="0"/>
              <w:kinsoku/>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分）：较好满足招标文件需求，服务组织架构清晰，列明核心团队人员及职责；建立了基本的质量审核机制，包含信息安全保障、知识产权管理的具体措施；出具出版履约专项承诺，明确对接正规出版机构的义务，质量保障体系基本完整</w:t>
            </w:r>
            <w:r>
              <w:rPr>
                <w:rFonts w:hint="eastAsia" w:ascii="宋体" w:hAnsi="宋体" w:cs="宋体"/>
                <w:color w:val="auto"/>
                <w:szCs w:val="21"/>
                <w:highlight w:val="none"/>
                <w:lang w:eastAsia="zh-CN"/>
              </w:rPr>
              <w:t>。</w:t>
            </w:r>
          </w:p>
          <w:p w14:paraId="2CCFE39B">
            <w:pPr>
              <w:pStyle w:val="9"/>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分）：完全满足招标文件需求，服务体系周全、质控机制完善；针对两本教材分别设置专业质控节点，建立</w:t>
            </w:r>
            <w:r>
              <w:rPr>
                <w:rFonts w:hint="eastAsia" w:ascii="宋体" w:hAnsi="宋体" w:cs="宋体"/>
                <w:color w:val="auto"/>
                <w:szCs w:val="21"/>
                <w:highlight w:val="none"/>
                <w:lang w:val="en-US" w:eastAsia="zh-CN"/>
              </w:rPr>
              <w:t>政治导向</w:t>
            </w:r>
            <w:r>
              <w:rPr>
                <w:rFonts w:hint="eastAsia" w:ascii="宋体" w:hAnsi="宋体" w:cs="宋体"/>
                <w:color w:val="auto"/>
                <w:szCs w:val="21"/>
                <w:highlight w:val="none"/>
              </w:rPr>
              <w:t>审核、专家评审、出版三审三级质量管控体系；信息安全保障方案、知识产权管理方案详实可行，覆盖数字资源、教材内容全周期；出具加盖公章的出版履约专项承诺函，明确出版对接流程、时限要求及违约责任，人员专业能力与项目高度匹配，可充分保障项目履约质量。</w:t>
            </w:r>
          </w:p>
        </w:tc>
        <w:tc>
          <w:tcPr>
            <w:tcW w:w="1183" w:type="dxa"/>
            <w:tcBorders>
              <w:top w:val="single" w:color="auto" w:sz="4" w:space="0"/>
              <w:left w:val="single" w:color="auto" w:sz="4" w:space="0"/>
              <w:bottom w:val="single" w:color="auto" w:sz="4" w:space="0"/>
              <w:right w:val="single" w:color="auto" w:sz="4" w:space="0"/>
            </w:tcBorders>
            <w:vAlign w:val="center"/>
          </w:tcPr>
          <w:p w14:paraId="419155A6">
            <w:pPr>
              <w:keepNext w:val="0"/>
              <w:keepLines w:val="0"/>
              <w:pageBreakBefore w:val="0"/>
              <w:kinsoku/>
              <w:wordWrap w:val="0"/>
              <w:overflowPunct/>
              <w:topLinePunct w:val="0"/>
              <w:autoSpaceDE/>
              <w:autoSpaceDN/>
              <w:bidi w:val="0"/>
              <w:adjustRightInd/>
              <w:snapToGrid/>
              <w:spacing w:line="400" w:lineRule="exact"/>
              <w:jc w:val="center"/>
              <w:textAlignment w:val="auto"/>
              <w:rPr>
                <w:rFonts w:ascii="宋体" w:hAnsi="宋体" w:cs="宋体"/>
                <w:bCs/>
                <w:color w:val="auto"/>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5C0A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85" w:type="dxa"/>
            <w:vMerge w:val="restart"/>
            <w:tcBorders>
              <w:top w:val="single" w:color="auto" w:sz="4" w:space="0"/>
              <w:left w:val="single" w:color="auto" w:sz="4" w:space="0"/>
              <w:right w:val="single" w:color="auto" w:sz="4" w:space="0"/>
            </w:tcBorders>
            <w:vAlign w:val="center"/>
          </w:tcPr>
          <w:p w14:paraId="54A5B58E">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3</w:t>
            </w:r>
          </w:p>
        </w:tc>
        <w:tc>
          <w:tcPr>
            <w:tcW w:w="1649" w:type="dxa"/>
            <w:tcBorders>
              <w:top w:val="single" w:color="auto" w:sz="4" w:space="0"/>
              <w:left w:val="single" w:color="auto" w:sz="4" w:space="0"/>
              <w:right w:val="single" w:color="auto" w:sz="4" w:space="0"/>
            </w:tcBorders>
            <w:vAlign w:val="center"/>
          </w:tcPr>
          <w:p w14:paraId="31FDD6D1">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商务分（满分</w:t>
            </w:r>
          </w:p>
          <w:p w14:paraId="712675FC">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30</w:t>
            </w:r>
            <w:r>
              <w:rPr>
                <w:rFonts w:hint="eastAsia" w:hAnsi="宋体" w:cs="宋体"/>
                <w:b/>
                <w:color w:val="auto"/>
                <w:szCs w:val="21"/>
                <w:highlight w:val="none"/>
              </w:rPr>
              <w:t>分）</w:t>
            </w:r>
          </w:p>
        </w:tc>
        <w:tc>
          <w:tcPr>
            <w:tcW w:w="6613" w:type="dxa"/>
            <w:tcBorders>
              <w:top w:val="single" w:color="auto" w:sz="4" w:space="0"/>
              <w:left w:val="single" w:color="auto" w:sz="4" w:space="0"/>
              <w:right w:val="single" w:color="auto" w:sz="4" w:space="0"/>
            </w:tcBorders>
            <w:vAlign w:val="center"/>
          </w:tcPr>
          <w:p w14:paraId="044DA8AC">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1F4AE434">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2D22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685" w:type="dxa"/>
            <w:vMerge w:val="continue"/>
            <w:tcBorders>
              <w:left w:val="single" w:color="auto" w:sz="4" w:space="0"/>
              <w:right w:val="single" w:color="auto" w:sz="4" w:space="0"/>
            </w:tcBorders>
          </w:tcPr>
          <w:p w14:paraId="1523C16A">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55110625">
            <w:pPr>
              <w:keepNext w:val="0"/>
              <w:keepLines w:val="0"/>
              <w:pageBreakBefore w:val="0"/>
              <w:kinsoku/>
              <w:wordWrap w:val="0"/>
              <w:overflowPunct/>
              <w:topLinePunct w:val="0"/>
              <w:autoSpaceDE/>
              <w:autoSpaceDN/>
              <w:bidi w:val="0"/>
              <w:adjustRightInd/>
              <w:snapToGrid/>
              <w:spacing w:line="400" w:lineRule="exact"/>
              <w:textAlignment w:val="auto"/>
              <w:rPr>
                <w:rFonts w:ascii="宋体" w:hAnsi="宋体" w:cs="宋体"/>
                <w:b/>
                <w:bCs w:val="0"/>
                <w:color w:val="auto"/>
                <w:szCs w:val="21"/>
                <w:highlight w:val="none"/>
              </w:rPr>
            </w:pPr>
            <w:r>
              <w:rPr>
                <w:rFonts w:hint="eastAsia" w:ascii="宋体" w:hAnsi="宋体" w:cs="宋体"/>
                <w:bCs/>
                <w:color w:val="auto"/>
                <w:szCs w:val="21"/>
                <w:highlight w:val="none"/>
              </w:rPr>
              <w:t>售后服务（满分</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Cs/>
                <w:color w:val="auto"/>
                <w:szCs w:val="21"/>
                <w:highlight w:val="none"/>
              </w:rPr>
              <w:t>）</w:t>
            </w:r>
          </w:p>
        </w:tc>
        <w:tc>
          <w:tcPr>
            <w:tcW w:w="6613" w:type="dxa"/>
            <w:tcBorders>
              <w:top w:val="single" w:color="auto" w:sz="4" w:space="0"/>
              <w:left w:val="single" w:color="auto" w:sz="4" w:space="0"/>
              <w:right w:val="single" w:color="auto" w:sz="4" w:space="0"/>
            </w:tcBorders>
            <w:vAlign w:val="center"/>
          </w:tcPr>
          <w:p w14:paraId="4BE95D3C">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一档（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分）：完全满足招标文件基</w:t>
            </w:r>
            <w:r>
              <w:rPr>
                <w:rFonts w:hint="eastAsia" w:ascii="宋体" w:hAnsi="宋体" w:cs="宋体"/>
                <w:bCs/>
                <w:color w:val="auto"/>
                <w:szCs w:val="21"/>
                <w:highlight w:val="none"/>
                <w:lang w:val="en-US" w:eastAsia="zh-CN"/>
              </w:rPr>
              <w:t>本</w:t>
            </w:r>
            <w:r>
              <w:rPr>
                <w:rFonts w:hint="eastAsia" w:ascii="宋体" w:hAnsi="宋体" w:cs="宋体"/>
                <w:bCs/>
                <w:color w:val="auto"/>
                <w:szCs w:val="21"/>
                <w:highlight w:val="none"/>
              </w:rPr>
              <w:t>要求</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明确免费勘误与有偿改版的范围，可保障成果常规使用需求</w:t>
            </w:r>
            <w:r>
              <w:rPr>
                <w:rFonts w:hint="eastAsia" w:ascii="宋体" w:hAnsi="宋体" w:cs="宋体"/>
                <w:bCs/>
                <w:color w:val="auto"/>
                <w:szCs w:val="21"/>
                <w:highlight w:val="none"/>
                <w:lang w:eastAsia="zh-CN"/>
              </w:rPr>
              <w:t>。</w:t>
            </w:r>
          </w:p>
          <w:p w14:paraId="4681CAC7">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二档（</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rPr>
              <w:t>分）：在满足一档基础上，售后服务机制完善，</w:t>
            </w:r>
            <w:r>
              <w:rPr>
                <w:rFonts w:hint="eastAsia" w:ascii="宋体" w:hAnsi="宋体" w:cs="宋体"/>
                <w:bCs/>
                <w:color w:val="auto"/>
                <w:szCs w:val="21"/>
                <w:highlight w:val="none"/>
                <w:lang w:val="en-US" w:eastAsia="zh-CN"/>
              </w:rPr>
              <w:t>供应商承诺在1.5小时内响应并远程处理，3小时内到达采购人指定现场；</w:t>
            </w:r>
            <w:r>
              <w:rPr>
                <w:rFonts w:hint="eastAsia" w:ascii="宋体" w:hAnsi="宋体" w:cs="宋体"/>
                <w:bCs/>
                <w:color w:val="auto"/>
                <w:szCs w:val="21"/>
                <w:highlight w:val="none"/>
              </w:rPr>
              <w:t>核心服务设置专属售后对接人，建立主动回访机制，质保期内免费提供教材内容勘误、配套数字资源基础调试、规划教材申报辅助答疑等服务</w:t>
            </w:r>
            <w:r>
              <w:rPr>
                <w:rFonts w:hint="eastAsia" w:ascii="宋体" w:hAnsi="宋体" w:cs="宋体"/>
                <w:bCs/>
                <w:color w:val="auto"/>
                <w:szCs w:val="21"/>
                <w:highlight w:val="none"/>
                <w:lang w:eastAsia="zh-CN"/>
              </w:rPr>
              <w:t>；</w:t>
            </w:r>
          </w:p>
          <w:p w14:paraId="0441F615">
            <w:pPr>
              <w:pStyle w:val="9"/>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三档（</w:t>
            </w:r>
            <w:r>
              <w:rPr>
                <w:rFonts w:hint="eastAsia" w:ascii="宋体" w:hAnsi="宋体" w:cs="宋体"/>
                <w:bCs/>
                <w:color w:val="auto"/>
                <w:szCs w:val="21"/>
                <w:highlight w:val="none"/>
                <w:lang w:val="en-US" w:eastAsia="zh-CN"/>
              </w:rPr>
              <w:t>20</w:t>
            </w:r>
            <w:r>
              <w:rPr>
                <w:rFonts w:hint="eastAsia" w:ascii="宋体" w:hAnsi="宋体" w:cs="宋体"/>
                <w:bCs/>
                <w:color w:val="auto"/>
                <w:szCs w:val="21"/>
                <w:highlight w:val="none"/>
              </w:rPr>
              <w:t>分）：在满足二档基础上，售后服务体系完善、针对性强，</w:t>
            </w:r>
            <w:r>
              <w:rPr>
                <w:rFonts w:hint="eastAsia" w:ascii="宋体" w:hAnsi="宋体" w:cs="宋体"/>
                <w:bCs/>
                <w:color w:val="auto"/>
                <w:szCs w:val="21"/>
                <w:highlight w:val="none"/>
                <w:lang w:val="en-US" w:eastAsia="zh-CN"/>
              </w:rPr>
              <w:t>供应商承诺在1小时内响应并远程处理，2小时内到达采购人指定现场；</w:t>
            </w:r>
            <w:r>
              <w:rPr>
                <w:rFonts w:hint="eastAsia" w:ascii="宋体" w:hAnsi="宋体" w:cs="宋体"/>
                <w:bCs/>
                <w:color w:val="auto"/>
                <w:szCs w:val="21"/>
                <w:highlight w:val="none"/>
              </w:rPr>
              <w:t>组建熟悉职业教育教材业</w:t>
            </w:r>
            <w:r>
              <w:rPr>
                <w:rFonts w:hint="eastAsia" w:ascii="宋体" w:hAnsi="宋体" w:eastAsia="宋体" w:cs="宋体"/>
                <w:bCs/>
                <w:color w:val="auto"/>
                <w:szCs w:val="21"/>
                <w:highlight w:val="none"/>
                <w:lang w:val="en-US" w:eastAsia="zh-CN"/>
              </w:rPr>
              <w:t>务的专属售后团队，质保期内提供每年1次的内容适用性复盘与优化建议；具有完备的售后服务规范和管理制度，能够充分保障项目售后服务质量。</w:t>
            </w:r>
          </w:p>
        </w:tc>
        <w:tc>
          <w:tcPr>
            <w:tcW w:w="1183" w:type="dxa"/>
            <w:tcBorders>
              <w:top w:val="single" w:color="auto" w:sz="4" w:space="0"/>
              <w:left w:val="single" w:color="auto" w:sz="4" w:space="0"/>
              <w:bottom w:val="single" w:color="auto" w:sz="4" w:space="0"/>
              <w:right w:val="single" w:color="auto" w:sz="4" w:space="0"/>
            </w:tcBorders>
            <w:vAlign w:val="center"/>
          </w:tcPr>
          <w:p w14:paraId="4EC17A34">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20</w:t>
            </w:r>
            <w:r>
              <w:rPr>
                <w:rFonts w:hint="eastAsia" w:hAnsi="宋体" w:cs="宋体"/>
                <w:bCs/>
                <w:color w:val="auto"/>
                <w:szCs w:val="21"/>
                <w:highlight w:val="none"/>
              </w:rPr>
              <w:t>分（</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1AA5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5" w:type="dxa"/>
            <w:vMerge w:val="continue"/>
            <w:tcBorders>
              <w:left w:val="single" w:color="auto" w:sz="4" w:space="0"/>
              <w:right w:val="single" w:color="auto" w:sz="4" w:space="0"/>
            </w:tcBorders>
          </w:tcPr>
          <w:p w14:paraId="22BF05EF">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518E614E">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b/>
                <w:bCs w:val="0"/>
                <w:color w:val="auto"/>
                <w:szCs w:val="21"/>
                <w:highlight w:val="none"/>
              </w:rPr>
            </w:pPr>
            <w:r>
              <w:rPr>
                <w:rFonts w:hint="eastAsia" w:ascii="宋体" w:hAnsi="宋体" w:cs="宋体"/>
                <w:bCs/>
                <w:color w:val="auto"/>
                <w:szCs w:val="21"/>
                <w:highlight w:val="none"/>
                <w:lang w:val="en-US" w:eastAsia="zh-CN"/>
              </w:rPr>
              <w:t>业绩（满分10分）</w:t>
            </w:r>
          </w:p>
        </w:tc>
        <w:tc>
          <w:tcPr>
            <w:tcW w:w="6613" w:type="dxa"/>
            <w:tcBorders>
              <w:top w:val="single" w:color="auto" w:sz="4" w:space="0"/>
              <w:left w:val="single" w:color="auto" w:sz="4" w:space="0"/>
              <w:right w:val="single" w:color="auto" w:sz="4" w:space="0"/>
            </w:tcBorders>
            <w:vAlign w:val="center"/>
          </w:tcPr>
          <w:p w14:paraId="4A5108A5">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投标人2023年以来具有</w:t>
            </w:r>
            <w:r>
              <w:rPr>
                <w:rFonts w:hint="eastAsia" w:ascii="宋体" w:hAnsi="宋体" w:eastAsia="宋体" w:cs="宋体"/>
                <w:bCs/>
                <w:color w:val="auto"/>
                <w:szCs w:val="21"/>
                <w:highlight w:val="none"/>
                <w:lang w:val="en-US" w:eastAsia="zh-CN"/>
              </w:rPr>
              <w:t>同类（数字教材或课程建设等）业</w:t>
            </w:r>
            <w:r>
              <w:rPr>
                <w:rFonts w:hint="eastAsia" w:ascii="宋体" w:hAnsi="宋体" w:cs="宋体"/>
                <w:bCs/>
                <w:color w:val="auto"/>
                <w:szCs w:val="21"/>
                <w:highlight w:val="none"/>
                <w:lang w:val="en-US" w:eastAsia="zh-CN"/>
              </w:rPr>
              <w:t>绩的，每项业绩得2分，满分10分。</w:t>
            </w:r>
          </w:p>
          <w:p w14:paraId="0D45EA92">
            <w:pPr>
              <w:keepNext w:val="0"/>
              <w:keepLines w:val="0"/>
              <w:pageBreakBefore w:val="0"/>
              <w:kinsoku/>
              <w:wordWrap w:val="0"/>
              <w:overflowPunct/>
              <w:topLinePunct w:val="0"/>
              <w:autoSpaceDE/>
              <w:autoSpaceDN/>
              <w:bidi w:val="0"/>
              <w:adjustRightInd/>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（投标文件中须提供有效的中标（成交）通知书或合同复印件加盖投标人公章，否则不予计分。）</w:t>
            </w:r>
          </w:p>
        </w:tc>
        <w:tc>
          <w:tcPr>
            <w:tcW w:w="1183" w:type="dxa"/>
            <w:tcBorders>
              <w:top w:val="single" w:color="auto" w:sz="4" w:space="0"/>
              <w:left w:val="single" w:color="auto" w:sz="4" w:space="0"/>
              <w:bottom w:val="single" w:color="auto" w:sz="4" w:space="0"/>
              <w:right w:val="single" w:color="auto" w:sz="4" w:space="0"/>
            </w:tcBorders>
            <w:vAlign w:val="center"/>
          </w:tcPr>
          <w:p w14:paraId="04633507">
            <w:pPr>
              <w:pStyle w:val="12"/>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eastAsia"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10</w:t>
            </w:r>
            <w:r>
              <w:rPr>
                <w:rFonts w:hint="eastAsia" w:hAnsi="宋体" w:cs="宋体"/>
                <w:bCs/>
                <w:color w:val="auto"/>
                <w:szCs w:val="21"/>
                <w:highlight w:val="none"/>
              </w:rPr>
              <w:t>分（客观分）</w:t>
            </w:r>
          </w:p>
        </w:tc>
      </w:tr>
      <w:tr w14:paraId="7831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0" w:type="dxa"/>
            <w:gridSpan w:val="4"/>
            <w:tcBorders>
              <w:left w:val="single" w:color="auto" w:sz="4" w:space="0"/>
              <w:bottom w:val="single" w:color="auto" w:sz="4" w:space="0"/>
              <w:right w:val="single" w:color="auto" w:sz="4" w:space="0"/>
            </w:tcBorders>
          </w:tcPr>
          <w:p w14:paraId="4AB1157C">
            <w:pPr>
              <w:pStyle w:val="12"/>
              <w:keepNext w:val="0"/>
              <w:keepLines w:val="0"/>
              <w:pageBreakBefore w:val="0"/>
              <w:widowControl/>
              <w:kinsoku/>
              <w:wordWrap w:val="0"/>
              <w:overflowPunct/>
              <w:topLinePunct w:val="0"/>
              <w:autoSpaceDE/>
              <w:autoSpaceDN/>
              <w:bidi w:val="0"/>
              <w:adjustRightInd/>
              <w:snapToGrid/>
              <w:spacing w:line="400" w:lineRule="exact"/>
              <w:textAlignment w:val="auto"/>
              <w:rPr>
                <w:rFonts w:hAnsi="宋体" w:cs="宋体"/>
                <w:bCs/>
                <w:color w:val="auto"/>
                <w:szCs w:val="21"/>
                <w:highlight w:val="none"/>
              </w:rPr>
            </w:pPr>
            <w:r>
              <w:rPr>
                <w:rFonts w:hint="eastAsia" w:hAnsi="宋体" w:cs="宋体"/>
                <w:b/>
                <w:bCs/>
                <w:color w:val="auto"/>
                <w:szCs w:val="21"/>
                <w:highlight w:val="none"/>
              </w:rPr>
              <w:t>总得分=1+2+3</w:t>
            </w:r>
          </w:p>
        </w:tc>
      </w:tr>
    </w:tbl>
    <w:p w14:paraId="3F2BD244">
      <w:pP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br w:type="page"/>
      </w:r>
    </w:p>
    <w:tbl>
      <w:tblPr>
        <w:tblStyle w:val="23"/>
        <w:tblW w:w="101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49"/>
        <w:gridCol w:w="6613"/>
        <w:gridCol w:w="1183"/>
      </w:tblGrid>
      <w:tr w14:paraId="05B3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4" w:space="0"/>
              <w:left w:val="single" w:color="auto" w:sz="4" w:space="0"/>
              <w:bottom w:val="single" w:color="auto" w:sz="4" w:space="0"/>
              <w:right w:val="single" w:color="auto" w:sz="4" w:space="0"/>
            </w:tcBorders>
          </w:tcPr>
          <w:p w14:paraId="07AA05F8">
            <w:pPr>
              <w:pStyle w:val="12"/>
              <w:keepNext w:val="0"/>
              <w:keepLines w:val="0"/>
              <w:pageBreakBefore w:val="0"/>
              <w:widowControl/>
              <w:kinsoku/>
              <w:wordWrap w:val="0"/>
              <w:overflowPunct/>
              <w:topLinePunct w:val="0"/>
              <w:bidi w:val="0"/>
              <w:snapToGrid/>
              <w:spacing w:line="400" w:lineRule="exact"/>
              <w:textAlignment w:val="auto"/>
              <w:rPr>
                <w:rFonts w:hint="eastAsia" w:hAnsi="宋体" w:eastAsia="宋体" w:cs="宋体"/>
                <w:b/>
                <w:color w:val="auto"/>
                <w:szCs w:val="21"/>
                <w:highlight w:val="none"/>
                <w:lang w:val="en-US" w:eastAsia="zh-CN"/>
              </w:rPr>
            </w:pPr>
            <w:r>
              <w:rPr>
                <w:rFonts w:hint="eastAsia" w:hAnsi="宋体" w:cs="宋体"/>
                <w:b/>
                <w:color w:val="auto"/>
                <w:szCs w:val="21"/>
                <w:highlight w:val="none"/>
                <w:lang w:val="en-US" w:eastAsia="zh-CN"/>
              </w:rPr>
              <w:t>标段</w:t>
            </w:r>
          </w:p>
        </w:tc>
        <w:tc>
          <w:tcPr>
            <w:tcW w:w="9445" w:type="dxa"/>
            <w:gridSpan w:val="3"/>
            <w:tcBorders>
              <w:top w:val="single" w:color="auto" w:sz="4" w:space="0"/>
              <w:left w:val="single" w:color="auto" w:sz="4" w:space="0"/>
              <w:bottom w:val="single" w:color="auto" w:sz="4" w:space="0"/>
              <w:right w:val="single" w:color="auto" w:sz="4" w:space="0"/>
            </w:tcBorders>
          </w:tcPr>
          <w:p w14:paraId="7FBDBECB">
            <w:pPr>
              <w:pStyle w:val="12"/>
              <w:keepNext w:val="0"/>
              <w:keepLines w:val="0"/>
              <w:pageBreakBefore w:val="0"/>
              <w:widowControl/>
              <w:kinsoku/>
              <w:wordWrap w:val="0"/>
              <w:overflowPunct/>
              <w:topLinePunct w:val="0"/>
              <w:bidi w:val="0"/>
              <w:snapToGrid/>
              <w:spacing w:line="400" w:lineRule="exact"/>
              <w:jc w:val="left"/>
              <w:textAlignment w:val="auto"/>
              <w:rPr>
                <w:rFonts w:hint="default" w:hAnsi="宋体" w:eastAsia="宋体" w:cs="宋体"/>
                <w:b/>
                <w:color w:val="auto"/>
                <w:szCs w:val="21"/>
                <w:highlight w:val="none"/>
                <w:lang w:val="en-US" w:eastAsia="zh-CN"/>
              </w:rPr>
            </w:pPr>
            <w:r>
              <w:rPr>
                <w:rFonts w:hint="eastAsia" w:hAnsi="宋体" w:cs="宋体"/>
                <w:b/>
                <w:color w:val="auto"/>
                <w:szCs w:val="21"/>
                <w:highlight w:val="none"/>
                <w:lang w:val="en-US" w:eastAsia="zh-CN"/>
              </w:rPr>
              <w:t>分标4</w:t>
            </w:r>
          </w:p>
        </w:tc>
      </w:tr>
      <w:tr w14:paraId="4DF3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4" w:space="0"/>
              <w:left w:val="single" w:color="auto" w:sz="4" w:space="0"/>
              <w:bottom w:val="single" w:color="auto" w:sz="4" w:space="0"/>
              <w:right w:val="single" w:color="auto" w:sz="4" w:space="0"/>
            </w:tcBorders>
          </w:tcPr>
          <w:p w14:paraId="30715D08">
            <w:pPr>
              <w:pStyle w:val="12"/>
              <w:keepNext w:val="0"/>
              <w:keepLines w:val="0"/>
              <w:pageBreakBefore w:val="0"/>
              <w:widowControl/>
              <w:kinsoku/>
              <w:wordWrap w:val="0"/>
              <w:overflowPunct/>
              <w:topLinePunct w:val="0"/>
              <w:bidi w:val="0"/>
              <w:snapToGrid/>
              <w:spacing w:line="400" w:lineRule="exact"/>
              <w:textAlignment w:val="auto"/>
              <w:rPr>
                <w:rFonts w:hAnsi="宋体" w:cs="宋体"/>
                <w:b/>
                <w:color w:val="auto"/>
                <w:szCs w:val="21"/>
                <w:highlight w:val="none"/>
              </w:rPr>
            </w:pPr>
            <w:r>
              <w:rPr>
                <w:rFonts w:hint="eastAsia" w:hAnsi="宋体" w:cs="宋体"/>
                <w:b/>
                <w:color w:val="auto"/>
                <w:szCs w:val="21"/>
                <w:highlight w:val="none"/>
              </w:rPr>
              <w:t>序号</w:t>
            </w:r>
          </w:p>
        </w:tc>
        <w:tc>
          <w:tcPr>
            <w:tcW w:w="1649" w:type="dxa"/>
            <w:tcBorders>
              <w:top w:val="single" w:color="auto" w:sz="4" w:space="0"/>
              <w:left w:val="single" w:color="auto" w:sz="4" w:space="0"/>
              <w:bottom w:val="single" w:color="auto" w:sz="4" w:space="0"/>
              <w:right w:val="single" w:color="auto" w:sz="4" w:space="0"/>
            </w:tcBorders>
          </w:tcPr>
          <w:p w14:paraId="14C36861">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评分类型</w:t>
            </w:r>
          </w:p>
        </w:tc>
        <w:tc>
          <w:tcPr>
            <w:tcW w:w="6613" w:type="dxa"/>
            <w:tcBorders>
              <w:top w:val="single" w:color="auto" w:sz="4" w:space="0"/>
              <w:left w:val="single" w:color="auto" w:sz="4" w:space="0"/>
              <w:bottom w:val="single" w:color="auto" w:sz="4" w:space="0"/>
              <w:right w:val="single" w:color="auto" w:sz="4" w:space="0"/>
            </w:tcBorders>
          </w:tcPr>
          <w:p w14:paraId="6C671511">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评分标准</w:t>
            </w:r>
          </w:p>
        </w:tc>
        <w:tc>
          <w:tcPr>
            <w:tcW w:w="1183" w:type="dxa"/>
            <w:tcBorders>
              <w:top w:val="single" w:color="auto" w:sz="4" w:space="0"/>
              <w:left w:val="single" w:color="auto" w:sz="4" w:space="0"/>
              <w:bottom w:val="single" w:color="auto" w:sz="4" w:space="0"/>
              <w:right w:val="single" w:color="auto" w:sz="4" w:space="0"/>
            </w:tcBorders>
          </w:tcPr>
          <w:p w14:paraId="5B53CA28">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2D92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4" w:space="0"/>
              <w:left w:val="single" w:color="auto" w:sz="4" w:space="0"/>
              <w:bottom w:val="single" w:color="auto" w:sz="4" w:space="0"/>
              <w:right w:val="single" w:color="auto" w:sz="4" w:space="0"/>
            </w:tcBorders>
            <w:vAlign w:val="center"/>
          </w:tcPr>
          <w:p w14:paraId="452678F2">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1</w:t>
            </w:r>
          </w:p>
        </w:tc>
        <w:tc>
          <w:tcPr>
            <w:tcW w:w="1649" w:type="dxa"/>
            <w:tcBorders>
              <w:top w:val="single" w:color="auto" w:sz="4" w:space="0"/>
              <w:left w:val="single" w:color="auto" w:sz="4" w:space="0"/>
              <w:bottom w:val="single" w:color="auto" w:sz="4" w:space="0"/>
              <w:right w:val="single" w:color="auto" w:sz="4" w:space="0"/>
            </w:tcBorders>
            <w:vAlign w:val="center"/>
          </w:tcPr>
          <w:p w14:paraId="19D884E4">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价格分</w:t>
            </w:r>
          </w:p>
          <w:p w14:paraId="5BC8617C">
            <w:pPr>
              <w:keepNext w:val="0"/>
              <w:keepLines w:val="0"/>
              <w:pageBreakBefore w:val="0"/>
              <w:kinsoku/>
              <w:wordWrap w:val="0"/>
              <w:overflowPunct/>
              <w:topLinePunct w:val="0"/>
              <w:bidi w:val="0"/>
              <w:snapToGrid/>
              <w:spacing w:line="400" w:lineRule="exact"/>
              <w:textAlignment w:val="auto"/>
              <w:rPr>
                <w:rFonts w:ascii="宋体" w:hAnsi="宋体" w:cs="宋体"/>
                <w:bCs/>
                <w:color w:val="auto"/>
                <w:szCs w:val="21"/>
                <w:highlight w:val="none"/>
              </w:rPr>
            </w:pP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shd w:val="clear" w:color="auto" w:fill="auto"/>
            <w:vAlign w:val="center"/>
          </w:tcPr>
          <w:p w14:paraId="57D55F40">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（1）评标报价为投标人的投标报价进行政策性扣除后的价格，评标报价只是作为评标时使用。最终中标供应商的中标金额＝投标报价。</w:t>
            </w:r>
          </w:p>
          <w:p w14:paraId="6392CF9A">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（2）按照《政府采购促进中小企业发展管理办法》（财库〔2020〕46号）规定，投标人在其投标文件中提供《中小企业声明函》，且服务全部由小型和微型企业承接的，对其最后报价给予20%的扣除。</w:t>
            </w:r>
          </w:p>
          <w:p w14:paraId="0F9DA45E">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3A96CAB">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FCAECD7">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（5）政策性扣除计算方法。</w:t>
            </w:r>
          </w:p>
          <w:p w14:paraId="6FCB7243">
            <w:pPr>
              <w:keepNext w:val="0"/>
              <w:keepLines w:val="0"/>
              <w:pageBreakBefore w:val="0"/>
              <w:kinsoku/>
              <w:wordWrap w:val="0"/>
              <w:overflowPunct/>
              <w:topLinePunct w:val="0"/>
              <w:bidi w:val="0"/>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在服务采购项目中，服务由小微企业承接；对符合上述要求的投标人的投标报价给予20%的扣除，扣除后的价格为评标报价，即评标报价=投标报价×（1-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%的扣除，用扣除后的价格参加评审，扣除后的价格为评标价，即评标报价=投标报价×（1-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%）。除上述情况外，评标报价＝投标报价；</w:t>
            </w:r>
          </w:p>
          <w:p w14:paraId="0E878740">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（6）以进入综合评分环节的有效最低的评标报价为评标基准价，评标基准价报价得分为</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3409735E">
            <w:pPr>
              <w:keepNext w:val="0"/>
              <w:keepLines w:val="0"/>
              <w:pageBreakBefore w:val="0"/>
              <w:kinsoku/>
              <w:wordWrap w:val="0"/>
              <w:overflowPunct/>
              <w:topLinePunct w:val="0"/>
              <w:bidi w:val="0"/>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（7）价格分计算公式：某投标人价格分=评标基准价/某投标人评标报价金额×1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tc>
        <w:tc>
          <w:tcPr>
            <w:tcW w:w="1183" w:type="dxa"/>
            <w:tcBorders>
              <w:top w:val="single" w:color="auto" w:sz="4" w:space="0"/>
              <w:left w:val="single" w:color="auto" w:sz="4" w:space="0"/>
              <w:bottom w:val="single" w:color="auto" w:sz="4" w:space="0"/>
              <w:right w:val="single" w:color="auto" w:sz="4" w:space="0"/>
            </w:tcBorders>
            <w:vAlign w:val="center"/>
          </w:tcPr>
          <w:p w14:paraId="0CBB7277">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0~1</w:t>
            </w:r>
            <w:r>
              <w:rPr>
                <w:rFonts w:hint="eastAsia" w:hAnsi="宋体" w:cs="宋体"/>
                <w:bCs/>
                <w:color w:val="auto"/>
                <w:szCs w:val="21"/>
                <w:highlight w:val="none"/>
                <w:lang w:val="en-US" w:eastAsia="zh-CN"/>
              </w:rPr>
              <w:t>0</w:t>
            </w:r>
            <w:r>
              <w:rPr>
                <w:rFonts w:hint="eastAsia" w:hAnsi="宋体" w:cs="宋体"/>
                <w:bCs/>
                <w:color w:val="auto"/>
                <w:szCs w:val="21"/>
                <w:highlight w:val="none"/>
              </w:rPr>
              <w:t>分（客观分）</w:t>
            </w:r>
          </w:p>
        </w:tc>
      </w:tr>
      <w:tr w14:paraId="661D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85" w:type="dxa"/>
            <w:vMerge w:val="restart"/>
            <w:tcBorders>
              <w:top w:val="single" w:color="auto" w:sz="4" w:space="0"/>
              <w:left w:val="single" w:color="auto" w:sz="4" w:space="0"/>
              <w:right w:val="single" w:color="auto" w:sz="4" w:space="0"/>
            </w:tcBorders>
            <w:vAlign w:val="center"/>
          </w:tcPr>
          <w:p w14:paraId="1224B4B2">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2</w:t>
            </w:r>
          </w:p>
        </w:tc>
        <w:tc>
          <w:tcPr>
            <w:tcW w:w="1649" w:type="dxa"/>
            <w:tcBorders>
              <w:top w:val="single" w:color="auto" w:sz="4" w:space="0"/>
              <w:left w:val="single" w:color="auto" w:sz="4" w:space="0"/>
              <w:bottom w:val="single" w:color="auto" w:sz="4" w:space="0"/>
              <w:right w:val="single" w:color="auto" w:sz="4" w:space="0"/>
            </w:tcBorders>
          </w:tcPr>
          <w:p w14:paraId="37E812C4">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技术分（满分</w:t>
            </w:r>
          </w:p>
          <w:p w14:paraId="39D72F66">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60</w:t>
            </w:r>
            <w:r>
              <w:rPr>
                <w:rFonts w:hint="eastAsia" w:hAnsi="宋体" w:cs="宋体"/>
                <w:b/>
                <w:color w:val="auto"/>
                <w:szCs w:val="21"/>
                <w:highlight w:val="none"/>
              </w:rPr>
              <w:t>分）</w:t>
            </w:r>
          </w:p>
        </w:tc>
        <w:tc>
          <w:tcPr>
            <w:tcW w:w="6613" w:type="dxa"/>
            <w:tcBorders>
              <w:top w:val="single" w:color="auto" w:sz="4" w:space="0"/>
              <w:left w:val="single" w:color="auto" w:sz="4" w:space="0"/>
              <w:bottom w:val="single" w:color="auto" w:sz="4" w:space="0"/>
              <w:right w:val="single" w:color="auto" w:sz="4" w:space="0"/>
            </w:tcBorders>
            <w:vAlign w:val="center"/>
          </w:tcPr>
          <w:p w14:paraId="445F9B5E">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151A7C9D">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5E6C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685" w:type="dxa"/>
            <w:vMerge w:val="continue"/>
            <w:tcBorders>
              <w:left w:val="single" w:color="auto" w:sz="4" w:space="0"/>
              <w:right w:val="single" w:color="auto" w:sz="4" w:space="0"/>
            </w:tcBorders>
          </w:tcPr>
          <w:p w14:paraId="30CCA4D4">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332E9A09">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cs="宋体"/>
                <w:b/>
                <w:bCs/>
                <w:color w:val="auto"/>
                <w:szCs w:val="21"/>
                <w:highlight w:val="none"/>
                <w:lang w:eastAsia="zh-CN"/>
              </w:rPr>
            </w:pPr>
            <w:r>
              <w:rPr>
                <w:rFonts w:hint="eastAsia" w:hAnsi="宋体" w:cs="宋体"/>
                <w:b/>
                <w:bCs/>
                <w:color w:val="auto"/>
                <w:szCs w:val="21"/>
                <w:highlight w:val="none"/>
                <w:lang w:eastAsia="zh-CN"/>
              </w:rPr>
              <w:t>基本分</w:t>
            </w:r>
          </w:p>
          <w:p w14:paraId="376B97ED">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color w:val="auto"/>
                <w:szCs w:val="21"/>
                <w:highlight w:val="none"/>
              </w:rPr>
            </w:pPr>
            <w:r>
              <w:rPr>
                <w:rFonts w:hint="eastAsia" w:hAnsi="宋体" w:cs="宋体"/>
                <w:b/>
                <w:bCs/>
                <w:color w:val="auto"/>
                <w:szCs w:val="21"/>
                <w:highlight w:val="none"/>
                <w:lang w:val="en-US" w:eastAsia="zh-CN"/>
              </w:rPr>
              <w:t>（满分24分）</w:t>
            </w:r>
          </w:p>
        </w:tc>
        <w:tc>
          <w:tcPr>
            <w:tcW w:w="6613" w:type="dxa"/>
            <w:tcBorders>
              <w:top w:val="single" w:color="auto" w:sz="4" w:space="0"/>
              <w:left w:val="single" w:color="auto" w:sz="4" w:space="0"/>
              <w:bottom w:val="single" w:color="auto" w:sz="4" w:space="0"/>
              <w:right w:val="single" w:color="auto" w:sz="4" w:space="0"/>
            </w:tcBorders>
            <w:shd w:val="clear" w:color="auto" w:fill="auto"/>
            <w:vAlign w:val="center"/>
          </w:tcPr>
          <w:p w14:paraId="4559B3EE">
            <w:pPr>
              <w:pStyle w:val="9"/>
              <w:keepNext w:val="0"/>
              <w:keepLines w:val="0"/>
              <w:pageBreakBefore w:val="0"/>
              <w:kinsoku/>
              <w:overflowPunct/>
              <w:topLinePunct w:val="0"/>
              <w:bidi w:val="0"/>
              <w:snapToGrid/>
              <w:spacing w:line="400" w:lineRule="exact"/>
              <w:textAlignment w:val="auto"/>
              <w:rPr>
                <w:rFonts w:hint="eastAsia" w:ascii="宋体" w:hAnsi="宋体" w:cs="宋体"/>
                <w:color w:val="auto"/>
                <w:szCs w:val="21"/>
                <w:highlight w:val="none"/>
                <w:lang w:val="zh-CN" w:eastAsia="zh-CN"/>
              </w:rPr>
            </w:pPr>
            <w:r>
              <w:rPr>
                <w:rFonts w:hint="eastAsia" w:ascii="宋体" w:hAnsi="宋体" w:cs="宋体"/>
                <w:color w:val="auto"/>
                <w:szCs w:val="21"/>
                <w:highlight w:val="none"/>
                <w:lang w:val="en-US" w:eastAsia="zh-CN"/>
              </w:rPr>
              <w:t xml:space="preserve"> 投标人满足全部技术服务参数的，得基本分24分。其中服务需求一览表中标注“█”的技术服务参数，每有一项负偏离的扣2分，最多扣24分。</w:t>
            </w:r>
          </w:p>
        </w:tc>
        <w:tc>
          <w:tcPr>
            <w:tcW w:w="1183" w:type="dxa"/>
            <w:tcBorders>
              <w:top w:val="single" w:color="auto" w:sz="4" w:space="0"/>
              <w:left w:val="single" w:color="auto" w:sz="4" w:space="0"/>
              <w:bottom w:val="single" w:color="auto" w:sz="4" w:space="0"/>
              <w:right w:val="single" w:color="auto" w:sz="4" w:space="0"/>
            </w:tcBorders>
            <w:vAlign w:val="center"/>
          </w:tcPr>
          <w:p w14:paraId="34C76A44">
            <w:pPr>
              <w:keepNext w:val="0"/>
              <w:keepLines w:val="0"/>
              <w:pageBreakBefore w:val="0"/>
              <w:kinsoku/>
              <w:wordWrap w:val="0"/>
              <w:overflowPunct/>
              <w:topLinePunct w:val="0"/>
              <w:bidi w:val="0"/>
              <w:snapToGrid/>
              <w:spacing w:line="400" w:lineRule="exact"/>
              <w:jc w:val="center"/>
              <w:textAlignment w:val="auto"/>
              <w:rPr>
                <w:rFonts w:ascii="宋体" w:hAnsi="宋体" w:cs="宋体"/>
                <w:bCs/>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客</w:t>
            </w:r>
            <w:r>
              <w:rPr>
                <w:rFonts w:hint="eastAsia" w:hAnsi="宋体" w:cs="宋体"/>
                <w:bCs/>
                <w:color w:val="auto"/>
                <w:szCs w:val="21"/>
                <w:highlight w:val="none"/>
              </w:rPr>
              <w:t>观分）</w:t>
            </w:r>
          </w:p>
        </w:tc>
      </w:tr>
      <w:tr w14:paraId="03EB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85" w:type="dxa"/>
            <w:vMerge w:val="continue"/>
            <w:tcBorders>
              <w:left w:val="single" w:color="auto" w:sz="4" w:space="0"/>
              <w:right w:val="single" w:color="auto" w:sz="4" w:space="0"/>
            </w:tcBorders>
          </w:tcPr>
          <w:p w14:paraId="786FBF7F">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45938469">
            <w:pPr>
              <w:pStyle w:val="12"/>
              <w:keepNext w:val="0"/>
              <w:keepLines w:val="0"/>
              <w:pageBreakBefore w:val="0"/>
              <w:widowControl/>
              <w:kinsoku/>
              <w:wordWrap w:val="0"/>
              <w:overflowPunct/>
              <w:topLinePunct w:val="0"/>
              <w:bidi w:val="0"/>
              <w:snapToGrid/>
              <w:spacing w:line="400" w:lineRule="exact"/>
              <w:jc w:val="left"/>
              <w:textAlignment w:val="auto"/>
              <w:rPr>
                <w:rFonts w:hAnsi="宋体" w:cs="宋体"/>
                <w:bCs/>
                <w:color w:val="auto"/>
                <w:kern w:val="0"/>
                <w:szCs w:val="21"/>
                <w:highlight w:val="none"/>
              </w:rPr>
            </w:pPr>
            <w:r>
              <w:rPr>
                <w:rFonts w:hint="eastAsia" w:hAnsi="宋体" w:cs="宋体"/>
                <w:bCs/>
                <w:color w:val="auto"/>
                <w:kern w:val="0"/>
                <w:szCs w:val="21"/>
                <w:highlight w:val="none"/>
              </w:rPr>
              <w:t>整体实施方案（满分</w:t>
            </w:r>
            <w:r>
              <w:rPr>
                <w:rFonts w:hint="eastAsia" w:hAnsi="宋体" w:cs="宋体"/>
                <w:bCs/>
                <w:color w:val="auto"/>
                <w:kern w:val="0"/>
                <w:szCs w:val="21"/>
                <w:highlight w:val="none"/>
                <w:lang w:val="en-US" w:eastAsia="zh-CN"/>
              </w:rPr>
              <w:t>15</w:t>
            </w:r>
            <w:r>
              <w:rPr>
                <w:rFonts w:hint="eastAsia" w:hAnsi="宋体" w:cs="宋体"/>
                <w:bCs/>
                <w:color w:val="auto"/>
                <w:kern w:val="0"/>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hAnsi="宋体" w:cs="宋体"/>
                <w:bCs/>
                <w:color w:val="auto"/>
                <w:kern w:val="0"/>
                <w:szCs w:val="21"/>
                <w:highlight w:val="none"/>
                <w:lang w:val="en-US" w:eastAsia="zh-CN"/>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0C2C0C6C">
            <w:pPr>
              <w:pStyle w:val="9"/>
              <w:keepNext w:val="0"/>
              <w:keepLines w:val="0"/>
              <w:pageBreakBefore w:val="0"/>
              <w:kinsoku/>
              <w:overflowPunct/>
              <w:topLinePunct w:val="0"/>
              <w:bidi w:val="0"/>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一档（5分）：仅提供基础实施框架，方案内容简单、对三维图谱搭建、多模式拍摄、课程思政、专家培训等核心需求覆盖不足；团队分工模糊，未能充分体现视频制作各环节的保障能力；</w:t>
            </w:r>
          </w:p>
          <w:p w14:paraId="64CBBFF8">
            <w:pPr>
              <w:pStyle w:val="9"/>
              <w:keepNext w:val="0"/>
              <w:keepLines w:val="0"/>
              <w:pageBreakBefore w:val="0"/>
              <w:kinsoku/>
              <w:overflowPunct/>
              <w:topLinePunct w:val="0"/>
              <w:bidi w:val="0"/>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档（10分）：在满足一档基础上，整体解决方案基本完整，思路清晰；能够覆盖岗位调研、三维图谱开发、微课制作、题库建设、平台部署等全部工作内容；技术标准基本匹配采购要求，团队分工合理，可正常完成项目全部交付成果；</w:t>
            </w:r>
          </w:p>
          <w:p w14:paraId="75A24341">
            <w:pPr>
              <w:pStyle w:val="9"/>
              <w:keepNext w:val="0"/>
              <w:keepLines w:val="0"/>
              <w:pageBreakBefore w:val="0"/>
              <w:kinsoku/>
              <w:overflowPunct/>
              <w:topLinePunct w:val="0"/>
              <w:bidi w:val="0"/>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三档（15分）：在满足三挡的基本上，方案规划科学完善、先进合理，充分落实三维图谱、全模式拍摄、课程思政、精品课申报等全部重要条款；团队专业度高，可全程深度参与课程设计与脚本打磨，配套完善质量管控机制，整体方案可行性、完善度较高，完全满足完成项目全部交付成果。</w:t>
            </w:r>
          </w:p>
        </w:tc>
        <w:tc>
          <w:tcPr>
            <w:tcW w:w="1183" w:type="dxa"/>
            <w:tcBorders>
              <w:top w:val="single" w:color="auto" w:sz="4" w:space="0"/>
              <w:left w:val="single" w:color="auto" w:sz="4" w:space="0"/>
              <w:bottom w:val="single" w:color="auto" w:sz="4" w:space="0"/>
              <w:right w:val="single" w:color="auto" w:sz="4" w:space="0"/>
            </w:tcBorders>
            <w:vAlign w:val="center"/>
          </w:tcPr>
          <w:p w14:paraId="67F316B9">
            <w:pPr>
              <w:keepNext w:val="0"/>
              <w:keepLines w:val="0"/>
              <w:pageBreakBefore w:val="0"/>
              <w:kinsoku/>
              <w:wordWrap w:val="0"/>
              <w:overflowPunct/>
              <w:topLinePunct w:val="0"/>
              <w:bidi w:val="0"/>
              <w:snapToGrid/>
              <w:spacing w:line="400" w:lineRule="exact"/>
              <w:jc w:val="center"/>
              <w:textAlignment w:val="auto"/>
              <w:rPr>
                <w:rFonts w:ascii="宋体" w:hAnsi="宋体" w:cs="宋体"/>
                <w:bCs/>
                <w:color w:val="auto"/>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0355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685" w:type="dxa"/>
            <w:vMerge w:val="continue"/>
            <w:tcBorders>
              <w:left w:val="single" w:color="auto" w:sz="4" w:space="0"/>
              <w:right w:val="single" w:color="auto" w:sz="4" w:space="0"/>
            </w:tcBorders>
          </w:tcPr>
          <w:p w14:paraId="1CD18A67">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718CBFCC">
            <w:pPr>
              <w:keepNext w:val="0"/>
              <w:keepLines w:val="0"/>
              <w:pageBreakBefore w:val="0"/>
              <w:kinsoku/>
              <w:wordWrap w:val="0"/>
              <w:overflowPunct/>
              <w:topLinePunct w:val="0"/>
              <w:autoSpaceDE w:val="0"/>
              <w:autoSpaceDN w:val="0"/>
              <w:bidi w:val="0"/>
              <w:adjustRightInd w:val="0"/>
              <w:snapToGrid/>
              <w:spacing w:line="400" w:lineRule="exact"/>
              <w:jc w:val="center"/>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培训方案</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满分</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Cs/>
                <w:color w:val="auto"/>
                <w:kern w:val="0"/>
                <w:szCs w:val="21"/>
                <w:highlight w:val="none"/>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78171029">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一档（4分）：提供了培训方案，内容覆盖两类培训对象（建课老师和平台使用者），但方案较为简单，培训内容不具体，缺乏详细的培训计划安排；</w:t>
            </w:r>
          </w:p>
          <w:p w14:paraId="7FD66842">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二档（8分）：培训方案完整，分别针对授课教师、平台使用者设计对应培训内容，具备完整培训时间与物料安排；线下专家培训、平台功能实操教学均覆盖基础要点，可满足项目常规培训需求；</w:t>
            </w:r>
          </w:p>
          <w:p w14:paraId="132C1139">
            <w:pPr>
              <w:pStyle w:val="9"/>
              <w:keepNext w:val="0"/>
              <w:keepLines w:val="0"/>
              <w:pageBreakBefore w:val="0"/>
              <w:kinsoku/>
              <w:wordWrap w:val="0"/>
              <w:overflowPunct/>
              <w:topLinePunct w:val="0"/>
              <w:bidi w:val="0"/>
              <w:snapToGrid/>
              <w:spacing w:line="400" w:lineRule="exac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三档（12分）：培训方案全面详实，严格执行不少于2场线下副高专家培训要求，培训内容深度覆盖三维图谱搭建、课程设计、精品课申报等核心要点；平台实操培训流程清晰完整，配套完善培训台账与课后答疑机制，培训落地效果有充分保障。</w:t>
            </w:r>
          </w:p>
        </w:tc>
        <w:tc>
          <w:tcPr>
            <w:tcW w:w="1183" w:type="dxa"/>
            <w:tcBorders>
              <w:top w:val="single" w:color="auto" w:sz="4" w:space="0"/>
              <w:left w:val="single" w:color="auto" w:sz="4" w:space="0"/>
              <w:bottom w:val="single" w:color="auto" w:sz="4" w:space="0"/>
              <w:right w:val="single" w:color="auto" w:sz="4" w:space="0"/>
            </w:tcBorders>
            <w:vAlign w:val="center"/>
          </w:tcPr>
          <w:p w14:paraId="66DF3E61">
            <w:pPr>
              <w:keepNext w:val="0"/>
              <w:keepLines w:val="0"/>
              <w:pageBreakBefore w:val="0"/>
              <w:kinsoku/>
              <w:wordWrap w:val="0"/>
              <w:overflowPunct/>
              <w:topLinePunct w:val="0"/>
              <w:bidi w:val="0"/>
              <w:snapToGrid/>
              <w:spacing w:line="400" w:lineRule="exact"/>
              <w:jc w:val="center"/>
              <w:textAlignment w:val="auto"/>
              <w:rPr>
                <w:rFonts w:ascii="宋体" w:hAnsi="宋体" w:cs="宋体"/>
                <w:bCs/>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3550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685" w:type="dxa"/>
            <w:vMerge w:val="continue"/>
            <w:tcBorders>
              <w:left w:val="single" w:color="auto" w:sz="4" w:space="0"/>
              <w:right w:val="single" w:color="auto" w:sz="4" w:space="0"/>
            </w:tcBorders>
          </w:tcPr>
          <w:p w14:paraId="63E098E1">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0326EE03">
            <w:pPr>
              <w:keepNext w:val="0"/>
              <w:keepLines w:val="0"/>
              <w:pageBreakBefore w:val="0"/>
              <w:kinsoku/>
              <w:wordWrap w:val="0"/>
              <w:overflowPunct/>
              <w:topLinePunct w:val="0"/>
              <w:autoSpaceDE w:val="0"/>
              <w:autoSpaceDN w:val="0"/>
              <w:bidi w:val="0"/>
              <w:adjustRightInd w:val="0"/>
              <w:snapToGrid/>
              <w:spacing w:line="400" w:lineRule="exact"/>
              <w:jc w:val="center"/>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课程推广方案</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满分</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bCs/>
                <w:color w:val="auto"/>
                <w:kern w:val="0"/>
                <w:szCs w:val="21"/>
                <w:highlight w:val="none"/>
              </w:rPr>
              <w:t>）</w:t>
            </w:r>
          </w:p>
        </w:tc>
        <w:tc>
          <w:tcPr>
            <w:tcW w:w="6613" w:type="dxa"/>
            <w:tcBorders>
              <w:top w:val="single" w:color="auto" w:sz="4" w:space="0"/>
              <w:left w:val="single" w:color="auto" w:sz="4" w:space="0"/>
              <w:bottom w:val="single" w:color="auto" w:sz="4" w:space="0"/>
              <w:right w:val="single" w:color="auto" w:sz="4" w:space="0"/>
            </w:tcBorders>
            <w:shd w:val="clear" w:color="auto" w:fill="auto"/>
          </w:tcPr>
          <w:p w14:paraId="169C47BB">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一档（3分）：推广思路简单，渠道单一，未结合图案设计、非遗文创课程特色设计运营方案，对平台教学、考核认证缺少规划，落地性较差。</w:t>
            </w:r>
          </w:p>
          <w:p w14:paraId="7EEEE94A">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二档（6分）：推广运营框架完整，具备多类推广渠道，对平台线上教学、课程考核制度有基础设计，方案整体可行，可支撑课程日常上线使用。</w:t>
            </w:r>
          </w:p>
          <w:p w14:paraId="3050AF7E">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三档（9分）：推广运营思路清晰立体，结合非遗、文创特色打造课程优势，推广渠道覆盖校内、行业、线上社群多场景；能够依托平台学情、三维图谱数据常态化开展线上教学活动，考核认证体系设计科学，可长期提升课程使用规模与教学质量。</w:t>
            </w:r>
          </w:p>
        </w:tc>
        <w:tc>
          <w:tcPr>
            <w:tcW w:w="1183" w:type="dxa"/>
            <w:tcBorders>
              <w:top w:val="single" w:color="auto" w:sz="4" w:space="0"/>
              <w:left w:val="single" w:color="auto" w:sz="4" w:space="0"/>
              <w:bottom w:val="single" w:color="auto" w:sz="4" w:space="0"/>
              <w:right w:val="single" w:color="auto" w:sz="4" w:space="0"/>
            </w:tcBorders>
            <w:vAlign w:val="center"/>
          </w:tcPr>
          <w:p w14:paraId="7FBFB93B">
            <w:pPr>
              <w:keepNext w:val="0"/>
              <w:keepLines w:val="0"/>
              <w:pageBreakBefore w:val="0"/>
              <w:kinsoku/>
              <w:wordWrap w:val="0"/>
              <w:overflowPunct/>
              <w:topLinePunct w:val="0"/>
              <w:bidi w:val="0"/>
              <w:snapToGrid/>
              <w:spacing w:line="400" w:lineRule="exact"/>
              <w:jc w:val="center"/>
              <w:textAlignment w:val="auto"/>
              <w:rPr>
                <w:rFonts w:ascii="宋体" w:hAnsi="宋体" w:cs="宋体"/>
                <w:bCs/>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3669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85" w:type="dxa"/>
            <w:vMerge w:val="restart"/>
            <w:tcBorders>
              <w:top w:val="single" w:color="auto" w:sz="4" w:space="0"/>
              <w:left w:val="single" w:color="auto" w:sz="4" w:space="0"/>
              <w:right w:val="single" w:color="auto" w:sz="4" w:space="0"/>
            </w:tcBorders>
            <w:vAlign w:val="center"/>
          </w:tcPr>
          <w:p w14:paraId="005425E9">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3</w:t>
            </w:r>
          </w:p>
        </w:tc>
        <w:tc>
          <w:tcPr>
            <w:tcW w:w="1649" w:type="dxa"/>
            <w:tcBorders>
              <w:top w:val="single" w:color="auto" w:sz="4" w:space="0"/>
              <w:left w:val="single" w:color="auto" w:sz="4" w:space="0"/>
              <w:right w:val="single" w:color="auto" w:sz="4" w:space="0"/>
            </w:tcBorders>
            <w:vAlign w:val="center"/>
          </w:tcPr>
          <w:p w14:paraId="20A027FB">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cs="宋体"/>
                <w:b/>
                <w:color w:val="auto"/>
                <w:szCs w:val="21"/>
                <w:highlight w:val="none"/>
              </w:rPr>
            </w:pPr>
            <w:r>
              <w:rPr>
                <w:rFonts w:hint="eastAsia" w:hAnsi="宋体" w:cs="宋体"/>
                <w:b/>
                <w:color w:val="auto"/>
                <w:szCs w:val="21"/>
                <w:highlight w:val="none"/>
              </w:rPr>
              <w:t>商务分（满分</w:t>
            </w:r>
          </w:p>
          <w:p w14:paraId="62F36326">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lang w:val="en-US" w:eastAsia="zh-CN"/>
              </w:rPr>
              <w:t>30</w:t>
            </w:r>
            <w:r>
              <w:rPr>
                <w:rFonts w:hint="eastAsia" w:hAnsi="宋体" w:cs="宋体"/>
                <w:b/>
                <w:color w:val="auto"/>
                <w:szCs w:val="21"/>
                <w:highlight w:val="none"/>
              </w:rPr>
              <w:t>分）</w:t>
            </w:r>
          </w:p>
        </w:tc>
        <w:tc>
          <w:tcPr>
            <w:tcW w:w="6613" w:type="dxa"/>
            <w:tcBorders>
              <w:top w:val="single" w:color="auto" w:sz="4" w:space="0"/>
              <w:left w:val="single" w:color="auto" w:sz="4" w:space="0"/>
              <w:right w:val="single" w:color="auto" w:sz="4" w:space="0"/>
            </w:tcBorders>
            <w:vAlign w:val="center"/>
          </w:tcPr>
          <w:p w14:paraId="64403AD3">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790FB32A">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
                <w:color w:val="auto"/>
                <w:szCs w:val="21"/>
                <w:highlight w:val="none"/>
              </w:rPr>
            </w:pPr>
            <w:r>
              <w:rPr>
                <w:rFonts w:hint="eastAsia" w:hAnsi="宋体" w:cs="宋体"/>
                <w:b/>
                <w:color w:val="auto"/>
                <w:szCs w:val="21"/>
                <w:highlight w:val="none"/>
              </w:rPr>
              <w:t>分值</w:t>
            </w:r>
          </w:p>
        </w:tc>
      </w:tr>
      <w:tr w14:paraId="4FC3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85" w:type="dxa"/>
            <w:vMerge w:val="continue"/>
            <w:tcBorders>
              <w:left w:val="single" w:color="auto" w:sz="4" w:space="0"/>
              <w:right w:val="single" w:color="auto" w:sz="4" w:space="0"/>
            </w:tcBorders>
            <w:vAlign w:val="center"/>
          </w:tcPr>
          <w:p w14:paraId="342DA622">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cs="宋体"/>
                <w:bCs/>
                <w:color w:val="auto"/>
                <w:szCs w:val="21"/>
                <w:highlight w:val="none"/>
              </w:rPr>
            </w:pPr>
          </w:p>
        </w:tc>
        <w:tc>
          <w:tcPr>
            <w:tcW w:w="1649" w:type="dxa"/>
            <w:tcBorders>
              <w:left w:val="single" w:color="auto" w:sz="4" w:space="0"/>
              <w:right w:val="single" w:color="auto" w:sz="4" w:space="0"/>
            </w:tcBorders>
            <w:vAlign w:val="center"/>
          </w:tcPr>
          <w:p w14:paraId="2F5B04C0">
            <w:pPr>
              <w:pStyle w:val="9"/>
              <w:keepNext w:val="0"/>
              <w:keepLines w:val="0"/>
              <w:pageBreakBefore w:val="0"/>
              <w:kinsoku/>
              <w:wordWrap w:val="0"/>
              <w:overflowPunct/>
              <w:topLinePunct w:val="0"/>
              <w:bidi w:val="0"/>
              <w:snapToGrid/>
              <w:spacing w:line="400" w:lineRule="exact"/>
              <w:ind w:firstLine="0" w:firstLineChars="0"/>
              <w:textAlignment w:val="auto"/>
              <w:rPr>
                <w:rFonts w:hint="eastAsia" w:hAnsi="宋体" w:cs="宋体"/>
                <w:b/>
                <w:color w:val="auto"/>
                <w:szCs w:val="21"/>
                <w:highlight w:val="none"/>
                <w:lang w:val="en-US" w:eastAsia="zh-CN"/>
              </w:rPr>
            </w:pPr>
            <w:r>
              <w:rPr>
                <w:rFonts w:hint="eastAsia" w:ascii="宋体" w:hAnsi="宋体" w:cs="宋体"/>
                <w:color w:val="auto"/>
                <w:szCs w:val="21"/>
                <w:highlight w:val="none"/>
                <w:lang w:val="en-US" w:eastAsia="zh-CN"/>
              </w:rPr>
              <w:t>售后服务（满分12分</w:t>
            </w:r>
            <w:r>
              <w:rPr>
                <w:rFonts w:hint="eastAsia" w:hAnsi="宋体" w:cs="宋体"/>
                <w:bCs/>
                <w:color w:val="auto"/>
                <w:kern w:val="0"/>
                <w:szCs w:val="21"/>
                <w:highlight w:val="none"/>
                <w:lang w:eastAsia="zh-CN"/>
              </w:rPr>
              <w:t>，</w:t>
            </w:r>
            <w:r>
              <w:rPr>
                <w:rFonts w:hint="eastAsia" w:hAnsi="宋体" w:cs="宋体"/>
                <w:bCs/>
                <w:color w:val="auto"/>
                <w:kern w:val="0"/>
                <w:szCs w:val="21"/>
                <w:highlight w:val="none"/>
              </w:rPr>
              <w:t>不提供或不满足一档不得分</w:t>
            </w:r>
            <w:r>
              <w:rPr>
                <w:rFonts w:hint="eastAsia" w:ascii="宋体" w:hAnsi="宋体" w:cs="宋体"/>
                <w:color w:val="auto"/>
                <w:szCs w:val="21"/>
                <w:highlight w:val="none"/>
                <w:lang w:val="en-US" w:eastAsia="zh-CN"/>
              </w:rPr>
              <w:t>）</w:t>
            </w:r>
          </w:p>
        </w:tc>
        <w:tc>
          <w:tcPr>
            <w:tcW w:w="6613" w:type="dxa"/>
            <w:tcBorders>
              <w:top w:val="single" w:color="auto" w:sz="4" w:space="0"/>
              <w:left w:val="single" w:color="auto" w:sz="4" w:space="0"/>
              <w:right w:val="single" w:color="auto" w:sz="4" w:space="0"/>
            </w:tcBorders>
            <w:shd w:val="clear" w:color="auto" w:fill="auto"/>
            <w:vAlign w:val="top"/>
          </w:tcPr>
          <w:p w14:paraId="602BC82E">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一档（4分）：提供了售后服务方案及保证措施，但内容较为简单，进度安排、服务质量承诺、售后及时性等方面的描述不具体，可操作性较差</w:t>
            </w:r>
            <w:r>
              <w:rPr>
                <w:rFonts w:hint="eastAsia" w:ascii="宋体" w:hAnsi="宋体" w:cs="宋体"/>
                <w:bCs/>
                <w:color w:val="auto"/>
                <w:szCs w:val="21"/>
                <w:highlight w:val="none"/>
                <w:lang w:val="en-US" w:eastAsia="zh-CN"/>
              </w:rPr>
              <w:t>；</w:t>
            </w:r>
          </w:p>
          <w:p w14:paraId="75E8FD14">
            <w:pPr>
              <w:pStyle w:val="9"/>
              <w:keepNext w:val="0"/>
              <w:keepLines w:val="0"/>
              <w:pageBreakBefore w:val="0"/>
              <w:kinsoku/>
              <w:wordWrap w:val="0"/>
              <w:overflowPunct/>
              <w:topLinePunct w:val="0"/>
              <w:bidi w:val="0"/>
              <w:snapToGrid/>
              <w:spacing w:line="400" w:lineRule="exact"/>
              <w:ind w:firstLine="0" w:firstLineChars="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二档（8分）：售后服务方案及保证措施较为完整，进度安排合理，有明确的服务质量承诺及售后及时性保障措施</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供应商承诺在1.5小时内响应并远程处理，3小时内到达采购人指定现场</w:t>
            </w:r>
            <w:r>
              <w:rPr>
                <w:rFonts w:hint="eastAsia" w:ascii="宋体" w:hAnsi="宋体" w:cs="宋体"/>
                <w:color w:val="auto"/>
                <w:szCs w:val="21"/>
                <w:highlight w:val="none"/>
                <w:lang w:val="en-US" w:eastAsia="zh-CN"/>
              </w:rPr>
              <w:t>；</w:t>
            </w:r>
          </w:p>
          <w:p w14:paraId="26C22DAB">
            <w:pPr>
              <w:pStyle w:val="9"/>
              <w:keepNext w:val="0"/>
              <w:keepLines w:val="0"/>
              <w:pageBreakBefore w:val="0"/>
              <w:kinsoku/>
              <w:wordWrap w:val="0"/>
              <w:overflowPunct/>
              <w:topLinePunct w:val="0"/>
              <w:bidi w:val="0"/>
              <w:snapToGri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三档（12分）：售后服务方案及保证措施完整详细、切实可行，进度安排科学合理，服务质量承诺明确具体，售后响应及时、保障措施有力</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供应商承诺在1小时内响应并远程处理，2小时内到达采购人指定现场；</w:t>
            </w:r>
            <w:r>
              <w:rPr>
                <w:rFonts w:hint="eastAsia" w:ascii="宋体" w:hAnsi="宋体" w:cs="宋体"/>
                <w:color w:val="auto"/>
                <w:szCs w:val="21"/>
                <w:highlight w:val="none"/>
                <w:lang w:val="en-US" w:eastAsia="zh-CN"/>
              </w:rPr>
              <w:t>。</w:t>
            </w:r>
          </w:p>
        </w:tc>
        <w:tc>
          <w:tcPr>
            <w:tcW w:w="1183" w:type="dxa"/>
            <w:tcBorders>
              <w:top w:val="single" w:color="auto" w:sz="4" w:space="0"/>
              <w:left w:val="single" w:color="auto" w:sz="4" w:space="0"/>
              <w:bottom w:val="single" w:color="auto" w:sz="4" w:space="0"/>
              <w:right w:val="single" w:color="auto" w:sz="4" w:space="0"/>
            </w:tcBorders>
            <w:vAlign w:val="center"/>
          </w:tcPr>
          <w:p w14:paraId="0E487113">
            <w:pPr>
              <w:pStyle w:val="12"/>
              <w:keepNext w:val="0"/>
              <w:keepLines w:val="0"/>
              <w:pageBreakBefore w:val="0"/>
              <w:widowControl/>
              <w:kinsoku/>
              <w:wordWrap w:val="0"/>
              <w:overflowPunct/>
              <w:topLinePunct w:val="0"/>
              <w:bidi w:val="0"/>
              <w:snapToGrid/>
              <w:spacing w:line="400" w:lineRule="exact"/>
              <w:jc w:val="center"/>
              <w:textAlignment w:val="auto"/>
              <w:rPr>
                <w:rFonts w:hint="eastAsia" w:hAnsi="宋体" w:cs="宋体"/>
                <w:b/>
                <w:color w:val="auto"/>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1</w:t>
            </w:r>
            <w:r>
              <w:rPr>
                <w:rFonts w:hint="eastAsia" w:hAnsi="宋体" w:cs="宋体"/>
                <w:color w:val="auto"/>
                <w:kern w:val="0"/>
                <w:szCs w:val="21"/>
                <w:highlight w:val="none"/>
                <w:lang w:val="en-US" w:eastAsia="zh-CN"/>
              </w:rPr>
              <w:t>2</w:t>
            </w:r>
            <w:r>
              <w:rPr>
                <w:rFonts w:hint="eastAsia" w:ascii="宋体" w:hAnsi="宋体" w:cs="宋体"/>
                <w:color w:val="auto"/>
                <w:kern w:val="0"/>
                <w:szCs w:val="21"/>
                <w:highlight w:val="none"/>
              </w:rPr>
              <w:t>分</w:t>
            </w:r>
            <w:r>
              <w:rPr>
                <w:rFonts w:hint="eastAsia" w:hAnsi="宋体" w:cs="宋体"/>
                <w:bCs/>
                <w:color w:val="auto"/>
                <w:szCs w:val="21"/>
                <w:highlight w:val="none"/>
              </w:rPr>
              <w:t>（</w:t>
            </w:r>
            <w:r>
              <w:rPr>
                <w:rFonts w:hint="eastAsia" w:hAnsi="宋体" w:cs="宋体"/>
                <w:bCs/>
                <w:color w:val="auto"/>
                <w:szCs w:val="21"/>
                <w:highlight w:val="none"/>
                <w:lang w:val="en-US" w:eastAsia="zh-CN"/>
              </w:rPr>
              <w:t>主</w:t>
            </w:r>
            <w:r>
              <w:rPr>
                <w:rFonts w:hint="eastAsia" w:hAnsi="宋体" w:cs="宋体"/>
                <w:bCs/>
                <w:color w:val="auto"/>
                <w:szCs w:val="21"/>
                <w:highlight w:val="none"/>
              </w:rPr>
              <w:t>观分）</w:t>
            </w:r>
          </w:p>
        </w:tc>
      </w:tr>
      <w:tr w14:paraId="1B9E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685" w:type="dxa"/>
            <w:vMerge w:val="continue"/>
            <w:tcBorders>
              <w:left w:val="single" w:color="auto" w:sz="4" w:space="0"/>
              <w:right w:val="single" w:color="auto" w:sz="4" w:space="0"/>
            </w:tcBorders>
          </w:tcPr>
          <w:p w14:paraId="0A425931">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6F83B0B0">
            <w:pPr>
              <w:pStyle w:val="9"/>
              <w:keepNext w:val="0"/>
              <w:keepLines w:val="0"/>
              <w:pageBreakBefore w:val="0"/>
              <w:kinsoku/>
              <w:wordWrap w:val="0"/>
              <w:overflowPunct/>
              <w:topLinePunct w:val="0"/>
              <w:bidi w:val="0"/>
              <w:snapToGrid/>
              <w:spacing w:line="400" w:lineRule="exact"/>
              <w:textAlignment w:val="auto"/>
              <w:rPr>
                <w:rFonts w:ascii="宋体" w:hAnsi="宋体" w:cs="宋体"/>
                <w:b/>
                <w:bCs w:val="0"/>
                <w:color w:val="auto"/>
                <w:szCs w:val="21"/>
                <w:highlight w:val="none"/>
              </w:rPr>
            </w:pPr>
            <w:r>
              <w:rPr>
                <w:rFonts w:hint="eastAsia" w:ascii="宋体" w:hAnsi="宋体" w:cs="宋体"/>
                <w:color w:val="auto"/>
                <w:szCs w:val="21"/>
                <w:highlight w:val="none"/>
                <w:lang w:val="en-US" w:eastAsia="zh-CN"/>
              </w:rPr>
              <w:t>企业实力</w:t>
            </w:r>
            <w:r>
              <w:rPr>
                <w:rFonts w:hint="eastAsia" w:ascii="宋体" w:hAnsi="宋体" w:eastAsia="宋体" w:cs="宋体"/>
                <w:color w:val="auto"/>
                <w:szCs w:val="21"/>
                <w:highlight w:val="none"/>
                <w:lang w:val="en-US" w:eastAsia="zh-CN"/>
              </w:rPr>
              <w:t>（满分</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分）</w:t>
            </w:r>
          </w:p>
        </w:tc>
        <w:tc>
          <w:tcPr>
            <w:tcW w:w="6613" w:type="dxa"/>
            <w:tcBorders>
              <w:top w:val="single" w:color="auto" w:sz="4" w:space="0"/>
              <w:left w:val="single" w:color="auto" w:sz="4" w:space="0"/>
              <w:right w:val="single" w:color="auto" w:sz="4" w:space="0"/>
            </w:tcBorders>
            <w:vAlign w:val="center"/>
          </w:tcPr>
          <w:p w14:paraId="6213672C">
            <w:pPr>
              <w:pStyle w:val="9"/>
              <w:keepNext w:val="0"/>
              <w:keepLines w:val="0"/>
              <w:pageBreakBefore w:val="0"/>
              <w:kinsoku/>
              <w:wordWrap w:val="0"/>
              <w:overflowPunct/>
              <w:topLinePunct w:val="0"/>
              <w:bidi w:val="0"/>
              <w:snapToGrid/>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(1)投标人具有自主产权的在线开放课程教学平台的得2分</w:t>
            </w:r>
          </w:p>
          <w:p w14:paraId="4D1A048B">
            <w:pPr>
              <w:pStyle w:val="9"/>
              <w:keepNext w:val="0"/>
              <w:keepLines w:val="0"/>
              <w:pageBreakBefore w:val="0"/>
              <w:kinsoku/>
              <w:wordWrap w:val="0"/>
              <w:overflowPunct/>
              <w:topLinePunct w:val="0"/>
              <w:bidi w:val="0"/>
              <w:snapToGrid/>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(2)投标人具有PPT教学软件自主研发能力的得2分</w:t>
            </w:r>
          </w:p>
          <w:p w14:paraId="72125C45">
            <w:pPr>
              <w:pStyle w:val="9"/>
              <w:keepNext w:val="0"/>
              <w:keepLines w:val="0"/>
              <w:pageBreakBefore w:val="0"/>
              <w:kinsoku/>
              <w:wordWrap w:val="0"/>
              <w:overflowPunct/>
              <w:topLinePunct w:val="0"/>
              <w:bidi w:val="0"/>
              <w:snapToGrid/>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(3)投标人具有WEB3D可视化编辑能力的得2分</w:t>
            </w:r>
          </w:p>
          <w:p w14:paraId="316DE157">
            <w:pPr>
              <w:pStyle w:val="9"/>
              <w:keepNext w:val="0"/>
              <w:keepLines w:val="0"/>
              <w:pageBreakBefore w:val="0"/>
              <w:kinsoku/>
              <w:wordWrap w:val="0"/>
              <w:overflowPunct/>
              <w:topLinePunct w:val="0"/>
              <w:bidi w:val="0"/>
              <w:snapToGrid/>
              <w:spacing w:line="40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(4)投标人具有虚拟现实三维互动引擎自主研发能力的，得2分</w:t>
            </w:r>
          </w:p>
          <w:p w14:paraId="06F4C761">
            <w:pPr>
              <w:pStyle w:val="9"/>
              <w:keepNext w:val="0"/>
              <w:keepLines w:val="0"/>
              <w:pageBreakBefore w:val="0"/>
              <w:kinsoku/>
              <w:wordWrap w:val="0"/>
              <w:overflowPunct/>
              <w:topLinePunct w:val="0"/>
              <w:bidi w:val="0"/>
              <w:snapToGrid/>
              <w:spacing w:line="400" w:lineRule="exact"/>
              <w:textAlignment w:val="auto"/>
              <w:rPr>
                <w:rFonts w:hint="eastAsia"/>
                <w:color w:val="auto"/>
                <w:highlight w:val="none"/>
              </w:rPr>
            </w:pPr>
            <w:r>
              <w:rPr>
                <w:rFonts w:hint="eastAsia" w:ascii="宋体" w:hAnsi="宋体" w:eastAsia="宋体" w:cs="宋体"/>
                <w:color w:val="auto"/>
                <w:szCs w:val="21"/>
                <w:highlight w:val="none"/>
                <w:lang w:val="en-US" w:eastAsia="zh-CN"/>
              </w:rPr>
              <w:t>（提供复印件、截图等相关佐证材料并加盖投标人公章）</w:t>
            </w:r>
          </w:p>
        </w:tc>
        <w:tc>
          <w:tcPr>
            <w:tcW w:w="1183" w:type="dxa"/>
            <w:tcBorders>
              <w:top w:val="single" w:color="auto" w:sz="4" w:space="0"/>
              <w:left w:val="single" w:color="auto" w:sz="4" w:space="0"/>
              <w:bottom w:val="single" w:color="auto" w:sz="4" w:space="0"/>
              <w:right w:val="single" w:color="auto" w:sz="4" w:space="0"/>
            </w:tcBorders>
            <w:vAlign w:val="center"/>
          </w:tcPr>
          <w:p w14:paraId="164C59F1">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8</w:t>
            </w:r>
            <w:r>
              <w:rPr>
                <w:rFonts w:hint="eastAsia" w:hAnsi="宋体" w:cs="宋体"/>
                <w:bCs/>
                <w:color w:val="auto"/>
                <w:szCs w:val="21"/>
                <w:highlight w:val="none"/>
              </w:rPr>
              <w:t>分（客观分）</w:t>
            </w:r>
          </w:p>
        </w:tc>
      </w:tr>
      <w:tr w14:paraId="2A68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5" w:type="dxa"/>
            <w:vMerge w:val="continue"/>
            <w:tcBorders>
              <w:left w:val="single" w:color="auto" w:sz="4" w:space="0"/>
              <w:right w:val="single" w:color="auto" w:sz="4" w:space="0"/>
            </w:tcBorders>
          </w:tcPr>
          <w:p w14:paraId="646A5F7B">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p>
        </w:tc>
        <w:tc>
          <w:tcPr>
            <w:tcW w:w="1649" w:type="dxa"/>
            <w:tcBorders>
              <w:left w:val="single" w:color="auto" w:sz="4" w:space="0"/>
              <w:right w:val="single" w:color="auto" w:sz="4" w:space="0"/>
            </w:tcBorders>
            <w:vAlign w:val="center"/>
          </w:tcPr>
          <w:p w14:paraId="78C16ACB">
            <w:pPr>
              <w:keepNext w:val="0"/>
              <w:keepLines w:val="0"/>
              <w:pageBreakBefore w:val="0"/>
              <w:kinsoku/>
              <w:wordWrap w:val="0"/>
              <w:overflowPunct/>
              <w:topLinePunct w:val="0"/>
              <w:bidi w:val="0"/>
              <w:snapToGrid/>
              <w:spacing w:line="400" w:lineRule="exact"/>
              <w:textAlignment w:val="auto"/>
              <w:rPr>
                <w:rFonts w:ascii="宋体" w:hAnsi="宋体" w:cs="宋体"/>
                <w:b/>
                <w:bCs w:val="0"/>
                <w:color w:val="auto"/>
                <w:szCs w:val="21"/>
                <w:highlight w:val="none"/>
              </w:rPr>
            </w:pPr>
            <w:r>
              <w:rPr>
                <w:rFonts w:hint="eastAsia" w:ascii="宋体" w:hAnsi="宋体" w:cs="宋体"/>
                <w:bCs/>
                <w:color w:val="auto"/>
                <w:szCs w:val="21"/>
                <w:highlight w:val="none"/>
                <w:lang w:val="en-US" w:eastAsia="zh-CN"/>
              </w:rPr>
              <w:t>业绩（满分10分）</w:t>
            </w:r>
          </w:p>
        </w:tc>
        <w:tc>
          <w:tcPr>
            <w:tcW w:w="6613" w:type="dxa"/>
            <w:tcBorders>
              <w:top w:val="single" w:color="auto" w:sz="4" w:space="0"/>
              <w:left w:val="single" w:color="auto" w:sz="4" w:space="0"/>
              <w:right w:val="single" w:color="auto" w:sz="4" w:space="0"/>
            </w:tcBorders>
            <w:vAlign w:val="center"/>
          </w:tcPr>
          <w:p w14:paraId="5B822F76">
            <w:pPr>
              <w:keepNext w:val="0"/>
              <w:keepLines w:val="0"/>
              <w:pageBreakBefore w:val="0"/>
              <w:kinsoku/>
              <w:wordWrap w:val="0"/>
              <w:overflowPunct/>
              <w:topLinePunct w:val="0"/>
              <w:bidi w:val="0"/>
              <w:snapToGrid/>
              <w:spacing w:line="400" w:lineRule="exact"/>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投标人2023年以来具有同类（课程开发建设项目）业绩的，每项业绩得2分，满分10分。</w:t>
            </w:r>
          </w:p>
          <w:p w14:paraId="5B8A2FF4">
            <w:pPr>
              <w:keepNext w:val="0"/>
              <w:keepLines w:val="0"/>
              <w:pageBreakBefore w:val="0"/>
              <w:kinsoku/>
              <w:wordWrap w:val="0"/>
              <w:overflowPunct/>
              <w:topLinePunct w:val="0"/>
              <w:bidi w:val="0"/>
              <w:snapToGrid/>
              <w:spacing w:line="400" w:lineRule="exact"/>
              <w:textAlignment w:val="auto"/>
              <w:rPr>
                <w:rFonts w:ascii="宋体" w:hAnsi="宋体" w:cs="宋体"/>
                <w:bCs/>
                <w:color w:val="auto"/>
                <w:szCs w:val="21"/>
                <w:highlight w:val="none"/>
              </w:rPr>
            </w:pPr>
            <w:r>
              <w:rPr>
                <w:rFonts w:hint="eastAsia" w:ascii="宋体" w:hAnsi="宋体" w:cs="宋体"/>
                <w:bCs/>
                <w:color w:val="auto"/>
                <w:szCs w:val="21"/>
                <w:highlight w:val="none"/>
                <w:lang w:val="en-US" w:eastAsia="zh-CN"/>
              </w:rPr>
              <w:t>（投标文件中须提供有效的中标（成交）通知书或合同复印件加盖投标人公章，否则不予计分。）</w:t>
            </w:r>
          </w:p>
        </w:tc>
        <w:tc>
          <w:tcPr>
            <w:tcW w:w="1183" w:type="dxa"/>
            <w:tcBorders>
              <w:top w:val="single" w:color="auto" w:sz="4" w:space="0"/>
              <w:left w:val="single" w:color="auto" w:sz="4" w:space="0"/>
              <w:bottom w:val="single" w:color="auto" w:sz="4" w:space="0"/>
              <w:right w:val="single" w:color="auto" w:sz="4" w:space="0"/>
            </w:tcBorders>
            <w:vAlign w:val="center"/>
          </w:tcPr>
          <w:p w14:paraId="1FF22DDD">
            <w:pPr>
              <w:pStyle w:val="12"/>
              <w:keepNext w:val="0"/>
              <w:keepLines w:val="0"/>
              <w:pageBreakBefore w:val="0"/>
              <w:widowControl/>
              <w:kinsoku/>
              <w:wordWrap w:val="0"/>
              <w:overflowPunct/>
              <w:topLinePunct w:val="0"/>
              <w:bidi w:val="0"/>
              <w:snapToGrid/>
              <w:spacing w:line="400" w:lineRule="exact"/>
              <w:jc w:val="center"/>
              <w:textAlignment w:val="auto"/>
              <w:rPr>
                <w:rFonts w:hAnsi="宋体" w:cs="宋体"/>
                <w:bCs/>
                <w:color w:val="auto"/>
                <w:szCs w:val="21"/>
                <w:highlight w:val="none"/>
              </w:rPr>
            </w:pPr>
            <w:r>
              <w:rPr>
                <w:rFonts w:hint="eastAsia" w:hAnsi="宋体" w:cs="宋体"/>
                <w:bCs/>
                <w:color w:val="auto"/>
                <w:szCs w:val="21"/>
                <w:highlight w:val="none"/>
              </w:rPr>
              <w:t>0~</w:t>
            </w:r>
            <w:r>
              <w:rPr>
                <w:rFonts w:hint="eastAsia" w:hAnsi="宋体" w:cs="宋体"/>
                <w:bCs/>
                <w:color w:val="auto"/>
                <w:szCs w:val="21"/>
                <w:highlight w:val="none"/>
                <w:lang w:val="en-US" w:eastAsia="zh-CN"/>
              </w:rPr>
              <w:t>10</w:t>
            </w:r>
            <w:r>
              <w:rPr>
                <w:rFonts w:hint="eastAsia" w:hAnsi="宋体" w:cs="宋体"/>
                <w:bCs/>
                <w:color w:val="auto"/>
                <w:szCs w:val="21"/>
                <w:highlight w:val="none"/>
              </w:rPr>
              <w:t>分（客观分）</w:t>
            </w:r>
          </w:p>
        </w:tc>
      </w:tr>
      <w:tr w14:paraId="3EED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0" w:type="dxa"/>
            <w:gridSpan w:val="4"/>
            <w:tcBorders>
              <w:left w:val="single" w:color="auto" w:sz="4" w:space="0"/>
              <w:bottom w:val="single" w:color="auto" w:sz="4" w:space="0"/>
              <w:right w:val="single" w:color="auto" w:sz="4" w:space="0"/>
            </w:tcBorders>
          </w:tcPr>
          <w:p w14:paraId="09C3C99A">
            <w:pPr>
              <w:pStyle w:val="12"/>
              <w:keepNext w:val="0"/>
              <w:keepLines w:val="0"/>
              <w:pageBreakBefore w:val="0"/>
              <w:widowControl/>
              <w:kinsoku/>
              <w:wordWrap w:val="0"/>
              <w:overflowPunct/>
              <w:topLinePunct w:val="0"/>
              <w:bidi w:val="0"/>
              <w:snapToGrid/>
              <w:spacing w:line="400" w:lineRule="exact"/>
              <w:textAlignment w:val="auto"/>
              <w:rPr>
                <w:rFonts w:hAnsi="宋体" w:cs="宋体"/>
                <w:bCs/>
                <w:color w:val="auto"/>
                <w:szCs w:val="21"/>
                <w:highlight w:val="none"/>
              </w:rPr>
            </w:pPr>
            <w:r>
              <w:rPr>
                <w:rFonts w:hint="eastAsia" w:hAnsi="宋体" w:cs="宋体"/>
                <w:b/>
                <w:bCs/>
                <w:color w:val="auto"/>
                <w:szCs w:val="21"/>
                <w:highlight w:val="none"/>
              </w:rPr>
              <w:t>总得分=1+2+3</w:t>
            </w:r>
          </w:p>
        </w:tc>
      </w:tr>
    </w:tbl>
    <w:p w14:paraId="795A26A7">
      <w:pPr>
        <w:rPr>
          <w:rFonts w:hint="eastAsia" w:ascii="宋体" w:hAnsi="宋体" w:eastAsia="宋体" w:cs="宋体"/>
          <w:b w:val="0"/>
          <w:color w:val="auto"/>
          <w:sz w:val="30"/>
          <w:szCs w:val="30"/>
          <w:highlight w:val="none"/>
        </w:rPr>
      </w:pPr>
    </w:p>
    <w:p w14:paraId="64DE500F">
      <w:pPr>
        <w:pStyle w:val="2"/>
        <w:rPr>
          <w:rFonts w:hint="eastAsia"/>
          <w:color w:val="auto"/>
          <w:highlight w:val="none"/>
        </w:rPr>
        <w:sectPr>
          <w:pgSz w:w="11906" w:h="16838"/>
          <w:pgMar w:top="1440" w:right="1080" w:bottom="1440" w:left="1080" w:header="720" w:footer="720" w:gutter="0"/>
          <w:pgNumType w:fmt="decimal"/>
          <w:cols w:space="720" w:num="1"/>
          <w:docGrid w:type="lines" w:linePitch="331" w:charSpace="0"/>
        </w:sectPr>
      </w:pPr>
    </w:p>
    <w:p w14:paraId="6EC1EEA1">
      <w:pPr>
        <w:pStyle w:val="4"/>
        <w:wordWrap w:val="0"/>
        <w:spacing w:before="0" w:after="0" w:line="360" w:lineRule="auto"/>
        <w:jc w:val="center"/>
        <w:rPr>
          <w:rFonts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第四节 中标候选人推荐原则</w:t>
      </w:r>
      <w:bookmarkEnd w:id="124"/>
    </w:p>
    <w:p w14:paraId="26AFEE7B">
      <w:pPr>
        <w:pStyle w:val="12"/>
        <w:wordWrap w:val="0"/>
        <w:spacing w:line="360" w:lineRule="auto"/>
        <w:ind w:left="1237" w:hanging="765"/>
        <w:contextualSpacing/>
        <w:rPr>
          <w:rFonts w:hAnsi="宋体" w:cs="宋体"/>
          <w:b/>
          <w:bCs/>
          <w:color w:val="auto"/>
          <w:szCs w:val="21"/>
          <w:highlight w:val="none"/>
        </w:rPr>
      </w:pPr>
      <w:r>
        <w:rPr>
          <w:rFonts w:hint="eastAsia" w:hAnsi="宋体" w:cs="宋体"/>
          <w:b/>
          <w:bCs/>
          <w:color w:val="auto"/>
          <w:szCs w:val="21"/>
          <w:highlight w:val="none"/>
        </w:rPr>
        <w:t>（一）综合评分法</w:t>
      </w:r>
    </w:p>
    <w:p w14:paraId="569BD93C">
      <w:pPr>
        <w:pStyle w:val="12"/>
        <w:wordWrap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评标委员会将根据总得分由高到低排列次序并推荐中标候选供应商。总得分相同的，以投标报价由低到高顺序排列。得分相同且投标报价相同的并列，投标文件满足招标文件全部实质性要求，且按照评审因素的量化指标评审得分最高的投标人为排名第一的中标候选供应商。</w:t>
      </w:r>
    </w:p>
    <w:p w14:paraId="07607241">
      <w:pPr>
        <w:pStyle w:val="4"/>
        <w:wordWrap w:val="0"/>
        <w:spacing w:before="0" w:after="0" w:line="360" w:lineRule="auto"/>
        <w:ind w:firstLine="600" w:firstLineChars="200"/>
        <w:jc w:val="center"/>
        <w:rPr>
          <w:rFonts w:ascii="宋体" w:hAnsi="宋体" w:eastAsia="宋体" w:cs="宋体"/>
          <w:b w:val="0"/>
          <w:color w:val="auto"/>
          <w:sz w:val="30"/>
          <w:szCs w:val="30"/>
          <w:highlight w:val="none"/>
        </w:rPr>
      </w:pPr>
      <w:bookmarkStart w:id="125" w:name="_Toc5509"/>
      <w:r>
        <w:rPr>
          <w:rFonts w:hint="eastAsia" w:ascii="宋体" w:hAnsi="宋体" w:eastAsia="宋体" w:cs="宋体"/>
          <w:b w:val="0"/>
          <w:color w:val="auto"/>
          <w:sz w:val="30"/>
          <w:szCs w:val="30"/>
          <w:highlight w:val="none"/>
        </w:rPr>
        <w:t>第五节 评标报告</w:t>
      </w:r>
      <w:bookmarkEnd w:id="125"/>
    </w:p>
    <w:p w14:paraId="7FC546AC">
      <w:pPr>
        <w:pStyle w:val="33"/>
        <w:wordWrap w:val="0"/>
        <w:spacing w:before="0"/>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（一）评标报告与推荐中标候选人</w:t>
      </w:r>
    </w:p>
    <w:p w14:paraId="0E16F145">
      <w:pPr>
        <w:pStyle w:val="12"/>
        <w:wordWrap w:val="0"/>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评标委员会根据原始评标记录和评标结果编写评标报告，并通过电子交易平台向采购人、采购代理机构提交。</w:t>
      </w:r>
    </w:p>
    <w:p w14:paraId="7F95AE29">
      <w:pPr>
        <w:pStyle w:val="7"/>
        <w:ind w:left="0"/>
        <w:jc w:val="left"/>
        <w:rPr>
          <w:b/>
          <w:bCs/>
          <w:color w:val="auto"/>
          <w:sz w:val="32"/>
          <w:szCs w:val="40"/>
          <w:highlight w:val="none"/>
        </w:rPr>
      </w:pPr>
      <w:r>
        <w:rPr>
          <w:rFonts w:hint="eastAsia"/>
          <w:b/>
          <w:bCs/>
          <w:color w:val="auto"/>
          <w:sz w:val="32"/>
          <w:szCs w:val="40"/>
          <w:highlight w:val="none"/>
        </w:rPr>
        <w:t>（注：</w:t>
      </w:r>
      <w:r>
        <w:rPr>
          <w:rFonts w:hint="eastAsia"/>
          <w:b/>
          <w:bCs/>
          <w:color w:val="auto"/>
          <w:sz w:val="32"/>
          <w:szCs w:val="40"/>
          <w:highlight w:val="none"/>
          <w:lang w:val="en-US" w:eastAsia="zh-CN"/>
        </w:rPr>
        <w:t>各投标人均可就本项目上述标段中的所有标段进行投标，其中分标1、分标2、分标3、分标4不允许同时中标，已在前面分标推荐为第一中标候选供应商的投标人不再参加后续分标的中标候选供应商推荐。评标顺序：评标和中标顺序为分标1→分标2→分标3→分标4</w:t>
      </w:r>
      <w:r>
        <w:rPr>
          <w:rFonts w:hint="eastAsia"/>
          <w:b/>
          <w:bCs/>
          <w:color w:val="auto"/>
          <w:sz w:val="32"/>
          <w:szCs w:val="40"/>
          <w:highlight w:val="none"/>
        </w:rPr>
        <w:t>）</w:t>
      </w:r>
    </w:p>
    <w:p w14:paraId="08CA5D4E">
      <w:pPr>
        <w:widowControl/>
        <w:wordWrap w:val="0"/>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（二）评标争议事项处理</w:t>
      </w:r>
    </w:p>
    <w:p w14:paraId="07C904F1">
      <w:pPr>
        <w:pStyle w:val="12"/>
        <w:wordWrap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3CAC8DF">
      <w:pPr>
        <w:widowControl/>
        <w:wordWrap w:val="0"/>
        <w:spacing w:line="360" w:lineRule="auto"/>
        <w:jc w:val="left"/>
        <w:rPr>
          <w:rFonts w:ascii="宋体" w:hAnsi="宋体" w:cs="宋体"/>
          <w:b/>
          <w:color w:val="auto"/>
          <w:sz w:val="36"/>
          <w:szCs w:val="20"/>
          <w:highlight w:val="none"/>
        </w:rPr>
        <w:sectPr>
          <w:pgSz w:w="11906" w:h="16838"/>
          <w:pgMar w:top="1440" w:right="1080" w:bottom="1440" w:left="1080" w:header="720" w:footer="720" w:gutter="0"/>
          <w:pgNumType w:fmt="decimal"/>
          <w:cols w:space="720" w:num="1"/>
          <w:docGrid w:type="lines" w:linePitch="331" w:charSpace="0"/>
        </w:sectPr>
      </w:pPr>
    </w:p>
    <w:p w14:paraId="7A115072">
      <w:pPr>
        <w:pStyle w:val="12"/>
        <w:tabs>
          <w:tab w:val="left" w:pos="2472"/>
        </w:tabs>
        <w:wordWrap w:val="0"/>
        <w:spacing w:line="360" w:lineRule="auto"/>
        <w:jc w:val="center"/>
        <w:outlineLvl w:val="0"/>
        <w:rPr>
          <w:rFonts w:hAnsi="宋体" w:cs="宋体"/>
          <w:b/>
          <w:color w:val="auto"/>
          <w:sz w:val="36"/>
          <w:highlight w:val="none"/>
        </w:rPr>
      </w:pPr>
      <w:bookmarkStart w:id="126" w:name="_Toc6796"/>
      <w:r>
        <w:rPr>
          <w:rFonts w:hint="eastAsia" w:hAnsi="宋体" w:cs="宋体"/>
          <w:b/>
          <w:color w:val="auto"/>
          <w:sz w:val="36"/>
          <w:highlight w:val="none"/>
        </w:rPr>
        <w:t>第五章 拟签订的合同文本</w:t>
      </w:r>
      <w:bookmarkEnd w:id="126"/>
    </w:p>
    <w:p w14:paraId="48A5BDE4">
      <w:pPr>
        <w:wordWrap w:val="0"/>
        <w:spacing w:line="360" w:lineRule="auto"/>
        <w:rPr>
          <w:rFonts w:ascii="宋体" w:hAnsi="宋体" w:cs="宋体"/>
          <w:color w:val="auto"/>
          <w:sz w:val="24"/>
          <w:highlight w:val="none"/>
        </w:rPr>
      </w:pPr>
    </w:p>
    <w:p w14:paraId="6EB1C6C3">
      <w:pPr>
        <w:wordWrap w:val="0"/>
        <w:spacing w:line="360" w:lineRule="auto"/>
        <w:rPr>
          <w:rFonts w:ascii="宋体" w:hAnsi="宋体" w:cs="宋体"/>
          <w:color w:val="auto"/>
          <w:sz w:val="24"/>
          <w:highlight w:val="none"/>
          <w:u w:val="single"/>
        </w:rPr>
      </w:pPr>
      <w:r>
        <w:rPr>
          <w:rFonts w:hint="eastAsia" w:ascii="宋体" w:hAnsi="宋体" w:cs="宋体"/>
          <w:color w:val="auto"/>
          <w:sz w:val="24"/>
          <w:highlight w:val="none"/>
        </w:rPr>
        <w:t>“广西政府采购云”平台合同编号：</w:t>
      </w:r>
    </w:p>
    <w:p w14:paraId="253BEAC0">
      <w:pPr>
        <w:wordWrap w:val="0"/>
        <w:spacing w:line="360" w:lineRule="auto"/>
        <w:jc w:val="center"/>
        <w:rPr>
          <w:rFonts w:ascii="宋体" w:hAnsi="宋体" w:cs="宋体"/>
          <w:b/>
          <w:bCs/>
          <w:color w:val="auto"/>
          <w:sz w:val="52"/>
          <w:highlight w:val="none"/>
        </w:rPr>
      </w:pPr>
    </w:p>
    <w:p w14:paraId="72B0A417">
      <w:pPr>
        <w:wordWrap w:val="0"/>
        <w:spacing w:line="360" w:lineRule="auto"/>
        <w:jc w:val="center"/>
        <w:rPr>
          <w:rFonts w:ascii="宋体" w:hAnsi="宋体" w:cs="宋体"/>
          <w:b/>
          <w:bCs/>
          <w:color w:val="auto"/>
          <w:sz w:val="52"/>
          <w:highlight w:val="none"/>
        </w:rPr>
      </w:pPr>
    </w:p>
    <w:p w14:paraId="201D3351">
      <w:pPr>
        <w:wordWrap w:val="0"/>
        <w:spacing w:line="360" w:lineRule="auto"/>
        <w:jc w:val="center"/>
        <w:rPr>
          <w:rFonts w:ascii="宋体" w:hAnsi="宋体" w:cs="宋体"/>
          <w:b/>
          <w:bCs/>
          <w:color w:val="auto"/>
          <w:sz w:val="52"/>
          <w:highlight w:val="none"/>
        </w:rPr>
      </w:pPr>
      <w:r>
        <w:rPr>
          <w:rFonts w:hint="eastAsia" w:ascii="宋体" w:hAnsi="宋体" w:cs="宋体"/>
          <w:b/>
          <w:bCs/>
          <w:color w:val="auto"/>
          <w:sz w:val="52"/>
          <w:highlight w:val="none"/>
        </w:rPr>
        <w:t>南 宁 市 政 府 采 购</w:t>
      </w:r>
    </w:p>
    <w:p w14:paraId="68F4CE36">
      <w:pPr>
        <w:wordWrap w:val="0"/>
        <w:spacing w:line="360" w:lineRule="auto"/>
        <w:ind w:firstLine="420" w:firstLineChars="200"/>
        <w:rPr>
          <w:rFonts w:ascii="宋体" w:hAnsi="宋体" w:cs="宋体"/>
          <w:color w:val="auto"/>
          <w:highlight w:val="none"/>
        </w:rPr>
      </w:pPr>
    </w:p>
    <w:p w14:paraId="1BBBE6F5">
      <w:pPr>
        <w:wordWrap w:val="0"/>
        <w:spacing w:line="360" w:lineRule="auto"/>
        <w:ind w:firstLine="420" w:firstLineChars="200"/>
        <w:rPr>
          <w:rFonts w:ascii="宋体" w:hAnsi="宋体" w:cs="宋体"/>
          <w:color w:val="auto"/>
          <w:highlight w:val="none"/>
        </w:rPr>
      </w:pPr>
    </w:p>
    <w:p w14:paraId="3180C376">
      <w:pPr>
        <w:wordWrap w:val="0"/>
        <w:spacing w:line="360" w:lineRule="auto"/>
        <w:jc w:val="center"/>
        <w:rPr>
          <w:rFonts w:hint="eastAsia" w:ascii="宋体" w:hAnsi="宋体" w:eastAsia="宋体" w:cs="宋体"/>
          <w:b/>
          <w:bCs/>
          <w:color w:val="auto"/>
          <w:sz w:val="44"/>
          <w:highlight w:val="none"/>
          <w:lang w:eastAsia="zh-CN"/>
        </w:rPr>
      </w:pPr>
      <w:r>
        <w:rPr>
          <w:rFonts w:hint="eastAsia" w:ascii="宋体" w:hAnsi="宋体" w:cs="宋体"/>
          <w:b/>
          <w:bCs/>
          <w:color w:val="auto"/>
          <w:sz w:val="44"/>
          <w:highlight w:val="none"/>
          <w:u w:val="single"/>
          <w:lang w:val="en-US" w:eastAsia="zh-CN"/>
        </w:rPr>
        <w:t xml:space="preserve">       </w:t>
      </w:r>
      <w:r>
        <w:rPr>
          <w:rFonts w:hint="eastAsia" w:ascii="宋体" w:hAnsi="宋体" w:cs="宋体"/>
          <w:b/>
          <w:bCs/>
          <w:color w:val="auto"/>
          <w:sz w:val="44"/>
          <w:highlight w:val="none"/>
        </w:rPr>
        <w:t>合同</w:t>
      </w:r>
      <w:r>
        <w:rPr>
          <w:rFonts w:hint="eastAsia" w:ascii="宋体" w:hAnsi="宋体" w:cs="宋体"/>
          <w:b/>
          <w:bCs/>
          <w:color w:val="auto"/>
          <w:sz w:val="44"/>
          <w:highlight w:val="none"/>
          <w:lang w:eastAsia="zh-CN"/>
        </w:rPr>
        <w:t>（</w:t>
      </w:r>
      <w:r>
        <w:rPr>
          <w:rFonts w:hint="eastAsia" w:ascii="宋体" w:hAnsi="宋体" w:cs="宋体"/>
          <w:b/>
          <w:bCs/>
          <w:color w:val="auto"/>
          <w:sz w:val="44"/>
          <w:highlight w:val="none"/>
          <w:lang w:val="en-US" w:eastAsia="zh-CN"/>
        </w:rPr>
        <w:t>分标</w:t>
      </w:r>
      <w:r>
        <w:rPr>
          <w:rFonts w:hint="eastAsia" w:ascii="宋体" w:hAnsi="宋体" w:cs="宋体"/>
          <w:b/>
          <w:bCs/>
          <w:color w:val="auto"/>
          <w:sz w:val="44"/>
          <w:highlight w:val="none"/>
          <w:u w:val="single"/>
          <w:lang w:val="en-US" w:eastAsia="zh-CN"/>
        </w:rPr>
        <w:t xml:space="preserve">  </w:t>
      </w:r>
      <w:r>
        <w:rPr>
          <w:rFonts w:hint="eastAsia" w:ascii="宋体" w:hAnsi="宋体" w:cs="宋体"/>
          <w:b/>
          <w:bCs/>
          <w:color w:val="auto"/>
          <w:sz w:val="44"/>
          <w:highlight w:val="none"/>
          <w:lang w:eastAsia="zh-CN"/>
        </w:rPr>
        <w:t>）</w:t>
      </w:r>
    </w:p>
    <w:p w14:paraId="520AFE8F">
      <w:pPr>
        <w:wordWrap w:val="0"/>
        <w:spacing w:line="360" w:lineRule="auto"/>
        <w:ind w:firstLine="3507" w:firstLineChars="794"/>
        <w:rPr>
          <w:rFonts w:ascii="宋体" w:hAnsi="宋体" w:cs="宋体"/>
          <w:b/>
          <w:bCs/>
          <w:color w:val="auto"/>
          <w:sz w:val="44"/>
          <w:highlight w:val="none"/>
        </w:rPr>
      </w:pPr>
    </w:p>
    <w:p w14:paraId="2E380877">
      <w:pPr>
        <w:wordWrap w:val="0"/>
        <w:spacing w:line="360" w:lineRule="auto"/>
        <w:ind w:firstLine="2147" w:firstLineChars="594"/>
        <w:jc w:val="left"/>
        <w:rPr>
          <w:rFonts w:ascii="宋体" w:hAnsi="宋体" w:cs="宋体"/>
          <w:b/>
          <w:color w:val="auto"/>
          <w:sz w:val="36"/>
          <w:szCs w:val="36"/>
          <w:highlight w:val="none"/>
        </w:rPr>
      </w:pPr>
      <w:r>
        <w:rPr>
          <w:rFonts w:hint="eastAsia" w:ascii="宋体" w:hAnsi="宋体" w:cs="宋体"/>
          <w:b/>
          <w:color w:val="auto"/>
          <w:sz w:val="36"/>
          <w:szCs w:val="36"/>
          <w:highlight w:val="none"/>
        </w:rPr>
        <w:t xml:space="preserve">项目编号：   </w:t>
      </w:r>
    </w:p>
    <w:p w14:paraId="59D049AE">
      <w:pPr>
        <w:wordWrap w:val="0"/>
        <w:spacing w:line="360" w:lineRule="auto"/>
        <w:ind w:firstLine="2147" w:firstLineChars="594"/>
        <w:jc w:val="left"/>
        <w:rPr>
          <w:rFonts w:ascii="宋体" w:hAnsi="宋体" w:cs="宋体"/>
          <w:b/>
          <w:color w:val="auto"/>
          <w:sz w:val="36"/>
          <w:szCs w:val="36"/>
          <w:highlight w:val="none"/>
        </w:rPr>
      </w:pPr>
      <w:r>
        <w:rPr>
          <w:rFonts w:hint="eastAsia" w:ascii="宋体" w:hAnsi="宋体" w:cs="宋体"/>
          <w:b/>
          <w:color w:val="auto"/>
          <w:sz w:val="36"/>
          <w:szCs w:val="36"/>
          <w:highlight w:val="none"/>
        </w:rPr>
        <w:t>计划编号：</w:t>
      </w:r>
    </w:p>
    <w:p w14:paraId="731686F4">
      <w:pPr>
        <w:tabs>
          <w:tab w:val="left" w:pos="7200"/>
        </w:tabs>
        <w:wordWrap w:val="0"/>
        <w:spacing w:line="360" w:lineRule="auto"/>
        <w:ind w:firstLine="1995" w:firstLineChars="552"/>
        <w:rPr>
          <w:rFonts w:ascii="宋体" w:hAnsi="宋体" w:cs="宋体"/>
          <w:b/>
          <w:color w:val="auto"/>
          <w:sz w:val="36"/>
          <w:szCs w:val="36"/>
          <w:highlight w:val="none"/>
        </w:rPr>
      </w:pPr>
    </w:p>
    <w:p w14:paraId="696307E4">
      <w:pPr>
        <w:pStyle w:val="2"/>
        <w:rPr>
          <w:rFonts w:ascii="宋体" w:hAnsi="宋体" w:cs="宋体"/>
          <w:color w:val="auto"/>
          <w:highlight w:val="none"/>
        </w:rPr>
      </w:pPr>
    </w:p>
    <w:p w14:paraId="30A839A3">
      <w:pPr>
        <w:tabs>
          <w:tab w:val="left" w:pos="7200"/>
        </w:tabs>
        <w:wordWrap w:val="0"/>
        <w:spacing w:line="360" w:lineRule="auto"/>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采购人：</w:t>
      </w:r>
    </w:p>
    <w:p w14:paraId="083C97E4">
      <w:pPr>
        <w:tabs>
          <w:tab w:val="left" w:pos="7380"/>
        </w:tabs>
        <w:wordWrap w:val="0"/>
        <w:spacing w:line="360" w:lineRule="auto"/>
        <w:ind w:firstLine="1995" w:firstLineChars="552"/>
        <w:rPr>
          <w:rFonts w:ascii="宋体" w:hAnsi="宋体" w:cs="宋体"/>
          <w:b/>
          <w:bCs/>
          <w:color w:val="auto"/>
          <w:sz w:val="44"/>
          <w:highlight w:val="none"/>
        </w:rPr>
      </w:pPr>
      <w:r>
        <w:rPr>
          <w:rFonts w:hint="eastAsia" w:ascii="宋体" w:hAnsi="宋体" w:cs="宋体"/>
          <w:b/>
          <w:color w:val="auto"/>
          <w:sz w:val="36"/>
          <w:szCs w:val="36"/>
          <w:highlight w:val="none"/>
        </w:rPr>
        <w:t>中标供应商：</w:t>
      </w:r>
    </w:p>
    <w:p w14:paraId="1E42DCB7">
      <w:pPr>
        <w:tabs>
          <w:tab w:val="left" w:pos="7380"/>
        </w:tabs>
        <w:wordWrap w:val="0"/>
        <w:spacing w:line="360" w:lineRule="auto"/>
        <w:rPr>
          <w:rFonts w:ascii="宋体" w:hAnsi="宋体" w:cs="宋体"/>
          <w:b/>
          <w:bCs/>
          <w:color w:val="auto"/>
          <w:sz w:val="44"/>
          <w:highlight w:val="none"/>
        </w:rPr>
      </w:pPr>
    </w:p>
    <w:p w14:paraId="40B983D1">
      <w:pPr>
        <w:wordWrap w:val="0"/>
        <w:spacing w:line="360" w:lineRule="auto"/>
        <w:rPr>
          <w:rFonts w:ascii="宋体" w:hAnsi="宋体" w:cs="宋体"/>
          <w:color w:val="auto"/>
          <w:sz w:val="24"/>
          <w:highlight w:val="none"/>
        </w:rPr>
      </w:pPr>
    </w:p>
    <w:p w14:paraId="27EF94CD">
      <w:pPr>
        <w:wordWrap w:val="0"/>
        <w:spacing w:line="360" w:lineRule="auto"/>
        <w:ind w:firstLine="2280" w:firstLineChars="950"/>
        <w:rPr>
          <w:rFonts w:ascii="宋体" w:hAnsi="宋体" w:cs="宋体"/>
          <w:b/>
          <w:bCs/>
          <w:color w:val="auto"/>
          <w:sz w:val="44"/>
          <w:highlight w:val="none"/>
        </w:rPr>
      </w:pPr>
      <w:r>
        <w:rPr>
          <w:rFonts w:hint="eastAsia" w:ascii="宋体" w:hAnsi="宋体" w:cs="宋体"/>
          <w:color w:val="auto"/>
          <w:sz w:val="24"/>
          <w:highlight w:val="none"/>
        </w:rPr>
        <w:t>签订日期：</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p>
    <w:p w14:paraId="0BC53998">
      <w:pPr>
        <w:wordWrap w:val="0"/>
        <w:snapToGrid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rPr>
        <w:br w:type="page"/>
      </w:r>
    </w:p>
    <w:p w14:paraId="07C60BBD">
      <w:pPr>
        <w:wordWrap w:val="0"/>
        <w:snapToGrid w:val="0"/>
        <w:spacing w:line="360" w:lineRule="auto"/>
        <w:jc w:val="center"/>
        <w:rPr>
          <w:rFonts w:ascii="宋体" w:hAnsi="宋体" w:cs="宋体"/>
          <w:b/>
          <w:bCs/>
          <w:color w:val="auto"/>
          <w:sz w:val="44"/>
          <w:highlight w:val="none"/>
        </w:rPr>
      </w:pPr>
    </w:p>
    <w:p w14:paraId="55F3DC22">
      <w:pPr>
        <w:wordWrap w:val="0"/>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合同目录</w:t>
      </w:r>
    </w:p>
    <w:p w14:paraId="65FD4DF0">
      <w:pPr>
        <w:wordWrap w:val="0"/>
        <w:snapToGrid w:val="0"/>
        <w:spacing w:line="360" w:lineRule="auto"/>
        <w:jc w:val="center"/>
        <w:rPr>
          <w:rFonts w:ascii="宋体" w:hAnsi="宋体" w:cs="宋体"/>
          <w:b/>
          <w:bCs/>
          <w:color w:val="auto"/>
          <w:sz w:val="44"/>
          <w:highlight w:val="none"/>
        </w:rPr>
      </w:pPr>
    </w:p>
    <w:p w14:paraId="0ECB9A91">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3DE1C81E">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09CC003C">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3C15EC24">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4FC332E4">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78FF87A2">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2584594D">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5634E7F1">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4.4投标函 ………………………………………………………………………（页码）</w:t>
      </w:r>
    </w:p>
    <w:p w14:paraId="539C465A">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4.5报价表 ………………………………………………………………………（页码）</w:t>
      </w:r>
    </w:p>
    <w:p w14:paraId="442CA4AA">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4.6投标服务技术资料表 ………………………………………………………（页码）</w:t>
      </w:r>
    </w:p>
    <w:p w14:paraId="4797F351">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62619923">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6A49CF73">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280E7EE8">
      <w:pPr>
        <w:wordWrap w:val="0"/>
        <w:snapToGrid w:val="0"/>
        <w:spacing w:line="360" w:lineRule="auto"/>
        <w:rPr>
          <w:rFonts w:ascii="宋体" w:hAnsi="宋体" w:cs="宋体"/>
          <w:color w:val="auto"/>
          <w:kern w:val="0"/>
          <w:sz w:val="24"/>
          <w:highlight w:val="none"/>
        </w:rPr>
      </w:pPr>
    </w:p>
    <w:p w14:paraId="0751F2FC">
      <w:pPr>
        <w:widowControl/>
        <w:wordWrap w:val="0"/>
        <w:spacing w:line="360" w:lineRule="auto"/>
        <w:jc w:val="left"/>
        <w:rPr>
          <w:rFonts w:ascii="宋体" w:hAnsi="宋体" w:cs="宋体"/>
          <w:color w:val="auto"/>
          <w:spacing w:val="-4"/>
          <w:sz w:val="18"/>
          <w:szCs w:val="20"/>
          <w:highlight w:val="none"/>
        </w:rPr>
        <w:sectPr>
          <w:pgSz w:w="11906" w:h="16838"/>
          <w:pgMar w:top="1440" w:right="1080" w:bottom="1440" w:left="1080" w:header="720" w:footer="720" w:gutter="0"/>
          <w:pgNumType w:fmt="decimal"/>
          <w:cols w:space="720" w:num="1"/>
          <w:docGrid w:type="lines" w:linePitch="331" w:charSpace="0"/>
        </w:sectPr>
      </w:pPr>
    </w:p>
    <w:p w14:paraId="73AB4947">
      <w:pPr>
        <w:pStyle w:val="35"/>
        <w:wordWrap w:val="0"/>
        <w:spacing w:after="0"/>
        <w:ind w:firstLine="562"/>
        <w:jc w:val="center"/>
        <w:rPr>
          <w:rFonts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6706C6B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lang w:eastAsia="zh-CN"/>
        </w:rPr>
        <w:t>南宁市第一职业技术学校</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评标委员会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rPr>
        <w:t>为该项目中标供应商。现于中标通知书发出之日起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日内（根据项目实际情况填写，不能超过25日），按照采购文件确定的事项签订本合同。</w:t>
      </w:r>
    </w:p>
    <w:p w14:paraId="2AB1A85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（采购人名称）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50114966">
      <w:pPr>
        <w:keepNext w:val="0"/>
        <w:keepLines w:val="0"/>
        <w:pageBreakBefore w:val="0"/>
        <w:widowControl w:val="0"/>
        <w:kinsoku/>
        <w:wordWrap w:val="0"/>
        <w:overflowPunct/>
        <w:topLinePunct w:val="0"/>
        <w:autoSpaceDE/>
        <w:autoSpaceDN/>
        <w:bidi w:val="0"/>
        <w:adjustRightInd/>
        <w:snapToGrid/>
        <w:spacing w:line="336" w:lineRule="auto"/>
        <w:ind w:firstLine="482" w:firstLineChars="200"/>
        <w:textAlignment w:val="auto"/>
        <w:rPr>
          <w:rFonts w:ascii="宋体" w:hAnsi="宋体" w:cs="宋体"/>
          <w:b/>
          <w:color w:val="auto"/>
          <w:sz w:val="24"/>
          <w:highlight w:val="none"/>
        </w:rPr>
      </w:pPr>
      <w:bookmarkStart w:id="127" w:name="_Toc24059"/>
      <w:bookmarkStart w:id="128" w:name="_Toc2232"/>
      <w:bookmarkStart w:id="129" w:name="_Toc3029"/>
      <w:r>
        <w:rPr>
          <w:rFonts w:hint="eastAsia" w:ascii="宋体" w:hAnsi="宋体" w:cs="宋体"/>
          <w:b/>
          <w:color w:val="auto"/>
          <w:sz w:val="24"/>
          <w:highlight w:val="none"/>
        </w:rPr>
        <w:t>1.1 合同组成部分</w:t>
      </w:r>
      <w:bookmarkEnd w:id="127"/>
      <w:bookmarkEnd w:id="128"/>
      <w:bookmarkEnd w:id="129"/>
    </w:p>
    <w:p w14:paraId="29092E8B">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411B480">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6C1A0AEC">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1.1.2 中标通知书；</w:t>
      </w:r>
    </w:p>
    <w:p w14:paraId="5CB04BB4">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798A30E1">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1.1.4 招标文件（含澄清或者修改文件）；</w:t>
      </w:r>
    </w:p>
    <w:p w14:paraId="3E0F7A66">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1.1.5 其他相关采购文件。</w:t>
      </w:r>
    </w:p>
    <w:p w14:paraId="66756A08">
      <w:pPr>
        <w:wordWrap w:val="0"/>
        <w:spacing w:line="360" w:lineRule="auto"/>
        <w:ind w:firstLine="482" w:firstLineChars="200"/>
        <w:rPr>
          <w:rFonts w:ascii="宋体" w:hAnsi="宋体" w:cs="宋体"/>
          <w:b/>
          <w:color w:val="auto"/>
          <w:sz w:val="24"/>
          <w:highlight w:val="none"/>
        </w:rPr>
      </w:pPr>
      <w:bookmarkStart w:id="130" w:name="_Toc24300"/>
      <w:bookmarkStart w:id="131" w:name="_Toc27126"/>
      <w:bookmarkStart w:id="132" w:name="_Toc21295"/>
      <w:r>
        <w:rPr>
          <w:rFonts w:hint="eastAsia" w:ascii="宋体" w:hAnsi="宋体" w:cs="宋体"/>
          <w:b/>
          <w:color w:val="auto"/>
          <w:sz w:val="24"/>
          <w:highlight w:val="none"/>
        </w:rPr>
        <w:t>1.2 标的物</w:t>
      </w:r>
      <w:bookmarkEnd w:id="130"/>
      <w:bookmarkEnd w:id="131"/>
      <w:bookmarkEnd w:id="132"/>
    </w:p>
    <w:p w14:paraId="16171A1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标的物信息</w:t>
      </w:r>
    </w:p>
    <w:p w14:paraId="78B72A90">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4C59BB4">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EA4253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D5612B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7AABC5A1">
      <w:pPr>
        <w:wordWrap w:val="0"/>
        <w:spacing w:line="360" w:lineRule="auto"/>
        <w:ind w:firstLine="482" w:firstLineChars="200"/>
        <w:rPr>
          <w:rFonts w:ascii="宋体" w:hAnsi="宋体" w:cs="宋体"/>
          <w:b/>
          <w:color w:val="auto"/>
          <w:sz w:val="24"/>
          <w:highlight w:val="none"/>
        </w:rPr>
      </w:pPr>
      <w:bookmarkStart w:id="133" w:name="_Toc23292"/>
      <w:bookmarkStart w:id="134" w:name="_Toc21631"/>
      <w:bookmarkStart w:id="135" w:name="_Toc21551"/>
      <w:r>
        <w:rPr>
          <w:rFonts w:hint="eastAsia" w:ascii="宋体" w:hAnsi="宋体" w:cs="宋体"/>
          <w:b/>
          <w:color w:val="auto"/>
          <w:sz w:val="24"/>
          <w:highlight w:val="none"/>
        </w:rPr>
        <w:t>1.3 价款</w:t>
      </w:r>
      <w:bookmarkEnd w:id="133"/>
      <w:bookmarkEnd w:id="134"/>
      <w:bookmarkEnd w:id="135"/>
    </w:p>
    <w:p w14:paraId="311D5349">
      <w:pPr>
        <w:wordWrap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本合同总价为：大写人民币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元，含税）。</w:t>
      </w:r>
    </w:p>
    <w:p w14:paraId="48A4F4A3">
      <w:pPr>
        <w:wordWrap w:val="0"/>
        <w:spacing w:line="360" w:lineRule="auto"/>
        <w:ind w:firstLine="482" w:firstLineChars="200"/>
        <w:rPr>
          <w:rFonts w:ascii="宋体" w:hAnsi="宋体" w:cs="宋体"/>
          <w:b/>
          <w:color w:val="auto"/>
          <w:sz w:val="24"/>
          <w:highlight w:val="none"/>
        </w:rPr>
      </w:pPr>
      <w:bookmarkStart w:id="136" w:name="_Toc10340"/>
      <w:bookmarkStart w:id="137" w:name="_Toc22618"/>
      <w:bookmarkStart w:id="138" w:name="_Toc1814"/>
      <w:r>
        <w:rPr>
          <w:rFonts w:hint="eastAsia" w:ascii="宋体" w:hAnsi="宋体" w:cs="宋体"/>
          <w:b/>
          <w:color w:val="auto"/>
          <w:sz w:val="24"/>
          <w:highlight w:val="none"/>
        </w:rPr>
        <w:t>1.4 付款方式和发票开具方式</w:t>
      </w:r>
      <w:bookmarkEnd w:id="136"/>
      <w:bookmarkEnd w:id="137"/>
      <w:bookmarkEnd w:id="138"/>
    </w:p>
    <w:p w14:paraId="2B230974">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654DB0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15F9668">
      <w:pPr>
        <w:wordWrap w:val="0"/>
        <w:spacing w:line="360" w:lineRule="auto"/>
        <w:ind w:firstLine="482" w:firstLineChars="200"/>
        <w:rPr>
          <w:rFonts w:hint="eastAsia" w:ascii="宋体" w:hAnsi="宋体" w:eastAsia="宋体" w:cs="宋体"/>
          <w:b/>
          <w:color w:val="auto"/>
          <w:sz w:val="24"/>
          <w:highlight w:val="none"/>
          <w:lang w:eastAsia="zh-CN"/>
        </w:rPr>
      </w:pPr>
      <w:bookmarkStart w:id="139" w:name="_Toc32071"/>
      <w:bookmarkStart w:id="140" w:name="_Toc19304"/>
      <w:bookmarkStart w:id="141" w:name="_Toc2846"/>
      <w:r>
        <w:rPr>
          <w:rFonts w:hint="eastAsia" w:ascii="宋体" w:hAnsi="宋体" w:cs="宋体"/>
          <w:b/>
          <w:color w:val="auto"/>
          <w:sz w:val="24"/>
          <w:highlight w:val="none"/>
        </w:rPr>
        <w:t>1.5 标的物交付期限、地点、方式</w:t>
      </w:r>
      <w:bookmarkEnd w:id="139"/>
      <w:bookmarkEnd w:id="140"/>
      <w:bookmarkEnd w:id="141"/>
      <w:r>
        <w:rPr>
          <w:rFonts w:hint="eastAsia" w:ascii="宋体" w:hAnsi="宋体" w:cs="宋体"/>
          <w:b/>
          <w:color w:val="auto"/>
          <w:sz w:val="24"/>
          <w:highlight w:val="none"/>
        </w:rPr>
        <w:t>和服务</w:t>
      </w:r>
      <w:r>
        <w:rPr>
          <w:rFonts w:hint="eastAsia" w:ascii="宋体" w:hAnsi="宋体" w:cs="宋体"/>
          <w:b/>
          <w:color w:val="auto"/>
          <w:sz w:val="24"/>
          <w:highlight w:val="none"/>
          <w:lang w:val="en-US" w:eastAsia="zh-CN"/>
        </w:rPr>
        <w:t>时间</w:t>
      </w:r>
    </w:p>
    <w:p w14:paraId="160EF781">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1.5.1 服务</w:t>
      </w:r>
      <w:r>
        <w:rPr>
          <w:rFonts w:hint="eastAsia" w:ascii="宋体" w:hAnsi="宋体" w:cs="宋体"/>
          <w:color w:val="auto"/>
          <w:sz w:val="24"/>
          <w:highlight w:val="none"/>
          <w:lang w:val="en-US" w:eastAsia="zh-CN"/>
        </w:rPr>
        <w:t>时间</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2260E9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 服务地点：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C1DA81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094C461">
      <w:pPr>
        <w:wordWrap w:val="0"/>
        <w:spacing w:line="360" w:lineRule="auto"/>
        <w:ind w:firstLine="482" w:firstLineChars="200"/>
        <w:rPr>
          <w:rFonts w:ascii="宋体" w:hAnsi="宋体" w:cs="宋体"/>
          <w:b/>
          <w:color w:val="auto"/>
          <w:sz w:val="24"/>
          <w:highlight w:val="none"/>
        </w:rPr>
      </w:pPr>
      <w:bookmarkStart w:id="142" w:name="_Toc27250"/>
      <w:bookmarkStart w:id="143" w:name="_Toc21423"/>
      <w:bookmarkStart w:id="144" w:name="_Toc19554"/>
      <w:r>
        <w:rPr>
          <w:rFonts w:hint="eastAsia" w:ascii="宋体" w:hAnsi="宋体" w:cs="宋体"/>
          <w:b/>
          <w:color w:val="auto"/>
          <w:sz w:val="24"/>
          <w:highlight w:val="none"/>
        </w:rPr>
        <w:t>1.6 违约责任</w:t>
      </w:r>
      <w:bookmarkEnd w:id="142"/>
      <w:bookmarkEnd w:id="143"/>
      <w:bookmarkEnd w:id="144"/>
    </w:p>
    <w:p w14:paraId="0C01686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（根据项目实际填写，一般为万分之五）计算，最高限额为本合同总价的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%（根据项目实际填写，一般为20%）；迟延超过【  】（根据项目实际填写）日的，甲方有权在要求乙方支付违约金的同时，书面通知乙方解除本合同，乙方应退回全部已收取的合同价款并按合同总金额的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（根据项目实际填写，一般为20%）向甲方支付违约金；</w:t>
      </w:r>
    </w:p>
    <w:p w14:paraId="77373D3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31FF7564">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EF51A13">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1.6.4乙方在质保期内未按承诺提供售后等服务的，每发生一次向甲方支付违约金额</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元。（根据项目实际填写）</w:t>
      </w:r>
    </w:p>
    <w:p w14:paraId="18CE4A65">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8E4E731">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600152A">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2B51FC91">
      <w:pPr>
        <w:keepNext w:val="0"/>
        <w:keepLines w:val="0"/>
        <w:pageBreakBefore w:val="0"/>
        <w:widowControl w:val="0"/>
        <w:kinsoku/>
        <w:wordWrap w:val="0"/>
        <w:overflowPunct/>
        <w:topLinePunct w:val="0"/>
        <w:autoSpaceDE/>
        <w:autoSpaceDN/>
        <w:bidi w:val="0"/>
        <w:adjustRightInd/>
        <w:snapToGrid/>
        <w:spacing w:line="336" w:lineRule="auto"/>
        <w:ind w:firstLine="482" w:firstLineChars="200"/>
        <w:textAlignment w:val="auto"/>
        <w:rPr>
          <w:rFonts w:ascii="宋体" w:hAnsi="宋体" w:cs="宋体"/>
          <w:b/>
          <w:color w:val="auto"/>
          <w:sz w:val="24"/>
          <w:highlight w:val="none"/>
        </w:rPr>
      </w:pPr>
      <w:bookmarkStart w:id="145" w:name="_Toc15583"/>
      <w:bookmarkStart w:id="146" w:name="_Toc28375"/>
      <w:bookmarkStart w:id="147" w:name="_Toc16021"/>
      <w:r>
        <w:rPr>
          <w:rFonts w:hint="eastAsia" w:ascii="宋体" w:hAnsi="宋体" w:cs="宋体"/>
          <w:b/>
          <w:color w:val="auto"/>
          <w:sz w:val="24"/>
          <w:highlight w:val="none"/>
        </w:rPr>
        <w:t>1.7 合同争议的解决</w:t>
      </w:r>
      <w:bookmarkEnd w:id="145"/>
      <w:bookmarkEnd w:id="146"/>
      <w:bookmarkEnd w:id="147"/>
    </w:p>
    <w:p w14:paraId="47259CA5">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种方式解决：</w:t>
      </w:r>
    </w:p>
    <w:p w14:paraId="5BC6521A">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南宁市</w:t>
      </w:r>
      <w:r>
        <w:rPr>
          <w:rFonts w:hint="eastAsia" w:ascii="宋体" w:hAnsi="宋体" w:cs="宋体"/>
          <w:color w:val="auto"/>
          <w:sz w:val="24"/>
          <w:highlight w:val="none"/>
        </w:rPr>
        <w:t>仲裁委员会依申请仲裁时其现行有效的仲裁规则裁决；</w:t>
      </w:r>
    </w:p>
    <w:p w14:paraId="157882E7">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rPr>
        <w:t>有管辖权的人民法院起诉。</w:t>
      </w:r>
    </w:p>
    <w:p w14:paraId="7FDC1F0A">
      <w:pPr>
        <w:keepNext w:val="0"/>
        <w:keepLines w:val="0"/>
        <w:pageBreakBefore w:val="0"/>
        <w:widowControl w:val="0"/>
        <w:kinsoku/>
        <w:wordWrap w:val="0"/>
        <w:overflowPunct/>
        <w:topLinePunct w:val="0"/>
        <w:autoSpaceDE/>
        <w:autoSpaceDN/>
        <w:bidi w:val="0"/>
        <w:adjustRightInd/>
        <w:snapToGrid/>
        <w:spacing w:line="336" w:lineRule="auto"/>
        <w:ind w:firstLine="482" w:firstLineChars="200"/>
        <w:textAlignment w:val="auto"/>
        <w:rPr>
          <w:rFonts w:ascii="宋体" w:hAnsi="宋体" w:cs="宋体"/>
          <w:b/>
          <w:color w:val="auto"/>
          <w:sz w:val="24"/>
          <w:highlight w:val="none"/>
        </w:rPr>
      </w:pPr>
      <w:bookmarkStart w:id="148" w:name="_Toc7245"/>
      <w:bookmarkStart w:id="149" w:name="_Toc11173"/>
      <w:bookmarkStart w:id="150" w:name="_Toc15322"/>
      <w:r>
        <w:rPr>
          <w:rFonts w:hint="eastAsia" w:ascii="宋体" w:hAnsi="宋体" w:cs="宋体"/>
          <w:b/>
          <w:color w:val="auto"/>
          <w:sz w:val="24"/>
          <w:highlight w:val="none"/>
        </w:rPr>
        <w:t>1.8 合同生效</w:t>
      </w:r>
      <w:bookmarkEnd w:id="148"/>
      <w:bookmarkEnd w:id="149"/>
      <w:bookmarkEnd w:id="150"/>
    </w:p>
    <w:p w14:paraId="2382EA9C">
      <w:pPr>
        <w:keepNext w:val="0"/>
        <w:keepLines w:val="0"/>
        <w:pageBreakBefore w:val="0"/>
        <w:widowControl w:val="0"/>
        <w:kinsoku/>
        <w:wordWrap w:val="0"/>
        <w:overflowPunct/>
        <w:topLinePunct w:val="0"/>
        <w:autoSpaceDE/>
        <w:autoSpaceDN/>
        <w:bidi w:val="0"/>
        <w:adjustRightInd/>
        <w:snapToGrid/>
        <w:spacing w:line="336" w:lineRule="auto"/>
        <w:ind w:firstLine="480" w:firstLineChars="200"/>
        <w:textAlignment w:val="auto"/>
        <w:rPr>
          <w:rFonts w:ascii="宋体" w:hAnsi="宋体" w:cs="宋体"/>
          <w:b/>
          <w:color w:val="auto"/>
          <w:sz w:val="24"/>
          <w:highlight w:val="none"/>
        </w:rPr>
      </w:pPr>
      <w:r>
        <w:rPr>
          <w:rFonts w:hint="eastAsia" w:ascii="宋体" w:hAnsi="宋体" w:cs="宋体"/>
          <w:color w:val="auto"/>
          <w:sz w:val="24"/>
          <w:highlight w:val="none"/>
        </w:rPr>
        <w:t>本合同自双方当事人加盖有效公章时生效。</w:t>
      </w:r>
    </w:p>
    <w:p w14:paraId="35719796">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甲方：                                  乙方：</w:t>
      </w:r>
    </w:p>
    <w:p w14:paraId="6815B697">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09E3599F">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14:paraId="5F7A76D6">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034F6BFA">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6CE27AA0">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302FF03A">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3B9BD123">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2AEF034A">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630C9FFE">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14:paraId="779A7319">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3CC8A721">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14:paraId="1EB34FAF">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14:paraId="564202D3">
      <w:pPr>
        <w:keepNext w:val="0"/>
        <w:keepLines w:val="0"/>
        <w:pageBreakBefore w:val="0"/>
        <w:widowControl w:val="0"/>
        <w:kinsoku/>
        <w:wordWrap w:val="0"/>
        <w:overflowPunct/>
        <w:topLinePunct w:val="0"/>
        <w:autoSpaceDE/>
        <w:autoSpaceDN/>
        <w:bidi w:val="0"/>
        <w:adjustRightInd/>
        <w:snapToGrid/>
        <w:spacing w:line="336" w:lineRule="auto"/>
        <w:ind w:firstLine="200"/>
        <w:textAlignment w:val="auto"/>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开户账号：</w:t>
      </w:r>
    </w:p>
    <w:p w14:paraId="0717A68A">
      <w:pPr>
        <w:wordWrap w:val="0"/>
        <w:spacing w:line="360" w:lineRule="auto"/>
        <w:ind w:firstLine="200"/>
        <w:jc w:val="center"/>
        <w:rPr>
          <w:rFonts w:ascii="宋体" w:hAnsi="宋体" w:cs="宋体"/>
          <w:b/>
          <w:color w:val="auto"/>
          <w:sz w:val="28"/>
          <w:szCs w:val="28"/>
          <w:highlight w:val="none"/>
        </w:rPr>
      </w:pPr>
      <w:r>
        <w:rPr>
          <w:rFonts w:hint="eastAsia" w:ascii="宋体" w:hAnsi="宋体" w:cs="宋体"/>
          <w:b/>
          <w:color w:val="auto"/>
          <w:highlight w:val="none"/>
        </w:rPr>
        <w:br w:type="page"/>
      </w:r>
      <w:bookmarkStart w:id="151" w:name="_Toc331685783"/>
      <w:r>
        <w:rPr>
          <w:rFonts w:hint="eastAsia" w:ascii="宋体" w:hAnsi="宋体" w:cs="宋体"/>
          <w:b/>
          <w:color w:val="auto"/>
          <w:sz w:val="28"/>
          <w:szCs w:val="28"/>
          <w:highlight w:val="none"/>
        </w:rPr>
        <w:t>第二部分 合同一般条款</w:t>
      </w:r>
      <w:bookmarkEnd w:id="151"/>
    </w:p>
    <w:p w14:paraId="1F4A43A0">
      <w:pPr>
        <w:wordWrap w:val="0"/>
        <w:spacing w:line="360" w:lineRule="auto"/>
        <w:ind w:firstLine="482" w:firstLineChars="200"/>
        <w:rPr>
          <w:rFonts w:ascii="宋体" w:hAnsi="宋体" w:cs="宋体"/>
          <w:b/>
          <w:color w:val="auto"/>
          <w:sz w:val="24"/>
          <w:highlight w:val="none"/>
        </w:rPr>
      </w:pPr>
      <w:bookmarkStart w:id="152" w:name="_Toc279701240"/>
      <w:bookmarkStart w:id="153" w:name="_Ref467378404"/>
      <w:bookmarkStart w:id="154" w:name="_Ref467378499"/>
      <w:bookmarkStart w:id="155" w:name="_Ref467379205"/>
      <w:bookmarkStart w:id="156" w:name="_Ref467379214"/>
      <w:bookmarkStart w:id="157" w:name="_Ref467379195"/>
      <w:bookmarkStart w:id="158" w:name="_Ref467379109"/>
      <w:bookmarkStart w:id="159" w:name="_Toc28763"/>
      <w:bookmarkStart w:id="160" w:name="_Toc259093669"/>
      <w:bookmarkStart w:id="161" w:name="_Toc19614"/>
      <w:bookmarkStart w:id="162" w:name="_Toc487900349"/>
      <w:bookmarkStart w:id="163" w:name="_Ref467379094"/>
      <w:bookmarkStart w:id="164" w:name="_Ref467379101"/>
      <w:bookmarkStart w:id="165" w:name="_Ref467379225"/>
      <w:bookmarkStart w:id="166" w:name="_Toc16917"/>
      <w:bookmarkStart w:id="167" w:name="_Ref467378463"/>
      <w:r>
        <w:rPr>
          <w:rFonts w:hint="eastAsia" w:ascii="宋体" w:hAnsi="宋体" w:cs="宋体"/>
          <w:b/>
          <w:color w:val="auto"/>
          <w:sz w:val="24"/>
          <w:highlight w:val="none"/>
        </w:rPr>
        <w:t>2.1 定义</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1A1402F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40C0D2F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14:paraId="6933B1D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14:paraId="44D9DBA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A607714">
      <w:pPr>
        <w:wordWrap w:val="0"/>
        <w:spacing w:line="360" w:lineRule="auto"/>
        <w:ind w:firstLine="480" w:firstLineChars="200"/>
        <w:rPr>
          <w:rFonts w:ascii="宋体" w:hAnsi="宋体" w:cs="宋体"/>
          <w:color w:val="auto"/>
          <w:sz w:val="24"/>
          <w:highlight w:val="none"/>
        </w:rPr>
      </w:pPr>
      <w:bookmarkStart w:id="168" w:name="_Ref467378840"/>
      <w:r>
        <w:rPr>
          <w:rFonts w:hint="eastAsia" w:ascii="宋体" w:hAnsi="宋体" w:cs="宋体"/>
          <w:color w:val="auto"/>
          <w:sz w:val="24"/>
          <w:highlight w:val="none"/>
        </w:rPr>
        <w:t>2.1.4 “甲方”系指与中标供应商签署合同的采购人</w:t>
      </w:r>
      <w:bookmarkEnd w:id="168"/>
      <w:r>
        <w:rPr>
          <w:rFonts w:hint="eastAsia" w:ascii="宋体" w:hAnsi="宋体" w:cs="宋体"/>
          <w:color w:val="auto"/>
          <w:sz w:val="24"/>
          <w:highlight w:val="none"/>
        </w:rPr>
        <w:t>；采购人委托采购机构代表其与乙方签订合同的，采购人的授权委托书作为合同附件。</w:t>
      </w:r>
    </w:p>
    <w:p w14:paraId="66952BA7">
      <w:pPr>
        <w:wordWrap w:val="0"/>
        <w:spacing w:line="360" w:lineRule="auto"/>
        <w:ind w:firstLine="480" w:firstLineChars="200"/>
        <w:rPr>
          <w:rFonts w:ascii="宋体" w:hAnsi="宋体" w:cs="宋体"/>
          <w:color w:val="auto"/>
          <w:sz w:val="24"/>
          <w:highlight w:val="none"/>
        </w:rPr>
      </w:pPr>
      <w:bookmarkStart w:id="169" w:name="_Ref467379400"/>
      <w:r>
        <w:rPr>
          <w:rFonts w:hint="eastAsia" w:ascii="宋体" w:hAnsi="宋体" w:cs="宋体"/>
          <w:color w:val="auto"/>
          <w:sz w:val="24"/>
          <w:highlight w:val="none"/>
        </w:rPr>
        <w:t>2.1.5 “乙方”系指根据合同约定交付标的物的</w:t>
      </w:r>
      <w:bookmarkEnd w:id="169"/>
      <w:r>
        <w:rPr>
          <w:rFonts w:hint="eastAsia" w:ascii="宋体" w:hAnsi="宋体" w:cs="宋体"/>
          <w:color w:val="auto"/>
          <w:sz w:val="24"/>
          <w:highlight w:val="none"/>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85AEF6B">
      <w:pPr>
        <w:wordWrap w:val="0"/>
        <w:spacing w:line="360" w:lineRule="auto"/>
        <w:ind w:firstLine="480" w:firstLineChars="200"/>
        <w:rPr>
          <w:rFonts w:ascii="宋体" w:hAnsi="宋体" w:cs="宋体"/>
          <w:color w:val="auto"/>
          <w:sz w:val="24"/>
          <w:highlight w:val="none"/>
        </w:rPr>
      </w:pPr>
      <w:bookmarkStart w:id="170" w:name="_Ref467379436"/>
      <w:r>
        <w:rPr>
          <w:rFonts w:hint="eastAsia" w:ascii="宋体" w:hAnsi="宋体" w:cs="宋体"/>
          <w:color w:val="auto"/>
          <w:sz w:val="24"/>
          <w:highlight w:val="none"/>
        </w:rPr>
        <w:t>2.1.6 “现场”系指合同约定标的物将要运至或者实施或者安装的地点。</w:t>
      </w:r>
      <w:bookmarkEnd w:id="170"/>
    </w:p>
    <w:p w14:paraId="7E6E6746">
      <w:pPr>
        <w:wordWrap w:val="0"/>
        <w:spacing w:line="360" w:lineRule="auto"/>
        <w:ind w:firstLine="482" w:firstLineChars="200"/>
        <w:rPr>
          <w:rFonts w:ascii="宋体" w:hAnsi="宋体" w:cs="宋体"/>
          <w:b/>
          <w:color w:val="auto"/>
          <w:sz w:val="24"/>
          <w:highlight w:val="none"/>
        </w:rPr>
      </w:pPr>
      <w:bookmarkStart w:id="171" w:name="_Toc487900350"/>
      <w:bookmarkStart w:id="172" w:name="_Toc13336"/>
      <w:bookmarkStart w:id="173" w:name="_Toc279701241"/>
      <w:bookmarkStart w:id="174" w:name="_Toc32504"/>
      <w:bookmarkStart w:id="175" w:name="_Toc27635"/>
      <w:bookmarkStart w:id="176" w:name="_Toc259093670"/>
      <w:r>
        <w:rPr>
          <w:rFonts w:hint="eastAsia" w:ascii="宋体" w:hAnsi="宋体" w:cs="宋体"/>
          <w:b/>
          <w:color w:val="auto"/>
          <w:sz w:val="24"/>
          <w:highlight w:val="none"/>
        </w:rPr>
        <w:t>2.2 技术规范</w:t>
      </w:r>
      <w:bookmarkEnd w:id="171"/>
      <w:bookmarkEnd w:id="172"/>
      <w:bookmarkEnd w:id="173"/>
      <w:bookmarkEnd w:id="174"/>
      <w:bookmarkEnd w:id="175"/>
      <w:bookmarkEnd w:id="176"/>
    </w:p>
    <w:p w14:paraId="72F2A8C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29FEA21">
      <w:pPr>
        <w:wordWrap w:val="0"/>
        <w:spacing w:line="360" w:lineRule="auto"/>
        <w:ind w:firstLine="482" w:firstLineChars="200"/>
        <w:rPr>
          <w:rFonts w:ascii="宋体" w:hAnsi="宋体" w:cs="宋体"/>
          <w:b/>
          <w:color w:val="auto"/>
          <w:sz w:val="24"/>
          <w:highlight w:val="none"/>
        </w:rPr>
      </w:pPr>
      <w:bookmarkStart w:id="177" w:name="_Toc279701242"/>
      <w:bookmarkStart w:id="178" w:name="_Toc259093671"/>
      <w:bookmarkStart w:id="179" w:name="_Toc27853"/>
      <w:bookmarkStart w:id="180" w:name="_Toc487900351"/>
      <w:bookmarkStart w:id="181" w:name="_Toc31634"/>
      <w:bookmarkStart w:id="182" w:name="_Toc9829"/>
      <w:r>
        <w:rPr>
          <w:rFonts w:hint="eastAsia" w:ascii="宋体" w:hAnsi="宋体" w:cs="宋体"/>
          <w:b/>
          <w:color w:val="auto"/>
          <w:sz w:val="24"/>
          <w:highlight w:val="none"/>
        </w:rPr>
        <w:t>2.3 知识产权</w:t>
      </w:r>
      <w:bookmarkEnd w:id="177"/>
      <w:bookmarkEnd w:id="178"/>
      <w:bookmarkEnd w:id="179"/>
      <w:bookmarkEnd w:id="180"/>
      <w:bookmarkEnd w:id="181"/>
      <w:bookmarkEnd w:id="182"/>
    </w:p>
    <w:p w14:paraId="7F8BB07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D7968D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70546BD8">
      <w:pPr>
        <w:wordWrap w:val="0"/>
        <w:spacing w:line="360" w:lineRule="auto"/>
        <w:ind w:firstLine="482" w:firstLineChars="200"/>
        <w:rPr>
          <w:rFonts w:ascii="宋体" w:hAnsi="宋体" w:cs="宋体"/>
          <w:b/>
          <w:color w:val="auto"/>
          <w:sz w:val="24"/>
          <w:highlight w:val="none"/>
        </w:rPr>
      </w:pPr>
      <w:bookmarkStart w:id="183" w:name="_Toc11932"/>
      <w:bookmarkStart w:id="184" w:name="_Toc29149"/>
      <w:bookmarkStart w:id="185" w:name="_Toc4194"/>
      <w:r>
        <w:rPr>
          <w:rFonts w:hint="eastAsia" w:ascii="宋体" w:hAnsi="宋体" w:cs="宋体"/>
          <w:b/>
          <w:color w:val="auto"/>
          <w:sz w:val="24"/>
          <w:highlight w:val="none"/>
        </w:rPr>
        <w:t>2.4 包装和装运</w:t>
      </w:r>
      <w:bookmarkEnd w:id="183"/>
      <w:bookmarkEnd w:id="184"/>
      <w:bookmarkEnd w:id="185"/>
    </w:p>
    <w:p w14:paraId="4327C5F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4E72A98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0D7D9457">
      <w:pPr>
        <w:wordWrap w:val="0"/>
        <w:spacing w:line="360" w:lineRule="auto"/>
        <w:ind w:firstLine="482" w:firstLineChars="200"/>
        <w:rPr>
          <w:rFonts w:ascii="宋体" w:hAnsi="宋体" w:cs="宋体"/>
          <w:b/>
          <w:color w:val="auto"/>
          <w:sz w:val="24"/>
          <w:highlight w:val="none"/>
        </w:rPr>
      </w:pPr>
      <w:bookmarkStart w:id="186" w:name="_Ref467379536"/>
      <w:bookmarkStart w:id="187" w:name="_Toc487900354"/>
      <w:bookmarkStart w:id="188" w:name="_Ref467379527"/>
      <w:bookmarkStart w:id="189" w:name="_Toc259093674"/>
      <w:bookmarkStart w:id="190" w:name="_Ref467378541"/>
      <w:bookmarkStart w:id="191" w:name="_Toc279701245"/>
      <w:bookmarkStart w:id="192" w:name="_Ref467379542"/>
      <w:bookmarkStart w:id="193" w:name="_Ref467378591"/>
      <w:bookmarkStart w:id="194" w:name="_Toc19074"/>
      <w:bookmarkStart w:id="195" w:name="_Toc26182"/>
      <w:bookmarkStart w:id="196" w:name="_Toc30272"/>
      <w:r>
        <w:rPr>
          <w:rFonts w:hint="eastAsia" w:ascii="宋体" w:hAnsi="宋体" w:cs="宋体"/>
          <w:b/>
          <w:color w:val="auto"/>
          <w:sz w:val="24"/>
          <w:highlight w:val="none"/>
        </w:rPr>
        <w:t>2.</w:t>
      </w:r>
      <w:bookmarkEnd w:id="186"/>
      <w:bookmarkEnd w:id="187"/>
      <w:bookmarkEnd w:id="188"/>
      <w:bookmarkEnd w:id="189"/>
      <w:bookmarkEnd w:id="190"/>
      <w:bookmarkEnd w:id="191"/>
      <w:bookmarkEnd w:id="192"/>
      <w:bookmarkEnd w:id="193"/>
      <w:r>
        <w:rPr>
          <w:rFonts w:hint="eastAsia" w:ascii="宋体" w:hAnsi="宋体" w:cs="宋体"/>
          <w:b/>
          <w:color w:val="auto"/>
          <w:sz w:val="24"/>
          <w:highlight w:val="none"/>
        </w:rPr>
        <w:t>5 履约检查和问题反馈</w:t>
      </w:r>
      <w:bookmarkEnd w:id="194"/>
      <w:bookmarkEnd w:id="195"/>
      <w:bookmarkEnd w:id="196"/>
    </w:p>
    <w:p w14:paraId="14FFAFF7">
      <w:pPr>
        <w:wordWrap w:val="0"/>
        <w:spacing w:line="360" w:lineRule="auto"/>
        <w:ind w:firstLine="480" w:firstLineChars="200"/>
        <w:rPr>
          <w:rFonts w:ascii="宋体" w:hAnsi="宋体" w:cs="宋体"/>
          <w:color w:val="auto"/>
          <w:sz w:val="24"/>
          <w:highlight w:val="none"/>
        </w:rPr>
      </w:pPr>
      <w:bookmarkStart w:id="197" w:name="_Ref467379657"/>
      <w:r>
        <w:rPr>
          <w:rFonts w:hint="eastAsia" w:ascii="宋体" w:hAnsi="宋体" w:cs="宋体"/>
          <w:color w:val="auto"/>
          <w:sz w:val="24"/>
          <w:highlight w:val="none"/>
        </w:rPr>
        <w:t>2.5.1</w:t>
      </w:r>
      <w:bookmarkEnd w:id="197"/>
      <w:bookmarkStart w:id="198" w:name="_Toc186431854"/>
      <w:bookmarkStart w:id="199" w:name="_Toc487900357"/>
      <w:bookmarkStart w:id="200" w:name="_Ref467379793"/>
      <w:bookmarkStart w:id="201" w:name="_Toc279701247"/>
      <w:bookmarkStart w:id="202" w:name="_Toc259093676"/>
      <w:bookmarkStart w:id="203" w:name="_Ref467379807"/>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0725CE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198"/>
      <w:bookmarkStart w:id="204" w:name="_Toc186431855"/>
      <w:r>
        <w:rPr>
          <w:rFonts w:hint="eastAsia" w:ascii="宋体" w:hAnsi="宋体" w:cs="宋体"/>
          <w:color w:val="auto"/>
          <w:sz w:val="24"/>
          <w:highlight w:val="none"/>
        </w:rPr>
        <w:t>。</w:t>
      </w:r>
    </w:p>
    <w:bookmarkEnd w:id="204"/>
    <w:p w14:paraId="50CE7580">
      <w:pPr>
        <w:wordWrap w:val="0"/>
        <w:spacing w:line="360" w:lineRule="auto"/>
        <w:ind w:firstLine="482" w:firstLineChars="200"/>
        <w:rPr>
          <w:rFonts w:ascii="宋体" w:hAnsi="宋体" w:cs="宋体"/>
          <w:b/>
          <w:color w:val="auto"/>
          <w:sz w:val="24"/>
          <w:highlight w:val="none"/>
        </w:rPr>
      </w:pPr>
      <w:bookmarkStart w:id="205" w:name="_Toc19219"/>
      <w:bookmarkStart w:id="206" w:name="_Toc28451"/>
      <w:bookmarkStart w:id="207" w:name="_Toc7836"/>
      <w:r>
        <w:rPr>
          <w:rFonts w:hint="eastAsia" w:ascii="宋体" w:hAnsi="宋体" w:cs="宋体"/>
          <w:b/>
          <w:color w:val="auto"/>
          <w:sz w:val="24"/>
          <w:highlight w:val="none"/>
        </w:rPr>
        <w:t>2.6 结算方式和付款条件</w:t>
      </w:r>
      <w:bookmarkEnd w:id="199"/>
      <w:bookmarkEnd w:id="200"/>
      <w:bookmarkEnd w:id="201"/>
      <w:bookmarkEnd w:id="202"/>
      <w:bookmarkEnd w:id="203"/>
      <w:bookmarkEnd w:id="205"/>
      <w:bookmarkEnd w:id="206"/>
      <w:bookmarkEnd w:id="207"/>
    </w:p>
    <w:p w14:paraId="0A1F43A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B79F818">
      <w:pPr>
        <w:wordWrap w:val="0"/>
        <w:spacing w:line="360" w:lineRule="auto"/>
        <w:ind w:firstLine="482" w:firstLineChars="200"/>
        <w:rPr>
          <w:rFonts w:ascii="宋体" w:hAnsi="宋体" w:cs="宋体"/>
          <w:b/>
          <w:color w:val="auto"/>
          <w:sz w:val="24"/>
          <w:highlight w:val="none"/>
        </w:rPr>
      </w:pPr>
      <w:bookmarkStart w:id="208" w:name="_Toc487900358"/>
      <w:bookmarkStart w:id="209" w:name="_Toc259093677"/>
      <w:bookmarkStart w:id="210" w:name="_Toc279701248"/>
      <w:bookmarkStart w:id="211" w:name="_Ref467379852"/>
      <w:bookmarkStart w:id="212" w:name="_Ref467379923"/>
      <w:bookmarkStart w:id="213" w:name="_Ref467379863"/>
      <w:bookmarkStart w:id="214" w:name="_Toc16110"/>
      <w:bookmarkStart w:id="215" w:name="_Toc774"/>
      <w:bookmarkStart w:id="216" w:name="_Toc3225"/>
      <w:r>
        <w:rPr>
          <w:rFonts w:hint="eastAsia" w:ascii="宋体" w:hAnsi="宋体" w:cs="宋体"/>
          <w:b/>
          <w:color w:val="auto"/>
          <w:sz w:val="24"/>
          <w:highlight w:val="none"/>
        </w:rPr>
        <w:t>2.7 技术资料</w:t>
      </w:r>
      <w:bookmarkEnd w:id="208"/>
      <w:bookmarkEnd w:id="209"/>
      <w:bookmarkEnd w:id="210"/>
      <w:bookmarkEnd w:id="211"/>
      <w:bookmarkEnd w:id="212"/>
      <w:bookmarkEnd w:id="213"/>
      <w:r>
        <w:rPr>
          <w:rFonts w:hint="eastAsia" w:ascii="宋体" w:hAnsi="宋体" w:cs="宋体"/>
          <w:b/>
          <w:color w:val="auto"/>
          <w:sz w:val="24"/>
          <w:highlight w:val="none"/>
        </w:rPr>
        <w:t>和保密义务</w:t>
      </w:r>
      <w:bookmarkEnd w:id="214"/>
      <w:bookmarkEnd w:id="215"/>
      <w:bookmarkEnd w:id="216"/>
    </w:p>
    <w:p w14:paraId="5927167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2EB44BC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25384F6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EA06C17">
      <w:pPr>
        <w:wordWrap w:val="0"/>
        <w:spacing w:line="360" w:lineRule="auto"/>
        <w:ind w:firstLine="482" w:firstLineChars="200"/>
        <w:rPr>
          <w:rFonts w:ascii="宋体" w:hAnsi="宋体" w:cs="宋体"/>
          <w:b/>
          <w:color w:val="auto"/>
          <w:sz w:val="24"/>
          <w:highlight w:val="none"/>
        </w:rPr>
      </w:pPr>
      <w:bookmarkStart w:id="217" w:name="_Toc7860"/>
      <w:r>
        <w:rPr>
          <w:rFonts w:hint="eastAsia" w:ascii="宋体" w:hAnsi="宋体" w:cs="宋体"/>
          <w:b/>
          <w:color w:val="auto"/>
          <w:sz w:val="24"/>
          <w:highlight w:val="none"/>
        </w:rPr>
        <w:t>2.8 质量保证</w:t>
      </w:r>
      <w:bookmarkEnd w:id="217"/>
    </w:p>
    <w:p w14:paraId="515B002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77BAD03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0CC6E4EF">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40F0116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（根据项目实际情况填写，一般为30%）。</w:t>
      </w:r>
    </w:p>
    <w:p w14:paraId="2B5E18C0">
      <w:pPr>
        <w:wordWrap w:val="0"/>
        <w:spacing w:line="360" w:lineRule="auto"/>
        <w:ind w:firstLine="482" w:firstLineChars="200"/>
        <w:rPr>
          <w:rFonts w:ascii="宋体" w:hAnsi="宋体" w:cs="宋体"/>
          <w:b/>
          <w:color w:val="auto"/>
          <w:sz w:val="24"/>
          <w:highlight w:val="none"/>
        </w:rPr>
      </w:pPr>
      <w:bookmarkStart w:id="218" w:name="_Toc17244"/>
      <w:bookmarkStart w:id="219" w:name="_Toc279701252"/>
      <w:bookmarkStart w:id="220" w:name="_Toc487900362"/>
      <w:bookmarkStart w:id="221" w:name="_Toc259093681"/>
      <w:r>
        <w:rPr>
          <w:rFonts w:hint="eastAsia" w:ascii="宋体" w:hAnsi="宋体" w:cs="宋体"/>
          <w:b/>
          <w:color w:val="auto"/>
          <w:sz w:val="24"/>
          <w:highlight w:val="none"/>
        </w:rPr>
        <w:t>2.9 标的物的风险负担</w:t>
      </w:r>
      <w:bookmarkEnd w:id="218"/>
    </w:p>
    <w:p w14:paraId="0D63AA48">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59CA3396">
      <w:pPr>
        <w:wordWrap w:val="0"/>
        <w:spacing w:line="360" w:lineRule="auto"/>
        <w:ind w:firstLine="482" w:firstLineChars="200"/>
        <w:rPr>
          <w:rFonts w:ascii="宋体" w:hAnsi="宋体" w:cs="宋体"/>
          <w:b/>
          <w:color w:val="auto"/>
          <w:sz w:val="24"/>
          <w:highlight w:val="none"/>
        </w:rPr>
      </w:pPr>
      <w:bookmarkStart w:id="222" w:name="_Toc14055"/>
      <w:r>
        <w:rPr>
          <w:rFonts w:hint="eastAsia" w:ascii="宋体" w:hAnsi="宋体" w:cs="宋体"/>
          <w:b/>
          <w:color w:val="auto"/>
          <w:sz w:val="24"/>
          <w:highlight w:val="none"/>
        </w:rPr>
        <w:t>2.10 延迟交货</w:t>
      </w:r>
      <w:bookmarkEnd w:id="219"/>
      <w:bookmarkEnd w:id="220"/>
      <w:bookmarkEnd w:id="221"/>
      <w:bookmarkEnd w:id="222"/>
      <w:r>
        <w:rPr>
          <w:rFonts w:hint="eastAsia" w:ascii="宋体" w:hAnsi="宋体" w:cs="宋体"/>
          <w:b/>
          <w:color w:val="auto"/>
          <w:sz w:val="24"/>
          <w:highlight w:val="none"/>
        </w:rPr>
        <w:t>/交付</w:t>
      </w:r>
    </w:p>
    <w:p w14:paraId="122A14E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A9364E4">
      <w:pPr>
        <w:wordWrap w:val="0"/>
        <w:spacing w:line="360" w:lineRule="auto"/>
        <w:ind w:firstLine="482" w:firstLineChars="200"/>
        <w:rPr>
          <w:rFonts w:ascii="宋体" w:hAnsi="宋体" w:cs="宋体"/>
          <w:b/>
          <w:color w:val="auto"/>
          <w:sz w:val="24"/>
          <w:highlight w:val="none"/>
        </w:rPr>
      </w:pPr>
      <w:bookmarkStart w:id="223" w:name="_Toc7502"/>
      <w:bookmarkStart w:id="224" w:name="_Toc259093683"/>
      <w:bookmarkStart w:id="225" w:name="_Toc279701254"/>
      <w:bookmarkStart w:id="226" w:name="_Ref467378121"/>
      <w:bookmarkStart w:id="227" w:name="_Toc487900364"/>
      <w:r>
        <w:rPr>
          <w:rFonts w:hint="eastAsia" w:ascii="宋体" w:hAnsi="宋体" w:cs="宋体"/>
          <w:b/>
          <w:color w:val="auto"/>
          <w:sz w:val="24"/>
          <w:highlight w:val="none"/>
        </w:rPr>
        <w:t>2.11 合同变更</w:t>
      </w:r>
      <w:bookmarkEnd w:id="223"/>
    </w:p>
    <w:p w14:paraId="11CAD23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282D8D7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28" w:name="_Toc259093688"/>
      <w:bookmarkStart w:id="229" w:name="_Toc487900369"/>
      <w:bookmarkStart w:id="230" w:name="_Toc279701259"/>
    </w:p>
    <w:p w14:paraId="74344E43">
      <w:pPr>
        <w:wordWrap w:val="0"/>
        <w:spacing w:line="360" w:lineRule="auto"/>
        <w:ind w:firstLine="482" w:firstLineChars="200"/>
        <w:rPr>
          <w:rFonts w:ascii="宋体" w:hAnsi="宋体" w:cs="宋体"/>
          <w:b/>
          <w:color w:val="auto"/>
          <w:sz w:val="24"/>
          <w:highlight w:val="none"/>
        </w:rPr>
      </w:pPr>
      <w:bookmarkStart w:id="231" w:name="_Toc10366"/>
      <w:bookmarkStart w:id="232" w:name="_Toc15237"/>
      <w:bookmarkStart w:id="233" w:name="_Toc22955"/>
      <w:r>
        <w:rPr>
          <w:rFonts w:hint="eastAsia" w:ascii="宋体" w:hAnsi="宋体" w:cs="宋体"/>
          <w:b/>
          <w:color w:val="auto"/>
          <w:sz w:val="24"/>
          <w:highlight w:val="none"/>
        </w:rPr>
        <w:t>2.12 合同转让</w:t>
      </w:r>
      <w:bookmarkEnd w:id="228"/>
      <w:bookmarkEnd w:id="229"/>
      <w:bookmarkEnd w:id="230"/>
      <w:r>
        <w:rPr>
          <w:rFonts w:hint="eastAsia" w:ascii="宋体" w:hAnsi="宋体" w:cs="宋体"/>
          <w:b/>
          <w:color w:val="auto"/>
          <w:sz w:val="24"/>
          <w:highlight w:val="none"/>
        </w:rPr>
        <w:t>和分包</w:t>
      </w:r>
      <w:bookmarkEnd w:id="231"/>
      <w:bookmarkEnd w:id="232"/>
      <w:bookmarkEnd w:id="233"/>
    </w:p>
    <w:p w14:paraId="005B877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049F457">
      <w:pPr>
        <w:wordWrap w:val="0"/>
        <w:spacing w:line="360" w:lineRule="auto"/>
        <w:ind w:firstLine="482" w:firstLineChars="200"/>
        <w:rPr>
          <w:rFonts w:ascii="宋体" w:hAnsi="宋体" w:cs="宋体"/>
          <w:b/>
          <w:color w:val="auto"/>
          <w:sz w:val="24"/>
          <w:highlight w:val="none"/>
        </w:rPr>
      </w:pPr>
      <w:bookmarkStart w:id="234" w:name="_Toc13566"/>
      <w:bookmarkStart w:id="235" w:name="_Toc14066"/>
      <w:bookmarkStart w:id="236" w:name="_Toc16508"/>
      <w:r>
        <w:rPr>
          <w:rFonts w:hint="eastAsia" w:ascii="宋体" w:hAnsi="宋体" w:cs="宋体"/>
          <w:b/>
          <w:color w:val="auto"/>
          <w:sz w:val="24"/>
          <w:highlight w:val="none"/>
        </w:rPr>
        <w:t>2.13 不可抗力</w:t>
      </w:r>
      <w:bookmarkEnd w:id="234"/>
      <w:bookmarkEnd w:id="235"/>
      <w:bookmarkEnd w:id="236"/>
    </w:p>
    <w:p w14:paraId="01DFFE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57661F6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00CA6BA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008D3F7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79FC6E36">
      <w:pPr>
        <w:wordWrap w:val="0"/>
        <w:spacing w:line="360" w:lineRule="auto"/>
        <w:ind w:firstLine="482" w:firstLineChars="200"/>
        <w:rPr>
          <w:rFonts w:ascii="宋体" w:hAnsi="宋体" w:cs="宋体"/>
          <w:b/>
          <w:color w:val="auto"/>
          <w:sz w:val="24"/>
          <w:highlight w:val="none"/>
        </w:rPr>
      </w:pPr>
      <w:bookmarkStart w:id="237" w:name="_Toc487900365"/>
      <w:bookmarkStart w:id="238" w:name="_Toc259093684"/>
      <w:bookmarkStart w:id="239" w:name="_Toc279701255"/>
      <w:bookmarkStart w:id="240" w:name="_Toc689"/>
      <w:bookmarkStart w:id="241" w:name="_Toc6969"/>
      <w:bookmarkStart w:id="242" w:name="_Toc30676"/>
      <w:r>
        <w:rPr>
          <w:rFonts w:hint="eastAsia" w:ascii="宋体" w:hAnsi="宋体" w:cs="宋体"/>
          <w:b/>
          <w:color w:val="auto"/>
          <w:sz w:val="24"/>
          <w:highlight w:val="none"/>
        </w:rPr>
        <w:t>2.14 税费</w:t>
      </w:r>
      <w:bookmarkEnd w:id="237"/>
      <w:bookmarkEnd w:id="238"/>
      <w:bookmarkEnd w:id="239"/>
      <w:bookmarkEnd w:id="240"/>
      <w:bookmarkEnd w:id="241"/>
      <w:bookmarkEnd w:id="242"/>
    </w:p>
    <w:p w14:paraId="6A462A8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669A84AB">
      <w:pPr>
        <w:wordWrap w:val="0"/>
        <w:spacing w:line="360" w:lineRule="auto"/>
        <w:ind w:firstLine="482" w:firstLineChars="200"/>
        <w:rPr>
          <w:rFonts w:ascii="宋体" w:hAnsi="宋体" w:cs="宋体"/>
          <w:b/>
          <w:color w:val="auto"/>
          <w:sz w:val="24"/>
          <w:highlight w:val="none"/>
        </w:rPr>
      </w:pPr>
      <w:bookmarkStart w:id="243" w:name="_Toc16959"/>
      <w:bookmarkStart w:id="244" w:name="_Toc259093687"/>
      <w:bookmarkStart w:id="245" w:name="_Toc7102"/>
      <w:bookmarkStart w:id="246" w:name="_Toc8298"/>
      <w:bookmarkStart w:id="247" w:name="_Toc487900368"/>
      <w:bookmarkStart w:id="248" w:name="_Toc279701258"/>
      <w:r>
        <w:rPr>
          <w:rFonts w:hint="eastAsia" w:ascii="宋体" w:hAnsi="宋体" w:cs="宋体"/>
          <w:b/>
          <w:color w:val="auto"/>
          <w:sz w:val="24"/>
          <w:highlight w:val="none"/>
        </w:rPr>
        <w:t>2.15 乙方破产</w:t>
      </w:r>
      <w:bookmarkEnd w:id="243"/>
      <w:bookmarkEnd w:id="244"/>
      <w:bookmarkEnd w:id="245"/>
      <w:bookmarkEnd w:id="246"/>
      <w:bookmarkEnd w:id="247"/>
      <w:bookmarkEnd w:id="248"/>
    </w:p>
    <w:p w14:paraId="079CEA1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70182D2">
      <w:pPr>
        <w:wordWrap w:val="0"/>
        <w:spacing w:line="360" w:lineRule="auto"/>
        <w:ind w:firstLine="482" w:firstLineChars="200"/>
        <w:rPr>
          <w:rFonts w:ascii="宋体" w:hAnsi="宋体" w:cs="宋体"/>
          <w:b/>
          <w:color w:val="auto"/>
          <w:sz w:val="24"/>
          <w:highlight w:val="none"/>
        </w:rPr>
      </w:pPr>
      <w:bookmarkStart w:id="249" w:name="_Toc15387"/>
      <w:bookmarkStart w:id="250" w:name="_Toc29333"/>
      <w:bookmarkStart w:id="251" w:name="_Toc6134"/>
      <w:r>
        <w:rPr>
          <w:rFonts w:hint="eastAsia" w:ascii="宋体" w:hAnsi="宋体" w:cs="宋体"/>
          <w:b/>
          <w:color w:val="auto"/>
          <w:sz w:val="24"/>
          <w:highlight w:val="none"/>
        </w:rPr>
        <w:t>2.16 合同中止、终止</w:t>
      </w:r>
      <w:bookmarkEnd w:id="249"/>
      <w:bookmarkEnd w:id="250"/>
      <w:bookmarkEnd w:id="251"/>
    </w:p>
    <w:p w14:paraId="58CFF9E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5464261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44F3FCB">
      <w:pPr>
        <w:wordWrap w:val="0"/>
        <w:spacing w:line="360" w:lineRule="auto"/>
        <w:ind w:firstLine="482" w:firstLineChars="200"/>
        <w:rPr>
          <w:rFonts w:ascii="宋体" w:hAnsi="宋体" w:cs="宋体"/>
          <w:b/>
          <w:color w:val="auto"/>
          <w:sz w:val="24"/>
          <w:highlight w:val="none"/>
        </w:rPr>
      </w:pPr>
      <w:bookmarkStart w:id="252" w:name="_Toc1125"/>
      <w:bookmarkStart w:id="253" w:name="_Toc6596"/>
      <w:bookmarkStart w:id="254" w:name="_Toc14563"/>
      <w:r>
        <w:rPr>
          <w:rFonts w:hint="eastAsia" w:ascii="宋体" w:hAnsi="宋体" w:cs="宋体"/>
          <w:b/>
          <w:color w:val="auto"/>
          <w:sz w:val="24"/>
          <w:highlight w:val="none"/>
        </w:rPr>
        <w:t>2.17 检验和验收</w:t>
      </w:r>
      <w:bookmarkEnd w:id="252"/>
      <w:bookmarkEnd w:id="253"/>
      <w:bookmarkEnd w:id="254"/>
    </w:p>
    <w:p w14:paraId="1156619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4D70108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F1041A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224"/>
    <w:bookmarkEnd w:id="225"/>
    <w:bookmarkEnd w:id="226"/>
    <w:bookmarkEnd w:id="227"/>
    <w:p w14:paraId="06EE16ED">
      <w:pPr>
        <w:wordWrap w:val="0"/>
        <w:spacing w:line="360" w:lineRule="auto"/>
        <w:ind w:firstLine="482" w:firstLineChars="200"/>
        <w:rPr>
          <w:rFonts w:ascii="宋体" w:hAnsi="宋体" w:cs="宋体"/>
          <w:b/>
          <w:color w:val="auto"/>
          <w:sz w:val="24"/>
          <w:highlight w:val="none"/>
        </w:rPr>
      </w:pPr>
      <w:bookmarkStart w:id="255" w:name="_Toc259093690"/>
      <w:bookmarkStart w:id="256" w:name="_Toc487900371"/>
      <w:bookmarkStart w:id="257" w:name="_Toc279701261"/>
      <w:bookmarkStart w:id="258" w:name="_Toc19604"/>
      <w:bookmarkStart w:id="259" w:name="_Toc11284"/>
      <w:bookmarkStart w:id="260" w:name="_Toc25182"/>
      <w:r>
        <w:rPr>
          <w:rFonts w:hint="eastAsia" w:ascii="宋体" w:hAnsi="宋体" w:cs="宋体"/>
          <w:b/>
          <w:color w:val="auto"/>
          <w:sz w:val="24"/>
          <w:highlight w:val="none"/>
        </w:rPr>
        <w:t>2.18 通知</w:t>
      </w:r>
      <w:bookmarkEnd w:id="255"/>
      <w:bookmarkEnd w:id="256"/>
      <w:bookmarkEnd w:id="257"/>
      <w:r>
        <w:rPr>
          <w:rFonts w:hint="eastAsia" w:ascii="宋体" w:hAnsi="宋体" w:cs="宋体"/>
          <w:b/>
          <w:color w:val="auto"/>
          <w:sz w:val="24"/>
          <w:highlight w:val="none"/>
        </w:rPr>
        <w:t>和送达</w:t>
      </w:r>
      <w:bookmarkEnd w:id="258"/>
      <w:bookmarkEnd w:id="259"/>
      <w:bookmarkEnd w:id="260"/>
    </w:p>
    <w:p w14:paraId="140F6A95">
      <w:pPr>
        <w:wordWrap w:val="0"/>
        <w:spacing w:line="360" w:lineRule="auto"/>
        <w:ind w:firstLine="480" w:firstLineChars="200"/>
        <w:rPr>
          <w:rFonts w:ascii="宋体" w:hAnsi="宋体" w:cs="宋体"/>
          <w:color w:val="auto"/>
          <w:sz w:val="24"/>
          <w:highlight w:val="none"/>
        </w:rPr>
      </w:pPr>
      <w:bookmarkStart w:id="261" w:name="_Toc6698"/>
      <w:bookmarkStart w:id="262" w:name="_Toc3135"/>
      <w:bookmarkStart w:id="263" w:name="_Toc487900372"/>
      <w:bookmarkStart w:id="264" w:name="_Toc259093691"/>
      <w:bookmarkStart w:id="265" w:name="_Toc279701262"/>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个工作日（根据项目实际情况填写）内书面通知对方当事人，在对方当事人收到有关变更通知之前，变更前的约定送达方式或者地址仍视为有效。</w:t>
      </w:r>
      <w:bookmarkEnd w:id="261"/>
      <w:bookmarkEnd w:id="262"/>
    </w:p>
    <w:p w14:paraId="3296BDC7">
      <w:pPr>
        <w:wordWrap w:val="0"/>
        <w:spacing w:line="360" w:lineRule="auto"/>
        <w:ind w:firstLine="480" w:firstLineChars="200"/>
        <w:rPr>
          <w:rFonts w:ascii="宋体" w:hAnsi="宋体" w:cs="宋体"/>
          <w:color w:val="auto"/>
          <w:sz w:val="24"/>
          <w:highlight w:val="none"/>
        </w:rPr>
      </w:pPr>
      <w:bookmarkStart w:id="266" w:name="_Toc23294"/>
      <w:bookmarkStart w:id="267" w:name="_Toc23128"/>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66"/>
      <w:bookmarkEnd w:id="267"/>
    </w:p>
    <w:p w14:paraId="42CC0B21">
      <w:pPr>
        <w:wordWrap w:val="0"/>
        <w:spacing w:line="360" w:lineRule="auto"/>
        <w:ind w:firstLine="482" w:firstLineChars="200"/>
        <w:rPr>
          <w:rFonts w:ascii="宋体" w:hAnsi="宋体" w:cs="宋体"/>
          <w:b/>
          <w:color w:val="auto"/>
          <w:sz w:val="24"/>
          <w:highlight w:val="none"/>
        </w:rPr>
      </w:pPr>
      <w:bookmarkStart w:id="268" w:name="_Toc18540"/>
      <w:bookmarkStart w:id="269" w:name="_Toc30599"/>
      <w:bookmarkStart w:id="270" w:name="_Toc4355"/>
      <w:r>
        <w:rPr>
          <w:rFonts w:hint="eastAsia" w:ascii="宋体" w:hAnsi="宋体" w:cs="宋体"/>
          <w:b/>
          <w:color w:val="auto"/>
          <w:sz w:val="24"/>
          <w:highlight w:val="none"/>
        </w:rPr>
        <w:t>2.19 计量单位</w:t>
      </w:r>
      <w:bookmarkEnd w:id="263"/>
      <w:bookmarkEnd w:id="264"/>
      <w:bookmarkEnd w:id="265"/>
      <w:bookmarkEnd w:id="268"/>
      <w:bookmarkEnd w:id="269"/>
      <w:bookmarkEnd w:id="270"/>
    </w:p>
    <w:p w14:paraId="3ACE765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60F945B2">
      <w:pPr>
        <w:wordWrap w:val="0"/>
        <w:spacing w:line="360" w:lineRule="auto"/>
        <w:ind w:firstLine="482" w:firstLineChars="200"/>
        <w:rPr>
          <w:rFonts w:ascii="宋体" w:hAnsi="宋体" w:cs="宋体"/>
          <w:b/>
          <w:color w:val="auto"/>
          <w:sz w:val="24"/>
          <w:highlight w:val="none"/>
        </w:rPr>
      </w:pPr>
      <w:bookmarkStart w:id="271" w:name="_Toc279701263"/>
      <w:bookmarkStart w:id="272" w:name="_Toc10330"/>
      <w:bookmarkStart w:id="273" w:name="_Toc259093692"/>
      <w:bookmarkStart w:id="274" w:name="_Toc12773"/>
      <w:bookmarkStart w:id="275" w:name="_Toc18567"/>
      <w:bookmarkStart w:id="276" w:name="_Toc487900373"/>
      <w:r>
        <w:rPr>
          <w:rFonts w:hint="eastAsia" w:ascii="宋体" w:hAnsi="宋体" w:cs="宋体"/>
          <w:b/>
          <w:color w:val="auto"/>
          <w:sz w:val="24"/>
          <w:highlight w:val="none"/>
        </w:rPr>
        <w:t>2.20 合同使用的文字和适用的法律</w:t>
      </w:r>
      <w:bookmarkEnd w:id="271"/>
      <w:bookmarkEnd w:id="272"/>
      <w:bookmarkEnd w:id="273"/>
      <w:bookmarkEnd w:id="274"/>
      <w:bookmarkEnd w:id="275"/>
      <w:bookmarkEnd w:id="276"/>
    </w:p>
    <w:p w14:paraId="0F79C10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2.20.1 合同使用汉语书就、变更和解释；</w:t>
      </w:r>
    </w:p>
    <w:p w14:paraId="5C0C2C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2.20.2 合同适用中华人民共和国法律。</w:t>
      </w:r>
    </w:p>
    <w:p w14:paraId="28024584">
      <w:pPr>
        <w:wordWrap w:val="0"/>
        <w:spacing w:line="360" w:lineRule="auto"/>
        <w:ind w:firstLine="482" w:firstLineChars="200"/>
        <w:rPr>
          <w:rFonts w:ascii="宋体" w:hAnsi="宋体" w:cs="宋体"/>
          <w:b/>
          <w:color w:val="auto"/>
          <w:sz w:val="24"/>
          <w:highlight w:val="none"/>
        </w:rPr>
      </w:pPr>
      <w:bookmarkStart w:id="277" w:name="_Toc279701264"/>
      <w:bookmarkStart w:id="278" w:name="_Toc16673"/>
      <w:bookmarkStart w:id="279" w:name="_Toc3148"/>
      <w:bookmarkStart w:id="280" w:name="_Toc259093693"/>
      <w:bookmarkStart w:id="281" w:name="_Toc12004"/>
      <w:bookmarkStart w:id="282" w:name="_Toc487900374"/>
      <w:r>
        <w:rPr>
          <w:rFonts w:hint="eastAsia" w:ascii="宋体" w:hAnsi="宋体" w:cs="宋体"/>
          <w:b/>
          <w:color w:val="auto"/>
          <w:sz w:val="24"/>
          <w:highlight w:val="none"/>
        </w:rPr>
        <w:t>2.21 履约保证金</w:t>
      </w:r>
      <w:bookmarkEnd w:id="277"/>
      <w:bookmarkEnd w:id="278"/>
      <w:bookmarkEnd w:id="279"/>
      <w:bookmarkEnd w:id="280"/>
      <w:bookmarkEnd w:id="281"/>
    </w:p>
    <w:p w14:paraId="3091B224">
      <w:pPr>
        <w:wordWrap w:val="0"/>
        <w:spacing w:line="360" w:lineRule="auto"/>
        <w:ind w:firstLine="480" w:firstLineChars="200"/>
        <w:rPr>
          <w:rFonts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370CDF3F">
      <w:pPr>
        <w:wordWrap w:val="0"/>
        <w:spacing w:line="360" w:lineRule="auto"/>
        <w:ind w:firstLine="482" w:firstLineChars="200"/>
        <w:rPr>
          <w:rFonts w:ascii="宋体" w:hAnsi="宋体" w:cs="宋体"/>
          <w:color w:val="auto"/>
          <w:kern w:val="0"/>
          <w:sz w:val="24"/>
          <w:highlight w:val="none"/>
          <w:lang w:val="zh-CN"/>
        </w:rPr>
      </w:pPr>
      <w:r>
        <w:rPr>
          <w:rFonts w:hint="eastAsia" w:ascii="宋体" w:hAnsi="宋体" w:cs="宋体"/>
          <w:b/>
          <w:color w:val="auto"/>
          <w:sz w:val="24"/>
          <w:highlight w:val="none"/>
        </w:rPr>
        <w:t xml:space="preserve">2.22 </w:t>
      </w:r>
      <w:r>
        <w:rPr>
          <w:rFonts w:hint="eastAsia" w:ascii="宋体" w:hAnsi="宋体" w:cs="宋体"/>
          <w:b/>
          <w:bCs/>
          <w:color w:val="auto"/>
          <w:kern w:val="0"/>
          <w:sz w:val="24"/>
          <w:highlight w:val="none"/>
        </w:rPr>
        <w:t>中小</w:t>
      </w:r>
      <w:r>
        <w:rPr>
          <w:rFonts w:hint="eastAsia" w:ascii="宋体" w:hAnsi="宋体" w:cs="宋体"/>
          <w:b/>
          <w:bCs/>
          <w:color w:val="auto"/>
          <w:sz w:val="24"/>
          <w:highlight w:val="none"/>
        </w:rPr>
        <w:t>企</w:t>
      </w:r>
      <w:r>
        <w:rPr>
          <w:rFonts w:hint="eastAsia" w:ascii="宋体" w:hAnsi="宋体" w:cs="宋体"/>
          <w:b/>
          <w:color w:val="auto"/>
          <w:sz w:val="24"/>
          <w:highlight w:val="none"/>
        </w:rPr>
        <w:t>业政策</w:t>
      </w:r>
    </w:p>
    <w:p w14:paraId="1AE14DDB">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w:t>
      </w:r>
      <w:r>
        <w:rPr>
          <w:rFonts w:hint="eastAsia" w:ascii="宋体" w:hAnsi="宋体" w:cs="宋体"/>
          <w:color w:val="auto"/>
          <w:kern w:val="0"/>
          <w:sz w:val="24"/>
          <w:highlight w:val="none"/>
        </w:rPr>
        <w:t>中小</w:t>
      </w:r>
      <w:r>
        <w:rPr>
          <w:rFonts w:hint="eastAsia" w:ascii="宋体" w:hAnsi="宋体" w:cs="宋体"/>
          <w:color w:val="auto"/>
          <w:kern w:val="0"/>
          <w:sz w:val="24"/>
          <w:highlight w:val="none"/>
          <w:lang w:val="zh-CN"/>
        </w:rPr>
        <w:t>企业“政采贷”可融资合同，关于</w:t>
      </w:r>
      <w:r>
        <w:rPr>
          <w:rFonts w:hint="eastAsia" w:ascii="宋体" w:hAnsi="宋体" w:cs="宋体"/>
          <w:color w:val="auto"/>
          <w:kern w:val="0"/>
          <w:sz w:val="24"/>
          <w:highlight w:val="none"/>
        </w:rPr>
        <w:t>中小</w:t>
      </w:r>
      <w:r>
        <w:rPr>
          <w:rFonts w:hint="eastAsia" w:ascii="宋体" w:hAnsi="宋体" w:cs="宋体"/>
          <w:color w:val="auto"/>
          <w:kern w:val="0"/>
          <w:sz w:val="24"/>
          <w:highlight w:val="none"/>
          <w:lang w:val="zh-CN"/>
        </w:rPr>
        <w:t>企业信用融资事项见采购文件“投标人须知正文”。</w:t>
      </w:r>
    </w:p>
    <w:p w14:paraId="46E074D7">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w:t>
      </w:r>
      <w:r>
        <w:rPr>
          <w:rFonts w:hint="eastAsia" w:ascii="宋体" w:hAnsi="宋体" w:cs="宋体"/>
          <w:color w:val="auto"/>
          <w:kern w:val="0"/>
          <w:sz w:val="24"/>
          <w:highlight w:val="none"/>
        </w:rPr>
        <w:t>中小</w:t>
      </w:r>
      <w:r>
        <w:rPr>
          <w:rFonts w:hint="eastAsia" w:ascii="宋体" w:hAnsi="宋体" w:cs="宋体"/>
          <w:color w:val="auto"/>
          <w:kern w:val="0"/>
          <w:sz w:val="24"/>
          <w:highlight w:val="none"/>
          <w:lang w:val="zh-CN"/>
        </w:rPr>
        <w:t>企业预留合同。</w:t>
      </w:r>
    </w:p>
    <w:bookmarkEnd w:id="282"/>
    <w:p w14:paraId="79B5012F">
      <w:pPr>
        <w:wordWrap w:val="0"/>
        <w:spacing w:line="360" w:lineRule="auto"/>
        <w:ind w:firstLine="482" w:firstLineChars="200"/>
        <w:rPr>
          <w:rFonts w:ascii="宋体" w:hAnsi="宋体" w:cs="宋体"/>
          <w:b/>
          <w:color w:val="auto"/>
          <w:sz w:val="24"/>
          <w:highlight w:val="none"/>
        </w:rPr>
      </w:pPr>
      <w:bookmarkStart w:id="283" w:name="_Toc6885"/>
      <w:bookmarkStart w:id="284" w:name="_Toc19890"/>
      <w:bookmarkStart w:id="285" w:name="_Toc14001"/>
      <w:r>
        <w:rPr>
          <w:rFonts w:hint="eastAsia" w:ascii="宋体" w:hAnsi="宋体" w:cs="宋体"/>
          <w:b/>
          <w:color w:val="auto"/>
          <w:sz w:val="24"/>
          <w:highlight w:val="none"/>
        </w:rPr>
        <w:t>2.23 合同份数</w:t>
      </w:r>
      <w:bookmarkEnd w:id="283"/>
      <w:bookmarkEnd w:id="284"/>
      <w:bookmarkEnd w:id="285"/>
    </w:p>
    <w:p w14:paraId="485720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本合同壹式份，甲方执</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份，代理机构执</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贰</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份。每份均具有同等法律效力。</w:t>
      </w:r>
    </w:p>
    <w:p w14:paraId="5B40818E">
      <w:pPr>
        <w:wordWrap w:val="0"/>
        <w:spacing w:line="360" w:lineRule="auto"/>
        <w:jc w:val="center"/>
        <w:rPr>
          <w:rFonts w:ascii="宋体" w:hAnsi="宋体" w:cs="宋体"/>
          <w:b/>
          <w:color w:val="auto"/>
          <w:sz w:val="28"/>
          <w:szCs w:val="28"/>
          <w:highlight w:val="none"/>
        </w:rPr>
      </w:pPr>
      <w:r>
        <w:rPr>
          <w:rFonts w:hint="eastAsia" w:ascii="宋体" w:hAnsi="宋体" w:cs="宋体"/>
          <w:color w:val="auto"/>
          <w:highlight w:val="none"/>
        </w:rPr>
        <w:br w:type="page"/>
      </w:r>
      <w:bookmarkStart w:id="286" w:name="_Toc331685784"/>
      <w:r>
        <w:rPr>
          <w:rFonts w:hint="eastAsia" w:ascii="宋体" w:hAnsi="宋体" w:cs="宋体"/>
          <w:b/>
          <w:color w:val="auto"/>
          <w:sz w:val="28"/>
          <w:szCs w:val="28"/>
          <w:highlight w:val="none"/>
        </w:rPr>
        <w:t>第三部分  合同专用条款</w:t>
      </w:r>
      <w:bookmarkEnd w:id="286"/>
    </w:p>
    <w:p w14:paraId="5688F70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7851C1F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3.1具有知识产权的标的物知识产权归属：</w:t>
      </w:r>
      <w:r>
        <w:rPr>
          <w:rFonts w:hint="eastAsia" w:ascii="宋体" w:hAnsi="宋体" w:cs="宋体"/>
          <w:color w:val="auto"/>
          <w:sz w:val="24"/>
          <w:highlight w:val="none"/>
          <w:u w:val="single"/>
          <w:lang w:val="en-US" w:eastAsia="zh-CN"/>
        </w:rPr>
        <w:t xml:space="preserve">                   </w:t>
      </w:r>
    </w:p>
    <w:p w14:paraId="3B0BD31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3.2包装和装运专用条款（如果有）：</w:t>
      </w:r>
      <w:r>
        <w:rPr>
          <w:rFonts w:hint="eastAsia" w:ascii="宋体" w:hAnsi="宋体" w:cs="宋体"/>
          <w:color w:val="auto"/>
          <w:sz w:val="24"/>
          <w:highlight w:val="none"/>
          <w:u w:val="single"/>
          <w:lang w:val="en-US" w:eastAsia="zh-CN"/>
        </w:rPr>
        <w:t xml:space="preserve">                  </w:t>
      </w:r>
    </w:p>
    <w:p w14:paraId="180C5E5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3.3装运标的物的要求和通知：</w:t>
      </w:r>
      <w:r>
        <w:rPr>
          <w:rFonts w:hint="eastAsia" w:ascii="宋体" w:hAnsi="宋体" w:cs="宋体"/>
          <w:color w:val="auto"/>
          <w:sz w:val="24"/>
          <w:highlight w:val="none"/>
          <w:u w:val="single"/>
          <w:lang w:val="en-US" w:eastAsia="zh-CN"/>
        </w:rPr>
        <w:t xml:space="preserve">                   </w:t>
      </w:r>
    </w:p>
    <w:p w14:paraId="406FE425">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3.4</w:t>
      </w:r>
      <w:r>
        <w:rPr>
          <w:rFonts w:hint="eastAsia" w:ascii="宋体" w:hAnsi="宋体" w:cs="宋体"/>
          <w:b/>
          <w:color w:val="auto"/>
          <w:sz w:val="24"/>
          <w:highlight w:val="none"/>
        </w:rPr>
        <w:t>结算方式和付款条件</w:t>
      </w:r>
    </w:p>
    <w:p w14:paraId="68A44F90">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    元）。</w:t>
      </w:r>
      <w:r>
        <w:rPr>
          <w:rFonts w:hint="eastAsia" w:ascii="宋体" w:hAnsi="宋体" w:cs="宋体"/>
          <w:color w:val="auto"/>
          <w:kern w:val="0"/>
          <w:sz w:val="24"/>
          <w:highlight w:val="none"/>
          <w:lang w:val="zh-CN"/>
        </w:rPr>
        <w:t>本项目采用以下勾选结算方式进行支付：</w:t>
      </w:r>
    </w:p>
    <w:p w14:paraId="3EB16A00">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p>
    <w:p w14:paraId="4C84866F">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p>
    <w:p w14:paraId="4E95BAC0">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p>
    <w:p w14:paraId="6E47885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甲方无故逾期支付服务费用的，按照每逾期一日支付欠付服务费额度的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（根据项目实际填写，一般为万分之五）承担违约责任，违约金上限按照《合同书》约定执行。</w:t>
      </w:r>
    </w:p>
    <w:p w14:paraId="005951FB">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3.5</w:t>
      </w:r>
      <w:r>
        <w:rPr>
          <w:rFonts w:hint="eastAsia" w:ascii="宋体" w:hAnsi="宋体" w:cs="宋体"/>
          <w:b/>
          <w:color w:val="auto"/>
          <w:sz w:val="24"/>
          <w:highlight w:val="none"/>
        </w:rPr>
        <w:t>标的物的风险负担</w:t>
      </w:r>
    </w:p>
    <w:p w14:paraId="4F575D1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44189308">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5E34097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3.5.1受不可抗力影响的一方在不可抗力发生后，应在</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日内（根据项目实际填写）以书面形式通知对方当事人，并在</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日内，将有关部门出具的证明文件送达对方当事人。</w:t>
      </w:r>
    </w:p>
    <w:p w14:paraId="1E81931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3.5.2因不可抗力致使合同有变更必要的，双方当事人应在</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日内（根据项目实际填写）以书面形式变更合同；</w:t>
      </w:r>
    </w:p>
    <w:p w14:paraId="123300C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3.5.3标的物交付前，乙方应对标的物的质量、数量等方面进行详细、全面的检验，并向甲方出具证明标的物符合合同约定的文件；标的物交付时，乙方在</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日内发（根据项目实际填写）起验收，并可依法邀请相关方参加，验收应出具验收书。</w:t>
      </w:r>
    </w:p>
    <w:p w14:paraId="0F4E31D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3.5.4 检验和验收标准、程序等具体内容以及前述验收书的效力：</w:t>
      </w:r>
    </w:p>
    <w:p w14:paraId="72A50149">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lang w:val="en-US" w:eastAsia="zh-CN"/>
        </w:rPr>
        <w:t xml:space="preserve">                                        </w:t>
      </w:r>
    </w:p>
    <w:p w14:paraId="1619951B">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3.5.5 其他：</w:t>
      </w:r>
      <w:r>
        <w:rPr>
          <w:rFonts w:hint="eastAsia" w:ascii="宋体" w:hAnsi="宋体" w:cs="宋体"/>
          <w:color w:val="auto"/>
          <w:sz w:val="24"/>
          <w:highlight w:val="none"/>
          <w:u w:val="single"/>
          <w:lang w:val="en-US" w:eastAsia="zh-CN"/>
        </w:rPr>
        <w:t xml:space="preserve">         </w:t>
      </w:r>
    </w:p>
    <w:p w14:paraId="1D4F2C0C">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3.6</w:t>
      </w:r>
      <w:r>
        <w:rPr>
          <w:rFonts w:hint="eastAsia" w:ascii="宋体" w:hAnsi="宋体" w:cs="宋体"/>
          <w:b/>
          <w:color w:val="auto"/>
          <w:sz w:val="24"/>
          <w:highlight w:val="none"/>
        </w:rPr>
        <w:t>项目验收：</w:t>
      </w:r>
    </w:p>
    <w:p w14:paraId="514ED446">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63A8614">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5248AF4">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E1844DB">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3.6.4首次验收费用由</w:t>
      </w:r>
      <w:r>
        <w:rPr>
          <w:rFonts w:hint="eastAsia" w:ascii="宋体" w:hAnsi="宋体" w:cs="宋体"/>
          <w:color w:val="auto"/>
          <w:kern w:val="0"/>
          <w:sz w:val="24"/>
          <w:highlight w:val="none"/>
          <w:u w:val="single"/>
        </w:rPr>
        <w:t>乙方</w:t>
      </w:r>
      <w:r>
        <w:rPr>
          <w:rFonts w:hint="eastAsia" w:ascii="宋体" w:hAnsi="宋体" w:cs="宋体"/>
          <w:color w:val="auto"/>
          <w:kern w:val="0"/>
          <w:sz w:val="24"/>
          <w:highlight w:val="none"/>
        </w:rPr>
        <w:t>承担，如首次验收不合格，后续验收费用由</w:t>
      </w:r>
      <w:r>
        <w:rPr>
          <w:rFonts w:hint="eastAsia" w:ascii="宋体" w:hAnsi="宋体" w:cs="宋体"/>
          <w:color w:val="auto"/>
          <w:kern w:val="0"/>
          <w:sz w:val="24"/>
          <w:highlight w:val="none"/>
          <w:u w:val="single"/>
        </w:rPr>
        <w:t>乙方</w:t>
      </w:r>
      <w:r>
        <w:rPr>
          <w:rFonts w:hint="eastAsia" w:ascii="宋体" w:hAnsi="宋体" w:cs="宋体"/>
          <w:color w:val="auto"/>
          <w:kern w:val="0"/>
          <w:sz w:val="24"/>
          <w:highlight w:val="none"/>
        </w:rPr>
        <w:t>支付。</w:t>
      </w:r>
    </w:p>
    <w:p w14:paraId="1D5FF470">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3.6.5验收内容及资料要求：</w:t>
      </w:r>
    </w:p>
    <w:p w14:paraId="70C09921">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4C8CE7F2">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3.6.6</w:t>
      </w:r>
      <w:r>
        <w:rPr>
          <w:rFonts w:hint="eastAsia" w:ascii="宋体" w:hAnsi="宋体" w:cs="宋体"/>
          <w:color w:val="auto"/>
          <w:sz w:val="24"/>
          <w:highlight w:val="none"/>
        </w:rPr>
        <w:t>验收内容</w:t>
      </w:r>
    </w:p>
    <w:tbl>
      <w:tblPr>
        <w:tblStyle w:val="23"/>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3286"/>
        <w:gridCol w:w="4555"/>
      </w:tblGrid>
      <w:tr w14:paraId="39DA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312C543">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3286" w:type="dxa"/>
            <w:tcBorders>
              <w:top w:val="single" w:color="auto" w:sz="4" w:space="0"/>
              <w:left w:val="single" w:color="auto" w:sz="4" w:space="0"/>
              <w:bottom w:val="single" w:color="auto" w:sz="4" w:space="0"/>
              <w:right w:val="single" w:color="auto" w:sz="4" w:space="0"/>
            </w:tcBorders>
            <w:vAlign w:val="center"/>
          </w:tcPr>
          <w:p w14:paraId="7675D96B">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4555" w:type="dxa"/>
            <w:tcBorders>
              <w:top w:val="single" w:color="auto" w:sz="4" w:space="0"/>
              <w:left w:val="single" w:color="auto" w:sz="4" w:space="0"/>
              <w:bottom w:val="single" w:color="auto" w:sz="4" w:space="0"/>
              <w:right w:val="single" w:color="auto" w:sz="4" w:space="0"/>
            </w:tcBorders>
            <w:vAlign w:val="center"/>
          </w:tcPr>
          <w:p w14:paraId="51C043CE">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验收标准</w:t>
            </w:r>
          </w:p>
        </w:tc>
      </w:tr>
      <w:tr w14:paraId="30A8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07FEEDB">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1</w:t>
            </w:r>
          </w:p>
        </w:tc>
        <w:tc>
          <w:tcPr>
            <w:tcW w:w="3286" w:type="dxa"/>
            <w:tcBorders>
              <w:top w:val="single" w:color="auto" w:sz="4" w:space="0"/>
              <w:left w:val="single" w:color="auto" w:sz="4" w:space="0"/>
              <w:bottom w:val="single" w:color="auto" w:sz="4" w:space="0"/>
              <w:right w:val="single" w:color="auto" w:sz="4" w:space="0"/>
            </w:tcBorders>
            <w:vAlign w:val="center"/>
          </w:tcPr>
          <w:p w14:paraId="59303697">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交付标的物数量</w:t>
            </w:r>
          </w:p>
        </w:tc>
        <w:tc>
          <w:tcPr>
            <w:tcW w:w="4555" w:type="dxa"/>
            <w:tcBorders>
              <w:top w:val="single" w:color="auto" w:sz="4" w:space="0"/>
              <w:left w:val="single" w:color="auto" w:sz="4" w:space="0"/>
              <w:bottom w:val="single" w:color="auto" w:sz="4" w:space="0"/>
              <w:right w:val="single" w:color="auto" w:sz="4" w:space="0"/>
            </w:tcBorders>
            <w:vAlign w:val="center"/>
          </w:tcPr>
          <w:p w14:paraId="5B6776A2">
            <w:pPr>
              <w:widowControl/>
              <w:spacing w:line="360" w:lineRule="auto"/>
              <w:jc w:val="center"/>
              <w:rPr>
                <w:rFonts w:ascii="宋体" w:hAnsi="宋体" w:cs="宋体"/>
                <w:color w:val="auto"/>
                <w:kern w:val="0"/>
                <w:sz w:val="24"/>
                <w:highlight w:val="none"/>
              </w:rPr>
            </w:pPr>
            <w:r>
              <w:rPr>
                <w:rFonts w:hint="eastAsia" w:ascii="宋体" w:hAnsi="宋体" w:cs="宋体"/>
                <w:bCs/>
                <w:color w:val="auto"/>
                <w:kern w:val="0"/>
                <w:sz w:val="24"/>
                <w:highlight w:val="none"/>
              </w:rPr>
              <w:t>按招标文件要求和投标文件承诺</w:t>
            </w:r>
          </w:p>
        </w:tc>
      </w:tr>
      <w:tr w14:paraId="582F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DA39677">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2</w:t>
            </w:r>
          </w:p>
        </w:tc>
        <w:tc>
          <w:tcPr>
            <w:tcW w:w="3286" w:type="dxa"/>
            <w:tcBorders>
              <w:top w:val="single" w:color="auto" w:sz="4" w:space="0"/>
              <w:left w:val="single" w:color="auto" w:sz="4" w:space="0"/>
              <w:bottom w:val="single" w:color="auto" w:sz="4" w:space="0"/>
              <w:right w:val="single" w:color="auto" w:sz="4" w:space="0"/>
            </w:tcBorders>
            <w:vAlign w:val="center"/>
          </w:tcPr>
          <w:p w14:paraId="1A6A8A84">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交付标的物质量文件</w:t>
            </w:r>
          </w:p>
        </w:tc>
        <w:tc>
          <w:tcPr>
            <w:tcW w:w="4555" w:type="dxa"/>
            <w:tcBorders>
              <w:top w:val="single" w:color="auto" w:sz="4" w:space="0"/>
              <w:left w:val="single" w:color="auto" w:sz="4" w:space="0"/>
              <w:bottom w:val="single" w:color="auto" w:sz="4" w:space="0"/>
              <w:right w:val="single" w:color="auto" w:sz="4" w:space="0"/>
            </w:tcBorders>
            <w:vAlign w:val="center"/>
          </w:tcPr>
          <w:p w14:paraId="56BB83D9">
            <w:pPr>
              <w:spacing w:line="360" w:lineRule="auto"/>
              <w:jc w:val="center"/>
              <w:rPr>
                <w:rFonts w:ascii="宋体" w:hAnsi="宋体" w:cs="宋体"/>
                <w:color w:val="auto"/>
                <w:kern w:val="0"/>
                <w:sz w:val="24"/>
                <w:highlight w:val="none"/>
              </w:rPr>
            </w:pPr>
            <w:r>
              <w:rPr>
                <w:rFonts w:hint="eastAsia" w:ascii="宋体" w:hAnsi="宋体" w:cs="宋体"/>
                <w:bCs/>
                <w:color w:val="auto"/>
                <w:kern w:val="0"/>
                <w:sz w:val="24"/>
                <w:highlight w:val="none"/>
              </w:rPr>
              <w:t>按招标文件要求和投标文件承诺</w:t>
            </w:r>
          </w:p>
        </w:tc>
      </w:tr>
      <w:tr w14:paraId="0FBF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5D5A6B90">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3</w:t>
            </w:r>
          </w:p>
        </w:tc>
        <w:tc>
          <w:tcPr>
            <w:tcW w:w="3286" w:type="dxa"/>
            <w:tcBorders>
              <w:top w:val="single" w:color="auto" w:sz="4" w:space="0"/>
              <w:left w:val="single" w:color="auto" w:sz="4" w:space="0"/>
              <w:bottom w:val="single" w:color="auto" w:sz="4" w:space="0"/>
              <w:right w:val="single" w:color="auto" w:sz="4" w:space="0"/>
            </w:tcBorders>
            <w:vAlign w:val="center"/>
          </w:tcPr>
          <w:p w14:paraId="08F5AD4E">
            <w:pPr>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交付标的物技术、性能指标</w:t>
            </w:r>
          </w:p>
        </w:tc>
        <w:tc>
          <w:tcPr>
            <w:tcW w:w="4555" w:type="dxa"/>
            <w:tcBorders>
              <w:top w:val="single" w:color="auto" w:sz="4" w:space="0"/>
              <w:left w:val="single" w:color="auto" w:sz="4" w:space="0"/>
              <w:bottom w:val="single" w:color="auto" w:sz="4" w:space="0"/>
              <w:right w:val="single" w:color="auto" w:sz="4" w:space="0"/>
            </w:tcBorders>
            <w:vAlign w:val="center"/>
          </w:tcPr>
          <w:p w14:paraId="62EF56DB">
            <w:pPr>
              <w:spacing w:line="360" w:lineRule="auto"/>
              <w:jc w:val="center"/>
              <w:rPr>
                <w:rFonts w:ascii="宋体" w:hAnsi="宋体" w:cs="宋体"/>
                <w:color w:val="auto"/>
                <w:highlight w:val="none"/>
              </w:rPr>
            </w:pPr>
            <w:r>
              <w:rPr>
                <w:rFonts w:hint="eastAsia" w:ascii="宋体" w:hAnsi="宋体" w:cs="宋体"/>
                <w:bCs/>
                <w:color w:val="auto"/>
                <w:kern w:val="0"/>
                <w:sz w:val="24"/>
                <w:highlight w:val="none"/>
              </w:rPr>
              <w:t>按招标文件要求和投标文件承诺</w:t>
            </w:r>
          </w:p>
        </w:tc>
      </w:tr>
      <w:tr w14:paraId="5BE0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6E875B9">
            <w:pPr>
              <w:widowControl/>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3286" w:type="dxa"/>
            <w:tcBorders>
              <w:top w:val="single" w:color="auto" w:sz="4" w:space="0"/>
              <w:left w:val="single" w:color="auto" w:sz="4" w:space="0"/>
              <w:bottom w:val="single" w:color="auto" w:sz="4" w:space="0"/>
              <w:right w:val="single" w:color="auto" w:sz="4" w:space="0"/>
            </w:tcBorders>
            <w:vAlign w:val="center"/>
          </w:tcPr>
          <w:p w14:paraId="0310FD50">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售后服务承诺</w:t>
            </w:r>
          </w:p>
        </w:tc>
        <w:tc>
          <w:tcPr>
            <w:tcW w:w="4555" w:type="dxa"/>
            <w:tcBorders>
              <w:top w:val="single" w:color="auto" w:sz="4" w:space="0"/>
              <w:left w:val="single" w:color="auto" w:sz="4" w:space="0"/>
              <w:bottom w:val="single" w:color="auto" w:sz="4" w:space="0"/>
              <w:right w:val="single" w:color="auto" w:sz="4" w:space="0"/>
            </w:tcBorders>
            <w:vAlign w:val="center"/>
          </w:tcPr>
          <w:p w14:paraId="3A0D9660">
            <w:pPr>
              <w:spacing w:line="360" w:lineRule="auto"/>
              <w:jc w:val="center"/>
              <w:rPr>
                <w:rFonts w:ascii="宋体" w:hAnsi="宋体" w:cs="宋体"/>
                <w:color w:val="auto"/>
                <w:kern w:val="0"/>
                <w:sz w:val="24"/>
                <w:highlight w:val="none"/>
              </w:rPr>
            </w:pPr>
            <w:r>
              <w:rPr>
                <w:rFonts w:hint="eastAsia" w:ascii="宋体" w:hAnsi="宋体" w:cs="宋体"/>
                <w:bCs/>
                <w:color w:val="auto"/>
                <w:kern w:val="0"/>
                <w:sz w:val="24"/>
                <w:highlight w:val="none"/>
              </w:rPr>
              <w:t>按招标文件要求和投标文件承诺</w:t>
            </w:r>
          </w:p>
        </w:tc>
      </w:tr>
      <w:tr w14:paraId="5AF5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6EF016FE">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5</w:t>
            </w:r>
          </w:p>
        </w:tc>
        <w:tc>
          <w:tcPr>
            <w:tcW w:w="3286" w:type="dxa"/>
            <w:tcBorders>
              <w:top w:val="single" w:color="auto" w:sz="4" w:space="0"/>
              <w:left w:val="single" w:color="auto" w:sz="4" w:space="0"/>
              <w:bottom w:val="single" w:color="auto" w:sz="4" w:space="0"/>
              <w:right w:val="single" w:color="auto" w:sz="4" w:space="0"/>
            </w:tcBorders>
            <w:vAlign w:val="center"/>
          </w:tcPr>
          <w:p w14:paraId="2581F709">
            <w:pPr>
              <w:widowControl/>
              <w:wordWrap w:val="0"/>
              <w:spacing w:line="360" w:lineRule="auto"/>
              <w:jc w:val="center"/>
              <w:rPr>
                <w:rFonts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4555" w:type="dxa"/>
            <w:tcBorders>
              <w:top w:val="single" w:color="auto" w:sz="4" w:space="0"/>
              <w:left w:val="single" w:color="auto" w:sz="4" w:space="0"/>
              <w:bottom w:val="single" w:color="auto" w:sz="4" w:space="0"/>
              <w:right w:val="single" w:color="auto" w:sz="4" w:space="0"/>
            </w:tcBorders>
            <w:vAlign w:val="center"/>
          </w:tcPr>
          <w:p w14:paraId="7C91BE4C">
            <w:pPr>
              <w:spacing w:line="360" w:lineRule="auto"/>
              <w:jc w:val="center"/>
              <w:rPr>
                <w:rFonts w:ascii="宋体" w:hAnsi="宋体" w:cs="宋体"/>
                <w:color w:val="auto"/>
                <w:kern w:val="0"/>
                <w:sz w:val="24"/>
                <w:highlight w:val="none"/>
              </w:rPr>
            </w:pPr>
            <w:r>
              <w:rPr>
                <w:rFonts w:hint="eastAsia" w:ascii="宋体" w:hAnsi="宋体" w:cs="宋体"/>
                <w:bCs/>
                <w:color w:val="auto"/>
                <w:kern w:val="0"/>
                <w:sz w:val="24"/>
                <w:highlight w:val="none"/>
              </w:rPr>
              <w:t>按招标文件要求和投标文件承诺</w:t>
            </w:r>
          </w:p>
        </w:tc>
      </w:tr>
    </w:tbl>
    <w:p w14:paraId="6C0C46AB">
      <w:pPr>
        <w:tabs>
          <w:tab w:val="left" w:pos="904"/>
        </w:tabs>
        <w:wordWrap w:val="0"/>
        <w:snapToGrid w:val="0"/>
        <w:spacing w:line="360" w:lineRule="auto"/>
        <w:jc w:val="left"/>
        <w:rPr>
          <w:rFonts w:ascii="宋体" w:hAnsi="宋体" w:cs="宋体"/>
          <w:color w:val="auto"/>
          <w:sz w:val="24"/>
          <w:highlight w:val="none"/>
        </w:rPr>
      </w:pPr>
    </w:p>
    <w:p w14:paraId="4700AA8D">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3.6.7验收资料要求</w:t>
      </w:r>
    </w:p>
    <w:p w14:paraId="39709B4C">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6B25CBF6">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（1）采购文件；</w:t>
      </w:r>
    </w:p>
    <w:p w14:paraId="55B9FCB7">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（2）投标文件；</w:t>
      </w:r>
    </w:p>
    <w:p w14:paraId="76BCF92D">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（3）采购合同；</w:t>
      </w:r>
    </w:p>
    <w:p w14:paraId="15F721A0">
      <w:pPr>
        <w:tabs>
          <w:tab w:val="left" w:pos="904"/>
        </w:tabs>
        <w:wordWrap w:val="0"/>
        <w:adjustRightInd w:val="0"/>
        <w:snapToGrid w:val="0"/>
        <w:spacing w:line="360" w:lineRule="auto"/>
        <w:ind w:firstLine="240" w:firstLineChars="100"/>
        <w:jc w:val="left"/>
        <w:rPr>
          <w:rFonts w:ascii="宋体" w:hAnsi="宋体" w:cs="宋体"/>
          <w:b/>
          <w:color w:val="auto"/>
          <w:sz w:val="36"/>
          <w:szCs w:val="20"/>
          <w:highlight w:val="none"/>
        </w:rPr>
      </w:pPr>
      <w:r>
        <w:rPr>
          <w:rFonts w:hint="eastAsia" w:ascii="宋体" w:hAnsi="宋体" w:cs="宋体"/>
          <w:color w:val="auto"/>
          <w:sz w:val="24"/>
          <w:highlight w:val="none"/>
        </w:rPr>
        <w:t>（4）其他需提供的相关材料（业主根据项目实际增减第（4）点验收资料内容）。</w:t>
      </w:r>
    </w:p>
    <w:p w14:paraId="253DF7FD">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pgNumType w:fmt="decimal"/>
          <w:cols w:space="720" w:num="1"/>
          <w:docGrid w:type="lines" w:linePitch="331" w:charSpace="0"/>
        </w:sectPr>
      </w:pPr>
    </w:p>
    <w:p w14:paraId="7D626285">
      <w:pPr>
        <w:pStyle w:val="12"/>
        <w:tabs>
          <w:tab w:val="left" w:pos="2472"/>
        </w:tabs>
        <w:wordWrap w:val="0"/>
        <w:spacing w:line="360" w:lineRule="auto"/>
        <w:rPr>
          <w:rFonts w:hAnsi="宋体" w:cs="宋体"/>
          <w:b/>
          <w:color w:val="auto"/>
          <w:sz w:val="36"/>
          <w:highlight w:val="none"/>
        </w:rPr>
      </w:pPr>
    </w:p>
    <w:p w14:paraId="566C5C35">
      <w:pPr>
        <w:pStyle w:val="12"/>
        <w:tabs>
          <w:tab w:val="left" w:pos="2472"/>
        </w:tabs>
        <w:wordWrap w:val="0"/>
        <w:spacing w:line="360" w:lineRule="auto"/>
        <w:rPr>
          <w:rFonts w:hAnsi="宋体" w:cs="宋体"/>
          <w:b/>
          <w:color w:val="auto"/>
          <w:sz w:val="36"/>
          <w:highlight w:val="none"/>
        </w:rPr>
      </w:pPr>
    </w:p>
    <w:p w14:paraId="3900B257">
      <w:pPr>
        <w:pStyle w:val="12"/>
        <w:tabs>
          <w:tab w:val="left" w:pos="2472"/>
        </w:tabs>
        <w:wordWrap w:val="0"/>
        <w:spacing w:line="360" w:lineRule="auto"/>
        <w:rPr>
          <w:rFonts w:hAnsi="宋体" w:cs="宋体"/>
          <w:b/>
          <w:color w:val="auto"/>
          <w:sz w:val="36"/>
          <w:highlight w:val="none"/>
        </w:rPr>
      </w:pPr>
    </w:p>
    <w:p w14:paraId="24F3E31E">
      <w:pPr>
        <w:pStyle w:val="12"/>
        <w:tabs>
          <w:tab w:val="left" w:pos="2472"/>
        </w:tabs>
        <w:wordWrap w:val="0"/>
        <w:spacing w:line="360" w:lineRule="auto"/>
        <w:rPr>
          <w:rFonts w:hAnsi="宋体" w:cs="宋体"/>
          <w:b/>
          <w:color w:val="auto"/>
          <w:sz w:val="36"/>
          <w:highlight w:val="none"/>
        </w:rPr>
      </w:pPr>
    </w:p>
    <w:p w14:paraId="64849CEE">
      <w:pPr>
        <w:pStyle w:val="12"/>
        <w:tabs>
          <w:tab w:val="left" w:pos="2472"/>
        </w:tabs>
        <w:wordWrap w:val="0"/>
        <w:spacing w:line="360" w:lineRule="auto"/>
        <w:rPr>
          <w:rFonts w:hAnsi="宋体" w:cs="宋体"/>
          <w:b/>
          <w:color w:val="auto"/>
          <w:sz w:val="36"/>
          <w:highlight w:val="none"/>
        </w:rPr>
      </w:pPr>
    </w:p>
    <w:p w14:paraId="38E2DD3D">
      <w:pPr>
        <w:pStyle w:val="12"/>
        <w:tabs>
          <w:tab w:val="left" w:pos="2472"/>
        </w:tabs>
        <w:wordWrap w:val="0"/>
        <w:spacing w:line="360" w:lineRule="auto"/>
        <w:rPr>
          <w:rFonts w:hAnsi="宋体" w:cs="宋体"/>
          <w:b/>
          <w:color w:val="auto"/>
          <w:sz w:val="36"/>
          <w:highlight w:val="none"/>
        </w:rPr>
      </w:pPr>
    </w:p>
    <w:p w14:paraId="7D593E97">
      <w:pPr>
        <w:pStyle w:val="12"/>
        <w:tabs>
          <w:tab w:val="left" w:pos="2472"/>
        </w:tabs>
        <w:wordWrap w:val="0"/>
        <w:spacing w:line="360" w:lineRule="auto"/>
        <w:rPr>
          <w:rFonts w:hAnsi="宋体" w:cs="宋体"/>
          <w:b/>
          <w:color w:val="auto"/>
          <w:sz w:val="36"/>
          <w:highlight w:val="none"/>
        </w:rPr>
      </w:pPr>
    </w:p>
    <w:p w14:paraId="629FC450">
      <w:pPr>
        <w:pStyle w:val="12"/>
        <w:tabs>
          <w:tab w:val="left" w:pos="2472"/>
        </w:tabs>
        <w:wordWrap w:val="0"/>
        <w:spacing w:line="360" w:lineRule="auto"/>
        <w:jc w:val="center"/>
        <w:outlineLvl w:val="0"/>
        <w:rPr>
          <w:rFonts w:hAnsi="宋体" w:cs="宋体"/>
          <w:b/>
          <w:color w:val="auto"/>
          <w:sz w:val="36"/>
          <w:highlight w:val="none"/>
        </w:rPr>
      </w:pPr>
      <w:bookmarkStart w:id="287" w:name="_Toc25059"/>
      <w:r>
        <w:rPr>
          <w:rFonts w:hint="eastAsia" w:hAnsi="宋体" w:cs="宋体"/>
          <w:b/>
          <w:color w:val="auto"/>
          <w:sz w:val="36"/>
          <w:highlight w:val="none"/>
        </w:rPr>
        <w:t>第六章 投标文件格式</w:t>
      </w:r>
      <w:bookmarkEnd w:id="287"/>
    </w:p>
    <w:p w14:paraId="0BA90B22">
      <w:pPr>
        <w:widowControl/>
        <w:wordWrap w:val="0"/>
        <w:spacing w:line="360" w:lineRule="auto"/>
        <w:jc w:val="left"/>
        <w:rPr>
          <w:rFonts w:ascii="宋体" w:hAnsi="宋体" w:cs="宋体"/>
          <w:color w:val="auto"/>
          <w:szCs w:val="20"/>
          <w:highlight w:val="none"/>
        </w:rPr>
        <w:sectPr>
          <w:pgSz w:w="11906" w:h="16838"/>
          <w:pgMar w:top="1440" w:right="1080" w:bottom="1440" w:left="1080" w:header="720" w:footer="720" w:gutter="0"/>
          <w:pgNumType w:fmt="decimal"/>
          <w:cols w:space="720" w:num="1"/>
          <w:docGrid w:type="lines" w:linePitch="331" w:charSpace="0"/>
        </w:sectPr>
      </w:pPr>
    </w:p>
    <w:p w14:paraId="15BDB919">
      <w:pPr>
        <w:pStyle w:val="12"/>
        <w:wordWrap w:val="0"/>
        <w:spacing w:line="360" w:lineRule="auto"/>
        <w:ind w:firstLine="551" w:firstLineChars="196"/>
        <w:jc w:val="center"/>
        <w:outlineLvl w:val="1"/>
        <w:rPr>
          <w:rFonts w:hAnsi="宋体" w:cs="宋体"/>
          <w:b/>
          <w:bCs/>
          <w:color w:val="auto"/>
          <w:sz w:val="28"/>
          <w:szCs w:val="28"/>
          <w:highlight w:val="none"/>
        </w:rPr>
      </w:pPr>
      <w:bookmarkStart w:id="288" w:name="_Toc9103"/>
      <w:r>
        <w:rPr>
          <w:rFonts w:hint="eastAsia" w:hAnsi="宋体" w:cs="宋体"/>
          <w:b/>
          <w:bCs/>
          <w:color w:val="auto"/>
          <w:sz w:val="28"/>
          <w:szCs w:val="28"/>
          <w:highlight w:val="none"/>
        </w:rPr>
        <w:t>第一节 投标文件外层包装封面</w:t>
      </w:r>
      <w:bookmarkEnd w:id="288"/>
    </w:p>
    <w:p w14:paraId="71F49E7A">
      <w:pPr>
        <w:wordWrap w:val="0"/>
        <w:spacing w:line="360" w:lineRule="auto"/>
        <w:jc w:val="center"/>
        <w:rPr>
          <w:rFonts w:ascii="宋体" w:hAnsi="宋体" w:cs="宋体"/>
          <w:color w:val="auto"/>
          <w:spacing w:val="20"/>
          <w:sz w:val="44"/>
          <w:szCs w:val="44"/>
          <w:highlight w:val="none"/>
        </w:rPr>
      </w:pPr>
    </w:p>
    <w:p w14:paraId="14F3C252">
      <w:pPr>
        <w:wordWrap w:val="0"/>
        <w:spacing w:line="360" w:lineRule="auto"/>
        <w:jc w:val="center"/>
        <w:rPr>
          <w:rFonts w:ascii="宋体" w:hAnsi="宋体" w:cs="宋体"/>
          <w:color w:val="auto"/>
          <w:spacing w:val="20"/>
          <w:sz w:val="44"/>
          <w:szCs w:val="44"/>
          <w:highlight w:val="none"/>
        </w:rPr>
      </w:pPr>
    </w:p>
    <w:p w14:paraId="3C703763">
      <w:pPr>
        <w:wordWrap w:val="0"/>
        <w:spacing w:line="360" w:lineRule="auto"/>
        <w:jc w:val="center"/>
        <w:rPr>
          <w:rFonts w:ascii="宋体" w:hAnsi="宋体" w:cs="宋体"/>
          <w:color w:val="auto"/>
          <w:spacing w:val="20"/>
          <w:sz w:val="44"/>
          <w:szCs w:val="44"/>
          <w:highlight w:val="none"/>
        </w:rPr>
      </w:pPr>
    </w:p>
    <w:p w14:paraId="563F3379">
      <w:pPr>
        <w:wordWrap w:val="0"/>
        <w:spacing w:line="360" w:lineRule="auto"/>
        <w:jc w:val="center"/>
        <w:rPr>
          <w:rFonts w:ascii="宋体" w:hAnsi="宋体" w:cs="宋体"/>
          <w:color w:val="auto"/>
          <w:spacing w:val="20"/>
          <w:sz w:val="44"/>
          <w:szCs w:val="44"/>
          <w:highlight w:val="none"/>
        </w:rPr>
      </w:pPr>
    </w:p>
    <w:p w14:paraId="5A212195">
      <w:pPr>
        <w:wordWrap w:val="0"/>
        <w:spacing w:line="360" w:lineRule="auto"/>
        <w:jc w:val="center"/>
        <w:rPr>
          <w:rFonts w:ascii="宋体" w:hAnsi="宋体" w:cs="宋体"/>
          <w:color w:val="auto"/>
          <w:spacing w:val="20"/>
          <w:sz w:val="44"/>
          <w:szCs w:val="44"/>
          <w:highlight w:val="none"/>
        </w:rPr>
      </w:pPr>
      <w:r>
        <w:rPr>
          <w:rFonts w:hint="eastAsia" w:ascii="宋体" w:hAnsi="宋体" w:cs="宋体"/>
          <w:color w:val="auto"/>
          <w:spacing w:val="20"/>
          <w:sz w:val="44"/>
          <w:szCs w:val="44"/>
          <w:highlight w:val="none"/>
          <w:u w:val="single"/>
        </w:rPr>
        <w:t xml:space="preserve">             </w:t>
      </w:r>
      <w:r>
        <w:rPr>
          <w:rFonts w:hint="eastAsia" w:ascii="宋体" w:hAnsi="宋体" w:cs="宋体"/>
          <w:color w:val="auto"/>
          <w:spacing w:val="20"/>
          <w:sz w:val="44"/>
          <w:szCs w:val="44"/>
          <w:highlight w:val="none"/>
        </w:rPr>
        <w:t>项目</w:t>
      </w:r>
    </w:p>
    <w:p w14:paraId="574C9DF1">
      <w:pPr>
        <w:wordWrap w:val="0"/>
        <w:spacing w:line="360" w:lineRule="auto"/>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02C34DF3">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（电子投标文件）</w:t>
      </w:r>
    </w:p>
    <w:tbl>
      <w:tblPr>
        <w:tblStyle w:val="23"/>
        <w:tblW w:w="7773" w:type="dxa"/>
        <w:jc w:val="center"/>
        <w:tblLayout w:type="fixed"/>
        <w:tblCellMar>
          <w:top w:w="0" w:type="dxa"/>
          <w:left w:w="108" w:type="dxa"/>
          <w:bottom w:w="0" w:type="dxa"/>
          <w:right w:w="108" w:type="dxa"/>
        </w:tblCellMar>
      </w:tblPr>
      <w:tblGrid>
        <w:gridCol w:w="1601"/>
        <w:gridCol w:w="6172"/>
      </w:tblGrid>
      <w:tr w14:paraId="2DE47428">
        <w:tblPrEx>
          <w:tblCellMar>
            <w:top w:w="0" w:type="dxa"/>
            <w:left w:w="108" w:type="dxa"/>
            <w:bottom w:w="0" w:type="dxa"/>
            <w:right w:w="108" w:type="dxa"/>
          </w:tblCellMar>
        </w:tblPrEx>
        <w:trPr>
          <w:jc w:val="center"/>
        </w:trPr>
        <w:tc>
          <w:tcPr>
            <w:tcW w:w="1601" w:type="dxa"/>
            <w:vAlign w:val="bottom"/>
          </w:tcPr>
          <w:p w14:paraId="34E47C7E">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3A09234D">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tc>
      </w:tr>
      <w:tr w14:paraId="6BE4E8E2">
        <w:tblPrEx>
          <w:tblCellMar>
            <w:top w:w="0" w:type="dxa"/>
            <w:left w:w="108" w:type="dxa"/>
            <w:bottom w:w="0" w:type="dxa"/>
            <w:right w:w="108" w:type="dxa"/>
          </w:tblCellMar>
        </w:tblPrEx>
        <w:trPr>
          <w:jc w:val="center"/>
        </w:trPr>
        <w:tc>
          <w:tcPr>
            <w:tcW w:w="1601" w:type="dxa"/>
            <w:vAlign w:val="bottom"/>
          </w:tcPr>
          <w:p w14:paraId="6A4BED3E">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投标方式：</w:t>
            </w:r>
          </w:p>
        </w:tc>
        <w:tc>
          <w:tcPr>
            <w:tcW w:w="6172" w:type="dxa"/>
            <w:tcBorders>
              <w:top w:val="single" w:color="000000" w:sz="4" w:space="0"/>
              <w:left w:val="nil"/>
              <w:bottom w:val="single" w:color="000000" w:sz="4" w:space="0"/>
              <w:right w:val="nil"/>
            </w:tcBorders>
            <w:vAlign w:val="bottom"/>
          </w:tcPr>
          <w:p w14:paraId="122D5EC3">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线上投标</w:t>
            </w:r>
          </w:p>
        </w:tc>
      </w:tr>
      <w:tr w14:paraId="0E43C645">
        <w:tblPrEx>
          <w:tblCellMar>
            <w:top w:w="0" w:type="dxa"/>
            <w:left w:w="108" w:type="dxa"/>
            <w:bottom w:w="0" w:type="dxa"/>
            <w:right w:w="108" w:type="dxa"/>
          </w:tblCellMar>
        </w:tblPrEx>
        <w:trPr>
          <w:jc w:val="center"/>
        </w:trPr>
        <w:tc>
          <w:tcPr>
            <w:tcW w:w="1601" w:type="dxa"/>
            <w:vAlign w:val="bottom"/>
          </w:tcPr>
          <w:p w14:paraId="128074E1">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6A77C822">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tc>
      </w:tr>
      <w:tr w14:paraId="10C742D3">
        <w:tblPrEx>
          <w:tblCellMar>
            <w:top w:w="0" w:type="dxa"/>
            <w:left w:w="108" w:type="dxa"/>
            <w:bottom w:w="0" w:type="dxa"/>
            <w:right w:w="108" w:type="dxa"/>
          </w:tblCellMar>
        </w:tblPrEx>
        <w:trPr>
          <w:jc w:val="center"/>
        </w:trPr>
        <w:tc>
          <w:tcPr>
            <w:tcW w:w="1601" w:type="dxa"/>
            <w:vAlign w:val="bottom"/>
          </w:tcPr>
          <w:p w14:paraId="48EA712E">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6CD41C02">
            <w:pPr>
              <w:wordWrap w:val="0"/>
              <w:spacing w:line="360" w:lineRule="auto"/>
              <w:jc w:val="left"/>
              <w:rPr>
                <w:rFonts w:ascii="宋体" w:hAnsi="宋体" w:cs="宋体"/>
                <w:color w:val="auto"/>
                <w:sz w:val="24"/>
                <w:highlight w:val="none"/>
              </w:rPr>
            </w:pPr>
          </w:p>
        </w:tc>
      </w:tr>
      <w:tr w14:paraId="0066E280">
        <w:tblPrEx>
          <w:tblCellMar>
            <w:top w:w="0" w:type="dxa"/>
            <w:left w:w="108" w:type="dxa"/>
            <w:bottom w:w="0" w:type="dxa"/>
            <w:right w:w="108" w:type="dxa"/>
          </w:tblCellMar>
        </w:tblPrEx>
        <w:trPr>
          <w:jc w:val="center"/>
        </w:trPr>
        <w:tc>
          <w:tcPr>
            <w:tcW w:w="1601" w:type="dxa"/>
            <w:vAlign w:val="bottom"/>
          </w:tcPr>
          <w:p w14:paraId="1A1A3B65">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772992BB">
            <w:pPr>
              <w:wordWrap w:val="0"/>
              <w:spacing w:line="360" w:lineRule="auto"/>
              <w:jc w:val="left"/>
              <w:rPr>
                <w:rFonts w:ascii="宋体" w:hAnsi="宋体" w:cs="宋体"/>
                <w:color w:val="auto"/>
                <w:sz w:val="24"/>
                <w:highlight w:val="none"/>
              </w:rPr>
            </w:pPr>
          </w:p>
        </w:tc>
      </w:tr>
      <w:tr w14:paraId="435BBB02">
        <w:tblPrEx>
          <w:tblCellMar>
            <w:top w:w="0" w:type="dxa"/>
            <w:left w:w="108" w:type="dxa"/>
            <w:bottom w:w="0" w:type="dxa"/>
            <w:right w:w="108" w:type="dxa"/>
          </w:tblCellMar>
        </w:tblPrEx>
        <w:trPr>
          <w:jc w:val="center"/>
        </w:trPr>
        <w:tc>
          <w:tcPr>
            <w:tcW w:w="1601" w:type="dxa"/>
            <w:vAlign w:val="bottom"/>
          </w:tcPr>
          <w:p w14:paraId="6D44D80E">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19E7813B">
            <w:pPr>
              <w:wordWrap w:val="0"/>
              <w:spacing w:line="360" w:lineRule="auto"/>
              <w:jc w:val="left"/>
              <w:rPr>
                <w:rFonts w:ascii="宋体" w:hAnsi="宋体" w:cs="宋体"/>
                <w:color w:val="auto"/>
                <w:sz w:val="24"/>
                <w:highlight w:val="none"/>
              </w:rPr>
            </w:pPr>
          </w:p>
        </w:tc>
      </w:tr>
    </w:tbl>
    <w:p w14:paraId="29745D2E">
      <w:pPr>
        <w:wordWrap w:val="0"/>
        <w:spacing w:line="360" w:lineRule="auto"/>
        <w:ind w:firstLine="4200" w:firstLineChars="1750"/>
        <w:rPr>
          <w:rFonts w:ascii="宋体" w:hAnsi="宋体" w:cs="宋体"/>
          <w:color w:val="auto"/>
          <w:sz w:val="24"/>
          <w:highlight w:val="none"/>
        </w:rPr>
      </w:pPr>
    </w:p>
    <w:p w14:paraId="18EA03F2">
      <w:pPr>
        <w:wordWrap w:val="0"/>
        <w:spacing w:line="360" w:lineRule="auto"/>
        <w:ind w:firstLine="4200" w:firstLineChars="1750"/>
        <w:rPr>
          <w:rFonts w:ascii="宋体" w:hAnsi="宋体" w:cs="宋体"/>
          <w:color w:val="auto"/>
          <w:sz w:val="24"/>
          <w:highlight w:val="none"/>
        </w:rPr>
      </w:pPr>
    </w:p>
    <w:p w14:paraId="49881316">
      <w:pPr>
        <w:wordWrap w:val="0"/>
        <w:spacing w:line="360" w:lineRule="auto"/>
        <w:ind w:firstLine="4200" w:firstLineChars="1750"/>
        <w:rPr>
          <w:rFonts w:ascii="宋体" w:hAnsi="宋体" w:cs="宋体"/>
          <w:color w:val="auto"/>
          <w:sz w:val="24"/>
          <w:highlight w:val="none"/>
        </w:rPr>
      </w:pPr>
    </w:p>
    <w:p w14:paraId="33157AC9">
      <w:pPr>
        <w:wordWrap w:val="0"/>
        <w:spacing w:line="360" w:lineRule="auto"/>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投标截止时间前不得解密</w:t>
      </w:r>
    </w:p>
    <w:p w14:paraId="603021DC">
      <w:pPr>
        <w:wordWrap w:val="0"/>
        <w:spacing w:line="360" w:lineRule="auto"/>
        <w:ind w:firstLine="6480" w:firstLineChars="2700"/>
        <w:rPr>
          <w:rFonts w:ascii="宋体" w:hAnsi="宋体" w:cs="宋体"/>
          <w:color w:val="auto"/>
          <w:sz w:val="24"/>
          <w:highlight w:val="none"/>
        </w:rPr>
      </w:pPr>
      <w:r>
        <w:rPr>
          <w:rFonts w:hint="eastAsia" w:ascii="宋体" w:hAnsi="宋体" w:cs="宋体"/>
          <w:color w:val="auto"/>
          <w:sz w:val="24"/>
          <w:highlight w:val="none"/>
        </w:rPr>
        <w:t>年   月   日</w:t>
      </w:r>
    </w:p>
    <w:p w14:paraId="61F2CD8E">
      <w:pPr>
        <w:widowControl/>
        <w:wordWrap w:val="0"/>
        <w:spacing w:line="360" w:lineRule="auto"/>
        <w:jc w:val="left"/>
        <w:rPr>
          <w:rFonts w:ascii="宋体" w:hAnsi="宋体" w:cs="宋体"/>
          <w:color w:val="auto"/>
          <w:sz w:val="24"/>
          <w:highlight w:val="none"/>
        </w:rPr>
        <w:sectPr>
          <w:pgSz w:w="11907" w:h="16840"/>
          <w:pgMar w:top="1440" w:right="1080" w:bottom="1440" w:left="1080" w:header="720" w:footer="720" w:gutter="0"/>
          <w:pgNumType w:fmt="decimal"/>
          <w:cols w:space="720" w:num="1"/>
        </w:sectPr>
      </w:pPr>
    </w:p>
    <w:p w14:paraId="7A4F998F">
      <w:pPr>
        <w:pStyle w:val="12"/>
        <w:wordWrap w:val="0"/>
        <w:spacing w:line="360" w:lineRule="auto"/>
        <w:jc w:val="center"/>
        <w:outlineLvl w:val="1"/>
        <w:rPr>
          <w:rFonts w:hAnsi="宋体" w:cs="宋体"/>
          <w:b/>
          <w:bCs/>
          <w:color w:val="auto"/>
          <w:sz w:val="28"/>
          <w:szCs w:val="28"/>
          <w:highlight w:val="none"/>
        </w:rPr>
      </w:pPr>
      <w:bookmarkStart w:id="289" w:name="_Toc1700"/>
      <w:r>
        <w:rPr>
          <w:rFonts w:hint="eastAsia" w:hAnsi="宋体" w:cs="宋体"/>
          <w:b/>
          <w:bCs/>
          <w:color w:val="auto"/>
          <w:sz w:val="28"/>
          <w:szCs w:val="28"/>
          <w:highlight w:val="none"/>
        </w:rPr>
        <w:t>第二节 资格证明文件格式</w:t>
      </w:r>
      <w:bookmarkEnd w:id="289"/>
    </w:p>
    <w:p w14:paraId="3C51D79D">
      <w:pPr>
        <w:pStyle w:val="12"/>
        <w:wordWrap w:val="0"/>
        <w:spacing w:line="360" w:lineRule="auto"/>
        <w:ind w:firstLine="420"/>
        <w:rPr>
          <w:rFonts w:hAnsi="宋体" w:cs="宋体"/>
          <w:color w:val="auto"/>
          <w:sz w:val="30"/>
          <w:highlight w:val="none"/>
        </w:rPr>
      </w:pPr>
    </w:p>
    <w:p w14:paraId="7C7430D1">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597C6F02">
      <w:pPr>
        <w:wordWrap w:val="0"/>
        <w:snapToGrid w:val="0"/>
        <w:spacing w:line="360" w:lineRule="auto"/>
        <w:rPr>
          <w:rFonts w:ascii="宋体" w:hAnsi="宋体" w:cs="宋体"/>
          <w:color w:val="auto"/>
          <w:sz w:val="24"/>
          <w:szCs w:val="20"/>
          <w:highlight w:val="none"/>
        </w:rPr>
      </w:pPr>
    </w:p>
    <w:p w14:paraId="20FAE563">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4399E758">
      <w:pPr>
        <w:wordWrap w:val="0"/>
        <w:snapToGrid w:val="0"/>
        <w:spacing w:line="360" w:lineRule="auto"/>
        <w:rPr>
          <w:rFonts w:ascii="宋体" w:hAnsi="宋体" w:cs="宋体"/>
          <w:bCs/>
          <w:color w:val="auto"/>
          <w:sz w:val="24"/>
          <w:szCs w:val="20"/>
          <w:highlight w:val="none"/>
        </w:rPr>
      </w:pPr>
    </w:p>
    <w:p w14:paraId="3D4E6D8D">
      <w:pPr>
        <w:wordWrap w:val="0"/>
        <w:snapToGrid w:val="0"/>
        <w:spacing w:line="360" w:lineRule="auto"/>
        <w:rPr>
          <w:rFonts w:ascii="宋体" w:hAnsi="宋体" w:cs="宋体"/>
          <w:bCs/>
          <w:color w:val="auto"/>
          <w:sz w:val="24"/>
          <w:szCs w:val="20"/>
          <w:highlight w:val="none"/>
        </w:rPr>
      </w:pPr>
    </w:p>
    <w:p w14:paraId="1B1BC999">
      <w:pPr>
        <w:wordWrap w:val="0"/>
        <w:snapToGrid w:val="0"/>
        <w:spacing w:line="360" w:lineRule="auto"/>
        <w:rPr>
          <w:rFonts w:ascii="宋体" w:hAnsi="宋体" w:cs="宋体"/>
          <w:bCs/>
          <w:color w:val="auto"/>
          <w:sz w:val="24"/>
          <w:szCs w:val="20"/>
          <w:highlight w:val="none"/>
        </w:rPr>
      </w:pPr>
    </w:p>
    <w:p w14:paraId="6F290BBA">
      <w:pPr>
        <w:wordWrap w:val="0"/>
        <w:snapToGrid w:val="0"/>
        <w:spacing w:line="360" w:lineRule="auto"/>
        <w:rPr>
          <w:rFonts w:ascii="宋体" w:hAnsi="宋体" w:cs="宋体"/>
          <w:bCs/>
          <w:color w:val="auto"/>
          <w:sz w:val="24"/>
          <w:szCs w:val="20"/>
          <w:highlight w:val="none"/>
        </w:rPr>
      </w:pPr>
    </w:p>
    <w:p w14:paraId="45B4356C">
      <w:pPr>
        <w:wordWrap w:val="0"/>
        <w:snapToGrid w:val="0"/>
        <w:spacing w:line="360" w:lineRule="auto"/>
        <w:rPr>
          <w:rFonts w:ascii="宋体" w:hAnsi="宋体" w:cs="宋体"/>
          <w:bCs/>
          <w:color w:val="auto"/>
          <w:sz w:val="24"/>
          <w:szCs w:val="20"/>
          <w:highlight w:val="none"/>
        </w:rPr>
      </w:pPr>
    </w:p>
    <w:p w14:paraId="665AE081">
      <w:pPr>
        <w:wordWrap w:val="0"/>
        <w:snapToGrid w:val="0"/>
        <w:spacing w:line="360" w:lineRule="auto"/>
        <w:rPr>
          <w:rFonts w:ascii="宋体" w:hAnsi="宋体" w:cs="宋体"/>
          <w:bCs/>
          <w:color w:val="auto"/>
          <w:sz w:val="24"/>
          <w:szCs w:val="20"/>
          <w:highlight w:val="none"/>
        </w:rPr>
      </w:pPr>
    </w:p>
    <w:p w14:paraId="188F8E5C">
      <w:pPr>
        <w:wordWrap w:val="0"/>
        <w:snapToGrid w:val="0"/>
        <w:spacing w:line="360" w:lineRule="auto"/>
        <w:rPr>
          <w:rFonts w:ascii="宋体" w:hAnsi="宋体" w:cs="宋体"/>
          <w:bCs/>
          <w:color w:val="auto"/>
          <w:sz w:val="24"/>
          <w:szCs w:val="20"/>
          <w:highlight w:val="none"/>
        </w:rPr>
      </w:pPr>
    </w:p>
    <w:p w14:paraId="1DD8C0D3">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2AB2FE7B">
      <w:pPr>
        <w:wordWrap w:val="0"/>
        <w:snapToGrid w:val="0"/>
        <w:spacing w:line="360" w:lineRule="auto"/>
        <w:ind w:firstLine="540" w:firstLineChars="225"/>
        <w:rPr>
          <w:rFonts w:ascii="宋体" w:hAnsi="宋体" w:cs="宋体"/>
          <w:bCs/>
          <w:color w:val="auto"/>
          <w:sz w:val="24"/>
          <w:szCs w:val="20"/>
          <w:highlight w:val="none"/>
        </w:rPr>
      </w:pPr>
    </w:p>
    <w:p w14:paraId="5CA57903">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r>
        <w:rPr>
          <w:rFonts w:hint="eastAsia" w:ascii="宋体" w:hAnsi="宋体" w:cs="宋体"/>
          <w:color w:val="auto"/>
          <w:sz w:val="24"/>
          <w:highlight w:val="none"/>
        </w:rPr>
        <w:t xml:space="preserve"> </w:t>
      </w:r>
    </w:p>
    <w:p w14:paraId="0889006A">
      <w:pPr>
        <w:wordWrap w:val="0"/>
        <w:snapToGrid w:val="0"/>
        <w:spacing w:line="360" w:lineRule="auto"/>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451E4185">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6763C4FA">
      <w:pPr>
        <w:pStyle w:val="8"/>
        <w:wordWrap w:val="0"/>
        <w:snapToGrid w:val="0"/>
        <w:spacing w:line="360" w:lineRule="auto"/>
        <w:ind w:firstLine="540" w:firstLineChars="225"/>
        <w:rPr>
          <w:rFonts w:ascii="宋体" w:hAnsi="宋体" w:cs="宋体"/>
          <w:bCs/>
          <w:color w:val="auto"/>
          <w:sz w:val="24"/>
          <w:szCs w:val="24"/>
          <w:highlight w:val="none"/>
        </w:rPr>
      </w:pPr>
    </w:p>
    <w:p w14:paraId="6EAB93A9">
      <w:pPr>
        <w:pStyle w:val="8"/>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6AC1021D">
      <w:pPr>
        <w:pStyle w:val="8"/>
        <w:wordWrap w:val="0"/>
        <w:snapToGrid w:val="0"/>
        <w:spacing w:line="360" w:lineRule="auto"/>
        <w:ind w:firstLine="540" w:firstLineChars="225"/>
        <w:rPr>
          <w:rFonts w:ascii="宋体" w:hAnsi="宋体" w:cs="宋体"/>
          <w:bCs/>
          <w:color w:val="auto"/>
          <w:sz w:val="24"/>
          <w:szCs w:val="24"/>
          <w:highlight w:val="none"/>
        </w:rPr>
      </w:pPr>
    </w:p>
    <w:p w14:paraId="64212753">
      <w:pPr>
        <w:pStyle w:val="8"/>
        <w:wordWrap w:val="0"/>
        <w:snapToGrid w:val="0"/>
        <w:spacing w:line="360" w:lineRule="auto"/>
        <w:ind w:firstLine="960" w:firstLineChars="400"/>
        <w:rPr>
          <w:rFonts w:ascii="宋体" w:hAnsi="宋体" w:cs="宋体"/>
          <w:bCs/>
          <w:color w:val="auto"/>
          <w:sz w:val="24"/>
          <w:szCs w:val="24"/>
          <w:highlight w:val="none"/>
        </w:rPr>
      </w:pPr>
    </w:p>
    <w:p w14:paraId="260D6BA1">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年  月  日</w:t>
      </w:r>
    </w:p>
    <w:p w14:paraId="72912FEB">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pgNumType w:fmt="decimal"/>
          <w:cols w:space="720" w:num="1"/>
          <w:docGrid w:type="lines" w:linePitch="331" w:charSpace="0"/>
        </w:sectPr>
      </w:pPr>
    </w:p>
    <w:p w14:paraId="14CF5362">
      <w:pPr>
        <w:wordWrap w:val="0"/>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5A8F4D58">
      <w:pPr>
        <w:wordWrap w:val="0"/>
        <w:snapToGrid w:val="0"/>
        <w:spacing w:line="360" w:lineRule="auto"/>
        <w:rPr>
          <w:rFonts w:ascii="宋体" w:hAnsi="宋体" w:cs="宋体"/>
          <w:color w:val="auto"/>
          <w:kern w:val="0"/>
          <w:sz w:val="24"/>
          <w:highlight w:val="none"/>
        </w:rPr>
      </w:pPr>
    </w:p>
    <w:p w14:paraId="1564EA8C">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2AEFC89D">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1D61D0B1">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507AFE27">
      <w:pPr>
        <w:wordWrap w:val="0"/>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四、投标人直接控股股东信息表</w:t>
      </w:r>
      <w:r>
        <w:rPr>
          <w:rFonts w:hint="eastAsia" w:ascii="宋体" w:hAnsi="宋体" w:cs="宋体"/>
          <w:color w:val="auto"/>
          <w:kern w:val="0"/>
          <w:sz w:val="24"/>
          <w:highlight w:val="none"/>
        </w:rPr>
        <w:t>…………………………………………………………（页码）</w:t>
      </w:r>
    </w:p>
    <w:p w14:paraId="0A15B1F0">
      <w:pPr>
        <w:wordWrap w:val="0"/>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五、投标人直接管理关系信息表</w:t>
      </w:r>
      <w:r>
        <w:rPr>
          <w:rFonts w:hint="eastAsia" w:ascii="宋体" w:hAnsi="宋体" w:cs="宋体"/>
          <w:color w:val="auto"/>
          <w:kern w:val="0"/>
          <w:sz w:val="24"/>
          <w:highlight w:val="none"/>
        </w:rPr>
        <w:t>………………………………………………………（页码）</w:t>
      </w:r>
    </w:p>
    <w:p w14:paraId="083FFA5A">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六、投标资格声明函……………………………………………………………………（页码）</w:t>
      </w:r>
    </w:p>
    <w:p w14:paraId="30183840">
      <w:pPr>
        <w:wordWrap w:val="0"/>
        <w:snapToGrid w:val="0"/>
        <w:spacing w:line="360" w:lineRule="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七、</w:t>
      </w:r>
      <w:r>
        <w:rPr>
          <w:rFonts w:hint="eastAsia" w:ascii="宋体" w:hAnsi="宋体" w:cs="宋体"/>
          <w:color w:val="auto"/>
          <w:kern w:val="0"/>
          <w:sz w:val="24"/>
          <w:highlight w:val="none"/>
          <w:lang w:val="en-US" w:eastAsia="zh-CN"/>
        </w:rPr>
        <w:t>中小企业声明函</w:t>
      </w:r>
      <w:r>
        <w:rPr>
          <w:rFonts w:hint="eastAsia" w:ascii="宋体" w:hAnsi="宋体" w:cs="宋体"/>
          <w:color w:val="auto"/>
          <w:kern w:val="0"/>
          <w:sz w:val="24"/>
          <w:highlight w:val="none"/>
        </w:rPr>
        <w:t>……………………………………………………………………（页码）</w:t>
      </w:r>
    </w:p>
    <w:p w14:paraId="6C0EC829">
      <w:pPr>
        <w:wordWrap w:val="0"/>
        <w:snapToGrid w:val="0"/>
        <w:spacing w:line="360" w:lineRule="auto"/>
        <w:rPr>
          <w:rFonts w:ascii="宋体" w:hAnsi="宋体" w:cs="宋体"/>
          <w:color w:val="auto"/>
          <w:sz w:val="24"/>
          <w:highlight w:val="none"/>
        </w:rPr>
      </w:pPr>
      <w:r>
        <w:rPr>
          <w:rFonts w:hint="eastAsia" w:ascii="宋体" w:hAnsi="宋体" w:cs="宋体"/>
          <w:color w:val="auto"/>
          <w:kern w:val="0"/>
          <w:sz w:val="24"/>
          <w:highlight w:val="none"/>
          <w:lang w:val="en-US" w:eastAsia="zh-CN"/>
        </w:rPr>
        <w:t>八、</w:t>
      </w:r>
      <w:r>
        <w:rPr>
          <w:rFonts w:hint="eastAsia" w:ascii="宋体" w:hAnsi="宋体" w:cs="宋体"/>
          <w:color w:val="auto"/>
          <w:kern w:val="0"/>
          <w:sz w:val="24"/>
          <w:highlight w:val="none"/>
        </w:rPr>
        <w:t>联合体协议书（</w:t>
      </w:r>
      <w:r>
        <w:rPr>
          <w:rFonts w:hint="eastAsia" w:ascii="宋体" w:hAnsi="宋体" w:cs="宋体"/>
          <w:color w:val="auto"/>
          <w:sz w:val="24"/>
          <w:highlight w:val="none"/>
        </w:rPr>
        <w:t>以联合体形式投标的，提供联合体协议；本项目不接受联合体投标或者投标人不以联合体形式投标的，则不需要提供）………………………………………（页码）</w:t>
      </w:r>
    </w:p>
    <w:p w14:paraId="0211AFFD">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rPr>
        <w:t>、除招标文件规定必须提供以外，投标人认为需要提供的其他证明材料。</w:t>
      </w:r>
    </w:p>
    <w:p w14:paraId="178F8304">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4CB14A21">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pgNumType w:fmt="decimal"/>
          <w:cols w:space="720" w:num="1"/>
          <w:docGrid w:type="lines" w:linePitch="331" w:charSpace="0"/>
        </w:sectPr>
      </w:pPr>
    </w:p>
    <w:p w14:paraId="66E206F9">
      <w:pPr>
        <w:wordWrap w:val="0"/>
        <w:snapToGrid w:val="0"/>
        <w:spacing w:line="360" w:lineRule="auto"/>
        <w:rPr>
          <w:rFonts w:ascii="宋体" w:hAnsi="宋体" w:cs="宋体"/>
          <w:b/>
          <w:color w:val="auto"/>
          <w:kern w:val="0"/>
          <w:sz w:val="32"/>
          <w:szCs w:val="32"/>
          <w:highlight w:val="none"/>
          <w:lang w:val="zh-CN"/>
        </w:rPr>
      </w:pPr>
    </w:p>
    <w:p w14:paraId="6ECAE84F">
      <w:pPr>
        <w:wordWrap w:val="0"/>
        <w:spacing w:line="360" w:lineRule="auto"/>
        <w:jc w:val="center"/>
        <w:rPr>
          <w:rFonts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6562D760">
      <w:pPr>
        <w:wordWrap w:val="0"/>
        <w:spacing w:line="360" w:lineRule="auto"/>
        <w:rPr>
          <w:rFonts w:ascii="宋体" w:hAnsi="宋体" w:cs="宋体"/>
          <w:b/>
          <w:color w:val="auto"/>
          <w:sz w:val="30"/>
          <w:szCs w:val="30"/>
          <w:highlight w:val="none"/>
        </w:rPr>
      </w:pPr>
    </w:p>
    <w:p w14:paraId="04329788">
      <w:pPr>
        <w:wordWrap w:val="0"/>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                              </w:t>
      </w:r>
    </w:p>
    <w:p w14:paraId="5C59E09D">
      <w:pPr>
        <w:wordWrap w:val="0"/>
        <w:spacing w:line="360" w:lineRule="auto"/>
        <w:jc w:val="center"/>
        <w:rPr>
          <w:rFonts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年  月</w:t>
      </w:r>
    </w:p>
    <w:p w14:paraId="53F6086E">
      <w:pPr>
        <w:wordWrap w:val="0"/>
        <w:spacing w:line="360" w:lineRule="auto"/>
        <w:jc w:val="center"/>
        <w:rPr>
          <w:rFonts w:ascii="宋体" w:hAnsi="宋体" w:cs="宋体"/>
          <w:b/>
          <w:color w:val="auto"/>
          <w:sz w:val="30"/>
          <w:szCs w:val="30"/>
          <w:highlight w:val="none"/>
        </w:rPr>
      </w:pPr>
    </w:p>
    <w:p w14:paraId="3FCC21EB">
      <w:pPr>
        <w:wordWrap w:val="0"/>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0277356B">
      <w:pPr>
        <w:wordWrap w:val="0"/>
        <w:snapToGrid w:val="0"/>
        <w:spacing w:line="360" w:lineRule="auto"/>
        <w:ind w:firstLine="480" w:firstLineChars="200"/>
        <w:rPr>
          <w:rFonts w:ascii="宋体" w:hAnsi="宋体" w:cs="宋体"/>
          <w:color w:val="auto"/>
          <w:sz w:val="24"/>
          <w:highlight w:val="none"/>
        </w:rPr>
      </w:pPr>
    </w:p>
    <w:p w14:paraId="5B4A2BCB">
      <w:pPr>
        <w:wordWrap w:val="0"/>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445115D6">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72380259">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3720D9D">
      <w:pPr>
        <w:wordWrap w:val="0"/>
        <w:snapToGrid w:val="0"/>
        <w:spacing w:line="360" w:lineRule="auto"/>
        <w:ind w:right="480"/>
        <w:rPr>
          <w:rFonts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70198860">
      <w:pPr>
        <w:wordWrap w:val="0"/>
        <w:snapToGrid w:val="0"/>
        <w:spacing w:line="360" w:lineRule="auto"/>
        <w:ind w:firstLine="480" w:firstLineChars="200"/>
        <w:rPr>
          <w:rFonts w:ascii="宋体" w:hAnsi="宋体" w:cs="宋体"/>
          <w:color w:val="auto"/>
          <w:sz w:val="24"/>
          <w:highlight w:val="none"/>
        </w:rPr>
      </w:pPr>
    </w:p>
    <w:p w14:paraId="16C6044C">
      <w:pPr>
        <w:wordWrap w:val="0"/>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7BDA40F0">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34F9E061">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CAEBEF7">
      <w:pPr>
        <w:wordWrap w:val="0"/>
        <w:snapToGrid w:val="0"/>
        <w:spacing w:line="360" w:lineRule="auto"/>
        <w:ind w:firstLine="5160" w:firstLineChars="2150"/>
        <w:rPr>
          <w:rFonts w:ascii="宋体" w:hAnsi="宋体" w:cs="宋体"/>
          <w:color w:val="auto"/>
          <w:kern w:val="0"/>
          <w:sz w:val="24"/>
          <w:highlight w:val="none"/>
          <w:lang w:val="zh-CN"/>
        </w:rPr>
      </w:pPr>
    </w:p>
    <w:p w14:paraId="33E01B12">
      <w:pPr>
        <w:wordWrap w:val="0"/>
        <w:snapToGrid w:val="0"/>
        <w:spacing w:line="360" w:lineRule="auto"/>
        <w:ind w:right="480"/>
        <w:jc w:val="center"/>
        <w:rPr>
          <w:rFonts w:ascii="宋体" w:hAnsi="宋体" w:cs="宋体"/>
          <w:b/>
          <w:color w:val="auto"/>
          <w:kern w:val="0"/>
          <w:sz w:val="32"/>
          <w:szCs w:val="32"/>
          <w:highlight w:val="none"/>
          <w:lang w:val="zh-CN"/>
        </w:rPr>
      </w:pPr>
    </w:p>
    <w:p w14:paraId="6F999DFC">
      <w:pPr>
        <w:wordWrap w:val="0"/>
        <w:snapToGrid w:val="0"/>
        <w:spacing w:line="360" w:lineRule="auto"/>
        <w:ind w:right="480"/>
        <w:jc w:val="center"/>
        <w:rPr>
          <w:rFonts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73BF50F8">
      <w:pPr>
        <w:wordWrap w:val="0"/>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四、投标人直接控股股东信息表</w:t>
      </w:r>
    </w:p>
    <w:tbl>
      <w:tblPr>
        <w:tblStyle w:val="23"/>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44DA64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B916673">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397FF8">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122F78">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C0C505">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8B29DC">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FEF4AA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646F25">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E21D59">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10559F">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851943">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F3AE2">
            <w:pPr>
              <w:wordWrap w:val="0"/>
              <w:spacing w:line="360" w:lineRule="auto"/>
              <w:jc w:val="center"/>
              <w:rPr>
                <w:rFonts w:ascii="宋体" w:hAnsi="宋体" w:cs="宋体"/>
                <w:color w:val="auto"/>
                <w:kern w:val="0"/>
                <w:sz w:val="24"/>
                <w:highlight w:val="none"/>
              </w:rPr>
            </w:pPr>
          </w:p>
        </w:tc>
      </w:tr>
      <w:tr w14:paraId="6C849B4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0C2D84">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ABF079">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744265">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C45597">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B0F21F">
            <w:pPr>
              <w:wordWrap w:val="0"/>
              <w:spacing w:line="360" w:lineRule="auto"/>
              <w:jc w:val="center"/>
              <w:rPr>
                <w:rFonts w:ascii="宋体" w:hAnsi="宋体" w:cs="宋体"/>
                <w:color w:val="auto"/>
                <w:kern w:val="0"/>
                <w:sz w:val="24"/>
                <w:highlight w:val="none"/>
              </w:rPr>
            </w:pPr>
          </w:p>
        </w:tc>
      </w:tr>
      <w:tr w14:paraId="237188C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449AD0">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FEF09B">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3C70B">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27A218">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4F4969">
            <w:pPr>
              <w:wordWrap w:val="0"/>
              <w:spacing w:line="360" w:lineRule="auto"/>
              <w:jc w:val="center"/>
              <w:rPr>
                <w:rFonts w:ascii="宋体" w:hAnsi="宋体" w:cs="宋体"/>
                <w:color w:val="auto"/>
                <w:kern w:val="0"/>
                <w:sz w:val="24"/>
                <w:highlight w:val="none"/>
              </w:rPr>
            </w:pPr>
          </w:p>
        </w:tc>
      </w:tr>
      <w:tr w14:paraId="31EC38A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6A33DE">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1CFF6E">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05E9C">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33A67A">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697E20">
            <w:pPr>
              <w:wordWrap w:val="0"/>
              <w:spacing w:line="360" w:lineRule="auto"/>
              <w:jc w:val="center"/>
              <w:rPr>
                <w:rFonts w:ascii="宋体" w:hAnsi="宋体" w:cs="宋体"/>
                <w:color w:val="auto"/>
                <w:kern w:val="0"/>
                <w:sz w:val="24"/>
                <w:highlight w:val="none"/>
              </w:rPr>
            </w:pPr>
          </w:p>
        </w:tc>
      </w:tr>
    </w:tbl>
    <w:p w14:paraId="75D081C9">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74CDB934">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830B2A0">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DCFCBF0">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10F9DFA1">
      <w:pPr>
        <w:wordWrap w:val="0"/>
        <w:snapToGrid w:val="0"/>
        <w:spacing w:line="360" w:lineRule="auto"/>
        <w:jc w:val="left"/>
        <w:rPr>
          <w:rFonts w:ascii="宋体" w:hAnsi="宋体" w:cs="宋体"/>
          <w:color w:val="auto"/>
          <w:sz w:val="24"/>
          <w:highlight w:val="none"/>
        </w:rPr>
      </w:pPr>
    </w:p>
    <w:p w14:paraId="7E72C104">
      <w:pPr>
        <w:wordWrap w:val="0"/>
        <w:snapToGrid w:val="0"/>
        <w:spacing w:line="360" w:lineRule="auto"/>
        <w:jc w:val="left"/>
        <w:rPr>
          <w:rFonts w:ascii="宋体" w:hAnsi="宋体" w:cs="宋体"/>
          <w:color w:val="auto"/>
          <w:sz w:val="24"/>
          <w:highlight w:val="none"/>
        </w:rPr>
      </w:pPr>
    </w:p>
    <w:p w14:paraId="2D85C6C2">
      <w:pPr>
        <w:wordWrap w:val="0"/>
        <w:snapToGrid w:val="0"/>
        <w:spacing w:line="360" w:lineRule="auto"/>
        <w:jc w:val="left"/>
        <w:rPr>
          <w:rFonts w:ascii="宋体" w:hAnsi="宋体" w:cs="宋体"/>
          <w:color w:val="auto"/>
          <w:sz w:val="24"/>
          <w:highlight w:val="none"/>
        </w:rPr>
      </w:pPr>
    </w:p>
    <w:p w14:paraId="21166380">
      <w:pPr>
        <w:wordWrap w:val="0"/>
        <w:snapToGrid w:val="0"/>
        <w:spacing w:line="360" w:lineRule="auto"/>
        <w:jc w:val="left"/>
        <w:rPr>
          <w:rFonts w:ascii="宋体" w:hAnsi="宋体" w:cs="宋体"/>
          <w:color w:val="auto"/>
          <w:sz w:val="24"/>
          <w:highlight w:val="none"/>
        </w:rPr>
      </w:pPr>
    </w:p>
    <w:p w14:paraId="567D4E7E">
      <w:pPr>
        <w:wordWrap w:val="0"/>
        <w:snapToGrid w:val="0"/>
        <w:spacing w:line="360" w:lineRule="auto"/>
        <w:jc w:val="left"/>
        <w:rPr>
          <w:rFonts w:ascii="宋体" w:hAnsi="宋体" w:cs="宋体"/>
          <w:color w:val="auto"/>
          <w:sz w:val="24"/>
          <w:highlight w:val="none"/>
        </w:rPr>
      </w:pPr>
    </w:p>
    <w:p w14:paraId="60D27914">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8086983">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84E7B7D">
      <w:pPr>
        <w:wordWrap w:val="0"/>
        <w:snapToGrid w:val="0"/>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5E6997CD">
      <w:pPr>
        <w:wordWrap w:val="0"/>
        <w:snapToGrid w:val="0"/>
        <w:spacing w:line="360" w:lineRule="auto"/>
        <w:jc w:val="center"/>
        <w:rPr>
          <w:rFonts w:ascii="宋体" w:hAnsi="宋体" w:cs="宋体"/>
          <w:color w:val="auto"/>
          <w:sz w:val="32"/>
          <w:szCs w:val="32"/>
          <w:highlight w:val="none"/>
        </w:rPr>
      </w:pPr>
      <w:r>
        <w:rPr>
          <w:rFonts w:hint="eastAsia" w:ascii="宋体" w:hAnsi="宋体" w:cs="宋体"/>
          <w:b/>
          <w:color w:val="auto"/>
          <w:sz w:val="32"/>
          <w:szCs w:val="32"/>
          <w:highlight w:val="none"/>
        </w:rPr>
        <w:t>五、投标人直接管理关系信息表</w:t>
      </w:r>
    </w:p>
    <w:tbl>
      <w:tblPr>
        <w:tblStyle w:val="23"/>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8DE4DF1">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3965D1">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EB6624">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4127D4">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F5190C">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1183B6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06EB08">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1EB814">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66A9BB">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C56716">
            <w:pPr>
              <w:wordWrap w:val="0"/>
              <w:spacing w:line="360" w:lineRule="auto"/>
              <w:jc w:val="center"/>
              <w:rPr>
                <w:rFonts w:ascii="宋体" w:hAnsi="宋体" w:cs="宋体"/>
                <w:color w:val="auto"/>
                <w:kern w:val="0"/>
                <w:sz w:val="24"/>
                <w:highlight w:val="none"/>
              </w:rPr>
            </w:pPr>
          </w:p>
        </w:tc>
      </w:tr>
      <w:tr w14:paraId="32FC713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4B4FEA">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7C04A">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DBD06B">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A7A6F7">
            <w:pPr>
              <w:wordWrap w:val="0"/>
              <w:spacing w:line="360" w:lineRule="auto"/>
              <w:jc w:val="center"/>
              <w:rPr>
                <w:rFonts w:ascii="宋体" w:hAnsi="宋体" w:cs="宋体"/>
                <w:color w:val="auto"/>
                <w:kern w:val="0"/>
                <w:sz w:val="24"/>
                <w:highlight w:val="none"/>
              </w:rPr>
            </w:pPr>
          </w:p>
        </w:tc>
      </w:tr>
      <w:tr w14:paraId="76AEEAD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C4D709">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2B9CEC">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087122">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CBC5AB">
            <w:pPr>
              <w:wordWrap w:val="0"/>
              <w:spacing w:line="360" w:lineRule="auto"/>
              <w:jc w:val="center"/>
              <w:rPr>
                <w:rFonts w:ascii="宋体" w:hAnsi="宋体" w:cs="宋体"/>
                <w:color w:val="auto"/>
                <w:kern w:val="0"/>
                <w:sz w:val="24"/>
                <w:highlight w:val="none"/>
              </w:rPr>
            </w:pPr>
          </w:p>
        </w:tc>
      </w:tr>
      <w:tr w14:paraId="14AEE90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E1373">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66A92D">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978B4F">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3E78E7">
            <w:pPr>
              <w:wordWrap w:val="0"/>
              <w:spacing w:line="360" w:lineRule="auto"/>
              <w:jc w:val="center"/>
              <w:rPr>
                <w:rFonts w:ascii="宋体" w:hAnsi="宋体" w:cs="宋体"/>
                <w:color w:val="auto"/>
                <w:kern w:val="0"/>
                <w:sz w:val="24"/>
                <w:highlight w:val="none"/>
              </w:rPr>
            </w:pPr>
          </w:p>
        </w:tc>
      </w:tr>
    </w:tbl>
    <w:p w14:paraId="7C493502">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4B06938E">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46EEA0BD">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7DB35770">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55730150">
      <w:pPr>
        <w:wordWrap w:val="0"/>
        <w:snapToGrid w:val="0"/>
        <w:spacing w:line="360" w:lineRule="auto"/>
        <w:jc w:val="left"/>
        <w:rPr>
          <w:rFonts w:ascii="宋体" w:hAnsi="宋体" w:cs="宋体"/>
          <w:color w:val="auto"/>
          <w:sz w:val="24"/>
          <w:highlight w:val="none"/>
        </w:rPr>
      </w:pPr>
    </w:p>
    <w:p w14:paraId="7F4E1E6D">
      <w:pPr>
        <w:wordWrap w:val="0"/>
        <w:snapToGrid w:val="0"/>
        <w:spacing w:line="360" w:lineRule="auto"/>
        <w:jc w:val="left"/>
        <w:rPr>
          <w:rFonts w:ascii="宋体" w:hAnsi="宋体" w:cs="宋体"/>
          <w:color w:val="auto"/>
          <w:sz w:val="24"/>
          <w:highlight w:val="none"/>
        </w:rPr>
      </w:pPr>
    </w:p>
    <w:p w14:paraId="19CC0ABC">
      <w:pPr>
        <w:wordWrap w:val="0"/>
        <w:snapToGrid w:val="0"/>
        <w:spacing w:line="360" w:lineRule="auto"/>
        <w:jc w:val="left"/>
        <w:rPr>
          <w:rFonts w:ascii="宋体" w:hAnsi="宋体" w:cs="宋体"/>
          <w:color w:val="auto"/>
          <w:sz w:val="24"/>
          <w:highlight w:val="none"/>
        </w:rPr>
      </w:pPr>
    </w:p>
    <w:p w14:paraId="3ECAD9AC">
      <w:pPr>
        <w:wordWrap w:val="0"/>
        <w:snapToGrid w:val="0"/>
        <w:spacing w:line="360" w:lineRule="auto"/>
        <w:jc w:val="left"/>
        <w:rPr>
          <w:rFonts w:ascii="宋体" w:hAnsi="宋体" w:cs="宋体"/>
          <w:color w:val="auto"/>
          <w:sz w:val="24"/>
          <w:highlight w:val="none"/>
        </w:rPr>
      </w:pPr>
    </w:p>
    <w:p w14:paraId="6E1B1C4C">
      <w:pPr>
        <w:wordWrap w:val="0"/>
        <w:snapToGrid w:val="0"/>
        <w:spacing w:line="360" w:lineRule="auto"/>
        <w:jc w:val="left"/>
        <w:rPr>
          <w:rFonts w:ascii="宋体" w:hAnsi="宋体" w:cs="宋体"/>
          <w:color w:val="auto"/>
          <w:sz w:val="24"/>
          <w:highlight w:val="none"/>
        </w:rPr>
      </w:pPr>
    </w:p>
    <w:p w14:paraId="2B8C26E9">
      <w:pPr>
        <w:wordWrap w:val="0"/>
        <w:snapToGrid w:val="0"/>
        <w:spacing w:line="360" w:lineRule="auto"/>
        <w:jc w:val="left"/>
        <w:rPr>
          <w:rFonts w:ascii="宋体" w:hAnsi="宋体" w:cs="宋体"/>
          <w:color w:val="auto"/>
          <w:sz w:val="24"/>
          <w:highlight w:val="none"/>
        </w:rPr>
      </w:pPr>
    </w:p>
    <w:p w14:paraId="7CE205DB">
      <w:pPr>
        <w:wordWrap w:val="0"/>
        <w:snapToGrid w:val="0"/>
        <w:spacing w:line="360" w:lineRule="auto"/>
        <w:jc w:val="left"/>
        <w:rPr>
          <w:rFonts w:ascii="宋体" w:hAnsi="宋体" w:cs="宋体"/>
          <w:color w:val="auto"/>
          <w:sz w:val="24"/>
          <w:highlight w:val="none"/>
        </w:rPr>
      </w:pPr>
    </w:p>
    <w:p w14:paraId="59844795">
      <w:pPr>
        <w:wordWrap w:val="0"/>
        <w:snapToGrid w:val="0"/>
        <w:spacing w:line="360" w:lineRule="auto"/>
        <w:jc w:val="left"/>
        <w:rPr>
          <w:rFonts w:ascii="宋体" w:hAnsi="宋体" w:cs="宋体"/>
          <w:color w:val="auto"/>
          <w:sz w:val="24"/>
          <w:highlight w:val="none"/>
        </w:rPr>
      </w:pPr>
    </w:p>
    <w:p w14:paraId="2E948DD9">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AB52DB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AC3BB32">
      <w:pPr>
        <w:wordWrap w:val="0"/>
        <w:snapToGrid w:val="0"/>
        <w:spacing w:line="360" w:lineRule="auto"/>
        <w:jc w:val="left"/>
        <w:rPr>
          <w:rFonts w:ascii="宋体" w:hAnsi="宋体" w:cs="宋体"/>
          <w:color w:val="auto"/>
          <w:szCs w:val="21"/>
          <w:highlight w:val="none"/>
        </w:rPr>
      </w:pPr>
    </w:p>
    <w:p w14:paraId="3EE6EE2D">
      <w:pPr>
        <w:wordWrap w:val="0"/>
        <w:snapToGrid w:val="0"/>
        <w:spacing w:line="360" w:lineRule="auto"/>
        <w:jc w:val="left"/>
        <w:rPr>
          <w:rFonts w:ascii="宋体" w:hAnsi="宋体" w:cs="宋体"/>
          <w:b/>
          <w:color w:val="auto"/>
          <w:sz w:val="24"/>
          <w:szCs w:val="20"/>
          <w:highlight w:val="none"/>
        </w:rPr>
      </w:pPr>
    </w:p>
    <w:p w14:paraId="70B9F29A">
      <w:pPr>
        <w:wordWrap w:val="0"/>
        <w:snapToGrid w:val="0"/>
        <w:spacing w:line="360" w:lineRule="auto"/>
        <w:jc w:val="left"/>
        <w:rPr>
          <w:rFonts w:ascii="宋体" w:hAnsi="宋体" w:cs="宋体"/>
          <w:b/>
          <w:color w:val="auto"/>
          <w:sz w:val="24"/>
          <w:highlight w:val="none"/>
        </w:rPr>
      </w:pPr>
    </w:p>
    <w:p w14:paraId="1B82838F">
      <w:pPr>
        <w:wordWrap w:val="0"/>
        <w:snapToGrid w:val="0"/>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xml:space="preserve"> </w:t>
      </w:r>
    </w:p>
    <w:p w14:paraId="0B55D725">
      <w:pPr>
        <w:wordWrap w:val="0"/>
        <w:snapToGrid w:val="0"/>
        <w:spacing w:line="360" w:lineRule="auto"/>
        <w:jc w:val="left"/>
        <w:rPr>
          <w:rFonts w:ascii="宋体" w:hAnsi="宋体" w:cs="宋体"/>
          <w:b/>
          <w:color w:val="auto"/>
          <w:sz w:val="24"/>
          <w:szCs w:val="20"/>
          <w:highlight w:val="none"/>
        </w:rPr>
      </w:pPr>
    </w:p>
    <w:p w14:paraId="07225563">
      <w:pPr>
        <w:wordWrap w:val="0"/>
        <w:snapToGrid w:val="0"/>
        <w:spacing w:line="360" w:lineRule="auto"/>
        <w:jc w:val="left"/>
        <w:rPr>
          <w:rFonts w:ascii="宋体" w:hAnsi="宋体" w:cs="宋体"/>
          <w:color w:val="auto"/>
          <w:highlight w:val="none"/>
        </w:rPr>
      </w:pPr>
    </w:p>
    <w:p w14:paraId="21846583">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六、投标资格声明函</w:t>
      </w:r>
    </w:p>
    <w:p w14:paraId="559546DF">
      <w:pPr>
        <w:tabs>
          <w:tab w:val="left" w:pos="7200"/>
        </w:tabs>
        <w:wordWrap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致：</w:t>
      </w:r>
      <w:bookmarkStart w:id="290" w:name="PO_3000001866_PM031_5"/>
      <w:r>
        <w:rPr>
          <w:rFonts w:hint="eastAsia" w:ascii="宋体" w:hAnsi="宋体" w:cs="宋体"/>
          <w:color w:val="auto"/>
          <w:szCs w:val="21"/>
          <w:highlight w:val="none"/>
          <w:u w:val="single"/>
        </w:rPr>
        <w:t>广西邕政采购代理有限公司</w:t>
      </w:r>
      <w:bookmarkEnd w:id="290"/>
      <w:r>
        <w:rPr>
          <w:rFonts w:hint="eastAsia" w:ascii="宋体" w:hAnsi="宋体" w:cs="宋体"/>
          <w:color w:val="auto"/>
          <w:szCs w:val="21"/>
          <w:highlight w:val="none"/>
          <w:u w:val="single"/>
        </w:rPr>
        <w:t xml:space="preserve"> </w:t>
      </w:r>
    </w:p>
    <w:p w14:paraId="11A90023">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）项目的投标，为便于贵方公正、择优地确定中标供应商，我方就本次投标有关事项郑重声明如下：</w:t>
      </w:r>
    </w:p>
    <w:p w14:paraId="588A8339">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0D3069C0">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BD0ECB3">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3.经查询，在“信用中国”和“中国政府采购网”网站我方未被列入失信被执行人、重大税收违法失信主体、政府采购严重违法失信行为记录名单。</w:t>
      </w:r>
    </w:p>
    <w:p w14:paraId="55CF1BE6">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7AF44E55">
      <w:pPr>
        <w:tabs>
          <w:tab w:val="left" w:pos="7200"/>
        </w:tabs>
        <w:wordWrap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说明：</w:t>
      </w:r>
    </w:p>
    <w:p w14:paraId="3D2C0315">
      <w:pPr>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604E933C">
      <w:pPr>
        <w:wordWrap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51536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 xml:space="preserve">  3.如为联合体投标，盖章处须加盖联合体各方公章并由联合体各方法定代表人分别签署，否则投标无效。</w:t>
      </w:r>
    </w:p>
    <w:p w14:paraId="17C83CDD">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p w14:paraId="0BEA6531">
      <w:pPr>
        <w:wordWrap w:val="0"/>
        <w:snapToGrid w:val="0"/>
        <w:spacing w:line="360" w:lineRule="auto"/>
        <w:ind w:left="7428" w:leftChars="2223" w:hanging="2760" w:hangingChars="1150"/>
        <w:jc w:val="left"/>
        <w:rPr>
          <w:rFonts w:ascii="宋体" w:hAnsi="宋体" w:cs="宋体"/>
          <w:color w:val="auto"/>
          <w:kern w:val="0"/>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3D3A3342">
      <w:pPr>
        <w:pStyle w:val="12"/>
        <w:wordWrap w:val="0"/>
        <w:spacing w:line="360" w:lineRule="auto"/>
        <w:jc w:val="center"/>
        <w:rPr>
          <w:rFonts w:hAnsi="宋体" w:cs="宋体"/>
          <w:b/>
          <w:bCs/>
          <w:color w:val="auto"/>
          <w:sz w:val="30"/>
          <w:szCs w:val="30"/>
          <w:highlight w:val="none"/>
        </w:rPr>
      </w:pPr>
    </w:p>
    <w:p w14:paraId="70ADB34F">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pgNumType w:fmt="decimal"/>
          <w:cols w:space="720" w:num="1"/>
          <w:docGrid w:type="lines" w:linePitch="331" w:charSpace="0"/>
        </w:sectPr>
      </w:pPr>
    </w:p>
    <w:p w14:paraId="13CCCB19">
      <w:pPr>
        <w:pStyle w:val="12"/>
        <w:wordWrap w:val="0"/>
        <w:spacing w:line="360" w:lineRule="auto"/>
        <w:jc w:val="center"/>
        <w:rPr>
          <w:rFonts w:hint="eastAsia" w:hAnsi="宋体" w:cs="宋体"/>
          <w:b/>
          <w:bCs/>
          <w:color w:val="auto"/>
          <w:sz w:val="30"/>
          <w:szCs w:val="30"/>
          <w:highlight w:val="none"/>
          <w:lang w:val="en-US" w:eastAsia="zh-CN"/>
        </w:rPr>
      </w:pPr>
      <w:r>
        <w:rPr>
          <w:rFonts w:hint="eastAsia" w:hAnsi="宋体" w:cs="宋体"/>
          <w:b/>
          <w:bCs/>
          <w:color w:val="auto"/>
          <w:sz w:val="30"/>
          <w:szCs w:val="30"/>
          <w:highlight w:val="none"/>
        </w:rPr>
        <w:t>七、</w:t>
      </w:r>
      <w:r>
        <w:rPr>
          <w:rFonts w:hint="eastAsia" w:hAnsi="宋体" w:cs="宋体"/>
          <w:b/>
          <w:bCs/>
          <w:color w:val="auto"/>
          <w:sz w:val="30"/>
          <w:szCs w:val="30"/>
          <w:highlight w:val="none"/>
          <w:lang w:val="en-US" w:eastAsia="zh-CN"/>
        </w:rPr>
        <w:t>中小企业声明函</w:t>
      </w:r>
    </w:p>
    <w:p w14:paraId="08B446F7">
      <w:pPr>
        <w:pStyle w:val="10"/>
        <w:wordWrap w:val="0"/>
        <w:spacing w:line="360" w:lineRule="auto"/>
        <w:ind w:firstLine="0"/>
        <w:rPr>
          <w:rFonts w:hAnsi="宋体" w:cs="宋体"/>
          <w:color w:val="auto"/>
          <w:sz w:val="21"/>
          <w:szCs w:val="21"/>
          <w:highlight w:val="none"/>
        </w:rPr>
      </w:pPr>
      <w:r>
        <w:rPr>
          <w:rFonts w:hint="eastAsia" w:hAnsi="宋体" w:cs="宋体"/>
          <w:color w:val="auto"/>
          <w:sz w:val="21"/>
          <w:szCs w:val="21"/>
          <w:highlight w:val="none"/>
        </w:rPr>
        <w:t>说明：</w:t>
      </w:r>
    </w:p>
    <w:p w14:paraId="13F0B21D">
      <w:pPr>
        <w:pStyle w:val="10"/>
        <w:wordWrap w:val="0"/>
        <w:spacing w:line="36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1.本声明函主要供参加政府采购活动的中小企业填写，非中小企业无需填写。</w:t>
      </w:r>
    </w:p>
    <w:p w14:paraId="39BBC4D3">
      <w:pPr>
        <w:pStyle w:val="10"/>
        <w:wordWrap w:val="0"/>
        <w:spacing w:line="36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2.小型、微型企业提供中型企业提供的服务的，视同为中型企业。</w:t>
      </w:r>
    </w:p>
    <w:p w14:paraId="22D69185">
      <w:pPr>
        <w:pStyle w:val="10"/>
        <w:wordWrap w:val="0"/>
        <w:spacing w:line="360" w:lineRule="auto"/>
        <w:ind w:firstLine="404" w:firstLineChars="200"/>
        <w:rPr>
          <w:rFonts w:hAnsi="宋体" w:cs="宋体"/>
          <w:color w:val="auto"/>
          <w:sz w:val="21"/>
          <w:szCs w:val="21"/>
          <w:highlight w:val="none"/>
        </w:rPr>
      </w:pPr>
    </w:p>
    <w:p w14:paraId="67C5E98E">
      <w:pPr>
        <w:pStyle w:val="2"/>
        <w:wordWrap w:val="0"/>
        <w:spacing w:after="0" w:line="360" w:lineRule="auto"/>
        <w:ind w:right="142" w:firstLine="420" w:firstLineChars="200"/>
        <w:rPr>
          <w:rFonts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 xml:space="preserve">   （采购人名称）           </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采购活动，服务全部由符合政策要求的中小企业承接。相关企业（含联合体中的中小企业、签订分包意向协议的中小企业）的具体情况如下：</w:t>
      </w:r>
    </w:p>
    <w:p w14:paraId="2AC8A2DD">
      <w:pPr>
        <w:tabs>
          <w:tab w:val="left" w:pos="1384"/>
          <w:tab w:val="left" w:pos="4562"/>
          <w:tab w:val="left" w:pos="6803"/>
        </w:tabs>
        <w:wordWrap w:val="0"/>
        <w:spacing w:line="360" w:lineRule="auto"/>
        <w:ind w:right="142" w:firstLine="630" w:firstLineChars="3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 xml:space="preserve">（采购文件中明确的所属行业） </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（中型企业、小型企业、微型企业）</w:t>
      </w:r>
      <w:r>
        <w:rPr>
          <w:rFonts w:hint="eastAsia" w:ascii="宋体" w:hAnsi="宋体" w:cs="宋体"/>
          <w:color w:val="auto"/>
          <w:szCs w:val="21"/>
          <w:highlight w:val="none"/>
        </w:rPr>
        <w:t>；</w:t>
      </w:r>
    </w:p>
    <w:p w14:paraId="7BA738D2">
      <w:pPr>
        <w:tabs>
          <w:tab w:val="left" w:pos="1065"/>
          <w:tab w:val="left" w:pos="4262"/>
          <w:tab w:val="left" w:pos="6477"/>
        </w:tabs>
        <w:wordWrap w:val="0"/>
        <w:spacing w:line="360" w:lineRule="auto"/>
        <w:ind w:left="420" w:leftChars="200" w:right="84" w:firstLine="178" w:firstLineChars="85"/>
        <w:rPr>
          <w:rFonts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 xml:space="preserve">（标的名称）   </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5EFA20FE">
      <w:pPr>
        <w:pStyle w:val="2"/>
        <w:wordWrap w:val="0"/>
        <w:spacing w:after="0" w:line="360" w:lineRule="auto"/>
        <w:ind w:left="765" w:right="142" w:hanging="5"/>
        <w:rPr>
          <w:rFonts w:ascii="宋体" w:hAnsi="宋体" w:cs="宋体"/>
          <w:color w:val="auto"/>
          <w:highlight w:val="none"/>
        </w:rPr>
      </w:pPr>
      <w:r>
        <w:rPr>
          <w:rFonts w:hint="eastAsia" w:ascii="宋体" w:hAnsi="宋体" w:cs="宋体"/>
          <w:color w:val="auto"/>
          <w:highlight w:val="none"/>
        </w:rPr>
        <w:t xml:space="preserve">…… </w:t>
      </w:r>
    </w:p>
    <w:p w14:paraId="59F908D1">
      <w:pPr>
        <w:pStyle w:val="2"/>
        <w:wordWrap w:val="0"/>
        <w:spacing w:after="0" w:line="360" w:lineRule="auto"/>
        <w:ind w:right="142" w:firstLine="420" w:firstLineChars="200"/>
        <w:rPr>
          <w:rFonts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28EF5FC3">
      <w:pPr>
        <w:pStyle w:val="2"/>
        <w:wordWrap w:val="0"/>
        <w:spacing w:after="0" w:line="360" w:lineRule="auto"/>
        <w:ind w:right="142" w:firstLine="420" w:firstLineChars="200"/>
        <w:rPr>
          <w:rFonts w:ascii="宋体" w:hAnsi="宋体" w:cs="宋体"/>
          <w:color w:val="auto"/>
          <w:szCs w:val="21"/>
          <w:highlight w:val="none"/>
        </w:rPr>
      </w:pPr>
      <w:r>
        <w:rPr>
          <w:rFonts w:hint="eastAsia" w:ascii="宋体" w:hAnsi="宋体" w:cs="宋体"/>
          <w:color w:val="auto"/>
          <w:highlight w:val="none"/>
        </w:rPr>
        <w:t>本企业对上述声明内容的真实性负责。如有虚假，将依法承担相应责任。</w:t>
      </w:r>
    </w:p>
    <w:p w14:paraId="7AEDAAEB">
      <w:pPr>
        <w:pStyle w:val="12"/>
        <w:wordWrap w:val="0"/>
        <w:spacing w:line="360" w:lineRule="auto"/>
        <w:ind w:firstLine="420" w:firstLineChars="200"/>
        <w:rPr>
          <w:rFonts w:hAnsi="宋体" w:cs="宋体"/>
          <w:color w:val="auto"/>
          <w:szCs w:val="21"/>
          <w:highlight w:val="none"/>
        </w:rPr>
      </w:pPr>
    </w:p>
    <w:p w14:paraId="159DD918">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44D1F0C">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8241B39">
      <w:pPr>
        <w:pStyle w:val="12"/>
        <w:wordWrap w:val="0"/>
        <w:spacing w:line="360" w:lineRule="auto"/>
        <w:ind w:firstLine="420" w:firstLineChars="200"/>
        <w:rPr>
          <w:rFonts w:hAnsi="宋体" w:cs="宋体"/>
          <w:color w:val="auto"/>
          <w:szCs w:val="21"/>
          <w:highlight w:val="none"/>
        </w:rPr>
      </w:pPr>
    </w:p>
    <w:p w14:paraId="44222E81">
      <w:pPr>
        <w:wordWrap w:val="0"/>
        <w:snapToGrid w:val="0"/>
        <w:spacing w:line="360" w:lineRule="auto"/>
        <w:jc w:val="left"/>
        <w:rPr>
          <w:rFonts w:ascii="宋体" w:hAnsi="宋体" w:cs="宋体"/>
          <w:color w:val="auto"/>
          <w:sz w:val="20"/>
          <w:highlight w:val="none"/>
        </w:rPr>
      </w:pPr>
      <w:r>
        <w:rPr>
          <w:rFonts w:hint="eastAsia" w:ascii="宋体" w:hAnsi="宋体" w:cs="宋体"/>
          <w:color w:val="auto"/>
          <w:sz w:val="20"/>
          <w:highlight w:val="none"/>
        </w:rPr>
        <w:t>注：</w:t>
      </w:r>
    </w:p>
    <w:p w14:paraId="7C03956B">
      <w:pPr>
        <w:pStyle w:val="10"/>
        <w:wordWrap w:val="0"/>
        <w:spacing w:line="360" w:lineRule="auto"/>
        <w:ind w:left="0" w:leftChars="0" w:firstLine="404" w:firstLineChars="200"/>
        <w:jc w:val="left"/>
        <w:rPr>
          <w:rFonts w:hAnsi="宋体" w:cs="宋体"/>
          <w:color w:val="auto"/>
          <w:sz w:val="21"/>
          <w:szCs w:val="21"/>
          <w:highlight w:val="none"/>
        </w:rPr>
      </w:pPr>
      <w:r>
        <w:rPr>
          <w:rFonts w:hint="eastAsia" w:hAnsi="宋体" w:cs="宋体"/>
          <w:color w:val="auto"/>
          <w:sz w:val="21"/>
          <w:szCs w:val="21"/>
          <w:highlight w:val="none"/>
        </w:rPr>
        <w:t>1.从业人员、营业收入、资产总额填报上一年度数据，无上一年度数据的新成立企业可不填报。</w:t>
      </w:r>
    </w:p>
    <w:p w14:paraId="46C8D6EF">
      <w:pPr>
        <w:pStyle w:val="12"/>
        <w:wordWrap w:val="0"/>
        <w:spacing w:line="360" w:lineRule="auto"/>
        <w:ind w:firstLine="420"/>
        <w:jc w:val="left"/>
        <w:rPr>
          <w:rFonts w:hint="eastAsia" w:hAnsi="宋体" w:cs="宋体"/>
          <w:color w:val="auto"/>
          <w:sz w:val="21"/>
          <w:szCs w:val="21"/>
          <w:highlight w:val="none"/>
        </w:rPr>
      </w:pPr>
      <w:r>
        <w:rPr>
          <w:rFonts w:hint="eastAsia" w:hAnsi="宋体" w:cs="宋体"/>
          <w:color w:val="auto"/>
          <w:sz w:val="21"/>
          <w:szCs w:val="21"/>
          <w:highlight w:val="none"/>
        </w:rPr>
        <w:t>2.请根据自己的真实情况出具《中小企业声明函》。依法享受中小企业优惠政策的，采购人或者采购代理机构在公告中标结果时，同时公告其《中小企业声明函》，接受社会监督。</w:t>
      </w:r>
    </w:p>
    <w:p w14:paraId="1D77FA00">
      <w:pPr>
        <w:pStyle w:val="12"/>
        <w:wordWrap w:val="0"/>
        <w:spacing w:line="360" w:lineRule="auto"/>
        <w:ind w:firstLine="420"/>
        <w:jc w:val="left"/>
        <w:rPr>
          <w:rFonts w:hint="default" w:hAnsi="宋体" w:eastAsia="宋体" w:cs="宋体"/>
          <w:b/>
          <w:bCs/>
          <w:color w:val="auto"/>
          <w:sz w:val="28"/>
          <w:szCs w:val="28"/>
          <w:highlight w:val="none"/>
          <w:lang w:val="en-US" w:eastAsia="zh-CN"/>
        </w:rPr>
        <w:sectPr>
          <w:pgSz w:w="11906" w:h="16838"/>
          <w:pgMar w:top="1440" w:right="1080" w:bottom="1440" w:left="1080" w:header="851" w:footer="992" w:gutter="0"/>
          <w:pgNumType w:fmt="decimal"/>
          <w:cols w:space="720" w:num="1"/>
        </w:sectPr>
      </w:pPr>
      <w:r>
        <w:rPr>
          <w:rFonts w:hint="eastAsia" w:hAnsi="宋体" w:cs="宋体"/>
          <w:b/>
          <w:bCs/>
          <w:color w:val="auto"/>
          <w:sz w:val="28"/>
          <w:szCs w:val="28"/>
          <w:highlight w:val="none"/>
          <w:lang w:val="en-US" w:eastAsia="zh-CN"/>
        </w:rPr>
        <w:t>3.</w:t>
      </w:r>
      <w:r>
        <w:rPr>
          <w:rFonts w:hint="eastAsia" w:ascii="宋体" w:hAnsi="宋体" w:eastAsia="宋体" w:cs="宋体"/>
          <w:b/>
          <w:bCs/>
          <w:color w:val="auto"/>
          <w:sz w:val="24"/>
          <w:szCs w:val="24"/>
          <w:highlight w:val="none"/>
          <w:lang w:val="en-US" w:eastAsia="zh-CN"/>
        </w:rPr>
        <w:t>请单独上传中小企业声明函至对应模块，勿上传其他文件，本函将由系统自动抓取随中标（成交）结果公告一并公示。</w:t>
      </w:r>
    </w:p>
    <w:p w14:paraId="6FCB2D15">
      <w:pPr>
        <w:pStyle w:val="12"/>
        <w:wordWrap w:val="0"/>
        <w:spacing w:line="360" w:lineRule="auto"/>
        <w:jc w:val="center"/>
        <w:rPr>
          <w:rFonts w:hAnsi="宋体" w:cs="宋体"/>
          <w:color w:val="auto"/>
          <w:highlight w:val="none"/>
        </w:rPr>
      </w:pPr>
      <w:r>
        <w:rPr>
          <w:rFonts w:hint="eastAsia" w:hAnsi="宋体" w:cs="宋体"/>
          <w:b/>
          <w:bCs/>
          <w:color w:val="auto"/>
          <w:sz w:val="30"/>
          <w:szCs w:val="30"/>
          <w:highlight w:val="none"/>
          <w:lang w:val="en-US" w:eastAsia="zh-CN"/>
        </w:rPr>
        <w:t>八、</w:t>
      </w:r>
      <w:r>
        <w:rPr>
          <w:rFonts w:hint="eastAsia" w:hAnsi="宋体" w:cs="宋体"/>
          <w:b/>
          <w:bCs/>
          <w:color w:val="auto"/>
          <w:sz w:val="30"/>
          <w:szCs w:val="30"/>
          <w:highlight w:val="none"/>
        </w:rPr>
        <w:t>联合体协议书</w:t>
      </w:r>
    </w:p>
    <w:p w14:paraId="77B3FB49">
      <w:pPr>
        <w:wordWrap w:val="0"/>
        <w:autoSpaceDE w:val="0"/>
        <w:autoSpaceDN w:val="0"/>
        <w:adjustRightInd w:val="0"/>
        <w:spacing w:line="360" w:lineRule="auto"/>
        <w:jc w:val="left"/>
        <w:rPr>
          <w:rFonts w:ascii="宋体" w:hAnsi="宋体" w:cs="宋体"/>
          <w:color w:val="auto"/>
          <w:kern w:val="0"/>
          <w:szCs w:val="21"/>
          <w:highlight w:val="none"/>
          <w:u w:val="single"/>
        </w:rPr>
      </w:pPr>
    </w:p>
    <w:p w14:paraId="410B6402">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bookmarkStart w:id="291" w:name="PO_3000001866_PM031_6"/>
      <w:r>
        <w:rPr>
          <w:rFonts w:hint="eastAsia" w:ascii="宋体" w:hAnsi="宋体" w:cs="宋体"/>
          <w:color w:val="auto"/>
          <w:kern w:val="0"/>
          <w:szCs w:val="21"/>
          <w:highlight w:val="none"/>
          <w:u w:val="single"/>
        </w:rPr>
        <w:t>广西邕政采购代理有限公司</w:t>
      </w:r>
      <w:bookmarkEnd w:id="291"/>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（项目名称）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14:paraId="0F6D25C8">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07BDFB76">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367FA56A">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联合体牵头人在本项目中签署和盖章的一切文件和处理的一切事宜，联合体各成员均予以承认。 联合体各成员将严格按照招标文件、投标文件和合同的要求全面履行义务，并向招标人承担连带责任。</w:t>
      </w:r>
    </w:p>
    <w:p w14:paraId="1F616F32">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联合体各成员单位内部的职责分工如下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rPr>
        <w:t xml:space="preserve">                                          </w:t>
      </w:r>
      <w:r>
        <w:rPr>
          <w:rFonts w:hint="eastAsia" w:ascii="宋体" w:hAnsi="宋体" w:cs="宋体"/>
          <w:color w:val="auto"/>
          <w:kern w:val="0"/>
          <w:szCs w:val="21"/>
          <w:highlight w:val="none"/>
        </w:rPr>
        <w:t>。</w:t>
      </w:r>
    </w:p>
    <w:p w14:paraId="7FADE831">
      <w:pPr>
        <w:pStyle w:val="12"/>
        <w:wordWrap w:val="0"/>
        <w:spacing w:line="360" w:lineRule="auto"/>
        <w:ind w:firstLine="420" w:firstLineChars="200"/>
        <w:rPr>
          <w:rFonts w:hAnsi="宋体" w:cs="宋体"/>
          <w:color w:val="auto"/>
          <w:szCs w:val="21"/>
          <w:highlight w:val="none"/>
        </w:rPr>
      </w:pPr>
      <w:r>
        <w:rPr>
          <w:rFonts w:hint="eastAsia" w:hAnsi="宋体" w:cs="宋体"/>
          <w:color w:val="auto"/>
          <w:kern w:val="0"/>
          <w:highlight w:val="none"/>
        </w:rPr>
        <w:t>5</w:t>
      </w:r>
      <w:r>
        <w:rPr>
          <w:rFonts w:hint="eastAsia" w:ascii="宋体" w:hAnsi="宋体" w:cs="宋体"/>
          <w:color w:val="auto"/>
          <w:kern w:val="0"/>
          <w:szCs w:val="21"/>
          <w:highlight w:val="none"/>
          <w:lang w:val="en-US" w:eastAsia="zh-CN"/>
        </w:rPr>
        <w:t>.</w:t>
      </w:r>
      <w:r>
        <w:rPr>
          <w:rFonts w:hint="eastAsia" w:hAnsi="宋体" w:cs="宋体"/>
          <w:color w:val="auto"/>
          <w:kern w:val="0"/>
          <w:highlight w:val="none"/>
        </w:rPr>
        <w:t>本联合体中</w:t>
      </w:r>
      <w:r>
        <w:rPr>
          <w:rFonts w:hint="eastAsia" w:hAnsi="宋体" w:cs="宋体"/>
          <w:color w:val="auto"/>
          <w:kern w:val="0"/>
          <w:highlight w:val="none"/>
          <w:u w:val="single"/>
        </w:rPr>
        <w:t>，</w:t>
      </w:r>
      <w:r>
        <w:rPr>
          <w:rFonts w:hint="eastAsia" w:hAnsi="宋体" w:cs="宋体"/>
          <w:color w:val="auto"/>
          <w:szCs w:val="21"/>
          <w:highlight w:val="none"/>
          <w:u w:val="single"/>
        </w:rPr>
        <w:t xml:space="preserve">             </w:t>
      </w:r>
      <w:r>
        <w:rPr>
          <w:rFonts w:hint="eastAsia" w:hAnsi="宋体" w:cs="宋体"/>
          <w:color w:val="auto"/>
          <w:kern w:val="0"/>
          <w:highlight w:val="none"/>
          <w:u w:val="single"/>
        </w:rPr>
        <w:t>（某成员单位名称）为</w:t>
      </w:r>
      <w:r>
        <w:rPr>
          <w:rFonts w:hint="eastAsia" w:hAnsi="宋体" w:cs="宋体"/>
          <w:color w:val="auto"/>
          <w:szCs w:val="21"/>
          <w:highlight w:val="none"/>
          <w:u w:val="single"/>
        </w:rPr>
        <w:t xml:space="preserve">             </w:t>
      </w:r>
      <w:r>
        <w:rPr>
          <w:rFonts w:hint="eastAsia" w:hAnsi="宋体" w:cs="宋体"/>
          <w:color w:val="auto"/>
          <w:highlight w:val="none"/>
        </w:rPr>
        <w:t>（请填写：中型、小型、微型）企业，其协议合同金额占联合体协议合同总金额的</w:t>
      </w:r>
      <w:r>
        <w:rPr>
          <w:rFonts w:hint="eastAsia" w:hAnsi="宋体" w:cs="宋体"/>
          <w:color w:val="auto"/>
          <w:szCs w:val="21"/>
          <w:highlight w:val="none"/>
          <w:u w:val="single"/>
        </w:rPr>
        <w:t xml:space="preserve">             </w:t>
      </w:r>
      <w:r>
        <w:rPr>
          <w:rFonts w:hint="eastAsia" w:hAnsi="宋体" w:cs="宋体"/>
          <w:color w:val="auto"/>
          <w:highlight w:val="none"/>
        </w:rPr>
        <w:t>%。【如联合体成员中有小型、微型企业的，请填写此条，否则无需填写；如联合体成员中有多个小型、微型企业的，请逐一列出。】</w:t>
      </w:r>
    </w:p>
    <w:p w14:paraId="0D682485">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本协议书自签署之日起生效，合同履行完毕后自动失效。</w:t>
      </w:r>
    </w:p>
    <w:p w14:paraId="2BFC67C3">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14A746D9">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1D1472D9">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2803544D">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143DBF2E">
      <w:pPr>
        <w:wordWrap w:val="0"/>
        <w:autoSpaceDE w:val="0"/>
        <w:autoSpaceDN w:val="0"/>
        <w:adjustRightInd w:val="0"/>
        <w:spacing w:line="360" w:lineRule="auto"/>
        <w:jc w:val="left"/>
        <w:rPr>
          <w:rFonts w:ascii="宋体" w:hAnsi="宋体" w:cs="宋体"/>
          <w:color w:val="auto"/>
          <w:kern w:val="0"/>
          <w:szCs w:val="21"/>
          <w:highlight w:val="none"/>
        </w:rPr>
      </w:pPr>
    </w:p>
    <w:p w14:paraId="781D0796">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7FBFAA22">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6DE7E96D">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03588D70">
      <w:pPr>
        <w:pStyle w:val="12"/>
        <w:wordWrap w:val="0"/>
        <w:spacing w:line="360" w:lineRule="auto"/>
        <w:rPr>
          <w:rFonts w:hAnsi="宋体" w:cs="宋体"/>
          <w:color w:val="auto"/>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（手写签名/电子签名）</w:t>
      </w:r>
    </w:p>
    <w:p w14:paraId="67CB6611">
      <w:pPr>
        <w:wordWrap w:val="0"/>
        <w:spacing w:line="360" w:lineRule="auto"/>
        <w:rPr>
          <w:rFonts w:ascii="宋体" w:hAnsi="宋体" w:cs="宋体"/>
          <w:color w:val="auto"/>
          <w:highlight w:val="none"/>
        </w:rPr>
      </w:pPr>
    </w:p>
    <w:p w14:paraId="7728B6C6">
      <w:pPr>
        <w:pStyle w:val="12"/>
        <w:wordWrap w:val="0"/>
        <w:spacing w:line="360" w:lineRule="auto"/>
        <w:jc w:val="center"/>
        <w:rPr>
          <w:rFonts w:hAnsi="宋体" w:cs="宋体"/>
          <w:b/>
          <w:color w:val="auto"/>
          <w:sz w:val="30"/>
          <w:szCs w:val="30"/>
          <w:highlight w:val="none"/>
        </w:rPr>
        <w:sectPr>
          <w:pgSz w:w="11906" w:h="16838"/>
          <w:pgMar w:top="1440" w:right="1080" w:bottom="1440" w:left="1080" w:header="851" w:footer="992" w:gutter="0"/>
          <w:pgNumType w:fmt="decimal"/>
          <w:cols w:space="720" w:num="1"/>
        </w:sectPr>
      </w:pPr>
      <w:bookmarkStart w:id="292" w:name="_Toc19686838"/>
    </w:p>
    <w:p w14:paraId="6E18265D">
      <w:pPr>
        <w:rPr>
          <w:rFonts w:ascii="宋体" w:hAnsi="宋体" w:cs="宋体"/>
          <w:b/>
          <w:color w:val="auto"/>
          <w:sz w:val="32"/>
          <w:szCs w:val="32"/>
          <w:highlight w:val="none"/>
        </w:rPr>
      </w:pPr>
    </w:p>
    <w:p w14:paraId="0BB62D44">
      <w:pP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九</w:t>
      </w:r>
      <w:r>
        <w:rPr>
          <w:rFonts w:hint="eastAsia" w:ascii="宋体" w:hAnsi="宋体" w:cs="宋体"/>
          <w:b/>
          <w:color w:val="auto"/>
          <w:sz w:val="32"/>
          <w:szCs w:val="32"/>
          <w:highlight w:val="none"/>
        </w:rPr>
        <w:t>、除招标文件规定必须提供以外，投标人认为需要提供的其他证明材料。</w:t>
      </w:r>
    </w:p>
    <w:p w14:paraId="25F65807">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264B9ACA">
      <w:pPr>
        <w:rPr>
          <w:rFonts w:ascii="宋体" w:hAnsi="宋体" w:cs="宋体"/>
          <w:b/>
          <w:bCs/>
          <w:color w:val="auto"/>
          <w:sz w:val="28"/>
          <w:szCs w:val="28"/>
          <w:highlight w:val="none"/>
        </w:rPr>
      </w:pPr>
    </w:p>
    <w:p w14:paraId="6152185C">
      <w:p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3992BEFA">
      <w:pPr>
        <w:pStyle w:val="12"/>
        <w:wordWrap w:val="0"/>
        <w:spacing w:line="360" w:lineRule="auto"/>
        <w:jc w:val="center"/>
        <w:outlineLvl w:val="1"/>
        <w:rPr>
          <w:rFonts w:hAnsi="宋体" w:cs="宋体"/>
          <w:b/>
          <w:bCs/>
          <w:color w:val="auto"/>
          <w:sz w:val="28"/>
          <w:szCs w:val="28"/>
          <w:highlight w:val="none"/>
        </w:rPr>
      </w:pPr>
      <w:bookmarkStart w:id="293" w:name="_Toc22407"/>
      <w:r>
        <w:rPr>
          <w:rFonts w:hint="eastAsia" w:hAnsi="宋体" w:cs="宋体"/>
          <w:b/>
          <w:bCs/>
          <w:color w:val="auto"/>
          <w:sz w:val="28"/>
          <w:szCs w:val="28"/>
          <w:highlight w:val="none"/>
        </w:rPr>
        <w:t>第三节 商务文件格式</w:t>
      </w:r>
      <w:bookmarkEnd w:id="292"/>
      <w:bookmarkEnd w:id="293"/>
    </w:p>
    <w:p w14:paraId="5860F991">
      <w:pPr>
        <w:wordWrap w:val="0"/>
        <w:snapToGrid w:val="0"/>
        <w:spacing w:line="360" w:lineRule="auto"/>
        <w:rPr>
          <w:rFonts w:ascii="宋体" w:hAnsi="宋体" w:cs="宋体"/>
          <w:color w:val="auto"/>
          <w:sz w:val="30"/>
          <w:szCs w:val="20"/>
          <w:highlight w:val="none"/>
        </w:rPr>
      </w:pPr>
    </w:p>
    <w:p w14:paraId="1F8EA203">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 xml:space="preserve">             电子投标文件</w:t>
      </w:r>
    </w:p>
    <w:p w14:paraId="61CF2DE8">
      <w:pPr>
        <w:wordWrap w:val="0"/>
        <w:snapToGrid w:val="0"/>
        <w:spacing w:line="360" w:lineRule="auto"/>
        <w:rPr>
          <w:rFonts w:ascii="宋体" w:hAnsi="宋体" w:cs="宋体"/>
          <w:color w:val="auto"/>
          <w:sz w:val="24"/>
          <w:szCs w:val="20"/>
          <w:highlight w:val="none"/>
        </w:rPr>
      </w:pPr>
    </w:p>
    <w:p w14:paraId="7A693A20">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0CF076B7">
      <w:pPr>
        <w:wordWrap w:val="0"/>
        <w:snapToGrid w:val="0"/>
        <w:spacing w:line="360" w:lineRule="auto"/>
        <w:rPr>
          <w:rFonts w:ascii="宋体" w:hAnsi="宋体" w:cs="宋体"/>
          <w:bCs/>
          <w:color w:val="auto"/>
          <w:sz w:val="24"/>
          <w:szCs w:val="20"/>
          <w:highlight w:val="none"/>
        </w:rPr>
      </w:pPr>
    </w:p>
    <w:p w14:paraId="63CD350C">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07E05CFF">
      <w:pPr>
        <w:wordWrap w:val="0"/>
        <w:snapToGrid w:val="0"/>
        <w:spacing w:line="360" w:lineRule="auto"/>
        <w:ind w:firstLine="540" w:firstLineChars="225"/>
        <w:rPr>
          <w:rFonts w:ascii="宋体" w:hAnsi="宋体" w:cs="宋体"/>
          <w:bCs/>
          <w:color w:val="auto"/>
          <w:sz w:val="24"/>
          <w:szCs w:val="20"/>
          <w:highlight w:val="none"/>
        </w:rPr>
      </w:pPr>
    </w:p>
    <w:p w14:paraId="58BF95F4">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75547EF3">
      <w:pPr>
        <w:wordWrap w:val="0"/>
        <w:snapToGrid w:val="0"/>
        <w:spacing w:line="360" w:lineRule="auto"/>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45C54B5E">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67ADA4FD">
      <w:pPr>
        <w:wordWrap w:val="0"/>
        <w:snapToGrid w:val="0"/>
        <w:spacing w:line="360" w:lineRule="auto"/>
        <w:ind w:firstLine="540" w:firstLineChars="225"/>
        <w:rPr>
          <w:rFonts w:ascii="宋体" w:hAnsi="宋体" w:cs="宋体"/>
          <w:bCs/>
          <w:color w:val="auto"/>
          <w:sz w:val="24"/>
          <w:szCs w:val="20"/>
          <w:highlight w:val="none"/>
        </w:rPr>
      </w:pPr>
    </w:p>
    <w:p w14:paraId="3DFE4826">
      <w:pPr>
        <w:pStyle w:val="8"/>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1861B11D">
      <w:pPr>
        <w:pStyle w:val="8"/>
        <w:wordWrap w:val="0"/>
        <w:snapToGrid w:val="0"/>
        <w:spacing w:line="360" w:lineRule="auto"/>
        <w:ind w:firstLine="540" w:firstLineChars="225"/>
        <w:rPr>
          <w:rFonts w:ascii="宋体" w:hAnsi="宋体" w:cs="宋体"/>
          <w:bCs/>
          <w:color w:val="auto"/>
          <w:sz w:val="24"/>
          <w:szCs w:val="24"/>
          <w:highlight w:val="none"/>
        </w:rPr>
      </w:pPr>
    </w:p>
    <w:p w14:paraId="113089C0">
      <w:pPr>
        <w:pStyle w:val="8"/>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10B790CD">
      <w:pPr>
        <w:pStyle w:val="8"/>
        <w:wordWrap w:val="0"/>
        <w:snapToGrid w:val="0"/>
        <w:spacing w:line="360" w:lineRule="auto"/>
        <w:ind w:firstLine="960" w:firstLineChars="400"/>
        <w:rPr>
          <w:rFonts w:ascii="宋体" w:hAnsi="宋体" w:cs="宋体"/>
          <w:bCs/>
          <w:color w:val="auto"/>
          <w:sz w:val="24"/>
          <w:szCs w:val="24"/>
          <w:highlight w:val="none"/>
        </w:rPr>
      </w:pPr>
    </w:p>
    <w:p w14:paraId="67A5570F">
      <w:pPr>
        <w:wordWrap w:val="0"/>
        <w:snapToGrid w:val="0"/>
        <w:spacing w:line="360" w:lineRule="auto"/>
        <w:ind w:firstLine="645"/>
        <w:rPr>
          <w:rFonts w:ascii="宋体" w:hAnsi="宋体" w:cs="宋体"/>
          <w:color w:val="auto"/>
          <w:sz w:val="24"/>
          <w:highlight w:val="none"/>
        </w:rPr>
      </w:pPr>
      <w:r>
        <w:rPr>
          <w:rFonts w:hint="eastAsia" w:ascii="宋体" w:hAnsi="宋体" w:cs="宋体"/>
          <w:color w:val="auto"/>
          <w:sz w:val="24"/>
          <w:highlight w:val="none"/>
        </w:rPr>
        <w:t xml:space="preserve">                        年  月  日</w:t>
      </w:r>
    </w:p>
    <w:p w14:paraId="4EA3AEC5">
      <w:pPr>
        <w:wordWrap w:val="0"/>
        <w:snapToGrid w:val="0"/>
        <w:spacing w:line="360" w:lineRule="auto"/>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79A7F203">
      <w:pPr>
        <w:wordWrap w:val="0"/>
        <w:spacing w:line="360" w:lineRule="auto"/>
        <w:ind w:right="420"/>
        <w:rPr>
          <w:rFonts w:ascii="宋体" w:hAnsi="宋体" w:cs="宋体"/>
          <w:color w:val="auto"/>
          <w:sz w:val="24"/>
          <w:szCs w:val="20"/>
          <w:highlight w:val="none"/>
        </w:rPr>
      </w:pPr>
    </w:p>
    <w:p w14:paraId="1F0BB5FC">
      <w:pPr>
        <w:wordWrap w:val="0"/>
        <w:spacing w:line="360" w:lineRule="auto"/>
        <w:ind w:right="420"/>
        <w:rPr>
          <w:rFonts w:ascii="宋体" w:hAnsi="宋体" w:cs="宋体"/>
          <w:color w:val="auto"/>
          <w:sz w:val="24"/>
          <w:szCs w:val="20"/>
          <w:highlight w:val="none"/>
        </w:rPr>
      </w:pPr>
    </w:p>
    <w:p w14:paraId="2953D5B2">
      <w:pPr>
        <w:wordWrap w:val="0"/>
        <w:spacing w:line="360" w:lineRule="auto"/>
        <w:ind w:right="420"/>
        <w:rPr>
          <w:rFonts w:ascii="宋体" w:hAnsi="宋体" w:cs="宋体"/>
          <w:color w:val="auto"/>
          <w:sz w:val="24"/>
          <w:szCs w:val="20"/>
          <w:highlight w:val="none"/>
        </w:rPr>
      </w:pPr>
    </w:p>
    <w:p w14:paraId="53EAE7F4">
      <w:pPr>
        <w:wordWrap w:val="0"/>
        <w:spacing w:line="360" w:lineRule="auto"/>
        <w:ind w:right="420"/>
        <w:rPr>
          <w:rFonts w:ascii="宋体" w:hAnsi="宋体" w:cs="宋体"/>
          <w:color w:val="auto"/>
          <w:sz w:val="24"/>
          <w:szCs w:val="20"/>
          <w:highlight w:val="none"/>
        </w:rPr>
      </w:pPr>
    </w:p>
    <w:p w14:paraId="217E47A7">
      <w:pPr>
        <w:wordWrap w:val="0"/>
        <w:spacing w:line="360" w:lineRule="auto"/>
        <w:ind w:right="420"/>
        <w:rPr>
          <w:rFonts w:ascii="宋体" w:hAnsi="宋体" w:cs="宋体"/>
          <w:color w:val="auto"/>
          <w:sz w:val="24"/>
          <w:szCs w:val="20"/>
          <w:highlight w:val="none"/>
        </w:rPr>
      </w:pPr>
    </w:p>
    <w:p w14:paraId="63195CD2">
      <w:pPr>
        <w:wordWrap w:val="0"/>
        <w:spacing w:line="360" w:lineRule="auto"/>
        <w:ind w:right="420"/>
        <w:rPr>
          <w:rFonts w:ascii="宋体" w:hAnsi="宋体" w:cs="宋体"/>
          <w:color w:val="auto"/>
          <w:sz w:val="24"/>
          <w:szCs w:val="20"/>
          <w:highlight w:val="none"/>
        </w:rPr>
      </w:pPr>
    </w:p>
    <w:p w14:paraId="70B94796">
      <w:pPr>
        <w:wordWrap w:val="0"/>
        <w:spacing w:line="360" w:lineRule="auto"/>
        <w:ind w:right="420"/>
        <w:rPr>
          <w:rFonts w:ascii="宋体" w:hAnsi="宋体" w:cs="宋体"/>
          <w:color w:val="auto"/>
          <w:sz w:val="24"/>
          <w:szCs w:val="20"/>
          <w:highlight w:val="none"/>
        </w:rPr>
      </w:pPr>
    </w:p>
    <w:p w14:paraId="33DD2C16">
      <w:pPr>
        <w:wordWrap w:val="0"/>
        <w:spacing w:line="360" w:lineRule="auto"/>
        <w:ind w:right="420"/>
        <w:rPr>
          <w:rFonts w:ascii="宋体" w:hAnsi="宋体" w:cs="宋体"/>
          <w:color w:val="auto"/>
          <w:sz w:val="24"/>
          <w:szCs w:val="20"/>
          <w:highlight w:val="none"/>
        </w:rPr>
      </w:pPr>
    </w:p>
    <w:p w14:paraId="0FA17056">
      <w:pPr>
        <w:wordWrap w:val="0"/>
        <w:spacing w:line="360" w:lineRule="auto"/>
        <w:ind w:right="420"/>
        <w:rPr>
          <w:rFonts w:ascii="宋体" w:hAnsi="宋体" w:cs="宋体"/>
          <w:color w:val="auto"/>
          <w:sz w:val="24"/>
          <w:szCs w:val="20"/>
          <w:highlight w:val="none"/>
        </w:rPr>
      </w:pPr>
    </w:p>
    <w:p w14:paraId="68AD58BD">
      <w:pPr>
        <w:wordWrap w:val="0"/>
        <w:spacing w:line="360" w:lineRule="auto"/>
        <w:ind w:right="42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1B9CC98D">
      <w:pPr>
        <w:wordWrap w:val="0"/>
        <w:spacing w:line="360" w:lineRule="auto"/>
        <w:rPr>
          <w:rFonts w:ascii="宋体" w:hAnsi="宋体" w:cs="宋体"/>
          <w:b/>
          <w:color w:val="auto"/>
          <w:kern w:val="0"/>
          <w:sz w:val="24"/>
          <w:highlight w:val="none"/>
        </w:rPr>
      </w:pPr>
    </w:p>
    <w:p w14:paraId="2B92A321">
      <w:pPr>
        <w:wordWrap w:val="0"/>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44C5BBEA">
      <w:pPr>
        <w:pStyle w:val="36"/>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一、无串通投标行为的承诺函……………………………………………………………（页码）</w:t>
      </w:r>
    </w:p>
    <w:p w14:paraId="303A19F8">
      <w:pPr>
        <w:pStyle w:val="36"/>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7F4865A7">
      <w:pPr>
        <w:pStyle w:val="36"/>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225FC58D">
      <w:pPr>
        <w:pStyle w:val="36"/>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7AF05BC4">
      <w:pPr>
        <w:pStyle w:val="36"/>
        <w:wordWrap w:val="0"/>
        <w:spacing w:line="360" w:lineRule="auto"/>
        <w:rPr>
          <w:rFonts w:hint="eastAsia" w:ascii="宋体" w:hAnsi="宋体" w:eastAsia="宋体" w:cs="宋体"/>
          <w:color w:val="auto"/>
          <w:highlight w:val="none"/>
        </w:rPr>
      </w:pPr>
      <w:bookmarkStart w:id="294" w:name="OLE_LINK7"/>
      <w:bookmarkStart w:id="295" w:name="OLE_LINK6"/>
      <w:bookmarkStart w:id="296"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CD658D9">
      <w:pPr>
        <w:pStyle w:val="36"/>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294"/>
      <w:bookmarkEnd w:id="295"/>
    </w:p>
    <w:p w14:paraId="62562A52">
      <w:pPr>
        <w:pStyle w:val="36"/>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七、除招标文件规定必须提供以外，投标人认为需要提供的其他证明材料。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296"/>
    <w:p w14:paraId="72CDCBDB">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691AA94A">
      <w:pPr>
        <w:rPr>
          <w:rFonts w:ascii="宋体" w:hAnsi="宋体" w:cs="宋体"/>
          <w:b/>
          <w:bCs/>
          <w:color w:val="auto"/>
          <w:sz w:val="30"/>
          <w:szCs w:val="30"/>
          <w:highlight w:val="none"/>
        </w:rPr>
      </w:pPr>
      <w:r>
        <w:rPr>
          <w:rFonts w:hint="eastAsia" w:ascii="宋体" w:hAnsi="宋体" w:cs="宋体"/>
          <w:b/>
          <w:bCs/>
          <w:color w:val="auto"/>
          <w:sz w:val="30"/>
          <w:szCs w:val="30"/>
          <w:highlight w:val="none"/>
        </w:rPr>
        <w:br w:type="page"/>
      </w:r>
    </w:p>
    <w:p w14:paraId="6B1486FC">
      <w:pPr>
        <w:wordWrap w:val="0"/>
        <w:snapToGrid w:val="0"/>
        <w:spacing w:line="360" w:lineRule="auto"/>
        <w:ind w:left="42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一、无串通投标行为的承诺函</w:t>
      </w:r>
    </w:p>
    <w:p w14:paraId="54F587CD">
      <w:pPr>
        <w:wordWrap w:val="0"/>
        <w:snapToGrid w:val="0"/>
        <w:spacing w:line="360" w:lineRule="auto"/>
        <w:ind w:left="420"/>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投标人参加本项目无串通投标行为的承诺函</w:t>
      </w:r>
    </w:p>
    <w:p w14:paraId="020D9769">
      <w:pPr>
        <w:wordWrap w:val="0"/>
        <w:snapToGrid w:val="0"/>
        <w:spacing w:line="360" w:lineRule="auto"/>
        <w:rPr>
          <w:rFonts w:ascii="宋体" w:hAnsi="宋体" w:cs="宋体"/>
          <w:b/>
          <w:color w:val="auto"/>
          <w:szCs w:val="21"/>
          <w:highlight w:val="none"/>
        </w:rPr>
      </w:pPr>
    </w:p>
    <w:p w14:paraId="1657DCF2">
      <w:pPr>
        <w:wordWrap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2BFB5922">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0C752D77">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62DD1095">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45A997B5">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2DD52BCF">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728FFF13">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1A94C210">
      <w:pPr>
        <w:wordWrap w:val="0"/>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082EEC6F">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1BB90EAA">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22DFFFF5">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47E07F3A">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1E1D3FFE">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681EDA41">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7441477B">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5D54D5D1">
      <w:pPr>
        <w:wordWrap w:val="0"/>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1758FA0A">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73B623DB">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342DF1C">
      <w:pPr>
        <w:pStyle w:val="12"/>
        <w:wordWrap w:val="0"/>
        <w:snapToGrid w:val="0"/>
        <w:spacing w:line="360" w:lineRule="auto"/>
        <w:jc w:val="center"/>
        <w:rPr>
          <w:rFonts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二、法定代表人身份证明及法定代表人有效身份证正反面复印件</w:t>
      </w:r>
    </w:p>
    <w:p w14:paraId="2679DE48">
      <w:pPr>
        <w:wordWrap w:val="0"/>
        <w:spacing w:line="360" w:lineRule="auto"/>
        <w:ind w:left="540"/>
        <w:jc w:val="center"/>
        <w:rPr>
          <w:rFonts w:ascii="宋体" w:hAnsi="宋体" w:cs="宋体"/>
          <w:b/>
          <w:color w:val="auto"/>
          <w:sz w:val="32"/>
          <w:szCs w:val="32"/>
          <w:highlight w:val="none"/>
        </w:rPr>
      </w:pPr>
    </w:p>
    <w:p w14:paraId="773295A5">
      <w:pPr>
        <w:wordWrap w:val="0"/>
        <w:spacing w:line="360" w:lineRule="auto"/>
        <w:ind w:left="540"/>
        <w:jc w:val="center"/>
        <w:rPr>
          <w:rFonts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10E7AE0A">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67255618">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0FD00E11">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47BA462D">
      <w:pPr>
        <w:wordWrap w:val="0"/>
        <w:spacing w:line="360" w:lineRule="auto"/>
        <w:ind w:left="54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2D51C74B">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E912F67">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51C8DC2D">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特此证明。</w:t>
      </w:r>
    </w:p>
    <w:p w14:paraId="48BC8F1D">
      <w:pPr>
        <w:wordWrap w:val="0"/>
        <w:spacing w:line="360" w:lineRule="auto"/>
        <w:ind w:left="540"/>
        <w:rPr>
          <w:rFonts w:ascii="宋体" w:hAnsi="宋体" w:cs="宋体"/>
          <w:color w:val="auto"/>
          <w:sz w:val="24"/>
          <w:highlight w:val="none"/>
        </w:rPr>
      </w:pPr>
    </w:p>
    <w:p w14:paraId="048E2C10">
      <w:pPr>
        <w:wordWrap w:val="0"/>
        <w:spacing w:line="360" w:lineRule="auto"/>
        <w:ind w:left="540"/>
        <w:rPr>
          <w:rFonts w:ascii="宋体" w:hAnsi="宋体" w:cs="宋体"/>
          <w:color w:val="auto"/>
          <w:sz w:val="24"/>
          <w:highlight w:val="none"/>
        </w:rPr>
      </w:pPr>
    </w:p>
    <w:p w14:paraId="15F81DFB">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323EBBB">
      <w:pPr>
        <w:wordWrap w:val="0"/>
        <w:spacing w:line="360" w:lineRule="auto"/>
        <w:ind w:left="540"/>
        <w:rPr>
          <w:rFonts w:ascii="宋体" w:hAnsi="宋体" w:cs="宋体"/>
          <w:color w:val="auto"/>
          <w:sz w:val="24"/>
          <w:highlight w:val="none"/>
        </w:rPr>
      </w:pPr>
    </w:p>
    <w:p w14:paraId="518C8462">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BDD142D">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4339A11">
      <w:pPr>
        <w:wordWrap w:val="0"/>
        <w:snapToGrid w:val="0"/>
        <w:spacing w:line="360" w:lineRule="auto"/>
        <w:jc w:val="center"/>
        <w:rPr>
          <w:rFonts w:ascii="宋体" w:hAnsi="宋体" w:cs="宋体"/>
          <w:b/>
          <w:color w:val="auto"/>
          <w:sz w:val="24"/>
          <w:highlight w:val="none"/>
        </w:rPr>
      </w:pPr>
    </w:p>
    <w:p w14:paraId="370D47BF">
      <w:pPr>
        <w:wordWrap w:val="0"/>
        <w:snapToGrid w:val="0"/>
        <w:spacing w:line="360" w:lineRule="auto"/>
        <w:ind w:firstLine="600" w:firstLineChars="250"/>
        <w:jc w:val="left"/>
        <w:rPr>
          <w:rFonts w:ascii="宋体" w:hAnsi="宋体" w:cs="宋体"/>
          <w:color w:val="auto"/>
          <w:sz w:val="24"/>
          <w:highlight w:val="none"/>
        </w:rPr>
      </w:pPr>
      <w:r>
        <w:rPr>
          <w:rFonts w:hint="eastAsia" w:ascii="宋体" w:hAnsi="宋体" w:cs="宋体"/>
          <w:color w:val="auto"/>
          <w:sz w:val="24"/>
          <w:highlight w:val="none"/>
        </w:rPr>
        <w:t>注：自然人投标的无需提供</w:t>
      </w:r>
    </w:p>
    <w:p w14:paraId="149B194A">
      <w:pPr>
        <w:wordWrap w:val="0"/>
        <w:snapToGrid w:val="0"/>
        <w:spacing w:line="360" w:lineRule="auto"/>
        <w:ind w:firstLine="600" w:firstLineChars="250"/>
        <w:jc w:val="left"/>
        <w:rPr>
          <w:rFonts w:ascii="宋体" w:hAnsi="宋体" w:cs="宋体"/>
          <w:color w:val="auto"/>
          <w:sz w:val="24"/>
          <w:highlight w:val="none"/>
        </w:rPr>
      </w:pPr>
    </w:p>
    <w:p w14:paraId="27B350CB">
      <w:pPr>
        <w:wordWrap w:val="0"/>
        <w:snapToGrid w:val="0"/>
        <w:spacing w:line="360" w:lineRule="auto"/>
        <w:ind w:firstLine="602" w:firstLineChars="250"/>
        <w:jc w:val="left"/>
        <w:rPr>
          <w:rFonts w:ascii="宋体" w:hAnsi="宋体" w:cs="宋体"/>
          <w:b/>
          <w:color w:val="auto"/>
          <w:sz w:val="24"/>
          <w:szCs w:val="20"/>
          <w:highlight w:val="none"/>
        </w:rPr>
      </w:pPr>
    </w:p>
    <w:tbl>
      <w:tblPr>
        <w:tblStyle w:val="23"/>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317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0F85308A">
            <w:pPr>
              <w:wordWrap w:val="0"/>
              <w:spacing w:line="360" w:lineRule="auto"/>
              <w:rPr>
                <w:rFonts w:ascii="宋体" w:hAnsi="宋体" w:cs="宋体"/>
                <w:b/>
                <w:color w:val="auto"/>
                <w:sz w:val="24"/>
                <w:highlight w:val="none"/>
              </w:rPr>
            </w:pPr>
          </w:p>
          <w:p w14:paraId="7E3CA2E9">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24485F45">
      <w:pPr>
        <w:pStyle w:val="12"/>
        <w:wordWrap w:val="0"/>
        <w:snapToGrid w:val="0"/>
        <w:spacing w:line="360" w:lineRule="auto"/>
        <w:jc w:val="left"/>
        <w:rPr>
          <w:rFonts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三、法定代表人授权委托书及委托代理人有效身份证正反面复印件（如有委托时）</w:t>
      </w:r>
    </w:p>
    <w:p w14:paraId="6A1AF9E1">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6FDDC558">
      <w:pPr>
        <w:wordWrap w:val="0"/>
        <w:snapToGrid w:val="0"/>
        <w:spacing w:line="360" w:lineRule="auto"/>
        <w:jc w:val="center"/>
        <w:rPr>
          <w:rFonts w:ascii="宋体" w:hAnsi="宋体" w:cs="宋体"/>
          <w:b/>
          <w:color w:val="auto"/>
          <w:sz w:val="24"/>
          <w:highlight w:val="none"/>
        </w:rPr>
      </w:pPr>
    </w:p>
    <w:p w14:paraId="6AC3C0CC">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bookmarkStart w:id="297" w:name="PO_3000001866_PM031_7"/>
      <w:r>
        <w:rPr>
          <w:rFonts w:hint="eastAsia" w:hAnsi="宋体" w:cs="宋体"/>
          <w:color w:val="auto"/>
          <w:highlight w:val="none"/>
          <w:u w:val="single"/>
        </w:rPr>
        <w:t>广西邕政采购代理有限公司</w:t>
      </w:r>
      <w:bookmarkEnd w:id="297"/>
      <w:r>
        <w:rPr>
          <w:rFonts w:hint="eastAsia" w:hAnsi="宋体" w:cs="宋体"/>
          <w:color w:val="auto"/>
          <w:highlight w:val="none"/>
          <w:u w:val="single"/>
        </w:rPr>
        <w:t xml:space="preserve"> </w:t>
      </w:r>
    </w:p>
    <w:p w14:paraId="0DCDD527">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 xml:space="preserve">        </w:t>
      </w:r>
      <w:r>
        <w:rPr>
          <w:rFonts w:hint="eastAsia" w:hAnsi="宋体" w:cs="宋体"/>
          <w:color w:val="auto"/>
          <w:highlight w:val="none"/>
        </w:rPr>
        <w:t>（姓名）系</w:t>
      </w:r>
      <w:r>
        <w:rPr>
          <w:rFonts w:hint="eastAsia" w:hAnsi="宋体" w:cs="宋体"/>
          <w:color w:val="auto"/>
          <w:highlight w:val="none"/>
          <w:u w:val="single"/>
        </w:rPr>
        <w:t xml:space="preserve">                 </w:t>
      </w:r>
      <w:r>
        <w:rPr>
          <w:rFonts w:hint="eastAsia" w:hAnsi="宋体" w:cs="宋体"/>
          <w:color w:val="auto"/>
          <w:highlight w:val="none"/>
        </w:rPr>
        <w:t>（投标人名称）的法定代表人，现授权我单位在职正式员工</w:t>
      </w:r>
      <w:r>
        <w:rPr>
          <w:rFonts w:hint="eastAsia" w:hAnsi="宋体" w:cs="宋体"/>
          <w:color w:val="auto"/>
          <w:highlight w:val="none"/>
          <w:u w:val="single"/>
        </w:rPr>
        <w:t xml:space="preserve">        </w:t>
      </w:r>
      <w:r>
        <w:rPr>
          <w:rFonts w:hint="eastAsia" w:hAnsi="宋体" w:cs="宋体"/>
          <w:color w:val="auto"/>
          <w:highlight w:val="none"/>
        </w:rPr>
        <w:t>（姓名和职务）为我方代理人。代理人根据授权，以我方名义签署、澄清、说明、补正、递交、撤回、修改贵方组织的</w:t>
      </w:r>
      <w:r>
        <w:rPr>
          <w:rFonts w:hint="eastAsia" w:hAnsi="宋体" w:cs="宋体"/>
          <w:color w:val="auto"/>
          <w:highlight w:val="none"/>
          <w:u w:val="single"/>
        </w:rPr>
        <w:t xml:space="preserve"> </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00EF4079">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41F5A236">
      <w:pPr>
        <w:pStyle w:val="12"/>
        <w:wordWrap w:val="0"/>
        <w:spacing w:line="360" w:lineRule="auto"/>
        <w:ind w:firstLine="420"/>
        <w:rPr>
          <w:rFonts w:hAnsi="宋体" w:cs="宋体"/>
          <w:color w:val="auto"/>
          <w:highlight w:val="none"/>
        </w:rPr>
      </w:pPr>
      <w:r>
        <w:rPr>
          <w:rFonts w:hint="eastAsia" w:hAnsi="宋体" w:cs="宋体"/>
          <w:color w:val="auto"/>
          <w:highlight w:val="none"/>
        </w:rPr>
        <w:t>代理人无转委托权。</w:t>
      </w:r>
    </w:p>
    <w:p w14:paraId="196162D5">
      <w:pPr>
        <w:pStyle w:val="12"/>
        <w:wordWrap w:val="0"/>
        <w:spacing w:line="360" w:lineRule="auto"/>
        <w:ind w:firstLine="420"/>
        <w:rPr>
          <w:rFonts w:hAnsi="宋体" w:cs="宋体"/>
          <w:color w:val="auto"/>
          <w:highlight w:val="none"/>
        </w:rPr>
      </w:pPr>
    </w:p>
    <w:p w14:paraId="58A09823">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投标人（或联合体投标</w:t>
      </w:r>
      <w:r>
        <w:rPr>
          <w:rFonts w:hint="eastAsia" w:hAnsi="宋体" w:cs="宋体"/>
          <w:color w:val="auto"/>
          <w:kern w:val="0"/>
          <w:szCs w:val="21"/>
          <w:highlight w:val="none"/>
        </w:rPr>
        <w:t>牵头人名称</w:t>
      </w:r>
      <w:r>
        <w:rPr>
          <w:rFonts w:hint="eastAsia" w:hAnsi="宋体" w:cs="宋体"/>
          <w:color w:val="auto"/>
          <w:highlight w:val="none"/>
        </w:rPr>
        <w:t>）（盖单位公章）：</w:t>
      </w:r>
      <w:r>
        <w:rPr>
          <w:rFonts w:hint="eastAsia" w:hAnsi="宋体" w:cs="宋体"/>
          <w:color w:val="auto"/>
          <w:highlight w:val="none"/>
          <w:u w:val="single"/>
        </w:rPr>
        <w:t xml:space="preserve">                                    </w:t>
      </w:r>
    </w:p>
    <w:p w14:paraId="06E29B6B">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法定代表人（签字或盖章）：</w:t>
      </w:r>
      <w:r>
        <w:rPr>
          <w:rFonts w:hint="eastAsia" w:hAnsi="宋体" w:cs="宋体"/>
          <w:color w:val="auto"/>
          <w:highlight w:val="none"/>
          <w:u w:val="single"/>
        </w:rPr>
        <w:t xml:space="preserve">                                </w:t>
      </w:r>
    </w:p>
    <w:p w14:paraId="2C14D042">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566B0AFA">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委托代理人（签字或盖章）：</w:t>
      </w:r>
      <w:r>
        <w:rPr>
          <w:rFonts w:hint="eastAsia" w:hAnsi="宋体" w:cs="宋体"/>
          <w:color w:val="auto"/>
          <w:highlight w:val="none"/>
          <w:u w:val="single"/>
        </w:rPr>
        <w:t xml:space="preserve">                                </w:t>
      </w:r>
    </w:p>
    <w:p w14:paraId="57FA74E1">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0EE6C5F0">
      <w:pPr>
        <w:pStyle w:val="12"/>
        <w:wordWrap w:val="0"/>
        <w:spacing w:line="360" w:lineRule="auto"/>
        <w:ind w:firstLine="420"/>
        <w:rPr>
          <w:rFonts w:hAnsi="宋体" w:cs="宋体"/>
          <w:color w:val="auto"/>
          <w:highlight w:val="none"/>
          <w:u w:val="single"/>
        </w:rPr>
      </w:pPr>
    </w:p>
    <w:p w14:paraId="4937660C">
      <w:pPr>
        <w:pStyle w:val="12"/>
        <w:wordWrap w:val="0"/>
        <w:spacing w:line="360" w:lineRule="auto"/>
        <w:ind w:firstLine="420"/>
        <w:rPr>
          <w:rFonts w:hAnsi="宋体" w:cs="宋体"/>
          <w:color w:val="auto"/>
          <w:highlight w:val="none"/>
          <w:u w:val="single"/>
        </w:rPr>
      </w:pPr>
      <w:r>
        <w:rPr>
          <w:rFonts w:hint="eastAsia" w:hAnsi="宋体" w:cs="宋体"/>
          <w:color w:val="auto"/>
          <w:kern w:val="0"/>
          <w:szCs w:val="21"/>
          <w:highlight w:val="none"/>
        </w:rPr>
        <w:t>成员一名称：</w:t>
      </w:r>
      <w:r>
        <w:rPr>
          <w:rFonts w:hint="eastAsia" w:hAnsi="宋体" w:cs="宋体"/>
          <w:color w:val="auto"/>
          <w:highlight w:val="none"/>
        </w:rPr>
        <w:t>（盖单位公章）：</w:t>
      </w:r>
      <w:r>
        <w:rPr>
          <w:rFonts w:hint="eastAsia" w:hAnsi="宋体" w:cs="宋体"/>
          <w:color w:val="auto"/>
          <w:highlight w:val="none"/>
          <w:u w:val="single"/>
        </w:rPr>
        <w:t xml:space="preserve">                                    </w:t>
      </w:r>
    </w:p>
    <w:p w14:paraId="42630A4F">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法定代表人（签字或盖章）：</w:t>
      </w:r>
      <w:r>
        <w:rPr>
          <w:rFonts w:hint="eastAsia" w:hAnsi="宋体" w:cs="宋体"/>
          <w:color w:val="auto"/>
          <w:highlight w:val="none"/>
          <w:u w:val="single"/>
        </w:rPr>
        <w:t xml:space="preserve">                                </w:t>
      </w:r>
    </w:p>
    <w:p w14:paraId="3F72241A">
      <w:pPr>
        <w:pStyle w:val="12"/>
        <w:wordWrap w:val="0"/>
        <w:spacing w:line="360" w:lineRule="auto"/>
        <w:ind w:firstLine="420"/>
        <w:rPr>
          <w:rFonts w:hAnsi="宋体" w:cs="宋体"/>
          <w:color w:val="auto"/>
          <w:highlight w:val="none"/>
          <w:u w:val="single"/>
        </w:rPr>
      </w:pPr>
    </w:p>
    <w:p w14:paraId="3DAAE6FA">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14F8A6FF">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highlight w:val="none"/>
        </w:rPr>
        <w:t>（签字或盖章）</w:t>
      </w:r>
    </w:p>
    <w:p w14:paraId="7AE4D694">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w:t>
      </w:r>
    </w:p>
    <w:p w14:paraId="7BEBA1D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注：</w:t>
      </w:r>
    </w:p>
    <w:p w14:paraId="6B51F32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1.法定代表人和委托代理人必须在授权委托书上</w:t>
      </w:r>
      <w:r>
        <w:rPr>
          <w:rFonts w:hint="eastAsia" w:ascii="宋体" w:hAnsi="宋体" w:cs="宋体"/>
          <w:color w:val="auto"/>
          <w:highlight w:val="none"/>
        </w:rPr>
        <w:t>签字或盖章</w:t>
      </w:r>
      <w:r>
        <w:rPr>
          <w:rFonts w:hint="eastAsia" w:ascii="宋体" w:hAnsi="宋体" w:cs="宋体"/>
          <w:color w:val="auto"/>
          <w:szCs w:val="21"/>
          <w:highlight w:val="none"/>
        </w:rPr>
        <w:t>，</w:t>
      </w:r>
      <w:r>
        <w:rPr>
          <w:rFonts w:hint="eastAsia" w:ascii="宋体" w:hAnsi="宋体" w:cs="宋体"/>
          <w:b/>
          <w:bCs/>
          <w:color w:val="auto"/>
          <w:szCs w:val="21"/>
          <w:highlight w:val="none"/>
        </w:rPr>
        <w:t>否则作无效投标处理</w:t>
      </w:r>
      <w:r>
        <w:rPr>
          <w:rFonts w:hint="eastAsia" w:ascii="宋体" w:hAnsi="宋体" w:cs="宋体"/>
          <w:color w:val="auto"/>
          <w:szCs w:val="21"/>
          <w:highlight w:val="none"/>
        </w:rPr>
        <w:t>；</w:t>
      </w:r>
    </w:p>
    <w:p w14:paraId="15C96ABC">
      <w:pPr>
        <w:wordWrap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05464C45">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8C9038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0D47A115">
      <w:pPr>
        <w:wordWrap w:val="0"/>
        <w:spacing w:line="360" w:lineRule="auto"/>
        <w:rPr>
          <w:rFonts w:ascii="宋体" w:hAnsi="宋体" w:cs="宋体"/>
          <w:b/>
          <w:color w:val="auto"/>
          <w:sz w:val="24"/>
          <w:highlight w:val="none"/>
        </w:rPr>
      </w:pPr>
    </w:p>
    <w:p w14:paraId="44EDC551">
      <w:pPr>
        <w:wordWrap w:val="0"/>
        <w:spacing w:line="360" w:lineRule="auto"/>
        <w:rPr>
          <w:rFonts w:hint="eastAsia" w:ascii="宋体" w:hAnsi="宋体" w:cs="宋体"/>
          <w:b/>
          <w:color w:val="auto"/>
          <w:sz w:val="24"/>
          <w:highlight w:val="none"/>
        </w:rPr>
      </w:pPr>
    </w:p>
    <w:p w14:paraId="6438B497">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23"/>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36C2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154A40FD">
            <w:pPr>
              <w:wordWrap w:val="0"/>
              <w:spacing w:line="360" w:lineRule="auto"/>
              <w:rPr>
                <w:rFonts w:ascii="宋体" w:hAnsi="宋体" w:cs="宋体"/>
                <w:b/>
                <w:color w:val="auto"/>
                <w:sz w:val="24"/>
                <w:highlight w:val="none"/>
              </w:rPr>
            </w:pPr>
          </w:p>
          <w:p w14:paraId="6774C7B9">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全权代表身份证复印件粘帖处（正、反面）</w:t>
            </w:r>
          </w:p>
        </w:tc>
      </w:tr>
    </w:tbl>
    <w:p w14:paraId="34E20B91">
      <w:pPr>
        <w:wordWrap w:val="0"/>
        <w:snapToGrid w:val="0"/>
        <w:spacing w:line="360" w:lineRule="auto"/>
        <w:jc w:val="left"/>
        <w:rPr>
          <w:rFonts w:ascii="宋体" w:hAnsi="宋体" w:cs="宋体"/>
          <w:color w:val="auto"/>
          <w:szCs w:val="21"/>
          <w:highlight w:val="none"/>
        </w:rPr>
      </w:pPr>
    </w:p>
    <w:p w14:paraId="7C9A7B75">
      <w:pPr>
        <w:wordWrap w:val="0"/>
        <w:snapToGrid w:val="0"/>
        <w:spacing w:line="360" w:lineRule="auto"/>
        <w:ind w:firstLine="566" w:firstLineChars="236"/>
        <w:jc w:val="center"/>
        <w:rPr>
          <w:rFonts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69260E68">
      <w:pPr>
        <w:wordWrap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11D82D60">
      <w:pPr>
        <w:wordWrap w:val="0"/>
        <w:spacing w:line="360" w:lineRule="auto"/>
        <w:jc w:val="center"/>
        <w:rPr>
          <w:rFonts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6A3A0247">
      <w:pPr>
        <w:wordWrap w:val="0"/>
        <w:snapToGrid w:val="0"/>
        <w:spacing w:line="360" w:lineRule="auto"/>
        <w:jc w:val="left"/>
        <w:rPr>
          <w:rFonts w:ascii="宋体" w:hAnsi="宋体" w:cs="宋体"/>
          <w:color w:val="auto"/>
          <w:sz w:val="24"/>
          <w:highlight w:val="none"/>
        </w:rPr>
      </w:pPr>
    </w:p>
    <w:p w14:paraId="63F2D415">
      <w:pPr>
        <w:pStyle w:val="12"/>
        <w:wordWrap w:val="0"/>
        <w:spacing w:line="360" w:lineRule="auto"/>
        <w:ind w:left="-424" w:leftChars="-202" w:firstLine="846"/>
        <w:rPr>
          <w:rFonts w:hAnsi="宋体" w:cs="宋体"/>
          <w:color w:val="auto"/>
          <w:sz w:val="24"/>
          <w:szCs w:val="24"/>
          <w:highlight w:val="none"/>
        </w:rPr>
      </w:pPr>
      <w:r>
        <w:rPr>
          <w:rFonts w:hint="eastAsia" w:hAnsi="宋体" w:cs="宋体"/>
          <w:color w:val="auto"/>
          <w:highlight w:val="none"/>
        </w:rPr>
        <w:t>请</w:t>
      </w:r>
      <w:r>
        <w:rPr>
          <w:rFonts w:hint="eastAsia" w:hAnsi="宋体" w:cs="宋体"/>
          <w:b/>
          <w:bCs/>
          <w:color w:val="auto"/>
          <w:highlight w:val="none"/>
        </w:rPr>
        <w:t>逐条对应</w:t>
      </w:r>
      <w:r>
        <w:rPr>
          <w:rFonts w:hint="eastAsia" w:hAnsi="宋体" w:cs="宋体"/>
          <w:color w:val="auto"/>
          <w:highlight w:val="none"/>
        </w:rPr>
        <w:t>本项目招标文件第二章“服务需求一览表”中“商务条款”的要求，详细填写相应的具体内容。“偏离说明”一栏应当选择“正偏离”、“负偏离”或“无偏离”进行填写。</w:t>
      </w:r>
    </w:p>
    <w:tbl>
      <w:tblPr>
        <w:tblStyle w:val="23"/>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528"/>
        <w:gridCol w:w="2745"/>
        <w:gridCol w:w="2516"/>
      </w:tblGrid>
      <w:tr w14:paraId="0731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5FE3679E">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528" w:type="dxa"/>
            <w:tcBorders>
              <w:top w:val="single" w:color="auto" w:sz="4" w:space="0"/>
              <w:left w:val="single" w:color="auto" w:sz="4" w:space="0"/>
              <w:bottom w:val="single" w:color="auto" w:sz="4" w:space="0"/>
              <w:right w:val="single" w:color="auto" w:sz="4" w:space="0"/>
            </w:tcBorders>
            <w:noWrap/>
          </w:tcPr>
          <w:p w14:paraId="751489C1">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招标文件的商务需求</w:t>
            </w:r>
          </w:p>
        </w:tc>
        <w:tc>
          <w:tcPr>
            <w:tcW w:w="2745" w:type="dxa"/>
            <w:tcBorders>
              <w:top w:val="single" w:color="auto" w:sz="4" w:space="0"/>
              <w:left w:val="single" w:color="auto" w:sz="4" w:space="0"/>
              <w:right w:val="single" w:color="auto" w:sz="4" w:space="0"/>
            </w:tcBorders>
          </w:tcPr>
          <w:p w14:paraId="2BEF6FEC">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2E6C0A2F">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6482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7D0931F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一</w:t>
            </w:r>
          </w:p>
        </w:tc>
        <w:tc>
          <w:tcPr>
            <w:tcW w:w="3528" w:type="dxa"/>
            <w:tcBorders>
              <w:top w:val="single" w:color="auto" w:sz="4" w:space="0"/>
              <w:left w:val="single" w:color="auto" w:sz="4" w:space="0"/>
              <w:bottom w:val="single" w:color="auto" w:sz="4" w:space="0"/>
              <w:right w:val="single" w:color="auto" w:sz="4" w:space="0"/>
            </w:tcBorders>
            <w:noWrap/>
          </w:tcPr>
          <w:p w14:paraId="19E339E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745" w:type="dxa"/>
            <w:tcBorders>
              <w:top w:val="single" w:color="auto" w:sz="4" w:space="0"/>
              <w:left w:val="single" w:color="auto" w:sz="4" w:space="0"/>
              <w:right w:val="single" w:color="auto" w:sz="4" w:space="0"/>
            </w:tcBorders>
          </w:tcPr>
          <w:p w14:paraId="5836915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6635FF5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35BB8ACD">
            <w:pPr>
              <w:wordWrap w:val="0"/>
              <w:spacing w:line="360" w:lineRule="auto"/>
              <w:rPr>
                <w:rFonts w:ascii="宋体" w:hAnsi="宋体" w:cs="宋体"/>
                <w:color w:val="auto"/>
                <w:szCs w:val="21"/>
                <w:highlight w:val="none"/>
              </w:rPr>
            </w:pPr>
          </w:p>
        </w:tc>
      </w:tr>
      <w:tr w14:paraId="3FDC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443B1D17">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4261436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199F9ED9">
            <w:pPr>
              <w:wordWrap w:val="0"/>
              <w:spacing w:line="360" w:lineRule="auto"/>
              <w:rPr>
                <w:rFonts w:ascii="宋体" w:hAnsi="宋体" w:cs="宋体"/>
                <w:color w:val="auto"/>
                <w:szCs w:val="21"/>
                <w:highlight w:val="none"/>
              </w:rPr>
            </w:pPr>
          </w:p>
        </w:tc>
        <w:tc>
          <w:tcPr>
            <w:tcW w:w="2745" w:type="dxa"/>
            <w:tcBorders>
              <w:left w:val="single" w:color="auto" w:sz="4" w:space="0"/>
              <w:right w:val="single" w:color="auto" w:sz="4" w:space="0"/>
            </w:tcBorders>
          </w:tcPr>
          <w:p w14:paraId="75112E5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10EB62E9">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38D8788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08D34179">
            <w:pPr>
              <w:wordWrap w:val="0"/>
              <w:spacing w:line="360" w:lineRule="auto"/>
              <w:rPr>
                <w:rFonts w:ascii="宋体" w:hAnsi="宋体" w:cs="宋体"/>
                <w:color w:val="auto"/>
                <w:szCs w:val="21"/>
                <w:highlight w:val="none"/>
              </w:rPr>
            </w:pPr>
          </w:p>
        </w:tc>
      </w:tr>
      <w:tr w14:paraId="4EF6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277F6E4">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4BE4D65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6914E383">
            <w:pPr>
              <w:wordWrap w:val="0"/>
              <w:spacing w:line="360" w:lineRule="auto"/>
              <w:rPr>
                <w:rFonts w:ascii="宋体" w:hAnsi="宋体" w:cs="宋体"/>
                <w:color w:val="auto"/>
                <w:szCs w:val="21"/>
                <w:highlight w:val="none"/>
              </w:rPr>
            </w:pPr>
          </w:p>
        </w:tc>
        <w:tc>
          <w:tcPr>
            <w:tcW w:w="2745" w:type="dxa"/>
            <w:tcBorders>
              <w:left w:val="single" w:color="auto" w:sz="4" w:space="0"/>
              <w:right w:val="single" w:color="auto" w:sz="4" w:space="0"/>
            </w:tcBorders>
          </w:tcPr>
          <w:p w14:paraId="723AB7E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4401961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7B63892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2E26F380">
            <w:pPr>
              <w:wordWrap w:val="0"/>
              <w:spacing w:line="360" w:lineRule="auto"/>
              <w:rPr>
                <w:rFonts w:ascii="宋体" w:hAnsi="宋体" w:cs="宋体"/>
                <w:color w:val="auto"/>
                <w:szCs w:val="21"/>
                <w:highlight w:val="none"/>
              </w:rPr>
            </w:pPr>
          </w:p>
        </w:tc>
      </w:tr>
      <w:tr w14:paraId="3D03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9561DD9">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31C0BFB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745" w:type="dxa"/>
            <w:tcBorders>
              <w:left w:val="single" w:color="auto" w:sz="4" w:space="0"/>
              <w:bottom w:val="single" w:color="auto" w:sz="4" w:space="0"/>
              <w:right w:val="single" w:color="auto" w:sz="4" w:space="0"/>
            </w:tcBorders>
          </w:tcPr>
          <w:p w14:paraId="7FBBD03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0DD3E1C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A3E580F">
            <w:pPr>
              <w:wordWrap w:val="0"/>
              <w:spacing w:line="360" w:lineRule="auto"/>
              <w:rPr>
                <w:rFonts w:ascii="宋体" w:hAnsi="宋体" w:cs="宋体"/>
                <w:color w:val="auto"/>
                <w:szCs w:val="21"/>
                <w:highlight w:val="none"/>
              </w:rPr>
            </w:pPr>
          </w:p>
        </w:tc>
      </w:tr>
      <w:tr w14:paraId="5C8F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083136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二</w:t>
            </w:r>
          </w:p>
        </w:tc>
        <w:tc>
          <w:tcPr>
            <w:tcW w:w="3528" w:type="dxa"/>
            <w:tcBorders>
              <w:top w:val="single" w:color="auto" w:sz="4" w:space="0"/>
              <w:left w:val="single" w:color="auto" w:sz="4" w:space="0"/>
              <w:bottom w:val="single" w:color="auto" w:sz="4" w:space="0"/>
              <w:right w:val="single" w:color="auto" w:sz="4" w:space="0"/>
            </w:tcBorders>
            <w:noWrap/>
          </w:tcPr>
          <w:p w14:paraId="127152E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745" w:type="dxa"/>
            <w:tcBorders>
              <w:top w:val="single" w:color="auto" w:sz="4" w:space="0"/>
              <w:left w:val="single" w:color="auto" w:sz="4" w:space="0"/>
              <w:right w:val="single" w:color="auto" w:sz="4" w:space="0"/>
            </w:tcBorders>
          </w:tcPr>
          <w:p w14:paraId="064751A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007F7C0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520222B8">
            <w:pPr>
              <w:wordWrap w:val="0"/>
              <w:spacing w:line="360" w:lineRule="auto"/>
              <w:rPr>
                <w:rFonts w:ascii="宋体" w:hAnsi="宋体" w:cs="宋体"/>
                <w:color w:val="auto"/>
                <w:szCs w:val="21"/>
                <w:highlight w:val="none"/>
              </w:rPr>
            </w:pPr>
          </w:p>
        </w:tc>
      </w:tr>
      <w:tr w14:paraId="3902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5AE8503C">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1A3F449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2FFF8FD7">
            <w:pPr>
              <w:wordWrap w:val="0"/>
              <w:spacing w:line="360" w:lineRule="auto"/>
              <w:rPr>
                <w:rFonts w:ascii="宋体" w:hAnsi="宋体" w:cs="宋体"/>
                <w:color w:val="auto"/>
                <w:szCs w:val="21"/>
                <w:highlight w:val="none"/>
              </w:rPr>
            </w:pPr>
          </w:p>
        </w:tc>
        <w:tc>
          <w:tcPr>
            <w:tcW w:w="2745" w:type="dxa"/>
            <w:tcBorders>
              <w:left w:val="single" w:color="auto" w:sz="4" w:space="0"/>
              <w:right w:val="single" w:color="auto" w:sz="4" w:space="0"/>
            </w:tcBorders>
          </w:tcPr>
          <w:p w14:paraId="38D5D36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640EF30E">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61FA358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5F4F6218">
            <w:pPr>
              <w:wordWrap w:val="0"/>
              <w:spacing w:line="360" w:lineRule="auto"/>
              <w:rPr>
                <w:rFonts w:ascii="宋体" w:hAnsi="宋体" w:cs="宋体"/>
                <w:color w:val="auto"/>
                <w:szCs w:val="21"/>
                <w:highlight w:val="none"/>
              </w:rPr>
            </w:pPr>
          </w:p>
        </w:tc>
      </w:tr>
      <w:tr w14:paraId="7AE9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3C91904">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22839E4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74BCE2C8">
            <w:pPr>
              <w:wordWrap w:val="0"/>
              <w:spacing w:line="360" w:lineRule="auto"/>
              <w:rPr>
                <w:rFonts w:ascii="宋体" w:hAnsi="宋体" w:cs="宋体"/>
                <w:color w:val="auto"/>
                <w:szCs w:val="21"/>
                <w:highlight w:val="none"/>
              </w:rPr>
            </w:pPr>
          </w:p>
        </w:tc>
        <w:tc>
          <w:tcPr>
            <w:tcW w:w="2745" w:type="dxa"/>
            <w:tcBorders>
              <w:left w:val="single" w:color="auto" w:sz="4" w:space="0"/>
              <w:right w:val="single" w:color="auto" w:sz="4" w:space="0"/>
            </w:tcBorders>
          </w:tcPr>
          <w:p w14:paraId="69E13CF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70A53F7">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6E7190A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1200DC7F">
            <w:pPr>
              <w:wordWrap w:val="0"/>
              <w:spacing w:line="360" w:lineRule="auto"/>
              <w:rPr>
                <w:rFonts w:ascii="宋体" w:hAnsi="宋体" w:cs="宋体"/>
                <w:color w:val="auto"/>
                <w:szCs w:val="21"/>
                <w:highlight w:val="none"/>
              </w:rPr>
            </w:pPr>
          </w:p>
        </w:tc>
      </w:tr>
      <w:tr w14:paraId="6A68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EDD84E6">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7178B35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745" w:type="dxa"/>
            <w:tcBorders>
              <w:left w:val="single" w:color="auto" w:sz="4" w:space="0"/>
              <w:bottom w:val="single" w:color="auto" w:sz="4" w:space="0"/>
              <w:right w:val="single" w:color="auto" w:sz="4" w:space="0"/>
            </w:tcBorders>
          </w:tcPr>
          <w:p w14:paraId="6DE854A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644E21A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0EEF01A8">
            <w:pPr>
              <w:wordWrap w:val="0"/>
              <w:spacing w:line="360" w:lineRule="auto"/>
              <w:rPr>
                <w:rFonts w:ascii="宋体" w:hAnsi="宋体" w:cs="宋体"/>
                <w:color w:val="auto"/>
                <w:szCs w:val="21"/>
                <w:highlight w:val="none"/>
              </w:rPr>
            </w:pPr>
          </w:p>
        </w:tc>
      </w:tr>
      <w:tr w14:paraId="2003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6165CB9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528" w:type="dxa"/>
            <w:tcBorders>
              <w:top w:val="single" w:color="auto" w:sz="4" w:space="0"/>
              <w:left w:val="single" w:color="auto" w:sz="4" w:space="0"/>
              <w:bottom w:val="single" w:color="auto" w:sz="4" w:space="0"/>
              <w:right w:val="single" w:color="auto" w:sz="4" w:space="0"/>
            </w:tcBorders>
            <w:noWrap/>
          </w:tcPr>
          <w:p w14:paraId="2A6509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745" w:type="dxa"/>
            <w:tcBorders>
              <w:top w:val="single" w:color="auto" w:sz="4" w:space="0"/>
              <w:left w:val="single" w:color="auto" w:sz="4" w:space="0"/>
              <w:right w:val="single" w:color="auto" w:sz="4" w:space="0"/>
            </w:tcBorders>
          </w:tcPr>
          <w:p w14:paraId="2A13892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100F1F4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ADD7626">
            <w:pPr>
              <w:wordWrap w:val="0"/>
              <w:spacing w:line="360" w:lineRule="auto"/>
              <w:rPr>
                <w:rFonts w:ascii="宋体" w:hAnsi="宋体" w:cs="宋体"/>
                <w:color w:val="auto"/>
                <w:szCs w:val="21"/>
                <w:highlight w:val="none"/>
              </w:rPr>
            </w:pPr>
          </w:p>
        </w:tc>
      </w:tr>
      <w:tr w14:paraId="1EC3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8A44E08">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7BF2E84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4021221E">
            <w:pPr>
              <w:wordWrap w:val="0"/>
              <w:spacing w:line="360" w:lineRule="auto"/>
              <w:rPr>
                <w:rFonts w:ascii="宋体" w:hAnsi="宋体" w:cs="宋体"/>
                <w:color w:val="auto"/>
                <w:szCs w:val="21"/>
                <w:highlight w:val="none"/>
              </w:rPr>
            </w:pPr>
          </w:p>
        </w:tc>
        <w:tc>
          <w:tcPr>
            <w:tcW w:w="2745" w:type="dxa"/>
            <w:tcBorders>
              <w:left w:val="single" w:color="auto" w:sz="4" w:space="0"/>
              <w:right w:val="single" w:color="auto" w:sz="4" w:space="0"/>
            </w:tcBorders>
          </w:tcPr>
          <w:p w14:paraId="6734408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26C064D">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7D55864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95F8B1D">
            <w:pPr>
              <w:wordWrap w:val="0"/>
              <w:spacing w:line="360" w:lineRule="auto"/>
              <w:rPr>
                <w:rFonts w:ascii="宋体" w:hAnsi="宋体" w:cs="宋体"/>
                <w:color w:val="auto"/>
                <w:szCs w:val="21"/>
                <w:highlight w:val="none"/>
              </w:rPr>
            </w:pPr>
          </w:p>
        </w:tc>
      </w:tr>
      <w:tr w14:paraId="4E90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8F7E14D">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623ED71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77CC152A">
            <w:pPr>
              <w:wordWrap w:val="0"/>
              <w:spacing w:line="360" w:lineRule="auto"/>
              <w:rPr>
                <w:rFonts w:ascii="宋体" w:hAnsi="宋体" w:cs="宋体"/>
                <w:color w:val="auto"/>
                <w:szCs w:val="21"/>
                <w:highlight w:val="none"/>
              </w:rPr>
            </w:pPr>
          </w:p>
        </w:tc>
        <w:tc>
          <w:tcPr>
            <w:tcW w:w="2745" w:type="dxa"/>
            <w:tcBorders>
              <w:left w:val="single" w:color="auto" w:sz="4" w:space="0"/>
              <w:right w:val="single" w:color="auto" w:sz="4" w:space="0"/>
            </w:tcBorders>
          </w:tcPr>
          <w:p w14:paraId="0E132B5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EA50FAA">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725BBC7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ECE8522">
            <w:pPr>
              <w:wordWrap w:val="0"/>
              <w:spacing w:line="360" w:lineRule="auto"/>
              <w:rPr>
                <w:rFonts w:ascii="宋体" w:hAnsi="宋体" w:cs="宋体"/>
                <w:color w:val="auto"/>
                <w:szCs w:val="21"/>
                <w:highlight w:val="none"/>
              </w:rPr>
            </w:pPr>
          </w:p>
        </w:tc>
      </w:tr>
      <w:tr w14:paraId="1437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32748380">
            <w:pPr>
              <w:wordWrap w:val="0"/>
              <w:spacing w:line="360" w:lineRule="auto"/>
              <w:rPr>
                <w:rFonts w:ascii="宋体" w:hAnsi="宋体" w:cs="宋体"/>
                <w:color w:val="auto"/>
                <w:szCs w:val="21"/>
                <w:highlight w:val="none"/>
              </w:rPr>
            </w:pPr>
          </w:p>
        </w:tc>
        <w:tc>
          <w:tcPr>
            <w:tcW w:w="3528" w:type="dxa"/>
            <w:tcBorders>
              <w:top w:val="single" w:color="auto" w:sz="4" w:space="0"/>
              <w:left w:val="single" w:color="auto" w:sz="4" w:space="0"/>
              <w:bottom w:val="single" w:color="auto" w:sz="4" w:space="0"/>
              <w:right w:val="single" w:color="auto" w:sz="4" w:space="0"/>
            </w:tcBorders>
            <w:noWrap/>
          </w:tcPr>
          <w:p w14:paraId="2B5BE66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745" w:type="dxa"/>
            <w:tcBorders>
              <w:left w:val="single" w:color="auto" w:sz="4" w:space="0"/>
              <w:bottom w:val="single" w:color="auto" w:sz="4" w:space="0"/>
              <w:right w:val="single" w:color="auto" w:sz="4" w:space="0"/>
            </w:tcBorders>
          </w:tcPr>
          <w:p w14:paraId="3689167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4257F38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3A68F047">
            <w:pPr>
              <w:wordWrap w:val="0"/>
              <w:spacing w:line="360" w:lineRule="auto"/>
              <w:rPr>
                <w:rFonts w:ascii="宋体" w:hAnsi="宋体" w:cs="宋体"/>
                <w:color w:val="auto"/>
                <w:szCs w:val="21"/>
                <w:highlight w:val="none"/>
              </w:rPr>
            </w:pPr>
          </w:p>
        </w:tc>
      </w:tr>
      <w:tr w14:paraId="1A78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6512600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分标</w:t>
            </w:r>
            <w:r>
              <w:rPr>
                <w:rFonts w:hint="eastAsia" w:ascii="宋体" w:hAnsi="宋体" w:cs="宋体"/>
                <w:color w:val="auto"/>
                <w:szCs w:val="21"/>
                <w:highlight w:val="none"/>
                <w:u w:val="single"/>
              </w:rPr>
              <w:t>　　</w:t>
            </w:r>
            <w:r>
              <w:rPr>
                <w:rFonts w:hint="eastAsia" w:ascii="宋体" w:hAnsi="宋体" w:cs="宋体"/>
                <w:color w:val="auto"/>
                <w:szCs w:val="21"/>
                <w:highlight w:val="none"/>
              </w:rPr>
              <w:t>（此处有分标时填写具体分标号，无分标时填写“无”）</w:t>
            </w:r>
          </w:p>
        </w:tc>
      </w:tr>
    </w:tbl>
    <w:p w14:paraId="2BF1137D">
      <w:pPr>
        <w:pStyle w:val="12"/>
        <w:wordWrap w:val="0"/>
        <w:spacing w:line="360" w:lineRule="auto"/>
        <w:ind w:left="-708" w:leftChars="-337"/>
        <w:rPr>
          <w:rFonts w:hAnsi="宋体" w:cs="宋体"/>
          <w:color w:val="auto"/>
          <w:highlight w:val="none"/>
        </w:rPr>
      </w:pPr>
    </w:p>
    <w:p w14:paraId="5D3F307C">
      <w:pPr>
        <w:pStyle w:val="12"/>
        <w:wordWrap w:val="0"/>
        <w:spacing w:line="360" w:lineRule="auto"/>
        <w:ind w:left="-708" w:leftChars="-337"/>
        <w:rPr>
          <w:rFonts w:hAnsi="宋体" w:cs="宋体"/>
          <w:color w:val="auto"/>
          <w:highlight w:val="none"/>
        </w:rPr>
      </w:pPr>
      <w:r>
        <w:rPr>
          <w:rFonts w:hint="eastAsia" w:hAnsi="宋体" w:cs="宋体"/>
          <w:color w:val="auto"/>
          <w:highlight w:val="none"/>
        </w:rPr>
        <w:t>注：</w:t>
      </w:r>
    </w:p>
    <w:p w14:paraId="5DDA2197">
      <w:pPr>
        <w:pStyle w:val="12"/>
        <w:wordWrap w:val="0"/>
        <w:spacing w:line="360" w:lineRule="auto"/>
        <w:ind w:left="-708" w:leftChars="-337" w:firstLine="420" w:firstLineChars="200"/>
        <w:rPr>
          <w:rFonts w:hAnsi="宋体" w:cs="宋体"/>
          <w:color w:val="auto"/>
          <w:highlight w:val="none"/>
        </w:rPr>
      </w:pPr>
      <w:r>
        <w:rPr>
          <w:rFonts w:hint="eastAsia" w:hAnsi="宋体" w:cs="宋体"/>
          <w:color w:val="auto"/>
          <w:highlight w:val="none"/>
        </w:rPr>
        <w:t>1.表格内容均需按要求填写并盖章，不得留空，否则按投标无效处理。</w:t>
      </w:r>
    </w:p>
    <w:p w14:paraId="325B97DB">
      <w:pPr>
        <w:pStyle w:val="12"/>
        <w:wordWrap w:val="0"/>
        <w:spacing w:line="360" w:lineRule="auto"/>
        <w:ind w:left="-603" w:leftChars="-287" w:firstLine="315" w:firstLineChars="150"/>
        <w:rPr>
          <w:rFonts w:hAnsi="宋体" w:cs="宋体"/>
          <w:color w:val="auto"/>
          <w:highlight w:val="none"/>
        </w:rPr>
      </w:pPr>
      <w:r>
        <w:rPr>
          <w:rFonts w:hint="eastAsia" w:hAnsi="宋体" w:cs="宋体"/>
          <w:b w:val="0"/>
          <w:bCs w:val="0"/>
          <w:color w:val="auto"/>
          <w:highlight w:val="none"/>
        </w:rPr>
        <w:t>2.</w:t>
      </w:r>
      <w:r>
        <w:rPr>
          <w:rFonts w:hint="eastAsia" w:hAnsi="宋体" w:cs="宋体"/>
          <w:color w:val="auto"/>
          <w:highlight w:val="none"/>
        </w:rPr>
        <w:t>当投标文件的商务内容低于招标文件要求时，投标人应当如实写明“负偏离”，否则视为虚假应标。</w:t>
      </w:r>
    </w:p>
    <w:p w14:paraId="351E7172">
      <w:pPr>
        <w:wordWrap w:val="0"/>
        <w:snapToGrid w:val="0"/>
        <w:spacing w:line="360" w:lineRule="auto"/>
        <w:rPr>
          <w:rFonts w:ascii="宋体" w:hAnsi="宋体" w:cs="宋体"/>
          <w:color w:val="auto"/>
          <w:sz w:val="24"/>
          <w:highlight w:val="none"/>
        </w:rPr>
      </w:pPr>
    </w:p>
    <w:p w14:paraId="2C9D97A7">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68A83201">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821BE09">
      <w:pPr>
        <w:widowControl/>
        <w:wordWrap w:val="0"/>
        <w:spacing w:line="360" w:lineRule="auto"/>
        <w:jc w:val="left"/>
        <w:rPr>
          <w:rFonts w:ascii="宋体" w:hAnsi="宋体" w:cs="宋体"/>
          <w:color w:val="auto"/>
          <w:szCs w:val="21"/>
          <w:highlight w:val="none"/>
        </w:rPr>
        <w:sectPr>
          <w:pgSz w:w="11906" w:h="16838"/>
          <w:pgMar w:top="1440" w:right="1080" w:bottom="1440" w:left="1080" w:header="851" w:footer="992" w:gutter="0"/>
          <w:pgNumType w:fmt="decimal"/>
          <w:cols w:space="720" w:num="1"/>
        </w:sectPr>
      </w:pPr>
    </w:p>
    <w:p w14:paraId="6B882F47">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0CC187CD">
      <w:pPr>
        <w:wordWrap w:val="0"/>
        <w:spacing w:line="360" w:lineRule="auto"/>
        <w:ind w:firstLine="4048" w:firstLineChars="1687"/>
        <w:rPr>
          <w:rFonts w:ascii="宋体" w:hAnsi="宋体" w:cs="宋体"/>
          <w:color w:val="auto"/>
          <w:kern w:val="0"/>
          <w:sz w:val="24"/>
          <w:highlight w:val="none"/>
        </w:rPr>
      </w:pPr>
      <w:r>
        <w:rPr>
          <w:rFonts w:hint="eastAsia" w:ascii="宋体" w:hAnsi="宋体" w:cs="宋体"/>
          <w:color w:val="auto"/>
          <w:sz w:val="24"/>
          <w:highlight w:val="none"/>
        </w:rPr>
        <w:t>（格式自拟）</w:t>
      </w:r>
    </w:p>
    <w:p w14:paraId="59C4C058">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070496A5">
      <w:pPr>
        <w:wordWrap w:val="0"/>
        <w:snapToGrid w:val="0"/>
        <w:spacing w:line="360" w:lineRule="auto"/>
        <w:ind w:firstLine="4935" w:firstLineChars="2350"/>
        <w:rPr>
          <w:rFonts w:ascii="宋体" w:hAnsi="宋体" w:cs="宋体"/>
          <w:color w:val="auto"/>
          <w:szCs w:val="21"/>
          <w:highlight w:val="none"/>
        </w:rPr>
      </w:pPr>
    </w:p>
    <w:p w14:paraId="140307CD">
      <w:pPr>
        <w:wordWrap w:val="0"/>
        <w:snapToGrid w:val="0"/>
        <w:spacing w:line="360" w:lineRule="auto"/>
        <w:ind w:firstLine="4935" w:firstLineChars="2350"/>
        <w:rPr>
          <w:rFonts w:ascii="宋体" w:hAnsi="宋体" w:cs="宋体"/>
          <w:color w:val="auto"/>
          <w:szCs w:val="21"/>
          <w:highlight w:val="none"/>
        </w:rPr>
      </w:pPr>
    </w:p>
    <w:p w14:paraId="200BCA28">
      <w:pPr>
        <w:wordWrap w:val="0"/>
        <w:snapToGrid w:val="0"/>
        <w:spacing w:line="360" w:lineRule="auto"/>
        <w:ind w:firstLine="4935" w:firstLineChars="2350"/>
        <w:rPr>
          <w:rFonts w:ascii="宋体" w:hAnsi="宋体" w:cs="宋体"/>
          <w:color w:val="auto"/>
          <w:szCs w:val="21"/>
          <w:highlight w:val="none"/>
        </w:rPr>
      </w:pPr>
    </w:p>
    <w:p w14:paraId="75ACC784">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9FD0EAF">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5417188">
      <w:pPr>
        <w:wordWrap w:val="0"/>
        <w:snapToGrid w:val="0"/>
        <w:spacing w:line="360" w:lineRule="auto"/>
        <w:ind w:firstLine="602" w:firstLineChars="200"/>
        <w:jc w:val="center"/>
        <w:rPr>
          <w:rFonts w:ascii="宋体" w:hAnsi="宋体" w:cs="宋体"/>
          <w:b/>
          <w:bCs/>
          <w:color w:val="auto"/>
          <w:sz w:val="30"/>
          <w:szCs w:val="30"/>
          <w:highlight w:val="none"/>
        </w:rPr>
      </w:pPr>
    </w:p>
    <w:p w14:paraId="0E03E687">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pgNumType w:fmt="decimal"/>
          <w:cols w:space="720" w:num="1"/>
          <w:docGrid w:type="lines" w:linePitch="331" w:charSpace="0"/>
        </w:sectPr>
      </w:pPr>
    </w:p>
    <w:p w14:paraId="086CFAFF">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六、投标人类似的业绩证明文件（如有要求）</w:t>
      </w:r>
    </w:p>
    <w:p w14:paraId="591C35AB">
      <w:pPr>
        <w:pStyle w:val="17"/>
        <w:wordWrap w:val="0"/>
        <w:snapToGrid w:val="0"/>
        <w:spacing w:line="360" w:lineRule="auto"/>
        <w:ind w:left="0" w:firstLine="0" w:firstLineChars="0"/>
        <w:rPr>
          <w:rFonts w:ascii="宋体" w:hAnsi="宋体" w:cs="宋体"/>
          <w:color w:val="auto"/>
          <w:sz w:val="24"/>
          <w:highlight w:val="none"/>
        </w:rPr>
      </w:pPr>
    </w:p>
    <w:p w14:paraId="3EEB6DEA">
      <w:pPr>
        <w:wordWrap w:val="0"/>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:相关项目业绩一览表（投标人同类项目合同复印件/中标（或成交）通知书、用户验收报告（如有）、用户评价意见（如有）格式自拟）</w:t>
      </w:r>
    </w:p>
    <w:tbl>
      <w:tblPr>
        <w:tblStyle w:val="23"/>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3FDF1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6A478A5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2821556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135EE1AE">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5203884F">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032ED2A9">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3E12545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175BAD30">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w:t>
            </w:r>
          </w:p>
          <w:p w14:paraId="09BE0FB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r>
      <w:tr w14:paraId="1F1BF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613170B1">
            <w:pPr>
              <w:widowControl/>
              <w:wordWrap w:val="0"/>
              <w:spacing w:line="360" w:lineRule="auto"/>
              <w:jc w:val="left"/>
              <w:rPr>
                <w:rFonts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59AD2AF8">
            <w:pPr>
              <w:widowControl/>
              <w:wordWrap w:val="0"/>
              <w:spacing w:line="360" w:lineRule="auto"/>
              <w:jc w:val="left"/>
              <w:rPr>
                <w:rFonts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5E583C82">
            <w:pPr>
              <w:widowControl/>
              <w:wordWrap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513614B6">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46C42F77">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49E6C8F1">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15040C09">
            <w:pPr>
              <w:widowControl/>
              <w:wordWrap w:val="0"/>
              <w:spacing w:line="360" w:lineRule="auto"/>
              <w:jc w:val="left"/>
              <w:rPr>
                <w:rFonts w:ascii="宋体" w:hAnsi="宋体" w:cs="宋体"/>
                <w:color w:val="auto"/>
                <w:sz w:val="24"/>
                <w:highlight w:val="none"/>
              </w:rPr>
            </w:pPr>
          </w:p>
        </w:tc>
      </w:tr>
      <w:tr w14:paraId="1F75C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48341FA9">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4C6C1C56">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A1230A5">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0B41781">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761FDD65">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437241A">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D98E25A">
            <w:pPr>
              <w:wordWrap w:val="0"/>
              <w:snapToGrid w:val="0"/>
              <w:spacing w:line="360" w:lineRule="auto"/>
              <w:jc w:val="left"/>
              <w:rPr>
                <w:rFonts w:ascii="宋体" w:hAnsi="宋体" w:cs="宋体"/>
                <w:color w:val="auto"/>
                <w:sz w:val="24"/>
                <w:highlight w:val="none"/>
              </w:rPr>
            </w:pPr>
          </w:p>
        </w:tc>
      </w:tr>
      <w:tr w14:paraId="535EF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09437575">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6CFB1B6B">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48EDF5CB">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11CBFC0">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2C7221F">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BE1F80F">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4099BB0">
            <w:pPr>
              <w:wordWrap w:val="0"/>
              <w:snapToGrid w:val="0"/>
              <w:spacing w:line="360" w:lineRule="auto"/>
              <w:jc w:val="left"/>
              <w:rPr>
                <w:rFonts w:ascii="宋体" w:hAnsi="宋体" w:cs="宋体"/>
                <w:color w:val="auto"/>
                <w:sz w:val="24"/>
                <w:highlight w:val="none"/>
              </w:rPr>
            </w:pPr>
          </w:p>
        </w:tc>
      </w:tr>
      <w:tr w14:paraId="210146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4CAF3AF0">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128EA35">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3C3E7A4">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267407">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9E536BE">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F403099">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47128BF">
            <w:pPr>
              <w:wordWrap w:val="0"/>
              <w:snapToGrid w:val="0"/>
              <w:spacing w:line="360" w:lineRule="auto"/>
              <w:jc w:val="left"/>
              <w:rPr>
                <w:rFonts w:ascii="宋体" w:hAnsi="宋体" w:cs="宋体"/>
                <w:color w:val="auto"/>
                <w:sz w:val="24"/>
                <w:highlight w:val="none"/>
              </w:rPr>
            </w:pPr>
          </w:p>
        </w:tc>
      </w:tr>
      <w:tr w14:paraId="7E4CE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39865BE4">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D964537">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CAF3FA5">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7FFB2D0">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1B9E6E0">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46AE7AA4">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1BE253B">
            <w:pPr>
              <w:wordWrap w:val="0"/>
              <w:snapToGrid w:val="0"/>
              <w:spacing w:line="360" w:lineRule="auto"/>
              <w:jc w:val="left"/>
              <w:rPr>
                <w:rFonts w:ascii="宋体" w:hAnsi="宋体" w:cs="宋体"/>
                <w:color w:val="auto"/>
                <w:sz w:val="24"/>
                <w:highlight w:val="none"/>
              </w:rPr>
            </w:pPr>
          </w:p>
        </w:tc>
      </w:tr>
      <w:tr w14:paraId="6C485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69AC343E">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B8597B3">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3EDFCCA0">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74A66FE">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B48E2B5">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B4169DA">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85765EB">
            <w:pPr>
              <w:wordWrap w:val="0"/>
              <w:snapToGrid w:val="0"/>
              <w:spacing w:line="360" w:lineRule="auto"/>
              <w:jc w:val="left"/>
              <w:rPr>
                <w:rFonts w:ascii="宋体" w:hAnsi="宋体" w:cs="宋体"/>
                <w:color w:val="auto"/>
                <w:sz w:val="24"/>
                <w:highlight w:val="none"/>
              </w:rPr>
            </w:pPr>
          </w:p>
        </w:tc>
      </w:tr>
    </w:tbl>
    <w:p w14:paraId="1FF4598C">
      <w:pPr>
        <w:pStyle w:val="12"/>
        <w:wordWrap w:val="0"/>
        <w:spacing w:line="360" w:lineRule="auto"/>
        <w:ind w:left="72"/>
        <w:rPr>
          <w:rFonts w:hAnsi="宋体" w:cs="宋体"/>
          <w:color w:val="auto"/>
          <w:highlight w:val="none"/>
        </w:rPr>
      </w:pPr>
      <w:r>
        <w:rPr>
          <w:rFonts w:hint="eastAsia" w:hAnsi="宋体" w:cs="宋体"/>
          <w:color w:val="auto"/>
          <w:highlight w:val="none"/>
        </w:rPr>
        <w:t>注：投标人可按上述的格式自行编制，须随表提交相应的同类项目合同复印件/中标（或成交）通知书和用户单位验收证明（如有）并注明所在投标人商务技术文件页码。</w:t>
      </w:r>
    </w:p>
    <w:p w14:paraId="1BCCBBFD">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7C66FB72">
      <w:pPr>
        <w:wordWrap w:val="0"/>
        <w:snapToGrid w:val="0"/>
        <w:spacing w:line="360" w:lineRule="auto"/>
        <w:ind w:firstLine="4935" w:firstLineChars="2350"/>
        <w:rPr>
          <w:rFonts w:ascii="宋体" w:hAnsi="宋体" w:cs="宋体"/>
          <w:color w:val="auto"/>
          <w:szCs w:val="21"/>
          <w:highlight w:val="none"/>
        </w:rPr>
      </w:pPr>
    </w:p>
    <w:p w14:paraId="1214A8B7">
      <w:pPr>
        <w:wordWrap w:val="0"/>
        <w:snapToGrid w:val="0"/>
        <w:spacing w:line="360" w:lineRule="auto"/>
        <w:ind w:firstLine="10080" w:firstLineChars="48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010D4290">
      <w:pPr>
        <w:wordWrap w:val="0"/>
        <w:snapToGrid w:val="0"/>
        <w:spacing w:line="360" w:lineRule="auto"/>
        <w:ind w:firstLine="10080" w:firstLineChars="4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5FE4F02">
      <w:pPr>
        <w:widowControl/>
        <w:wordWrap w:val="0"/>
        <w:spacing w:line="360" w:lineRule="auto"/>
        <w:jc w:val="left"/>
        <w:rPr>
          <w:rFonts w:ascii="宋体" w:hAnsi="宋体" w:cs="宋体"/>
          <w:color w:val="auto"/>
          <w:kern w:val="0"/>
          <w:sz w:val="24"/>
          <w:highlight w:val="none"/>
          <w:lang w:val="zh-CN"/>
        </w:rPr>
        <w:sectPr>
          <w:pgSz w:w="16838" w:h="11906" w:orient="landscape"/>
          <w:pgMar w:top="1440" w:right="1080" w:bottom="1440" w:left="1080" w:header="720" w:footer="720" w:gutter="0"/>
          <w:pgNumType w:fmt="decimal"/>
          <w:cols w:space="720" w:num="1"/>
          <w:docGrid w:type="lines" w:linePitch="331" w:charSpace="0"/>
        </w:sectPr>
      </w:pPr>
    </w:p>
    <w:p w14:paraId="59E7F06F">
      <w:pPr>
        <w:wordWrap w:val="0"/>
        <w:spacing w:line="360" w:lineRule="auto"/>
        <w:jc w:val="left"/>
        <w:rPr>
          <w:rFonts w:ascii="宋体" w:hAnsi="宋体" w:cs="宋体"/>
          <w:b/>
          <w:color w:val="auto"/>
          <w:sz w:val="30"/>
          <w:szCs w:val="30"/>
          <w:highlight w:val="none"/>
        </w:rPr>
      </w:pPr>
      <w:bookmarkStart w:id="298" w:name="_Toc19686839"/>
      <w:r>
        <w:rPr>
          <w:rFonts w:hint="eastAsia" w:ascii="宋体" w:hAnsi="宋体" w:cs="宋体"/>
          <w:b/>
          <w:color w:val="auto"/>
          <w:sz w:val="30"/>
          <w:szCs w:val="30"/>
          <w:highlight w:val="none"/>
        </w:rPr>
        <w:t>七、除招标文件规定必须提供以外，投标人认为需要提供的其他证明材料。</w:t>
      </w:r>
    </w:p>
    <w:p w14:paraId="49B367AE">
      <w:pPr>
        <w:wordWrap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（由投标人根据采购需求自行编制）</w:t>
      </w:r>
    </w:p>
    <w:p w14:paraId="64FE9093">
      <w:pPr>
        <w:numPr>
          <w:ilvl w:val="0"/>
          <w:numId w:val="5"/>
        </w:num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7601A927">
      <w:pPr>
        <w:pStyle w:val="12"/>
        <w:wordWrap w:val="0"/>
        <w:spacing w:line="360" w:lineRule="auto"/>
        <w:jc w:val="center"/>
        <w:outlineLvl w:val="1"/>
        <w:rPr>
          <w:rFonts w:hAnsi="宋体" w:cs="宋体"/>
          <w:b/>
          <w:bCs/>
          <w:color w:val="auto"/>
          <w:sz w:val="28"/>
          <w:szCs w:val="28"/>
          <w:highlight w:val="none"/>
        </w:rPr>
      </w:pPr>
      <w:bookmarkStart w:id="299" w:name="_Toc24361"/>
      <w:r>
        <w:rPr>
          <w:rFonts w:hint="eastAsia" w:hAnsi="宋体" w:cs="宋体"/>
          <w:b/>
          <w:bCs/>
          <w:color w:val="auto"/>
          <w:sz w:val="28"/>
          <w:szCs w:val="28"/>
          <w:highlight w:val="none"/>
        </w:rPr>
        <w:t>第四节 技术文件格式</w:t>
      </w:r>
      <w:bookmarkEnd w:id="298"/>
      <w:bookmarkEnd w:id="299"/>
    </w:p>
    <w:p w14:paraId="7497A644">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6C0677BC">
      <w:pPr>
        <w:wordWrap w:val="0"/>
        <w:snapToGrid w:val="0"/>
        <w:spacing w:line="360" w:lineRule="auto"/>
        <w:rPr>
          <w:rFonts w:ascii="宋体" w:hAnsi="宋体" w:cs="宋体"/>
          <w:color w:val="auto"/>
          <w:sz w:val="24"/>
          <w:szCs w:val="20"/>
          <w:highlight w:val="none"/>
        </w:rPr>
      </w:pPr>
    </w:p>
    <w:p w14:paraId="3F7F297D">
      <w:pPr>
        <w:wordWrap w:val="0"/>
        <w:snapToGrid w:val="0"/>
        <w:spacing w:line="360" w:lineRule="auto"/>
        <w:jc w:val="center"/>
        <w:rPr>
          <w:rFonts w:ascii="宋体" w:hAnsi="宋体" w:cs="宋体"/>
          <w:b/>
          <w:bCs/>
          <w:color w:val="auto"/>
          <w:sz w:val="32"/>
          <w:szCs w:val="32"/>
          <w:highlight w:val="none"/>
        </w:rPr>
      </w:pPr>
    </w:p>
    <w:p w14:paraId="691B5CF7">
      <w:pPr>
        <w:wordWrap w:val="0"/>
        <w:snapToGrid w:val="0"/>
        <w:spacing w:line="360" w:lineRule="auto"/>
        <w:jc w:val="center"/>
        <w:rPr>
          <w:rFonts w:ascii="宋体" w:hAnsi="宋体" w:cs="宋体"/>
          <w:b/>
          <w:bCs/>
          <w:color w:val="auto"/>
          <w:sz w:val="32"/>
          <w:szCs w:val="32"/>
          <w:highlight w:val="none"/>
        </w:rPr>
      </w:pPr>
    </w:p>
    <w:p w14:paraId="29252739">
      <w:pPr>
        <w:wordWrap w:val="0"/>
        <w:snapToGrid w:val="0"/>
        <w:spacing w:line="360" w:lineRule="auto"/>
        <w:jc w:val="center"/>
        <w:rPr>
          <w:rFonts w:ascii="宋体" w:hAnsi="宋体" w:cs="宋体"/>
          <w:b/>
          <w:bCs/>
          <w:color w:val="auto"/>
          <w:sz w:val="32"/>
          <w:szCs w:val="32"/>
          <w:highlight w:val="none"/>
        </w:rPr>
      </w:pPr>
    </w:p>
    <w:p w14:paraId="73F8DAC6">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37FD1CD5">
      <w:pPr>
        <w:wordWrap w:val="0"/>
        <w:snapToGrid w:val="0"/>
        <w:spacing w:line="360" w:lineRule="auto"/>
        <w:rPr>
          <w:rFonts w:ascii="宋体" w:hAnsi="宋体" w:cs="宋体"/>
          <w:bCs/>
          <w:color w:val="auto"/>
          <w:sz w:val="24"/>
          <w:szCs w:val="20"/>
          <w:highlight w:val="none"/>
        </w:rPr>
      </w:pPr>
    </w:p>
    <w:p w14:paraId="20C06EE5">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755B7E20">
      <w:pPr>
        <w:wordWrap w:val="0"/>
        <w:snapToGrid w:val="0"/>
        <w:spacing w:line="360" w:lineRule="auto"/>
        <w:ind w:firstLine="360" w:firstLineChars="150"/>
        <w:rPr>
          <w:rFonts w:ascii="宋体" w:hAnsi="宋体" w:cs="宋体"/>
          <w:bCs/>
          <w:color w:val="auto"/>
          <w:sz w:val="24"/>
          <w:highlight w:val="none"/>
        </w:rPr>
      </w:pPr>
    </w:p>
    <w:p w14:paraId="71778080">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6D104BA7">
      <w:pPr>
        <w:wordWrap w:val="0"/>
        <w:snapToGrid w:val="0"/>
        <w:spacing w:line="360" w:lineRule="auto"/>
        <w:ind w:firstLine="360" w:firstLineChars="150"/>
        <w:rPr>
          <w:rFonts w:ascii="宋体" w:hAnsi="宋体" w:cs="宋体"/>
          <w:bCs/>
          <w:color w:val="auto"/>
          <w:sz w:val="24"/>
          <w:highlight w:val="none"/>
        </w:rPr>
      </w:pPr>
    </w:p>
    <w:p w14:paraId="05D8CEEA">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14885261">
      <w:pPr>
        <w:wordWrap w:val="0"/>
        <w:snapToGrid w:val="0"/>
        <w:spacing w:line="360" w:lineRule="auto"/>
        <w:ind w:firstLine="360" w:firstLineChars="150"/>
        <w:rPr>
          <w:rFonts w:ascii="宋体" w:hAnsi="宋体" w:cs="宋体"/>
          <w:bCs/>
          <w:color w:val="auto"/>
          <w:sz w:val="24"/>
          <w:highlight w:val="none"/>
        </w:rPr>
      </w:pPr>
    </w:p>
    <w:p w14:paraId="7B00F22C">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44D1C7D7">
      <w:pPr>
        <w:wordWrap w:val="0"/>
        <w:snapToGrid w:val="0"/>
        <w:spacing w:line="360" w:lineRule="auto"/>
        <w:ind w:firstLine="360" w:firstLineChars="150"/>
        <w:rPr>
          <w:rFonts w:ascii="宋体" w:hAnsi="宋体" w:cs="宋体"/>
          <w:bCs/>
          <w:color w:val="auto"/>
          <w:sz w:val="24"/>
          <w:highlight w:val="none"/>
        </w:rPr>
      </w:pPr>
    </w:p>
    <w:p w14:paraId="1E837E76">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674DF482">
      <w:pPr>
        <w:pStyle w:val="8"/>
        <w:wordWrap w:val="0"/>
        <w:snapToGrid w:val="0"/>
        <w:spacing w:line="360" w:lineRule="auto"/>
        <w:ind w:firstLine="960" w:firstLineChars="400"/>
        <w:rPr>
          <w:rFonts w:ascii="宋体" w:hAnsi="宋体" w:cs="宋体"/>
          <w:bCs/>
          <w:color w:val="auto"/>
          <w:sz w:val="24"/>
          <w:szCs w:val="24"/>
          <w:highlight w:val="none"/>
        </w:rPr>
      </w:pPr>
    </w:p>
    <w:p w14:paraId="14395508">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1823489C">
      <w:pPr>
        <w:wordWrap w:val="0"/>
        <w:snapToGrid w:val="0"/>
        <w:spacing w:line="360" w:lineRule="auto"/>
        <w:ind w:firstLine="645"/>
        <w:jc w:val="center"/>
        <w:rPr>
          <w:rFonts w:ascii="宋体" w:hAnsi="宋体" w:cs="宋体"/>
          <w:color w:val="auto"/>
          <w:sz w:val="24"/>
          <w:szCs w:val="20"/>
          <w:highlight w:val="none"/>
        </w:rPr>
      </w:pPr>
    </w:p>
    <w:p w14:paraId="757AD2B2">
      <w:pPr>
        <w:wordWrap w:val="0"/>
        <w:spacing w:line="360" w:lineRule="auto"/>
        <w:jc w:val="center"/>
        <w:rPr>
          <w:rFonts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4D306FB2">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一、服务需求、技术需求偏离表…………………………………………………（页码）</w:t>
      </w:r>
    </w:p>
    <w:p w14:paraId="02722989">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二、组织服务方案…………………………………………………………………（页码）</w:t>
      </w:r>
    </w:p>
    <w:p w14:paraId="7D931865">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三、售后服务方案 ………………………………</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90DF67B">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项目实施人员一览表 ………………………………</w:t>
      </w:r>
      <w:r>
        <w:rPr>
          <w:rFonts w:hint="eastAsia" w:ascii="宋体" w:hAnsi="宋体" w:eastAsia="宋体" w:cs="宋体"/>
          <w:color w:val="auto"/>
          <w:highlight w:val="none"/>
        </w:rPr>
        <w:t>………………………（页码）</w:t>
      </w:r>
    </w:p>
    <w:p w14:paraId="2A6346BA">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五、投标人对项目的合理化建议和改进措施</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如有</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0A4A9F6">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六、优惠条件及特殊承诺（如有）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4288EE3">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七、备品备件及供选择的配套零部件清单（如有）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F3C7C94">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八、培训计划（如有）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83B668F">
      <w:pPr>
        <w:pStyle w:val="36"/>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九、认为需要的其他技术文件或说明（如有）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8B35AA8">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06699DF5">
      <w:pPr>
        <w:wordWrap w:val="0"/>
        <w:snapToGrid w:val="0"/>
        <w:spacing w:line="360" w:lineRule="auto"/>
        <w:ind w:left="143" w:leftChars="68" w:firstLine="472" w:firstLineChars="196"/>
        <w:jc w:val="left"/>
        <w:rPr>
          <w:rFonts w:ascii="宋体" w:hAnsi="宋体" w:cs="宋体"/>
          <w:b/>
          <w:color w:val="auto"/>
          <w:sz w:val="24"/>
          <w:highlight w:val="none"/>
        </w:rPr>
      </w:pPr>
    </w:p>
    <w:p w14:paraId="3068F23D">
      <w:pPr>
        <w:wordWrap w:val="0"/>
        <w:snapToGrid w:val="0"/>
        <w:spacing w:line="360" w:lineRule="auto"/>
        <w:ind w:left="143" w:leftChars="68" w:firstLine="472" w:firstLineChars="196"/>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54CB2AE2">
      <w:pPr>
        <w:pStyle w:val="12"/>
        <w:wordWrap w:val="0"/>
        <w:spacing w:line="360" w:lineRule="auto"/>
        <w:jc w:val="center"/>
        <w:rPr>
          <w:rFonts w:hAnsi="宋体" w:cs="宋体"/>
          <w:color w:val="auto"/>
          <w:highlight w:val="none"/>
        </w:rPr>
      </w:pPr>
      <w:r>
        <w:rPr>
          <w:rFonts w:hint="eastAsia" w:hAnsi="宋体" w:cs="宋体"/>
          <w:b/>
          <w:bCs/>
          <w:color w:val="auto"/>
          <w:sz w:val="30"/>
          <w:szCs w:val="30"/>
          <w:highlight w:val="none"/>
        </w:rPr>
        <w:t>一、服务需求、技术需求偏离表</w:t>
      </w:r>
    </w:p>
    <w:p w14:paraId="0ECF58A7">
      <w:pPr>
        <w:pStyle w:val="12"/>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请根据所投服务的实际技术参数，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本项目招标文件第二章“服务需求一览表”中的</w:t>
      </w:r>
      <w:r>
        <w:rPr>
          <w:rFonts w:hint="eastAsia" w:hAnsi="宋体" w:cs="宋体"/>
          <w:b/>
          <w:color w:val="auto"/>
          <w:sz w:val="28"/>
          <w:szCs w:val="28"/>
          <w:highlight w:val="none"/>
        </w:rPr>
        <w:t>采购清单及服务参数</w:t>
      </w:r>
      <w:r>
        <w:rPr>
          <w:rFonts w:hint="eastAsia" w:hAnsi="宋体" w:cs="宋体"/>
          <w:color w:val="auto"/>
          <w:sz w:val="24"/>
          <w:szCs w:val="24"/>
          <w:highlight w:val="none"/>
        </w:rPr>
        <w:t>详细填写相应的具体内容。“偏离说明”一栏应当选择“正偏离”、“负偏离”或“无偏离”进行填写。</w:t>
      </w:r>
    </w:p>
    <w:tbl>
      <w:tblPr>
        <w:tblStyle w:val="23"/>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9C4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0B601C2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320C64DF">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304FD260">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6A4E2FB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偏离说明</w:t>
            </w:r>
          </w:p>
        </w:tc>
      </w:tr>
      <w:tr w14:paraId="12E0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02ECBC28">
            <w:pPr>
              <w:widowControl/>
              <w:wordWrap w:val="0"/>
              <w:spacing w:line="360" w:lineRule="auto"/>
              <w:jc w:val="left"/>
              <w:rPr>
                <w:rFonts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3AE2D3F">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4C30103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5A5F4DE1">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05F63F74">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21BA5499">
            <w:pPr>
              <w:widowControl/>
              <w:wordWrap w:val="0"/>
              <w:spacing w:line="360" w:lineRule="auto"/>
              <w:jc w:val="left"/>
              <w:rPr>
                <w:rFonts w:ascii="宋体" w:hAnsi="宋体" w:cs="宋体"/>
                <w:color w:val="auto"/>
                <w:szCs w:val="21"/>
                <w:highlight w:val="none"/>
              </w:rPr>
            </w:pPr>
          </w:p>
        </w:tc>
      </w:tr>
      <w:tr w14:paraId="588F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77DE57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B6898A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13EDA2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6C63B73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83D32B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5A8BB48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07B33CD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5895596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68A9091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6D94CE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1CB88C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5829EB7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76AD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8FE7CD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01DF67F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797BB5B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0A204FA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67D013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15EFAE9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829A76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7A8BE89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6D18E45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4B33D8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49BA69B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3A64E31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486A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9684B2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3BC8267C">
            <w:pPr>
              <w:wordWrap w:val="0"/>
              <w:spacing w:line="360" w:lineRule="auto"/>
              <w:rPr>
                <w:rFonts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629ECADA">
            <w:pPr>
              <w:wordWrap w:val="0"/>
              <w:spacing w:line="360" w:lineRule="auto"/>
              <w:rPr>
                <w:rFonts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6AB8B2AD">
            <w:pPr>
              <w:wordWrap w:val="0"/>
              <w:spacing w:line="360" w:lineRule="auto"/>
              <w:rPr>
                <w:rFonts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63D76D50">
            <w:pPr>
              <w:wordWrap w:val="0"/>
              <w:spacing w:line="360" w:lineRule="auto"/>
              <w:rPr>
                <w:rFonts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67D9BE03">
            <w:pPr>
              <w:wordWrap w:val="0"/>
              <w:spacing w:line="360" w:lineRule="auto"/>
              <w:rPr>
                <w:rFonts w:ascii="宋体" w:hAnsi="宋体" w:cs="宋体"/>
                <w:color w:val="auto"/>
                <w:szCs w:val="21"/>
                <w:highlight w:val="none"/>
              </w:rPr>
            </w:pPr>
          </w:p>
        </w:tc>
      </w:tr>
      <w:tr w14:paraId="1BA5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3A9365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分标</w:t>
            </w:r>
            <w:r>
              <w:rPr>
                <w:rFonts w:hint="eastAsia" w:ascii="宋体" w:hAnsi="宋体" w:cs="宋体"/>
                <w:color w:val="auto"/>
                <w:szCs w:val="21"/>
                <w:highlight w:val="none"/>
                <w:u w:val="single"/>
              </w:rPr>
              <w:t>　　</w:t>
            </w:r>
            <w:r>
              <w:rPr>
                <w:rFonts w:hint="eastAsia" w:ascii="宋体" w:hAnsi="宋体" w:cs="宋体"/>
                <w:color w:val="auto"/>
                <w:szCs w:val="21"/>
                <w:highlight w:val="none"/>
              </w:rPr>
              <w:t>（此处有分标时填写具体分标号，无分标时填写“无”）</w:t>
            </w:r>
          </w:p>
        </w:tc>
      </w:tr>
    </w:tbl>
    <w:p w14:paraId="13A9E496">
      <w:pPr>
        <w:pStyle w:val="12"/>
        <w:wordWrap w:val="0"/>
        <w:spacing w:line="360" w:lineRule="auto"/>
        <w:rPr>
          <w:rFonts w:hAnsi="宋体" w:cs="宋体"/>
          <w:color w:val="auto"/>
          <w:szCs w:val="21"/>
          <w:highlight w:val="none"/>
        </w:rPr>
      </w:pPr>
      <w:r>
        <w:rPr>
          <w:rFonts w:hint="eastAsia" w:hAnsi="宋体" w:cs="宋体"/>
          <w:color w:val="auto"/>
          <w:szCs w:val="21"/>
          <w:highlight w:val="none"/>
        </w:rPr>
        <w:t>注：</w:t>
      </w:r>
    </w:p>
    <w:p w14:paraId="3BB21E1E">
      <w:pPr>
        <w:pStyle w:val="12"/>
        <w:wordWrap w:val="0"/>
        <w:spacing w:line="360" w:lineRule="auto"/>
        <w:rPr>
          <w:rFonts w:hAnsi="宋体" w:cs="宋体"/>
          <w:color w:val="auto"/>
          <w:szCs w:val="21"/>
          <w:highlight w:val="none"/>
        </w:rPr>
      </w:pPr>
      <w:r>
        <w:rPr>
          <w:rFonts w:hint="eastAsia" w:hAnsi="宋体" w:cs="宋体"/>
          <w:color w:val="auto"/>
          <w:szCs w:val="21"/>
          <w:highlight w:val="none"/>
        </w:rPr>
        <w:t>1.表格内容均需按要求填写并盖章，不得留空，</w:t>
      </w:r>
      <w:r>
        <w:rPr>
          <w:rFonts w:hint="eastAsia" w:hAnsi="宋体" w:cs="宋体"/>
          <w:bCs/>
          <w:color w:val="auto"/>
          <w:szCs w:val="21"/>
          <w:highlight w:val="none"/>
        </w:rPr>
        <w:t>否则按投标无效处理</w:t>
      </w:r>
      <w:r>
        <w:rPr>
          <w:rFonts w:hint="eastAsia" w:hAnsi="宋体" w:cs="宋体"/>
          <w:color w:val="auto"/>
          <w:szCs w:val="21"/>
          <w:highlight w:val="none"/>
        </w:rPr>
        <w:t>。</w:t>
      </w:r>
    </w:p>
    <w:p w14:paraId="36F85142">
      <w:pPr>
        <w:pStyle w:val="12"/>
        <w:wordWrap w:val="0"/>
        <w:spacing w:line="360" w:lineRule="auto"/>
        <w:rPr>
          <w:rFonts w:hAnsi="宋体" w:cs="宋体"/>
          <w:color w:val="auto"/>
          <w:szCs w:val="21"/>
          <w:highlight w:val="none"/>
        </w:rPr>
      </w:pPr>
      <w:r>
        <w:rPr>
          <w:rFonts w:hint="eastAsia" w:hAnsi="宋体" w:cs="宋体"/>
          <w:bCs/>
          <w:color w:val="auto"/>
          <w:szCs w:val="21"/>
          <w:highlight w:val="none"/>
        </w:rPr>
        <w:t>2.当投标文件的服务内容低于招标文件要求时，投标人应当如实写明“负偏离”，否则视为虚假应标。</w:t>
      </w:r>
    </w:p>
    <w:p w14:paraId="3418472E">
      <w:pPr>
        <w:pStyle w:val="12"/>
        <w:wordWrap w:val="0"/>
        <w:spacing w:line="360" w:lineRule="auto"/>
        <w:rPr>
          <w:rFonts w:hAnsi="宋体" w:cs="宋体"/>
          <w:color w:val="auto"/>
          <w:highlight w:val="none"/>
        </w:rPr>
      </w:pPr>
    </w:p>
    <w:p w14:paraId="049F2AB5">
      <w:pPr>
        <w:wordWrap w:val="0"/>
        <w:snapToGrid w:val="0"/>
        <w:spacing w:line="360" w:lineRule="auto"/>
        <w:ind w:firstLine="5640" w:firstLineChars="2350"/>
        <w:rPr>
          <w:rFonts w:ascii="宋体" w:hAnsi="宋体" w:cs="宋体"/>
          <w:color w:val="auto"/>
          <w:kern w:val="0"/>
          <w:sz w:val="24"/>
          <w:highlight w:val="none"/>
          <w:lang w:val="zh-CN"/>
        </w:rPr>
      </w:pPr>
    </w:p>
    <w:p w14:paraId="0D7BD4CE">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6099D40">
      <w:pPr>
        <w:wordWrap w:val="0"/>
        <w:snapToGrid w:val="0"/>
        <w:spacing w:line="360" w:lineRule="auto"/>
        <w:ind w:firstLine="5640" w:firstLineChars="23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EF7DE6C">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pgNumType w:fmt="decimal"/>
          <w:cols w:space="720" w:num="1"/>
          <w:docGrid w:type="lines" w:linePitch="331" w:charSpace="0"/>
        </w:sectPr>
      </w:pPr>
    </w:p>
    <w:p w14:paraId="6515F168">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二、组织服务方案</w:t>
      </w:r>
    </w:p>
    <w:p w14:paraId="589D186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712D3251">
      <w:pPr>
        <w:wordWrap w:val="0"/>
        <w:spacing w:line="360" w:lineRule="auto"/>
        <w:rPr>
          <w:rFonts w:ascii="宋体" w:hAnsi="宋体" w:cs="宋体"/>
          <w:b/>
          <w:bCs/>
          <w:color w:val="auto"/>
          <w:kern w:val="0"/>
          <w:sz w:val="24"/>
          <w:highlight w:val="none"/>
          <w:lang w:val="zh-CN"/>
        </w:rPr>
      </w:pPr>
    </w:p>
    <w:p w14:paraId="0E38E764">
      <w:pPr>
        <w:wordWrap w:val="0"/>
        <w:spacing w:line="360" w:lineRule="auto"/>
        <w:rPr>
          <w:rFonts w:ascii="宋体" w:hAnsi="宋体" w:cs="宋体"/>
          <w:b/>
          <w:bCs/>
          <w:color w:val="auto"/>
          <w:kern w:val="0"/>
          <w:sz w:val="24"/>
          <w:highlight w:val="none"/>
          <w:lang w:val="zh-CN"/>
        </w:rPr>
      </w:pPr>
    </w:p>
    <w:p w14:paraId="1E0CF804">
      <w:pPr>
        <w:wordWrap w:val="0"/>
        <w:spacing w:line="360" w:lineRule="auto"/>
        <w:rPr>
          <w:rFonts w:ascii="宋体" w:hAnsi="宋体" w:cs="宋体"/>
          <w:b/>
          <w:bCs/>
          <w:color w:val="auto"/>
          <w:kern w:val="0"/>
          <w:sz w:val="24"/>
          <w:highlight w:val="none"/>
          <w:lang w:val="zh-CN"/>
        </w:rPr>
      </w:pPr>
      <w:bookmarkStart w:id="300"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300"/>
      <w:r>
        <w:rPr>
          <w:rFonts w:hint="eastAsia" w:ascii="宋体" w:hAnsi="宋体" w:cs="宋体"/>
          <w:b/>
          <w:color w:val="auto"/>
          <w:sz w:val="24"/>
          <w:highlight w:val="none"/>
        </w:rPr>
        <w:t xml:space="preserve"> </w:t>
      </w:r>
    </w:p>
    <w:tbl>
      <w:tblPr>
        <w:tblStyle w:val="2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E4E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5C42C61E">
            <w:pPr>
              <w:wordWrap w:val="0"/>
              <w:spacing w:line="360" w:lineRule="auto"/>
              <w:rPr>
                <w:rFonts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2F918EC">
                                    <w:pPr>
                                      <w:snapToGrid w:val="0"/>
                                      <w:rPr>
                                        <w:sz w:val="24"/>
                                      </w:rPr>
                                    </w:pPr>
                                    <w:r>
                                      <w:rPr>
                                        <w:rFonts w:hint="eastAsia"/>
                                        <w:sz w:val="24"/>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50BC414C">
                                    <w:pPr>
                                      <w:snapToGrid w:val="0"/>
                                      <w:rPr>
                                        <w:sz w:val="24"/>
                                      </w:rPr>
                                    </w:pPr>
                                    <w:r>
                                      <w:rPr>
                                        <w:rFonts w:hint="eastAsia"/>
                                        <w:sz w:val="24"/>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65DF1ECE">
                                    <w:pPr>
                                      <w:snapToGrid w:val="0"/>
                                      <w:rPr>
                                        <w:sz w:val="24"/>
                                      </w:rPr>
                                    </w:pPr>
                                    <w:r>
                                      <w:rPr>
                                        <w:rFonts w:hint="eastAsia"/>
                                        <w:sz w:val="24"/>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2F918EC">
                              <w:pPr>
                                <w:snapToGrid w:val="0"/>
                                <w:rPr>
                                  <w:sz w:val="24"/>
                                </w:rPr>
                              </w:pPr>
                              <w:r>
                                <w:rPr>
                                  <w:rFonts w:hint="eastAsia"/>
                                  <w:sz w:val="24"/>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0BC414C">
                              <w:pPr>
                                <w:snapToGrid w:val="0"/>
                                <w:rPr>
                                  <w:sz w:val="24"/>
                                </w:rPr>
                              </w:pPr>
                              <w:r>
                                <w:rPr>
                                  <w:rFonts w:hint="eastAsia"/>
                                  <w:sz w:val="24"/>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5DF1ECE">
                              <w:pPr>
                                <w:snapToGrid w:val="0"/>
                                <w:rPr>
                                  <w:sz w:val="24"/>
                                </w:rPr>
                              </w:pPr>
                              <w:r>
                                <w:rPr>
                                  <w:rFonts w:hint="eastAsia"/>
                                  <w:sz w:val="24"/>
                                </w:rPr>
                                <w:t>日</w:t>
                              </w:r>
                            </w:p>
                          </w:txbxContent>
                        </v:textbox>
                      </v:shape>
                    </v:group>
                  </w:pict>
                </mc:Fallback>
              </mc:AlternateContent>
            </w:r>
          </w:p>
          <w:p w14:paraId="790C374F">
            <w:pPr>
              <w:wordWrap w:val="0"/>
              <w:spacing w:line="360" w:lineRule="auto"/>
              <w:rPr>
                <w:rFonts w:ascii="宋体" w:hAnsi="宋体" w:cs="宋体"/>
                <w:color w:val="auto"/>
                <w:sz w:val="24"/>
                <w:highlight w:val="none"/>
              </w:rPr>
            </w:pPr>
          </w:p>
          <w:p w14:paraId="33D1A2E3">
            <w:pPr>
              <w:wordWrap w:val="0"/>
              <w:spacing w:line="360" w:lineRule="auto"/>
              <w:rPr>
                <w:rFonts w:ascii="宋体" w:hAnsi="宋体" w:cs="宋体"/>
                <w:color w:val="auto"/>
                <w:sz w:val="24"/>
                <w:highlight w:val="none"/>
              </w:rPr>
            </w:pPr>
          </w:p>
          <w:p w14:paraId="7935BF3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644B4855">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5C7A781C">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7627898D">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06341F93">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47FEA3DD">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1BDF2C5D">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6FE087D7">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62EB022B">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4DAB24F1">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5173781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3BE57B3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7BD83240">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1DD27228">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24880271">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7C6CC055">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1AE7A42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363B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68FDB3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43A75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DE94A6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BF0BA5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D47E7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650AC1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752C37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8ED6A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306CDB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ABFD59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9CF80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90F0BF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E5FA5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DA5C5F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707660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18E25C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3CD124">
            <w:pPr>
              <w:wordWrap w:val="0"/>
              <w:spacing w:line="360" w:lineRule="auto"/>
              <w:rPr>
                <w:rFonts w:ascii="宋体" w:hAnsi="宋体" w:cs="宋体"/>
                <w:color w:val="auto"/>
                <w:sz w:val="24"/>
                <w:highlight w:val="none"/>
              </w:rPr>
            </w:pPr>
          </w:p>
        </w:tc>
      </w:tr>
      <w:tr w14:paraId="4DFF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063C90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0F8248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95375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DE75A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42BBF0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5C278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38C11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DC5C9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01EEDD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2C65EC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B256F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77D46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EF285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1BFC7A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0499F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DCC5C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7D8103">
            <w:pPr>
              <w:wordWrap w:val="0"/>
              <w:spacing w:line="360" w:lineRule="auto"/>
              <w:rPr>
                <w:rFonts w:ascii="宋体" w:hAnsi="宋体" w:cs="宋体"/>
                <w:color w:val="auto"/>
                <w:sz w:val="24"/>
                <w:highlight w:val="none"/>
              </w:rPr>
            </w:pPr>
          </w:p>
        </w:tc>
      </w:tr>
      <w:tr w14:paraId="1886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5D976A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CC19BD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E96170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AD5668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A0A690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473B8B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7DDDDB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4530C9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C8BA6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09337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1EB6A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D6BBB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F4E37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BABA0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57DA33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2F4DD0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81F2BAE">
            <w:pPr>
              <w:wordWrap w:val="0"/>
              <w:spacing w:line="360" w:lineRule="auto"/>
              <w:rPr>
                <w:rFonts w:ascii="宋体" w:hAnsi="宋体" w:cs="宋体"/>
                <w:color w:val="auto"/>
                <w:sz w:val="24"/>
                <w:highlight w:val="none"/>
              </w:rPr>
            </w:pPr>
          </w:p>
        </w:tc>
      </w:tr>
      <w:tr w14:paraId="3F52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182C09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A5C37E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83ECDA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681C13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B3EF15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684D3C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3EC4E5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F1F15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E0A29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43524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43299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211C5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61EE96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2156DE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973F0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DEAF1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76ED2A">
            <w:pPr>
              <w:wordWrap w:val="0"/>
              <w:spacing w:line="360" w:lineRule="auto"/>
              <w:rPr>
                <w:rFonts w:ascii="宋体" w:hAnsi="宋体" w:cs="宋体"/>
                <w:color w:val="auto"/>
                <w:sz w:val="24"/>
                <w:highlight w:val="none"/>
              </w:rPr>
            </w:pPr>
          </w:p>
        </w:tc>
      </w:tr>
      <w:tr w14:paraId="2E32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56DF0B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214FFC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1410B1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3E033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5185C8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801480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F251CE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8E048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73B29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6716E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7FA46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825D8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DC08B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A810D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AAC26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E4115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67F874">
            <w:pPr>
              <w:wordWrap w:val="0"/>
              <w:spacing w:line="360" w:lineRule="auto"/>
              <w:rPr>
                <w:rFonts w:ascii="宋体" w:hAnsi="宋体" w:cs="宋体"/>
                <w:color w:val="auto"/>
                <w:sz w:val="24"/>
                <w:highlight w:val="none"/>
              </w:rPr>
            </w:pPr>
          </w:p>
        </w:tc>
      </w:tr>
      <w:tr w14:paraId="451D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DD09B0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8215B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79776D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26C257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9BC42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2FB39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A7D3EB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B19ED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DCEE46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53221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C3EC0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6F4AA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342A9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2772E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E9440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97450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183C9C">
            <w:pPr>
              <w:wordWrap w:val="0"/>
              <w:spacing w:line="360" w:lineRule="auto"/>
              <w:rPr>
                <w:rFonts w:ascii="宋体" w:hAnsi="宋体" w:cs="宋体"/>
                <w:color w:val="auto"/>
                <w:sz w:val="24"/>
                <w:highlight w:val="none"/>
              </w:rPr>
            </w:pPr>
          </w:p>
        </w:tc>
      </w:tr>
      <w:tr w14:paraId="42EC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2B266B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EB1F9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528AF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F57CE5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D6CA7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C928E7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8934FD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5E3A1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7A5154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33F310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8CC3D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049BF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022F0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C424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EF027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D16A88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72418C">
            <w:pPr>
              <w:wordWrap w:val="0"/>
              <w:spacing w:line="360" w:lineRule="auto"/>
              <w:rPr>
                <w:rFonts w:ascii="宋体" w:hAnsi="宋体" w:cs="宋体"/>
                <w:color w:val="auto"/>
                <w:sz w:val="24"/>
                <w:highlight w:val="none"/>
              </w:rPr>
            </w:pPr>
          </w:p>
        </w:tc>
      </w:tr>
      <w:tr w14:paraId="2D35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E013FB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795D9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531A5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61613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4B9B7A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C9256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C5D229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DFFFE3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22113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742207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11F279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64391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F0EFE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6ADA9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89CDC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88465D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D71BC0">
            <w:pPr>
              <w:wordWrap w:val="0"/>
              <w:spacing w:line="360" w:lineRule="auto"/>
              <w:rPr>
                <w:rFonts w:ascii="宋体" w:hAnsi="宋体" w:cs="宋体"/>
                <w:color w:val="auto"/>
                <w:sz w:val="24"/>
                <w:highlight w:val="none"/>
              </w:rPr>
            </w:pPr>
          </w:p>
        </w:tc>
      </w:tr>
      <w:tr w14:paraId="1758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85C8CD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5F1576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C3168B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C3542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39B96D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F8CEDB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A694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183D5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E44E9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63E152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4FAAB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87188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D2C7D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2D4307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5E88C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77EFF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4D366B">
            <w:pPr>
              <w:wordWrap w:val="0"/>
              <w:spacing w:line="360" w:lineRule="auto"/>
              <w:rPr>
                <w:rFonts w:ascii="宋体" w:hAnsi="宋体" w:cs="宋体"/>
                <w:color w:val="auto"/>
                <w:sz w:val="24"/>
                <w:highlight w:val="none"/>
              </w:rPr>
            </w:pPr>
          </w:p>
        </w:tc>
      </w:tr>
    </w:tbl>
    <w:p w14:paraId="62784F86">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sz w:val="24"/>
          <w:highlight w:val="none"/>
        </w:rPr>
        <w:t>注：投标人可按上述时间表的格式自行编制切合实际的具体时间表。</w:t>
      </w:r>
    </w:p>
    <w:p w14:paraId="2AA23EE7">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投标人名称（电子签章）：</w:t>
      </w:r>
    </w:p>
    <w:p w14:paraId="5B244FB3">
      <w:pPr>
        <w:wordWrap w:val="0"/>
        <w:autoSpaceDE w:val="0"/>
        <w:autoSpaceDN w:val="0"/>
        <w:spacing w:line="360" w:lineRule="auto"/>
        <w:rPr>
          <w:rFonts w:ascii="宋体" w:hAnsi="宋体" w:cs="宋体"/>
          <w:b/>
          <w:bCs/>
          <w:color w:val="auto"/>
          <w:sz w:val="32"/>
          <w:szCs w:val="32"/>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64E31EE8">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4669A405">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三、售后服务方案</w:t>
      </w:r>
    </w:p>
    <w:p w14:paraId="7B8D350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33C88AD2">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2604929E">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23"/>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905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FF8CDDA">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1CA5EF2E">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3F6192EB">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1E2B5D77">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28206C2D">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0D7610F8">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联系电话</w:t>
            </w:r>
          </w:p>
        </w:tc>
      </w:tr>
      <w:tr w14:paraId="7D1D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E5AE49A">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3C466248">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38FF24F">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7234A6A5">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737EAFD9">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1B908179">
            <w:pPr>
              <w:wordWrap w:val="0"/>
              <w:autoSpaceDE w:val="0"/>
              <w:autoSpaceDN w:val="0"/>
              <w:spacing w:line="360" w:lineRule="auto"/>
              <w:jc w:val="center"/>
              <w:rPr>
                <w:rFonts w:ascii="宋体" w:hAnsi="宋体" w:cs="宋体"/>
                <w:color w:val="auto"/>
                <w:sz w:val="24"/>
                <w:highlight w:val="none"/>
              </w:rPr>
            </w:pPr>
          </w:p>
        </w:tc>
      </w:tr>
      <w:tr w14:paraId="5521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E4ED003">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2236A9C6">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12EAB52">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3A9AF289">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1C991DCD">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6535928A">
            <w:pPr>
              <w:wordWrap w:val="0"/>
              <w:autoSpaceDE w:val="0"/>
              <w:autoSpaceDN w:val="0"/>
              <w:spacing w:line="360" w:lineRule="auto"/>
              <w:jc w:val="center"/>
              <w:rPr>
                <w:rFonts w:ascii="宋体" w:hAnsi="宋体" w:cs="宋体"/>
                <w:color w:val="auto"/>
                <w:sz w:val="24"/>
                <w:highlight w:val="none"/>
              </w:rPr>
            </w:pPr>
          </w:p>
        </w:tc>
      </w:tr>
      <w:tr w14:paraId="0D7B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0578945">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07CC08BD">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49614F6C">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75A207A6">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3621A3EE">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14767E9E">
            <w:pPr>
              <w:wordWrap w:val="0"/>
              <w:autoSpaceDE w:val="0"/>
              <w:autoSpaceDN w:val="0"/>
              <w:spacing w:line="360" w:lineRule="auto"/>
              <w:jc w:val="center"/>
              <w:rPr>
                <w:rFonts w:ascii="宋体" w:hAnsi="宋体" w:cs="宋体"/>
                <w:color w:val="auto"/>
                <w:sz w:val="24"/>
                <w:highlight w:val="none"/>
              </w:rPr>
            </w:pPr>
          </w:p>
        </w:tc>
      </w:tr>
    </w:tbl>
    <w:p w14:paraId="5FAC2716">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注：关于项目涉及的所有售后服务机构均在本表注明，包括投标人本单位和符合条件的第三方服务机构；</w:t>
      </w:r>
    </w:p>
    <w:p w14:paraId="09CEBA05">
      <w:pPr>
        <w:wordWrap w:val="0"/>
        <w:autoSpaceDE w:val="0"/>
        <w:autoSpaceDN w:val="0"/>
        <w:spacing w:line="360" w:lineRule="auto"/>
        <w:rPr>
          <w:rFonts w:ascii="宋体" w:hAnsi="宋体" w:cs="宋体"/>
          <w:color w:val="auto"/>
          <w:kern w:val="0"/>
          <w:sz w:val="24"/>
          <w:highlight w:val="none"/>
        </w:rPr>
      </w:pPr>
    </w:p>
    <w:p w14:paraId="57DE4FB3">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23"/>
        <w:tblW w:w="10002" w:type="dxa"/>
        <w:jc w:val="center"/>
        <w:tblLayout w:type="fixed"/>
        <w:tblCellMar>
          <w:top w:w="0" w:type="dxa"/>
          <w:left w:w="108" w:type="dxa"/>
          <w:bottom w:w="0" w:type="dxa"/>
          <w:right w:w="108" w:type="dxa"/>
        </w:tblCellMar>
      </w:tblPr>
      <w:tblGrid>
        <w:gridCol w:w="646"/>
        <w:gridCol w:w="746"/>
        <w:gridCol w:w="787"/>
        <w:gridCol w:w="745"/>
        <w:gridCol w:w="825"/>
        <w:gridCol w:w="822"/>
        <w:gridCol w:w="1080"/>
        <w:gridCol w:w="1080"/>
        <w:gridCol w:w="1260"/>
        <w:gridCol w:w="900"/>
        <w:gridCol w:w="1111"/>
      </w:tblGrid>
      <w:tr w14:paraId="2F380642">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3E0479C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p w14:paraId="6A6A0023">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0590E9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10E9E5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745" w:type="dxa"/>
            <w:tcBorders>
              <w:top w:val="single" w:color="auto" w:sz="6" w:space="0"/>
              <w:left w:val="single" w:color="auto" w:sz="6" w:space="0"/>
              <w:bottom w:val="single" w:color="auto" w:sz="6" w:space="0"/>
              <w:right w:val="single" w:color="auto" w:sz="6" w:space="0"/>
            </w:tcBorders>
            <w:vAlign w:val="center"/>
          </w:tcPr>
          <w:p w14:paraId="416B114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825" w:type="dxa"/>
            <w:tcBorders>
              <w:top w:val="single" w:color="auto" w:sz="6" w:space="0"/>
              <w:left w:val="single" w:color="auto" w:sz="6" w:space="0"/>
              <w:bottom w:val="single" w:color="auto" w:sz="6" w:space="0"/>
              <w:right w:val="single" w:color="auto" w:sz="6" w:space="0"/>
            </w:tcBorders>
            <w:vAlign w:val="center"/>
          </w:tcPr>
          <w:p w14:paraId="6DB6806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822" w:type="dxa"/>
            <w:tcBorders>
              <w:top w:val="single" w:color="auto" w:sz="6" w:space="0"/>
              <w:left w:val="single" w:color="auto" w:sz="6" w:space="0"/>
              <w:bottom w:val="single" w:color="auto" w:sz="6" w:space="0"/>
              <w:right w:val="single" w:color="auto" w:sz="6" w:space="0"/>
            </w:tcBorders>
            <w:vAlign w:val="center"/>
          </w:tcPr>
          <w:p w14:paraId="62C1907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037474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6733E45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826F806">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2C7873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4251812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到达现场时间</w:t>
            </w:r>
          </w:p>
        </w:tc>
      </w:tr>
      <w:tr w14:paraId="33BD9095">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7AA68745">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354530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831D00C">
            <w:pPr>
              <w:wordWrap w:val="0"/>
              <w:autoSpaceDE w:val="0"/>
              <w:autoSpaceDN w:val="0"/>
              <w:spacing w:line="360" w:lineRule="auto"/>
              <w:rPr>
                <w:rFonts w:ascii="宋体" w:hAnsi="宋体" w:cs="宋体"/>
                <w:color w:val="auto"/>
                <w:sz w:val="24"/>
                <w:highlight w:val="none"/>
              </w:rPr>
            </w:pPr>
          </w:p>
        </w:tc>
        <w:tc>
          <w:tcPr>
            <w:tcW w:w="745" w:type="dxa"/>
            <w:tcBorders>
              <w:top w:val="single" w:color="auto" w:sz="6" w:space="0"/>
              <w:left w:val="single" w:color="auto" w:sz="6" w:space="0"/>
              <w:bottom w:val="single" w:color="auto" w:sz="6" w:space="0"/>
              <w:right w:val="single" w:color="auto" w:sz="6" w:space="0"/>
            </w:tcBorders>
          </w:tcPr>
          <w:p w14:paraId="5E149083">
            <w:pPr>
              <w:wordWrap w:val="0"/>
              <w:autoSpaceDE w:val="0"/>
              <w:autoSpaceDN w:val="0"/>
              <w:spacing w:line="360" w:lineRule="auto"/>
              <w:rPr>
                <w:rFonts w:ascii="宋体" w:hAnsi="宋体" w:cs="宋体"/>
                <w:color w:val="auto"/>
                <w:sz w:val="24"/>
                <w:highlight w:val="none"/>
              </w:rPr>
            </w:pPr>
          </w:p>
        </w:tc>
        <w:tc>
          <w:tcPr>
            <w:tcW w:w="825" w:type="dxa"/>
            <w:tcBorders>
              <w:top w:val="single" w:color="auto" w:sz="6" w:space="0"/>
              <w:left w:val="single" w:color="auto" w:sz="6" w:space="0"/>
              <w:bottom w:val="single" w:color="auto" w:sz="6" w:space="0"/>
              <w:right w:val="single" w:color="auto" w:sz="6" w:space="0"/>
            </w:tcBorders>
          </w:tcPr>
          <w:p w14:paraId="36FB00D8">
            <w:pPr>
              <w:wordWrap w:val="0"/>
              <w:autoSpaceDE w:val="0"/>
              <w:autoSpaceDN w:val="0"/>
              <w:spacing w:line="360" w:lineRule="auto"/>
              <w:rPr>
                <w:rFonts w:ascii="宋体" w:hAnsi="宋体" w:cs="宋体"/>
                <w:color w:val="auto"/>
                <w:sz w:val="24"/>
                <w:highlight w:val="none"/>
              </w:rPr>
            </w:pPr>
          </w:p>
        </w:tc>
        <w:tc>
          <w:tcPr>
            <w:tcW w:w="822" w:type="dxa"/>
            <w:tcBorders>
              <w:top w:val="single" w:color="auto" w:sz="6" w:space="0"/>
              <w:left w:val="single" w:color="auto" w:sz="6" w:space="0"/>
              <w:bottom w:val="single" w:color="auto" w:sz="6" w:space="0"/>
              <w:right w:val="single" w:color="auto" w:sz="6" w:space="0"/>
            </w:tcBorders>
          </w:tcPr>
          <w:p w14:paraId="3FD92FFA">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44DA31E">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B4FCEF8">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D23F1F0">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231463B">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01095C5">
            <w:pPr>
              <w:wordWrap w:val="0"/>
              <w:autoSpaceDE w:val="0"/>
              <w:autoSpaceDN w:val="0"/>
              <w:spacing w:line="360" w:lineRule="auto"/>
              <w:rPr>
                <w:rFonts w:ascii="宋体" w:hAnsi="宋体" w:cs="宋体"/>
                <w:color w:val="auto"/>
                <w:sz w:val="24"/>
                <w:highlight w:val="none"/>
              </w:rPr>
            </w:pPr>
          </w:p>
        </w:tc>
      </w:tr>
      <w:tr w14:paraId="4A39488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80EA5B3">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621D5F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0CA3380E">
            <w:pPr>
              <w:wordWrap w:val="0"/>
              <w:autoSpaceDE w:val="0"/>
              <w:autoSpaceDN w:val="0"/>
              <w:spacing w:line="360" w:lineRule="auto"/>
              <w:rPr>
                <w:rFonts w:ascii="宋体" w:hAnsi="宋体" w:cs="宋体"/>
                <w:color w:val="auto"/>
                <w:sz w:val="24"/>
                <w:highlight w:val="none"/>
              </w:rPr>
            </w:pPr>
          </w:p>
        </w:tc>
        <w:tc>
          <w:tcPr>
            <w:tcW w:w="745" w:type="dxa"/>
            <w:tcBorders>
              <w:top w:val="single" w:color="auto" w:sz="6" w:space="0"/>
              <w:left w:val="single" w:color="auto" w:sz="6" w:space="0"/>
              <w:bottom w:val="single" w:color="auto" w:sz="6" w:space="0"/>
              <w:right w:val="single" w:color="auto" w:sz="6" w:space="0"/>
            </w:tcBorders>
          </w:tcPr>
          <w:p w14:paraId="4D9326E4">
            <w:pPr>
              <w:wordWrap w:val="0"/>
              <w:autoSpaceDE w:val="0"/>
              <w:autoSpaceDN w:val="0"/>
              <w:spacing w:line="360" w:lineRule="auto"/>
              <w:rPr>
                <w:rFonts w:ascii="宋体" w:hAnsi="宋体" w:cs="宋体"/>
                <w:color w:val="auto"/>
                <w:sz w:val="24"/>
                <w:highlight w:val="none"/>
              </w:rPr>
            </w:pPr>
          </w:p>
        </w:tc>
        <w:tc>
          <w:tcPr>
            <w:tcW w:w="825" w:type="dxa"/>
            <w:tcBorders>
              <w:top w:val="single" w:color="auto" w:sz="6" w:space="0"/>
              <w:left w:val="single" w:color="auto" w:sz="6" w:space="0"/>
              <w:bottom w:val="single" w:color="auto" w:sz="6" w:space="0"/>
              <w:right w:val="single" w:color="auto" w:sz="6" w:space="0"/>
            </w:tcBorders>
          </w:tcPr>
          <w:p w14:paraId="60C29D65">
            <w:pPr>
              <w:wordWrap w:val="0"/>
              <w:autoSpaceDE w:val="0"/>
              <w:autoSpaceDN w:val="0"/>
              <w:spacing w:line="360" w:lineRule="auto"/>
              <w:rPr>
                <w:rFonts w:ascii="宋体" w:hAnsi="宋体" w:cs="宋体"/>
                <w:color w:val="auto"/>
                <w:sz w:val="24"/>
                <w:highlight w:val="none"/>
              </w:rPr>
            </w:pPr>
          </w:p>
        </w:tc>
        <w:tc>
          <w:tcPr>
            <w:tcW w:w="822" w:type="dxa"/>
            <w:tcBorders>
              <w:top w:val="single" w:color="auto" w:sz="6" w:space="0"/>
              <w:left w:val="single" w:color="auto" w:sz="6" w:space="0"/>
              <w:bottom w:val="single" w:color="auto" w:sz="6" w:space="0"/>
              <w:right w:val="single" w:color="auto" w:sz="6" w:space="0"/>
            </w:tcBorders>
          </w:tcPr>
          <w:p w14:paraId="0AA4A4D8">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2530C1">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150CFA">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7345170">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ECEEBEC">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0C3A91C">
            <w:pPr>
              <w:wordWrap w:val="0"/>
              <w:autoSpaceDE w:val="0"/>
              <w:autoSpaceDN w:val="0"/>
              <w:spacing w:line="360" w:lineRule="auto"/>
              <w:rPr>
                <w:rFonts w:ascii="宋体" w:hAnsi="宋体" w:cs="宋体"/>
                <w:color w:val="auto"/>
                <w:sz w:val="24"/>
                <w:highlight w:val="none"/>
              </w:rPr>
            </w:pPr>
          </w:p>
        </w:tc>
      </w:tr>
      <w:tr w14:paraId="2CBC5E9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965D839">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2ACF177">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9595ADB">
            <w:pPr>
              <w:wordWrap w:val="0"/>
              <w:autoSpaceDE w:val="0"/>
              <w:autoSpaceDN w:val="0"/>
              <w:spacing w:line="360" w:lineRule="auto"/>
              <w:rPr>
                <w:rFonts w:ascii="宋体" w:hAnsi="宋体" w:cs="宋体"/>
                <w:color w:val="auto"/>
                <w:sz w:val="24"/>
                <w:highlight w:val="none"/>
              </w:rPr>
            </w:pPr>
          </w:p>
        </w:tc>
        <w:tc>
          <w:tcPr>
            <w:tcW w:w="745" w:type="dxa"/>
            <w:tcBorders>
              <w:top w:val="single" w:color="auto" w:sz="6" w:space="0"/>
              <w:left w:val="single" w:color="auto" w:sz="6" w:space="0"/>
              <w:bottom w:val="single" w:color="auto" w:sz="6" w:space="0"/>
              <w:right w:val="single" w:color="auto" w:sz="6" w:space="0"/>
            </w:tcBorders>
          </w:tcPr>
          <w:p w14:paraId="449318A4">
            <w:pPr>
              <w:wordWrap w:val="0"/>
              <w:autoSpaceDE w:val="0"/>
              <w:autoSpaceDN w:val="0"/>
              <w:spacing w:line="360" w:lineRule="auto"/>
              <w:rPr>
                <w:rFonts w:ascii="宋体" w:hAnsi="宋体" w:cs="宋体"/>
                <w:color w:val="auto"/>
                <w:sz w:val="24"/>
                <w:highlight w:val="none"/>
              </w:rPr>
            </w:pPr>
          </w:p>
        </w:tc>
        <w:tc>
          <w:tcPr>
            <w:tcW w:w="825" w:type="dxa"/>
            <w:tcBorders>
              <w:top w:val="single" w:color="auto" w:sz="6" w:space="0"/>
              <w:left w:val="single" w:color="auto" w:sz="6" w:space="0"/>
              <w:bottom w:val="single" w:color="auto" w:sz="6" w:space="0"/>
              <w:right w:val="single" w:color="auto" w:sz="6" w:space="0"/>
            </w:tcBorders>
          </w:tcPr>
          <w:p w14:paraId="23C26667">
            <w:pPr>
              <w:wordWrap w:val="0"/>
              <w:autoSpaceDE w:val="0"/>
              <w:autoSpaceDN w:val="0"/>
              <w:spacing w:line="360" w:lineRule="auto"/>
              <w:rPr>
                <w:rFonts w:ascii="宋体" w:hAnsi="宋体" w:cs="宋体"/>
                <w:color w:val="auto"/>
                <w:sz w:val="24"/>
                <w:highlight w:val="none"/>
              </w:rPr>
            </w:pPr>
          </w:p>
        </w:tc>
        <w:tc>
          <w:tcPr>
            <w:tcW w:w="822" w:type="dxa"/>
            <w:tcBorders>
              <w:top w:val="single" w:color="auto" w:sz="6" w:space="0"/>
              <w:left w:val="single" w:color="auto" w:sz="6" w:space="0"/>
              <w:bottom w:val="single" w:color="auto" w:sz="6" w:space="0"/>
              <w:right w:val="single" w:color="auto" w:sz="6" w:space="0"/>
            </w:tcBorders>
          </w:tcPr>
          <w:p w14:paraId="208ECDB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343AD4">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5D371D">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E95CAFD">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BB21E2">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7035DC3">
            <w:pPr>
              <w:wordWrap w:val="0"/>
              <w:autoSpaceDE w:val="0"/>
              <w:autoSpaceDN w:val="0"/>
              <w:spacing w:line="360" w:lineRule="auto"/>
              <w:rPr>
                <w:rFonts w:ascii="宋体" w:hAnsi="宋体" w:cs="宋体"/>
                <w:color w:val="auto"/>
                <w:sz w:val="24"/>
                <w:highlight w:val="none"/>
              </w:rPr>
            </w:pPr>
          </w:p>
        </w:tc>
      </w:tr>
      <w:tr w14:paraId="5F6F3C6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F2DA5C3">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AE2F5FE">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EC82AD9">
            <w:pPr>
              <w:wordWrap w:val="0"/>
              <w:autoSpaceDE w:val="0"/>
              <w:autoSpaceDN w:val="0"/>
              <w:spacing w:line="360" w:lineRule="auto"/>
              <w:rPr>
                <w:rFonts w:ascii="宋体" w:hAnsi="宋体" w:cs="宋体"/>
                <w:color w:val="auto"/>
                <w:sz w:val="24"/>
                <w:highlight w:val="none"/>
              </w:rPr>
            </w:pPr>
          </w:p>
        </w:tc>
        <w:tc>
          <w:tcPr>
            <w:tcW w:w="745" w:type="dxa"/>
            <w:tcBorders>
              <w:top w:val="single" w:color="auto" w:sz="6" w:space="0"/>
              <w:left w:val="single" w:color="auto" w:sz="6" w:space="0"/>
              <w:bottom w:val="single" w:color="auto" w:sz="6" w:space="0"/>
              <w:right w:val="single" w:color="auto" w:sz="6" w:space="0"/>
            </w:tcBorders>
          </w:tcPr>
          <w:p w14:paraId="7857F48F">
            <w:pPr>
              <w:wordWrap w:val="0"/>
              <w:autoSpaceDE w:val="0"/>
              <w:autoSpaceDN w:val="0"/>
              <w:spacing w:line="360" w:lineRule="auto"/>
              <w:rPr>
                <w:rFonts w:ascii="宋体" w:hAnsi="宋体" w:cs="宋体"/>
                <w:color w:val="auto"/>
                <w:sz w:val="24"/>
                <w:highlight w:val="none"/>
              </w:rPr>
            </w:pPr>
          </w:p>
        </w:tc>
        <w:tc>
          <w:tcPr>
            <w:tcW w:w="825" w:type="dxa"/>
            <w:tcBorders>
              <w:top w:val="single" w:color="auto" w:sz="6" w:space="0"/>
              <w:left w:val="single" w:color="auto" w:sz="6" w:space="0"/>
              <w:bottom w:val="single" w:color="auto" w:sz="6" w:space="0"/>
              <w:right w:val="single" w:color="auto" w:sz="6" w:space="0"/>
            </w:tcBorders>
          </w:tcPr>
          <w:p w14:paraId="71779112">
            <w:pPr>
              <w:wordWrap w:val="0"/>
              <w:autoSpaceDE w:val="0"/>
              <w:autoSpaceDN w:val="0"/>
              <w:spacing w:line="360" w:lineRule="auto"/>
              <w:rPr>
                <w:rFonts w:ascii="宋体" w:hAnsi="宋体" w:cs="宋体"/>
                <w:color w:val="auto"/>
                <w:sz w:val="24"/>
                <w:highlight w:val="none"/>
              </w:rPr>
            </w:pPr>
          </w:p>
        </w:tc>
        <w:tc>
          <w:tcPr>
            <w:tcW w:w="822" w:type="dxa"/>
            <w:tcBorders>
              <w:top w:val="single" w:color="auto" w:sz="6" w:space="0"/>
              <w:left w:val="single" w:color="auto" w:sz="6" w:space="0"/>
              <w:bottom w:val="single" w:color="auto" w:sz="6" w:space="0"/>
              <w:right w:val="single" w:color="auto" w:sz="6" w:space="0"/>
            </w:tcBorders>
          </w:tcPr>
          <w:p w14:paraId="7D2FF0ED">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0E6351">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F82378">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D9D0C9C">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414CAE">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5D4DFA36">
            <w:pPr>
              <w:wordWrap w:val="0"/>
              <w:autoSpaceDE w:val="0"/>
              <w:autoSpaceDN w:val="0"/>
              <w:spacing w:line="360" w:lineRule="auto"/>
              <w:rPr>
                <w:rFonts w:ascii="宋体" w:hAnsi="宋体" w:cs="宋体"/>
                <w:color w:val="auto"/>
                <w:sz w:val="24"/>
                <w:highlight w:val="none"/>
              </w:rPr>
            </w:pPr>
          </w:p>
        </w:tc>
      </w:tr>
    </w:tbl>
    <w:p w14:paraId="3136515B">
      <w:pPr>
        <w:wordWrap w:val="0"/>
        <w:snapToGrid w:val="0"/>
        <w:spacing w:line="360" w:lineRule="auto"/>
        <w:ind w:left="142"/>
        <w:jc w:val="center"/>
        <w:rPr>
          <w:rFonts w:ascii="宋体" w:hAnsi="宋体" w:cs="宋体"/>
          <w:b/>
          <w:color w:val="auto"/>
          <w:sz w:val="32"/>
          <w:szCs w:val="32"/>
          <w:highlight w:val="none"/>
        </w:rPr>
      </w:pPr>
    </w:p>
    <w:p w14:paraId="1D65B476">
      <w:pPr>
        <w:wordWrap w:val="0"/>
        <w:snapToGrid w:val="0"/>
        <w:spacing w:line="360" w:lineRule="auto"/>
        <w:ind w:right="480" w:firstLine="3967" w:firstLineChars="1653"/>
        <w:rPr>
          <w:rFonts w:ascii="宋体" w:hAnsi="宋体" w:cs="宋体"/>
          <w:color w:val="auto"/>
          <w:sz w:val="24"/>
          <w:highlight w:val="none"/>
        </w:rPr>
      </w:pPr>
    </w:p>
    <w:p w14:paraId="4C53A835">
      <w:pPr>
        <w:wordWrap w:val="0"/>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637A97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FD9DD9E">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pgNumType w:fmt="decimal"/>
          <w:cols w:space="720" w:num="1"/>
          <w:docGrid w:type="lines" w:linePitch="331" w:charSpace="0"/>
        </w:sectPr>
      </w:pPr>
    </w:p>
    <w:p w14:paraId="56E5730F">
      <w:pPr>
        <w:wordWrap w:val="0"/>
        <w:spacing w:line="360" w:lineRule="auto"/>
        <w:jc w:val="center"/>
        <w:rPr>
          <w:rFonts w:ascii="宋体" w:hAnsi="宋体" w:cs="宋体"/>
          <w:b/>
          <w:color w:val="auto"/>
          <w:sz w:val="30"/>
          <w:szCs w:val="30"/>
          <w:highlight w:val="none"/>
        </w:rPr>
      </w:pPr>
      <w:r>
        <w:rPr>
          <w:rFonts w:hint="eastAsia" w:ascii="宋体" w:hAnsi="宋体" w:cs="宋体"/>
          <w:b/>
          <w:color w:val="auto"/>
          <w:sz w:val="30"/>
          <w:szCs w:val="30"/>
          <w:highlight w:val="none"/>
        </w:rPr>
        <w:t>四、项目实施人员一览表</w:t>
      </w:r>
    </w:p>
    <w:p w14:paraId="26ED07D0">
      <w:pPr>
        <w:wordWrap w:val="0"/>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11B42001">
      <w:pPr>
        <w:pStyle w:val="12"/>
        <w:wordWrap w:val="0"/>
        <w:spacing w:line="360" w:lineRule="auto"/>
        <w:rPr>
          <w:rFonts w:hAnsi="宋体" w:cs="宋体"/>
          <w:color w:val="auto"/>
          <w:sz w:val="24"/>
          <w:szCs w:val="24"/>
          <w:highlight w:val="none"/>
        </w:rPr>
      </w:pPr>
      <w:r>
        <w:rPr>
          <w:rFonts w:hint="eastAsia" w:hAnsi="宋体" w:cs="宋体"/>
          <w:color w:val="auto"/>
          <w:sz w:val="24"/>
          <w:szCs w:val="24"/>
          <w:highlight w:val="none"/>
        </w:rPr>
        <w:t>所投分标：分标</w:t>
      </w:r>
      <w:r>
        <w:rPr>
          <w:rFonts w:hint="eastAsia" w:hAnsi="宋体" w:cs="宋体"/>
          <w:color w:val="auto"/>
          <w:sz w:val="24"/>
          <w:szCs w:val="24"/>
          <w:highlight w:val="none"/>
          <w:u w:val="single"/>
        </w:rPr>
        <w:t xml:space="preserve">    </w:t>
      </w:r>
    </w:p>
    <w:p w14:paraId="1B1C12A0">
      <w:pPr>
        <w:keepNext/>
        <w:wordWrap w:val="0"/>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3"/>
        <w:tblW w:w="8755" w:type="dxa"/>
        <w:tblInd w:w="116" w:type="dxa"/>
        <w:tblLayout w:type="fixed"/>
        <w:tblCellMar>
          <w:top w:w="0" w:type="dxa"/>
          <w:left w:w="108" w:type="dxa"/>
          <w:bottom w:w="0" w:type="dxa"/>
          <w:right w:w="108" w:type="dxa"/>
        </w:tblCellMar>
      </w:tblPr>
      <w:tblGrid>
        <w:gridCol w:w="2061"/>
        <w:gridCol w:w="1287"/>
        <w:gridCol w:w="1260"/>
        <w:gridCol w:w="4147"/>
      </w:tblGrid>
      <w:tr w14:paraId="46B13D3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11A2AEA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vAlign w:val="center"/>
          </w:tcPr>
          <w:p w14:paraId="34992848">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0A049C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5C556E8">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24FD1E6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5DB830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63728A6D">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9BEA97E">
            <w:pPr>
              <w:wordWrap w:val="0"/>
              <w:autoSpaceDE w:val="0"/>
              <w:autoSpaceDN w:val="0"/>
              <w:spacing w:line="360" w:lineRule="auto"/>
              <w:jc w:val="center"/>
              <w:rPr>
                <w:rFonts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0F7EC16">
            <w:pPr>
              <w:wordWrap w:val="0"/>
              <w:autoSpaceDE w:val="0"/>
              <w:autoSpaceDN w:val="0"/>
              <w:spacing w:line="360" w:lineRule="auto"/>
              <w:jc w:val="center"/>
              <w:rPr>
                <w:rFonts w:ascii="宋体" w:hAnsi="宋体" w:cs="宋体"/>
                <w:color w:val="auto"/>
                <w:sz w:val="24"/>
                <w:highlight w:val="none"/>
              </w:rPr>
            </w:pPr>
          </w:p>
        </w:tc>
      </w:tr>
      <w:tr w14:paraId="407FBE0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357862F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6B4DF653">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A3B3B8">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0A0E6C">
            <w:pPr>
              <w:widowControl/>
              <w:wordWrap w:val="0"/>
              <w:spacing w:line="360" w:lineRule="auto"/>
              <w:jc w:val="left"/>
              <w:rPr>
                <w:rFonts w:ascii="宋体" w:hAnsi="宋体" w:cs="宋体"/>
                <w:color w:val="auto"/>
                <w:sz w:val="24"/>
                <w:highlight w:val="none"/>
              </w:rPr>
            </w:pPr>
          </w:p>
        </w:tc>
      </w:tr>
      <w:tr w14:paraId="5E93883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E9409D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5B1345C">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4DEADB">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97B90E">
            <w:pPr>
              <w:widowControl/>
              <w:wordWrap w:val="0"/>
              <w:spacing w:line="360" w:lineRule="auto"/>
              <w:jc w:val="left"/>
              <w:rPr>
                <w:rFonts w:ascii="宋体" w:hAnsi="宋体" w:cs="宋体"/>
                <w:color w:val="auto"/>
                <w:sz w:val="24"/>
                <w:highlight w:val="none"/>
              </w:rPr>
            </w:pPr>
          </w:p>
        </w:tc>
      </w:tr>
      <w:tr w14:paraId="6D60AB9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D15693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EB5E2DC">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C7F247A">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79DD054">
            <w:pPr>
              <w:widowControl/>
              <w:wordWrap w:val="0"/>
              <w:spacing w:line="360" w:lineRule="auto"/>
              <w:jc w:val="left"/>
              <w:rPr>
                <w:rFonts w:ascii="宋体" w:hAnsi="宋体" w:cs="宋体"/>
                <w:color w:val="auto"/>
                <w:sz w:val="24"/>
                <w:highlight w:val="none"/>
              </w:rPr>
            </w:pPr>
          </w:p>
        </w:tc>
      </w:tr>
      <w:tr w14:paraId="19F9FEE3">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4E7FE5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BE23E2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7009BE0">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6CD3856">
            <w:pPr>
              <w:widowControl/>
              <w:wordWrap w:val="0"/>
              <w:spacing w:line="360" w:lineRule="auto"/>
              <w:jc w:val="left"/>
              <w:rPr>
                <w:rFonts w:ascii="宋体" w:hAnsi="宋体" w:cs="宋体"/>
                <w:color w:val="auto"/>
                <w:sz w:val="24"/>
                <w:highlight w:val="none"/>
              </w:rPr>
            </w:pPr>
          </w:p>
        </w:tc>
      </w:tr>
      <w:tr w14:paraId="2E03085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07292A1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834CCEF">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387B174">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5096BFE">
            <w:pPr>
              <w:widowControl/>
              <w:wordWrap w:val="0"/>
              <w:spacing w:line="360" w:lineRule="auto"/>
              <w:jc w:val="left"/>
              <w:rPr>
                <w:rFonts w:ascii="宋体" w:hAnsi="宋体" w:cs="宋体"/>
                <w:color w:val="auto"/>
                <w:sz w:val="24"/>
                <w:highlight w:val="none"/>
              </w:rPr>
            </w:pPr>
          </w:p>
        </w:tc>
      </w:tr>
      <w:tr w14:paraId="4CD326B2">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97B21B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02A056E">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21C9EE9">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58760FC">
            <w:pPr>
              <w:widowControl/>
              <w:wordWrap w:val="0"/>
              <w:spacing w:line="360" w:lineRule="auto"/>
              <w:jc w:val="left"/>
              <w:rPr>
                <w:rFonts w:ascii="宋体" w:hAnsi="宋体" w:cs="宋体"/>
                <w:color w:val="auto"/>
                <w:sz w:val="24"/>
                <w:highlight w:val="none"/>
              </w:rPr>
            </w:pPr>
          </w:p>
        </w:tc>
      </w:tr>
      <w:tr w14:paraId="4BBB70F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3098C2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2AD87AB">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BB3D1DD">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7E04F3">
            <w:pPr>
              <w:widowControl/>
              <w:wordWrap w:val="0"/>
              <w:spacing w:line="360" w:lineRule="auto"/>
              <w:jc w:val="left"/>
              <w:rPr>
                <w:rFonts w:ascii="宋体" w:hAnsi="宋体" w:cs="宋体"/>
                <w:color w:val="auto"/>
                <w:sz w:val="24"/>
                <w:highlight w:val="none"/>
              </w:rPr>
            </w:pPr>
          </w:p>
        </w:tc>
      </w:tr>
      <w:tr w14:paraId="5D63F5E0">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5D4BBF1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05BFAD1C">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E0F443A">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D869E90">
            <w:pPr>
              <w:widowControl/>
              <w:wordWrap w:val="0"/>
              <w:spacing w:line="360" w:lineRule="auto"/>
              <w:jc w:val="left"/>
              <w:rPr>
                <w:rFonts w:ascii="宋体" w:hAnsi="宋体" w:cs="宋体"/>
                <w:color w:val="auto"/>
                <w:sz w:val="24"/>
                <w:highlight w:val="none"/>
              </w:rPr>
            </w:pPr>
          </w:p>
        </w:tc>
      </w:tr>
    </w:tbl>
    <w:p w14:paraId="33385B32">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387618D4">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ABFFF83">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C58AB7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296ECF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41F56A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08525A7">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B16FFF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5CAF86C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A7C294">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186C581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6E5FA8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0912E12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B760A06">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141D4C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3B1C84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2596280D">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249B0AF">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2C407E1">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FD3006C">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40104AE">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13E71E4">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1025CAD">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AC2651">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8DDE732">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7A647D6">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072D683">
            <w:pPr>
              <w:wordWrap w:val="0"/>
              <w:autoSpaceDE w:val="0"/>
              <w:autoSpaceDN w:val="0"/>
              <w:spacing w:line="360" w:lineRule="auto"/>
              <w:rPr>
                <w:rFonts w:ascii="宋体" w:hAnsi="宋体" w:cs="宋体"/>
                <w:color w:val="auto"/>
                <w:sz w:val="24"/>
                <w:highlight w:val="none"/>
              </w:rPr>
            </w:pPr>
          </w:p>
        </w:tc>
      </w:tr>
      <w:tr w14:paraId="1E2FB33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A2DBF27">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93E5E84">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FCA23C5">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2F35992">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F9C5C1C">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0B115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F79E6A">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83B3C7F">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583426">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18F3FCF">
            <w:pPr>
              <w:wordWrap w:val="0"/>
              <w:autoSpaceDE w:val="0"/>
              <w:autoSpaceDN w:val="0"/>
              <w:spacing w:line="360" w:lineRule="auto"/>
              <w:rPr>
                <w:rFonts w:ascii="宋体" w:hAnsi="宋体" w:cs="宋体"/>
                <w:color w:val="auto"/>
                <w:sz w:val="24"/>
                <w:highlight w:val="none"/>
              </w:rPr>
            </w:pPr>
          </w:p>
        </w:tc>
      </w:tr>
    </w:tbl>
    <w:p w14:paraId="5D476F52">
      <w:pPr>
        <w:wordWrap w:val="0"/>
        <w:spacing w:line="360" w:lineRule="auto"/>
        <w:rPr>
          <w:rFonts w:ascii="宋体" w:hAnsi="宋体" w:cs="宋体"/>
          <w:b/>
          <w:bCs/>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7183CB48">
      <w:pPr>
        <w:wordWrap w:val="0"/>
        <w:snapToGrid w:val="0"/>
        <w:spacing w:line="360" w:lineRule="auto"/>
        <w:ind w:firstLine="4320" w:firstLineChars="18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4764510">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B00666C">
      <w:pPr>
        <w:wordWrap w:val="0"/>
        <w:snapToGrid w:val="0"/>
        <w:spacing w:line="360" w:lineRule="auto"/>
        <w:rPr>
          <w:rFonts w:ascii="宋体" w:hAnsi="宋体" w:cs="宋体"/>
          <w:color w:val="auto"/>
          <w:sz w:val="24"/>
          <w:highlight w:val="none"/>
        </w:rPr>
      </w:pPr>
    </w:p>
    <w:p w14:paraId="120405B8">
      <w:pPr>
        <w:wordWrap w:val="0"/>
        <w:snapToGrid w:val="0"/>
        <w:spacing w:line="360" w:lineRule="auto"/>
        <w:jc w:val="left"/>
        <w:rPr>
          <w:rFonts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 xml:space="preserve"> </w:t>
      </w:r>
    </w:p>
    <w:p w14:paraId="1AE493B4">
      <w:pPr>
        <w:wordWrap w:val="0"/>
        <w:spacing w:line="360" w:lineRule="auto"/>
        <w:jc w:val="left"/>
        <w:rPr>
          <w:rFonts w:ascii="宋体" w:hAnsi="宋体" w:cs="宋体"/>
          <w:b/>
          <w:color w:val="auto"/>
          <w:sz w:val="30"/>
          <w:szCs w:val="30"/>
          <w:highlight w:val="none"/>
        </w:rPr>
      </w:pPr>
      <w:r>
        <w:rPr>
          <w:rFonts w:hint="eastAsia" w:ascii="宋体" w:hAnsi="宋体" w:cs="宋体"/>
          <w:b/>
          <w:color w:val="auto"/>
          <w:sz w:val="30"/>
          <w:szCs w:val="30"/>
          <w:highlight w:val="none"/>
        </w:rPr>
        <w:t>五、投标人对项目的合理化建议和改进措施</w:t>
      </w:r>
    </w:p>
    <w:p w14:paraId="421AB8C4">
      <w:pPr>
        <w:wordWrap w:val="0"/>
        <w:spacing w:line="360" w:lineRule="auto"/>
        <w:ind w:firstLine="4048" w:firstLineChars="1687"/>
        <w:rPr>
          <w:rFonts w:ascii="宋体" w:hAnsi="宋体" w:cs="宋体"/>
          <w:color w:val="auto"/>
          <w:sz w:val="24"/>
          <w:highlight w:val="none"/>
        </w:rPr>
      </w:pPr>
      <w:r>
        <w:rPr>
          <w:rFonts w:hint="eastAsia" w:ascii="宋体" w:hAnsi="宋体" w:cs="宋体"/>
          <w:color w:val="auto"/>
          <w:sz w:val="24"/>
          <w:highlight w:val="none"/>
        </w:rPr>
        <w:t>（格式自拟）</w:t>
      </w:r>
    </w:p>
    <w:p w14:paraId="7CF04BC2">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1181528D">
      <w:pPr>
        <w:wordWrap w:val="0"/>
        <w:snapToGrid w:val="0"/>
        <w:spacing w:line="360" w:lineRule="auto"/>
        <w:ind w:firstLine="4935" w:firstLineChars="2350"/>
        <w:rPr>
          <w:rFonts w:ascii="宋体" w:hAnsi="宋体" w:cs="宋体"/>
          <w:color w:val="auto"/>
          <w:szCs w:val="21"/>
          <w:highlight w:val="none"/>
        </w:rPr>
      </w:pPr>
    </w:p>
    <w:p w14:paraId="1FB2EB78">
      <w:pPr>
        <w:wordWrap w:val="0"/>
        <w:snapToGrid w:val="0"/>
        <w:spacing w:line="360" w:lineRule="auto"/>
        <w:ind w:firstLine="4935" w:firstLineChars="2350"/>
        <w:rPr>
          <w:rFonts w:ascii="宋体" w:hAnsi="宋体" w:cs="宋体"/>
          <w:color w:val="auto"/>
          <w:szCs w:val="21"/>
          <w:highlight w:val="none"/>
        </w:rPr>
      </w:pPr>
    </w:p>
    <w:p w14:paraId="5492CDFE">
      <w:pPr>
        <w:wordWrap w:val="0"/>
        <w:snapToGrid w:val="0"/>
        <w:spacing w:line="360" w:lineRule="auto"/>
        <w:ind w:firstLine="4935" w:firstLineChars="2350"/>
        <w:rPr>
          <w:rFonts w:ascii="宋体" w:hAnsi="宋体" w:cs="宋体"/>
          <w:color w:val="auto"/>
          <w:szCs w:val="21"/>
          <w:highlight w:val="none"/>
        </w:rPr>
      </w:pPr>
    </w:p>
    <w:p w14:paraId="65769574">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12E179FB">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1569BAE">
      <w:pPr>
        <w:wordWrap w:val="0"/>
        <w:spacing w:line="360" w:lineRule="auto"/>
        <w:jc w:val="left"/>
        <w:rPr>
          <w:rFonts w:ascii="宋体" w:hAnsi="宋体" w:cs="宋体"/>
          <w:b/>
          <w:color w:val="auto"/>
          <w:sz w:val="30"/>
          <w:szCs w:val="30"/>
          <w:highlight w:val="none"/>
        </w:rPr>
      </w:pPr>
      <w:r>
        <w:rPr>
          <w:rFonts w:hint="eastAsia" w:ascii="宋体" w:hAnsi="宋体" w:cs="宋体"/>
          <w:b/>
          <w:color w:val="auto"/>
          <w:sz w:val="30"/>
          <w:szCs w:val="30"/>
          <w:highlight w:val="none"/>
        </w:rPr>
        <w:t>六、优惠条件及特殊承诺</w:t>
      </w:r>
    </w:p>
    <w:p w14:paraId="53556312">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30940026">
      <w:pPr>
        <w:wordWrap w:val="0"/>
        <w:spacing w:line="360" w:lineRule="auto"/>
        <w:jc w:val="center"/>
        <w:rPr>
          <w:rFonts w:ascii="宋体" w:hAnsi="宋体" w:cs="宋体"/>
          <w:color w:val="auto"/>
          <w:sz w:val="18"/>
          <w:szCs w:val="18"/>
          <w:highlight w:val="none"/>
        </w:rPr>
      </w:pPr>
    </w:p>
    <w:p w14:paraId="53C15ECB">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2DF74C76">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0078B73">
      <w:pPr>
        <w:wordWrap w:val="0"/>
        <w:spacing w:line="360" w:lineRule="auto"/>
        <w:jc w:val="left"/>
        <w:rPr>
          <w:rFonts w:ascii="宋体" w:hAnsi="宋体" w:cs="宋体"/>
          <w:b/>
          <w:color w:val="auto"/>
          <w:sz w:val="30"/>
          <w:szCs w:val="30"/>
          <w:highlight w:val="none"/>
        </w:rPr>
      </w:pPr>
      <w:r>
        <w:rPr>
          <w:rFonts w:hint="eastAsia" w:ascii="宋体" w:hAnsi="宋体" w:cs="宋体"/>
          <w:b/>
          <w:color w:val="auto"/>
          <w:sz w:val="30"/>
          <w:szCs w:val="30"/>
          <w:highlight w:val="none"/>
        </w:rPr>
        <w:t>七、备品备件及供选择的配套零部件清单</w:t>
      </w:r>
    </w:p>
    <w:p w14:paraId="6F1529DD">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6965F1B6">
      <w:pPr>
        <w:wordWrap w:val="0"/>
        <w:autoSpaceDE w:val="0"/>
        <w:autoSpaceDN w:val="0"/>
        <w:spacing w:line="360" w:lineRule="auto"/>
        <w:ind w:firstLine="4440" w:firstLineChars="1850"/>
        <w:rPr>
          <w:rFonts w:ascii="宋体" w:hAnsi="宋体" w:cs="宋体"/>
          <w:color w:val="auto"/>
          <w:kern w:val="0"/>
          <w:sz w:val="24"/>
          <w:highlight w:val="none"/>
        </w:rPr>
      </w:pPr>
    </w:p>
    <w:p w14:paraId="0D36D315">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w:t>
      </w:r>
    </w:p>
    <w:p w14:paraId="46C68273">
      <w:pPr>
        <w:wordWrap w:val="0"/>
        <w:autoSpaceDE w:val="0"/>
        <w:autoSpaceDN w:val="0"/>
        <w:spacing w:line="360" w:lineRule="auto"/>
        <w:rPr>
          <w:rFonts w:ascii="宋体" w:hAnsi="宋体" w:cs="宋体"/>
          <w:b/>
          <w:bCs/>
          <w:color w:val="auto"/>
          <w:sz w:val="18"/>
          <w:szCs w:val="18"/>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67E45C8">
      <w:pPr>
        <w:wordWrap w:val="0"/>
        <w:spacing w:line="360" w:lineRule="auto"/>
        <w:jc w:val="left"/>
        <w:rPr>
          <w:rFonts w:ascii="宋体" w:hAnsi="宋体" w:cs="宋体"/>
          <w:b/>
          <w:color w:val="auto"/>
          <w:sz w:val="30"/>
          <w:szCs w:val="30"/>
          <w:highlight w:val="none"/>
        </w:rPr>
      </w:pPr>
      <w:r>
        <w:rPr>
          <w:rFonts w:hint="eastAsia" w:ascii="宋体" w:hAnsi="宋体" w:cs="宋体"/>
          <w:b/>
          <w:color w:val="auto"/>
          <w:sz w:val="30"/>
          <w:szCs w:val="30"/>
          <w:highlight w:val="none"/>
        </w:rPr>
        <w:t>八、培训计划</w:t>
      </w:r>
    </w:p>
    <w:p w14:paraId="298771E1">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6231EEB4">
      <w:pPr>
        <w:keepNext/>
        <w:wordWrap w:val="0"/>
        <w:autoSpaceDE w:val="0"/>
        <w:autoSpaceDN w:val="0"/>
        <w:spacing w:line="360" w:lineRule="auto"/>
        <w:ind w:firstLine="477"/>
        <w:jc w:val="left"/>
        <w:rPr>
          <w:rFonts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245F3A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0F5F5F3B">
            <w:pPr>
              <w:tabs>
                <w:tab w:val="center" w:pos="169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DCADE4D">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441765B2">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767B2496">
            <w:pPr>
              <w:tabs>
                <w:tab w:val="center" w:pos="1028"/>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648F8A4">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8C8E107">
            <w:pPr>
              <w:tabs>
                <w:tab w:val="center" w:pos="52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0411C17">
            <w:pPr>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课程费用</w:t>
            </w:r>
          </w:p>
        </w:tc>
      </w:tr>
      <w:tr w14:paraId="0BE4BDE6">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73EF66D6">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8F4001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773B8E61">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12DCB955">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1702FDF2">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4957A016">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6E6435AF">
            <w:pPr>
              <w:suppressAutoHyphens/>
              <w:wordWrap w:val="0"/>
              <w:autoSpaceDE w:val="0"/>
              <w:autoSpaceDN w:val="0"/>
              <w:spacing w:line="360" w:lineRule="auto"/>
              <w:rPr>
                <w:rFonts w:ascii="宋体" w:hAnsi="宋体" w:cs="宋体"/>
                <w:color w:val="auto"/>
                <w:sz w:val="24"/>
                <w:highlight w:val="none"/>
              </w:rPr>
            </w:pPr>
          </w:p>
        </w:tc>
      </w:tr>
      <w:tr w14:paraId="2F5269D3">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83429BE">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0669D44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2714B38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436701DE">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4776D3D0">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1EF9859F">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57078871">
            <w:pPr>
              <w:suppressAutoHyphens/>
              <w:wordWrap w:val="0"/>
              <w:autoSpaceDE w:val="0"/>
              <w:autoSpaceDN w:val="0"/>
              <w:spacing w:line="360" w:lineRule="auto"/>
              <w:rPr>
                <w:rFonts w:ascii="宋体" w:hAnsi="宋体" w:cs="宋体"/>
                <w:color w:val="auto"/>
                <w:sz w:val="24"/>
                <w:highlight w:val="none"/>
              </w:rPr>
            </w:pPr>
          </w:p>
        </w:tc>
      </w:tr>
      <w:tr w14:paraId="3555DA87">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1321734D">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3AFAE6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4ABCDFC">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6D026B82">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1BF78259">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1088485">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33CCCE53">
            <w:pPr>
              <w:suppressAutoHyphens/>
              <w:wordWrap w:val="0"/>
              <w:autoSpaceDE w:val="0"/>
              <w:autoSpaceDN w:val="0"/>
              <w:spacing w:line="360" w:lineRule="auto"/>
              <w:rPr>
                <w:rFonts w:ascii="宋体" w:hAnsi="宋体" w:cs="宋体"/>
                <w:color w:val="auto"/>
                <w:sz w:val="24"/>
                <w:highlight w:val="none"/>
              </w:rPr>
            </w:pPr>
          </w:p>
        </w:tc>
      </w:tr>
    </w:tbl>
    <w:p w14:paraId="6978278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6792ED7D">
      <w:p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（1）课程概要</w:t>
      </w:r>
    </w:p>
    <w:p w14:paraId="0D26F22D">
      <w:p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（2）课程目的</w:t>
      </w:r>
    </w:p>
    <w:p w14:paraId="081F8861">
      <w:p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（3）教学方式</w:t>
      </w:r>
    </w:p>
    <w:p w14:paraId="764A7C72">
      <w:p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（4）先决条件</w:t>
      </w:r>
    </w:p>
    <w:p w14:paraId="24469032">
      <w:p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（5）教材目录</w:t>
      </w:r>
    </w:p>
    <w:p w14:paraId="2C0F317B">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B  按照附表A提供授课教师的简历</w:t>
      </w:r>
    </w:p>
    <w:p w14:paraId="46E088F4">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54ECA1F7">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 xml:space="preserve">）：                       </w:t>
      </w:r>
    </w:p>
    <w:p w14:paraId="240A9912">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237A5AAF">
      <w:pPr>
        <w:wordWrap w:val="0"/>
        <w:autoSpaceDE w:val="0"/>
        <w:autoSpaceDN w:val="0"/>
        <w:spacing w:line="360" w:lineRule="auto"/>
        <w:ind w:firstLine="120"/>
        <w:rPr>
          <w:rFonts w:ascii="宋体" w:hAnsi="宋体" w:cs="宋体"/>
          <w:color w:val="auto"/>
          <w:sz w:val="24"/>
          <w:highlight w:val="none"/>
        </w:rPr>
      </w:pPr>
    </w:p>
    <w:p w14:paraId="6AD9E03F">
      <w:pPr>
        <w:wordWrap w:val="0"/>
        <w:spacing w:line="360" w:lineRule="auto"/>
        <w:jc w:val="left"/>
        <w:rPr>
          <w:rFonts w:ascii="宋体" w:hAnsi="宋体" w:cs="宋体"/>
          <w:b/>
          <w:color w:val="auto"/>
          <w:sz w:val="30"/>
          <w:szCs w:val="30"/>
          <w:highlight w:val="none"/>
        </w:rPr>
      </w:pPr>
      <w:r>
        <w:rPr>
          <w:rFonts w:hint="eastAsia" w:ascii="宋体" w:hAnsi="宋体" w:cs="宋体"/>
          <w:b/>
          <w:color w:val="auto"/>
          <w:sz w:val="30"/>
          <w:szCs w:val="30"/>
          <w:highlight w:val="none"/>
        </w:rPr>
        <w:t>九、认为需要的其他技术文件或说明</w:t>
      </w:r>
    </w:p>
    <w:p w14:paraId="689A382C">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08E9D37F">
      <w:pPr>
        <w:wordWrap w:val="0"/>
        <w:spacing w:line="360" w:lineRule="auto"/>
        <w:jc w:val="center"/>
        <w:rPr>
          <w:rFonts w:ascii="宋体" w:hAnsi="宋体" w:cs="宋体"/>
          <w:color w:val="auto"/>
          <w:sz w:val="24"/>
          <w:highlight w:val="none"/>
        </w:rPr>
      </w:pPr>
    </w:p>
    <w:p w14:paraId="673ED776">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2D4F8689">
      <w:pPr>
        <w:wordWrap w:val="0"/>
        <w:autoSpaceDE w:val="0"/>
        <w:autoSpaceDN w:val="0"/>
        <w:spacing w:line="360" w:lineRule="auto"/>
        <w:rPr>
          <w:rFonts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E9C3C4C">
      <w:pPr>
        <w:widowControl/>
        <w:wordWrap w:val="0"/>
        <w:spacing w:line="360" w:lineRule="auto"/>
        <w:jc w:val="left"/>
        <w:rPr>
          <w:rFonts w:ascii="宋体" w:hAnsi="宋体" w:cs="宋体"/>
          <w:b/>
          <w:bCs/>
          <w:color w:val="auto"/>
          <w:sz w:val="24"/>
          <w:highlight w:val="none"/>
        </w:rPr>
        <w:sectPr>
          <w:pgSz w:w="11906" w:h="16838"/>
          <w:pgMar w:top="1440" w:right="1080" w:bottom="1440" w:left="1080" w:header="720" w:footer="720" w:gutter="0"/>
          <w:pgNumType w:fmt="decimal"/>
          <w:cols w:space="720" w:num="1"/>
          <w:docGrid w:type="lines" w:linePitch="331" w:charSpace="0"/>
        </w:sectPr>
      </w:pPr>
    </w:p>
    <w:p w14:paraId="3DC5EED5">
      <w:pPr>
        <w:pStyle w:val="12"/>
        <w:wordWrap w:val="0"/>
        <w:spacing w:line="360" w:lineRule="auto"/>
        <w:jc w:val="center"/>
        <w:outlineLvl w:val="1"/>
        <w:rPr>
          <w:rFonts w:hAnsi="宋体" w:cs="宋体"/>
          <w:b/>
          <w:bCs/>
          <w:color w:val="auto"/>
          <w:sz w:val="28"/>
          <w:szCs w:val="28"/>
          <w:highlight w:val="none"/>
        </w:rPr>
      </w:pPr>
      <w:bookmarkStart w:id="301" w:name="_Toc24408"/>
      <w:r>
        <w:rPr>
          <w:rFonts w:hint="eastAsia" w:hAnsi="宋体" w:cs="宋体"/>
          <w:b/>
          <w:bCs/>
          <w:color w:val="auto"/>
          <w:sz w:val="28"/>
          <w:szCs w:val="28"/>
          <w:highlight w:val="none"/>
        </w:rPr>
        <w:t>第五节 报价文件格式</w:t>
      </w:r>
      <w:bookmarkEnd w:id="301"/>
    </w:p>
    <w:p w14:paraId="2FEAA016">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298FDEFE">
      <w:pPr>
        <w:wordWrap w:val="0"/>
        <w:snapToGrid w:val="0"/>
        <w:spacing w:line="360" w:lineRule="auto"/>
        <w:jc w:val="center"/>
        <w:rPr>
          <w:rFonts w:ascii="宋体" w:hAnsi="宋体" w:cs="宋体"/>
          <w:bCs/>
          <w:color w:val="auto"/>
          <w:sz w:val="24"/>
          <w:szCs w:val="20"/>
          <w:highlight w:val="none"/>
        </w:rPr>
      </w:pPr>
    </w:p>
    <w:p w14:paraId="671A41ED">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350F5E11">
      <w:pPr>
        <w:wordWrap w:val="0"/>
        <w:snapToGrid w:val="0"/>
        <w:spacing w:line="360" w:lineRule="auto"/>
        <w:rPr>
          <w:rFonts w:ascii="宋体" w:hAnsi="宋体" w:cs="宋体"/>
          <w:bCs/>
          <w:color w:val="auto"/>
          <w:sz w:val="24"/>
          <w:szCs w:val="20"/>
          <w:highlight w:val="none"/>
        </w:rPr>
      </w:pPr>
    </w:p>
    <w:p w14:paraId="47D53751">
      <w:pPr>
        <w:wordWrap w:val="0"/>
        <w:snapToGrid w:val="0"/>
        <w:spacing w:line="360" w:lineRule="auto"/>
        <w:rPr>
          <w:rFonts w:ascii="宋体" w:hAnsi="宋体" w:cs="宋体"/>
          <w:bCs/>
          <w:color w:val="auto"/>
          <w:sz w:val="24"/>
          <w:szCs w:val="20"/>
          <w:highlight w:val="none"/>
        </w:rPr>
      </w:pPr>
    </w:p>
    <w:p w14:paraId="4B1BE263">
      <w:pPr>
        <w:wordWrap w:val="0"/>
        <w:snapToGrid w:val="0"/>
        <w:spacing w:line="360" w:lineRule="auto"/>
        <w:rPr>
          <w:rFonts w:ascii="宋体" w:hAnsi="宋体" w:cs="宋体"/>
          <w:bCs/>
          <w:color w:val="auto"/>
          <w:sz w:val="24"/>
          <w:szCs w:val="20"/>
          <w:highlight w:val="none"/>
        </w:rPr>
      </w:pPr>
    </w:p>
    <w:p w14:paraId="5AF9CF4B">
      <w:pPr>
        <w:wordWrap w:val="0"/>
        <w:snapToGrid w:val="0"/>
        <w:spacing w:line="360" w:lineRule="auto"/>
        <w:rPr>
          <w:rFonts w:ascii="宋体" w:hAnsi="宋体" w:cs="宋体"/>
          <w:bCs/>
          <w:color w:val="auto"/>
          <w:sz w:val="24"/>
          <w:szCs w:val="20"/>
          <w:highlight w:val="none"/>
        </w:rPr>
      </w:pPr>
    </w:p>
    <w:p w14:paraId="769502B3">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0FA02FFC">
      <w:pPr>
        <w:wordWrap w:val="0"/>
        <w:snapToGrid w:val="0"/>
        <w:spacing w:line="360" w:lineRule="auto"/>
        <w:ind w:firstLine="360" w:firstLineChars="150"/>
        <w:rPr>
          <w:rFonts w:ascii="宋体" w:hAnsi="宋体" w:cs="宋体"/>
          <w:bCs/>
          <w:color w:val="auto"/>
          <w:sz w:val="24"/>
          <w:highlight w:val="none"/>
        </w:rPr>
      </w:pPr>
    </w:p>
    <w:p w14:paraId="46210A4D">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06FF1479">
      <w:pPr>
        <w:wordWrap w:val="0"/>
        <w:snapToGrid w:val="0"/>
        <w:spacing w:line="360" w:lineRule="auto"/>
        <w:ind w:firstLine="360" w:firstLineChars="150"/>
        <w:rPr>
          <w:rFonts w:ascii="宋体" w:hAnsi="宋体" w:cs="宋体"/>
          <w:bCs/>
          <w:color w:val="auto"/>
          <w:sz w:val="24"/>
          <w:highlight w:val="none"/>
        </w:rPr>
      </w:pPr>
    </w:p>
    <w:p w14:paraId="17643A8A">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7DE92E0D">
      <w:pPr>
        <w:wordWrap w:val="0"/>
        <w:snapToGrid w:val="0"/>
        <w:spacing w:line="360" w:lineRule="auto"/>
        <w:ind w:firstLine="360" w:firstLineChars="150"/>
        <w:rPr>
          <w:rFonts w:ascii="宋体" w:hAnsi="宋体" w:cs="宋体"/>
          <w:bCs/>
          <w:color w:val="auto"/>
          <w:sz w:val="24"/>
          <w:highlight w:val="none"/>
        </w:rPr>
      </w:pPr>
    </w:p>
    <w:p w14:paraId="140EB4C4">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4C224FC2">
      <w:pPr>
        <w:wordWrap w:val="0"/>
        <w:snapToGrid w:val="0"/>
        <w:spacing w:line="360" w:lineRule="auto"/>
        <w:ind w:firstLine="360" w:firstLineChars="150"/>
        <w:rPr>
          <w:rFonts w:ascii="宋体" w:hAnsi="宋体" w:cs="宋体"/>
          <w:bCs/>
          <w:color w:val="auto"/>
          <w:sz w:val="24"/>
          <w:highlight w:val="none"/>
        </w:rPr>
      </w:pPr>
    </w:p>
    <w:p w14:paraId="6E3800A4">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13E94525">
      <w:pPr>
        <w:pStyle w:val="8"/>
        <w:wordWrap w:val="0"/>
        <w:snapToGrid w:val="0"/>
        <w:spacing w:line="360" w:lineRule="auto"/>
        <w:ind w:firstLine="960" w:firstLineChars="400"/>
        <w:rPr>
          <w:rFonts w:ascii="宋体" w:hAnsi="宋体" w:cs="宋体"/>
          <w:bCs/>
          <w:color w:val="auto"/>
          <w:sz w:val="24"/>
          <w:szCs w:val="24"/>
          <w:highlight w:val="none"/>
        </w:rPr>
      </w:pPr>
    </w:p>
    <w:p w14:paraId="3B561780">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0E13F431">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pgNumType w:fmt="decimal"/>
          <w:cols w:space="720" w:num="1"/>
          <w:docGrid w:type="lines" w:linePitch="331" w:charSpace="0"/>
        </w:sectPr>
      </w:pPr>
    </w:p>
    <w:p w14:paraId="5DCDD1DD">
      <w:pPr>
        <w:wordWrap w:val="0"/>
        <w:spacing w:line="360" w:lineRule="auto"/>
        <w:rPr>
          <w:rFonts w:ascii="宋体" w:hAnsi="宋体" w:cs="宋体"/>
          <w:color w:val="auto"/>
          <w:highlight w:val="none"/>
        </w:rPr>
      </w:pPr>
    </w:p>
    <w:p w14:paraId="770A6AD4">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05C3C341">
      <w:pPr>
        <w:wordWrap w:val="0"/>
        <w:spacing w:line="360" w:lineRule="auto"/>
        <w:rPr>
          <w:rFonts w:ascii="宋体" w:hAnsi="宋体" w:cs="宋体"/>
          <w:color w:val="auto"/>
          <w:highlight w:val="none"/>
        </w:rPr>
      </w:pPr>
    </w:p>
    <w:p w14:paraId="2016A2C9">
      <w:pPr>
        <w:wordWrap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一、投标函…………………………………………………………………………（页码）</w:t>
      </w:r>
    </w:p>
    <w:p w14:paraId="7B8795FE">
      <w:pPr>
        <w:wordWrap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二、开标一览表……………………………………………………………………（页码）</w:t>
      </w:r>
    </w:p>
    <w:p w14:paraId="66E91C7A">
      <w:pPr>
        <w:wordWrap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三、中小企业声明函</w:t>
      </w:r>
      <w:r>
        <w:rPr>
          <w:rFonts w:hint="eastAsia" w:ascii="宋体" w:hAnsi="宋体" w:eastAsia="宋体" w:cs="宋体"/>
          <w:color w:val="auto"/>
          <w:kern w:val="0"/>
          <w:sz w:val="24"/>
          <w:highlight w:val="none"/>
          <w:lang w:val="en-US" w:eastAsia="zh-CN"/>
        </w:rPr>
        <w:t>或</w:t>
      </w:r>
      <w:r>
        <w:rPr>
          <w:rFonts w:hint="eastAsia" w:ascii="宋体" w:hAnsi="宋体" w:eastAsia="宋体" w:cs="宋体"/>
          <w:color w:val="auto"/>
          <w:kern w:val="0"/>
          <w:sz w:val="24"/>
          <w:highlight w:val="none"/>
        </w:rPr>
        <w:t>残疾人福利性单位声明函</w:t>
      </w:r>
      <w:r>
        <w:rPr>
          <w:rFonts w:hint="eastAsia" w:ascii="宋体" w:hAnsi="宋体" w:eastAsia="宋体" w:cs="宋体"/>
          <w:color w:val="auto"/>
          <w:kern w:val="0"/>
          <w:sz w:val="24"/>
          <w:highlight w:val="none"/>
          <w:lang w:val="en-US" w:eastAsia="zh-CN"/>
        </w:rPr>
        <w:t>或</w:t>
      </w:r>
      <w:r>
        <w:rPr>
          <w:rFonts w:hint="eastAsia" w:ascii="宋体" w:hAnsi="宋体" w:eastAsia="宋体" w:cs="宋体"/>
          <w:color w:val="auto"/>
          <w:kern w:val="0"/>
          <w:sz w:val="24"/>
          <w:highlight w:val="none"/>
        </w:rPr>
        <w:t>监狱企业声明函等………（页码）</w:t>
      </w:r>
    </w:p>
    <w:p w14:paraId="5121F128">
      <w:pPr>
        <w:wordWrap w:val="0"/>
        <w:spacing w:line="360" w:lineRule="auto"/>
        <w:rPr>
          <w:rFonts w:hint="eastAsia" w:ascii="宋体" w:hAnsi="宋体" w:eastAsia="宋体" w:cs="宋体"/>
          <w:color w:val="auto"/>
          <w:kern w:val="0"/>
          <w:sz w:val="24"/>
          <w:highlight w:val="none"/>
        </w:rPr>
        <w:sectPr>
          <w:pgSz w:w="11906" w:h="16838"/>
          <w:pgMar w:top="1440" w:right="1080" w:bottom="1440" w:left="1080" w:header="720" w:footer="720" w:gutter="0"/>
          <w:pgNumType w:fmt="decimal"/>
          <w:cols w:space="720" w:num="1"/>
          <w:docGrid w:type="lines" w:linePitch="331" w:charSpace="0"/>
        </w:sectPr>
      </w:pPr>
      <w:r>
        <w:rPr>
          <w:rFonts w:hint="eastAsia" w:ascii="宋体" w:hAnsi="宋体" w:eastAsia="宋体" w:cs="宋体"/>
          <w:color w:val="auto"/>
          <w:kern w:val="0"/>
          <w:sz w:val="24"/>
          <w:highlight w:val="none"/>
        </w:rPr>
        <w:t>四、投标人针对报价需要说明的其他文件和说明………………………………（页码）</w:t>
      </w:r>
    </w:p>
    <w:p w14:paraId="53CB185E">
      <w:pPr>
        <w:pStyle w:val="12"/>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一、投标函</w:t>
      </w:r>
    </w:p>
    <w:p w14:paraId="532E0AEB">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致：</w:t>
      </w:r>
      <w:bookmarkStart w:id="302" w:name="PO_3000001866_PM031_4"/>
      <w:r>
        <w:rPr>
          <w:rFonts w:hint="eastAsia" w:hAnsi="宋体" w:cs="宋体"/>
          <w:color w:val="auto"/>
          <w:highlight w:val="none"/>
          <w:u w:val="single"/>
        </w:rPr>
        <w:t>广西邕政采购代理有限公司</w:t>
      </w:r>
      <w:bookmarkEnd w:id="302"/>
    </w:p>
    <w:p w14:paraId="10278EEF">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578432CB">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一、报价文件电子版一份（包含按投标人须知前附表要求提交的全部文件）；</w:t>
      </w:r>
    </w:p>
    <w:p w14:paraId="0420F517">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二、资格文件电子版一份（包含按投标人须知前附表要求提交的全部文件）；</w:t>
      </w:r>
    </w:p>
    <w:p w14:paraId="0B71579C">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三、商务文件和技术文件按顺序合并生成电子版一份（包含按投标人须知前附表要求提交的全部文件）；</w:t>
      </w:r>
    </w:p>
    <w:p w14:paraId="32F39C58">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据此函，签字人兹宣布：</w:t>
      </w:r>
    </w:p>
    <w:p w14:paraId="364115ED">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1.我方愿意以（大写）人民币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)的投标总报价，</w:t>
      </w:r>
      <w:r>
        <w:rPr>
          <w:rFonts w:hint="eastAsia" w:ascii="宋体" w:hAnsi="宋体" w:eastAsia="宋体" w:cs="宋体"/>
          <w:color w:val="auto"/>
          <w:sz w:val="21"/>
          <w:szCs w:val="21"/>
          <w:highlight w:val="none"/>
          <w:lang w:val="en-US" w:eastAsia="zh-CN"/>
        </w:rPr>
        <w:t>提交服务成果时间</w:t>
      </w:r>
      <w:r>
        <w:rPr>
          <w:rFonts w:hint="eastAsia" w:hAnsi="宋体" w:cs="宋体"/>
          <w:color w:val="auto"/>
          <w:highlight w:val="none"/>
        </w:rPr>
        <w:t>（无分标时填写）：</w:t>
      </w:r>
      <w:r>
        <w:rPr>
          <w:rFonts w:hint="eastAsia" w:hAnsi="宋体" w:cs="宋体"/>
          <w:color w:val="auto"/>
          <w:highlight w:val="none"/>
          <w:u w:val="single"/>
        </w:rPr>
        <w:t xml:space="preserve">          </w:t>
      </w:r>
      <w:r>
        <w:rPr>
          <w:rFonts w:hint="eastAsia" w:hAnsi="宋体" w:cs="宋体"/>
          <w:color w:val="auto"/>
          <w:highlight w:val="none"/>
          <w:u w:val="single"/>
          <w:lang w:eastAsia="zh-CN"/>
        </w:rPr>
        <w:t>；</w:t>
      </w:r>
      <w:r>
        <w:rPr>
          <w:rFonts w:hint="eastAsia" w:hAnsi="宋体" w:cs="宋体"/>
          <w:color w:val="auto"/>
          <w:highlight w:val="none"/>
        </w:rPr>
        <w:t>提供本项目招标文件第二章“服务需求”中的相应的采购内容。</w:t>
      </w:r>
    </w:p>
    <w:p w14:paraId="5B970A92">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其中（有分标时填写）：</w:t>
      </w:r>
    </w:p>
    <w:p w14:paraId="00BD197D">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w:t>
      </w:r>
      <w:r>
        <w:rPr>
          <w:rFonts w:hint="eastAsia" w:ascii="宋体" w:hAnsi="宋体" w:eastAsia="宋体" w:cs="宋体"/>
          <w:color w:val="auto"/>
          <w:sz w:val="21"/>
          <w:szCs w:val="21"/>
          <w:highlight w:val="none"/>
          <w:lang w:val="en-US" w:eastAsia="zh-CN"/>
        </w:rPr>
        <w:t>提交服务成果时间</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rPr>
        <w:t>；</w:t>
      </w:r>
    </w:p>
    <w:p w14:paraId="0DBDB6EA">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w:t>
      </w:r>
      <w:r>
        <w:rPr>
          <w:rFonts w:hint="eastAsia" w:ascii="宋体" w:hAnsi="宋体" w:eastAsia="宋体" w:cs="宋体"/>
          <w:color w:val="auto"/>
          <w:sz w:val="21"/>
          <w:szCs w:val="21"/>
          <w:highlight w:val="none"/>
          <w:lang w:val="en-US" w:eastAsia="zh-CN"/>
        </w:rPr>
        <w:t>提交服务成果时间</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rPr>
        <w:t>；</w:t>
      </w:r>
    </w:p>
    <w:p w14:paraId="4EED129F">
      <w:pPr>
        <w:pStyle w:val="12"/>
        <w:wordWrap w:val="0"/>
        <w:spacing w:line="360" w:lineRule="auto"/>
        <w:ind w:firstLine="420" w:firstLineChars="200"/>
        <w:rPr>
          <w:rFonts w:hint="eastAsia" w:hAnsi="宋体" w:cs="宋体"/>
          <w:color w:val="auto"/>
          <w:highlight w:val="none"/>
        </w:rPr>
      </w:pPr>
      <w:r>
        <w:rPr>
          <w:rFonts w:hint="eastAsia" w:hAnsi="宋体" w:cs="宋体"/>
          <w:color w:val="auto"/>
          <w:highlight w:val="none"/>
        </w:rPr>
        <w:t>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w:t>
      </w:r>
      <w:r>
        <w:rPr>
          <w:rFonts w:hint="eastAsia" w:ascii="宋体" w:hAnsi="宋体" w:eastAsia="宋体" w:cs="宋体"/>
          <w:color w:val="auto"/>
          <w:sz w:val="21"/>
          <w:szCs w:val="21"/>
          <w:highlight w:val="none"/>
          <w:lang w:val="en-US" w:eastAsia="zh-CN"/>
        </w:rPr>
        <w:t>提交服务成果时间</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w:t>
      </w:r>
    </w:p>
    <w:p w14:paraId="4D805AF2">
      <w:pPr>
        <w:pStyle w:val="12"/>
        <w:wordWrap w:val="0"/>
        <w:spacing w:line="360" w:lineRule="auto"/>
        <w:ind w:firstLine="420" w:firstLineChars="200"/>
        <w:rPr>
          <w:rFonts w:hint="eastAsia" w:hAnsi="宋体" w:cs="宋体"/>
          <w:color w:val="auto"/>
          <w:highlight w:val="none"/>
        </w:rPr>
      </w:pPr>
      <w:r>
        <w:rPr>
          <w:rFonts w:hint="eastAsia" w:hAnsi="宋体" w:cs="宋体"/>
          <w:color w:val="auto"/>
          <w:highlight w:val="none"/>
        </w:rPr>
        <w:t>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w:t>
      </w:r>
      <w:r>
        <w:rPr>
          <w:rFonts w:hint="eastAsia" w:ascii="宋体" w:hAnsi="宋体" w:eastAsia="宋体" w:cs="宋体"/>
          <w:color w:val="auto"/>
          <w:sz w:val="21"/>
          <w:szCs w:val="21"/>
          <w:highlight w:val="none"/>
          <w:lang w:val="en-US" w:eastAsia="zh-CN"/>
        </w:rPr>
        <w:t>提交服务成果时间</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w:t>
      </w:r>
    </w:p>
    <w:p w14:paraId="0E320BCD">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w:t>
      </w:r>
    </w:p>
    <w:p w14:paraId="381A2003">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1B4D3FBC">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756BA3BC">
      <w:pPr>
        <w:pStyle w:val="12"/>
        <w:wordWrap w:val="0"/>
        <w:spacing w:line="360" w:lineRule="auto"/>
        <w:ind w:firstLine="482"/>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076E3FB8">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6C46BB9F">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6.我方已详细审核招标文件，我方知道必须放弃提出含糊不清或误解问题的权利。</w:t>
      </w:r>
    </w:p>
    <w:p w14:paraId="285B79C1">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7.我方同意应贵方要求提供与本投标有关的任何数据或资料。若贵方需要，我方愿意提供我方作出的一切承诺的证明材料。</w:t>
      </w:r>
    </w:p>
    <w:p w14:paraId="022BDBBF">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8.我方完全理解贵方不一定接受投标报价最低的投标人为中标供应商的行为。</w:t>
      </w:r>
    </w:p>
    <w:p w14:paraId="48716364">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DED7060">
      <w:pPr>
        <w:pStyle w:val="12"/>
        <w:wordWrap w:val="0"/>
        <w:spacing w:line="360" w:lineRule="auto"/>
        <w:ind w:left="1140" w:hanging="720"/>
        <w:rPr>
          <w:rFonts w:hAnsi="宋体" w:cs="宋体"/>
          <w:color w:val="auto"/>
          <w:highlight w:val="none"/>
        </w:rPr>
      </w:pPr>
      <w:r>
        <w:rPr>
          <w:rFonts w:hint="eastAsia" w:hAnsi="宋体" w:cs="宋体"/>
          <w:color w:val="auto"/>
          <w:highlight w:val="none"/>
        </w:rPr>
        <w:t>（1）提供虚假材料谋取中标、成交的；</w:t>
      </w:r>
    </w:p>
    <w:p w14:paraId="2EE9076D">
      <w:pPr>
        <w:pStyle w:val="12"/>
        <w:wordWrap w:val="0"/>
        <w:spacing w:line="360" w:lineRule="auto"/>
        <w:ind w:left="1140" w:hanging="720"/>
        <w:rPr>
          <w:rFonts w:hAnsi="宋体" w:cs="宋体"/>
          <w:color w:val="auto"/>
          <w:highlight w:val="none"/>
        </w:rPr>
      </w:pPr>
      <w:r>
        <w:rPr>
          <w:rFonts w:hint="eastAsia" w:hAnsi="宋体" w:cs="宋体"/>
          <w:color w:val="auto"/>
          <w:highlight w:val="none"/>
        </w:rPr>
        <w:t>（2）采取不正当手段诋毁、排挤其他供应商的；</w:t>
      </w:r>
    </w:p>
    <w:p w14:paraId="604276A2">
      <w:pPr>
        <w:pStyle w:val="12"/>
        <w:wordWrap w:val="0"/>
        <w:spacing w:line="360" w:lineRule="auto"/>
        <w:ind w:left="1140" w:hanging="720"/>
        <w:rPr>
          <w:rFonts w:hAnsi="宋体" w:cs="宋体"/>
          <w:color w:val="auto"/>
          <w:highlight w:val="none"/>
        </w:rPr>
      </w:pPr>
      <w:r>
        <w:rPr>
          <w:rFonts w:hint="eastAsia" w:hAnsi="宋体" w:cs="宋体"/>
          <w:color w:val="auto"/>
          <w:highlight w:val="none"/>
        </w:rPr>
        <w:t>（3）与采购人、其他供应商或者采购代理机构恶意串通的；</w:t>
      </w:r>
    </w:p>
    <w:p w14:paraId="72BA1E07">
      <w:pPr>
        <w:pStyle w:val="12"/>
        <w:wordWrap w:val="0"/>
        <w:spacing w:line="360" w:lineRule="auto"/>
        <w:ind w:left="1140" w:hanging="720"/>
        <w:rPr>
          <w:rFonts w:hAnsi="宋体" w:cs="宋体"/>
          <w:color w:val="auto"/>
          <w:highlight w:val="none"/>
        </w:rPr>
      </w:pPr>
      <w:r>
        <w:rPr>
          <w:rFonts w:hint="eastAsia" w:hAnsi="宋体" w:cs="宋体"/>
          <w:color w:val="auto"/>
          <w:highlight w:val="none"/>
        </w:rPr>
        <w:t>（4）向采购人、采购代理机构行贿或者提供其他不正当利益的；</w:t>
      </w:r>
    </w:p>
    <w:p w14:paraId="62B0A57D">
      <w:pPr>
        <w:pStyle w:val="12"/>
        <w:wordWrap w:val="0"/>
        <w:spacing w:line="360" w:lineRule="auto"/>
        <w:ind w:left="1140" w:hanging="720"/>
        <w:rPr>
          <w:rFonts w:hAnsi="宋体" w:cs="宋体"/>
          <w:color w:val="auto"/>
          <w:highlight w:val="none"/>
        </w:rPr>
      </w:pPr>
      <w:r>
        <w:rPr>
          <w:rFonts w:hint="eastAsia" w:hAnsi="宋体" w:cs="宋体"/>
          <w:color w:val="auto"/>
          <w:highlight w:val="none"/>
        </w:rPr>
        <w:t>（5）在招标采购过程中与采购人进行协商谈判的；</w:t>
      </w:r>
    </w:p>
    <w:p w14:paraId="4201F534">
      <w:pPr>
        <w:pStyle w:val="12"/>
        <w:wordWrap w:val="0"/>
        <w:spacing w:line="360" w:lineRule="auto"/>
        <w:ind w:left="1140" w:hanging="720"/>
        <w:rPr>
          <w:rFonts w:hAnsi="宋体" w:cs="宋体"/>
          <w:color w:val="auto"/>
          <w:highlight w:val="none"/>
        </w:rPr>
      </w:pPr>
      <w:r>
        <w:rPr>
          <w:rFonts w:hint="eastAsia" w:hAnsi="宋体" w:cs="宋体"/>
          <w:color w:val="auto"/>
          <w:highlight w:val="none"/>
        </w:rPr>
        <w:t>（6）拒绝有关部门监督检查或提供虚假情况的。</w:t>
      </w:r>
    </w:p>
    <w:p w14:paraId="636C5028">
      <w:pPr>
        <w:pStyle w:val="12"/>
        <w:wordWrap w:val="0"/>
        <w:spacing w:line="360" w:lineRule="auto"/>
        <w:ind w:left="420"/>
        <w:rPr>
          <w:rFonts w:hAnsi="宋体" w:cs="宋体"/>
          <w:color w:val="auto"/>
          <w:highlight w:val="none"/>
        </w:rPr>
      </w:pPr>
      <w:r>
        <w:rPr>
          <w:rFonts w:hint="eastAsia" w:hAnsi="宋体" w:cs="宋体"/>
          <w:color w:val="auto"/>
          <w:highlight w:val="none"/>
        </w:rPr>
        <w:t>10.我方及由本人担任法定代表人的其他机构最近三年内被处罚的违法行为有：</w:t>
      </w:r>
      <w:r>
        <w:rPr>
          <w:rFonts w:hint="eastAsia" w:hAnsi="宋体" w:cs="宋体"/>
          <w:color w:val="auto"/>
          <w:highlight w:val="none"/>
          <w:u w:val="single"/>
        </w:rPr>
        <w:t xml:space="preserve">         </w:t>
      </w:r>
    </w:p>
    <w:p w14:paraId="0E10BC6B">
      <w:pPr>
        <w:pStyle w:val="12"/>
        <w:wordWrap w:val="0"/>
        <w:spacing w:line="360" w:lineRule="auto"/>
        <w:ind w:firstLine="420"/>
        <w:rPr>
          <w:rFonts w:hAnsi="宋体" w:cs="宋体"/>
          <w:color w:val="auto"/>
          <w:highlight w:val="none"/>
        </w:rPr>
      </w:pPr>
      <w:r>
        <w:rPr>
          <w:rFonts w:hint="eastAsia" w:hAnsi="宋体" w:cs="宋体"/>
          <w:color w:val="auto"/>
          <w:highlight w:val="none"/>
        </w:rPr>
        <w:t>11.以上事项如有虚假或隐瞒，我方愿意承担一切后果，并不再寻求任何旨在减轻或免除法律责任的辩解。</w:t>
      </w:r>
    </w:p>
    <w:p w14:paraId="05110C58">
      <w:pPr>
        <w:pStyle w:val="12"/>
        <w:wordWrap w:val="0"/>
        <w:spacing w:line="360" w:lineRule="auto"/>
        <w:ind w:firstLine="420"/>
        <w:rPr>
          <w:rFonts w:hAnsi="宋体" w:cs="宋体"/>
          <w:color w:val="auto"/>
          <w:highlight w:val="none"/>
        </w:rPr>
      </w:pPr>
      <w:r>
        <w:rPr>
          <w:rFonts w:hint="eastAsia" w:hAnsi="宋体" w:cs="宋体"/>
          <w:color w:val="auto"/>
          <w:highlight w:val="none"/>
        </w:rPr>
        <w:t>12.与本投标有关的一切正式往来信函请寄：</w:t>
      </w:r>
    </w:p>
    <w:p w14:paraId="20B9504F">
      <w:pPr>
        <w:pStyle w:val="12"/>
        <w:wordWrap w:val="0"/>
        <w:spacing w:line="360" w:lineRule="auto"/>
        <w:ind w:firstLine="420"/>
        <w:rPr>
          <w:rFonts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711C3932">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051AABBC">
      <w:pPr>
        <w:pStyle w:val="12"/>
        <w:wordWrap w:val="0"/>
        <w:spacing w:line="360" w:lineRule="auto"/>
        <w:ind w:firstLine="420"/>
        <w:rPr>
          <w:rFonts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068BCF96">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639BA400">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5F64CFAC">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0A0190BE">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5E3BB672">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F27C61A">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52BD548">
      <w:pPr>
        <w:widowControl/>
        <w:wordWrap w:val="0"/>
        <w:spacing w:line="360" w:lineRule="auto"/>
        <w:jc w:val="left"/>
        <w:rPr>
          <w:rFonts w:ascii="宋体" w:hAnsi="宋体" w:cs="宋体"/>
          <w:color w:val="auto"/>
          <w:kern w:val="0"/>
          <w:sz w:val="24"/>
          <w:highlight w:val="none"/>
          <w:lang w:val="zh-CN"/>
        </w:rPr>
        <w:sectPr>
          <w:pgSz w:w="11906" w:h="16838"/>
          <w:pgMar w:top="1440" w:right="1080" w:bottom="1440" w:left="1080" w:header="720" w:footer="720" w:gutter="0"/>
          <w:pgNumType w:fmt="decimal"/>
          <w:cols w:space="720" w:num="1"/>
          <w:docGrid w:type="lines" w:linePitch="331" w:charSpace="0"/>
        </w:sectPr>
      </w:pPr>
    </w:p>
    <w:p w14:paraId="467B9282">
      <w:pPr>
        <w:pStyle w:val="12"/>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t>二、开标一览表</w:t>
      </w:r>
      <w:r>
        <w:rPr>
          <w:rFonts w:hint="eastAsia" w:hAnsi="宋体" w:cs="宋体"/>
          <w:b/>
          <w:color w:val="auto"/>
          <w:sz w:val="30"/>
          <w:szCs w:val="30"/>
          <w:highlight w:val="none"/>
          <w:lang w:val="zh-CN"/>
        </w:rPr>
        <w:t>(单位均为人民币元)</w:t>
      </w:r>
    </w:p>
    <w:p w14:paraId="49FFBE5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98BBD2B">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p w14:paraId="2044891C">
      <w:pPr>
        <w:pStyle w:val="12"/>
        <w:wordWrap w:val="0"/>
        <w:spacing w:line="360" w:lineRule="auto"/>
        <w:rPr>
          <w:rFonts w:hAnsi="宋体" w:cs="宋体"/>
          <w:b/>
          <w:color w:val="auto"/>
          <w:szCs w:val="21"/>
          <w:highlight w:val="none"/>
        </w:rPr>
      </w:pPr>
      <w:r>
        <w:rPr>
          <w:rFonts w:hint="eastAsia" w:hAnsi="宋体" w:cs="宋体"/>
          <w:color w:val="auto"/>
          <w:szCs w:val="21"/>
          <w:highlight w:val="none"/>
        </w:rPr>
        <w:t>投标人名称：</w:t>
      </w:r>
      <w:r>
        <w:rPr>
          <w:rFonts w:hint="eastAsia" w:hAnsi="宋体" w:cs="宋体"/>
          <w:color w:val="auto"/>
          <w:szCs w:val="21"/>
          <w:highlight w:val="none"/>
          <w:u w:val="single"/>
        </w:rPr>
        <w:t xml:space="preserve">                     </w:t>
      </w:r>
      <w:r>
        <w:rPr>
          <w:rFonts w:hint="eastAsia" w:hAnsi="宋体" w:cs="宋体"/>
          <w:color w:val="auto"/>
          <w:szCs w:val="21"/>
          <w:highlight w:val="none"/>
        </w:rPr>
        <w:t xml:space="preserve">   </w:t>
      </w:r>
    </w:p>
    <w:tbl>
      <w:tblPr>
        <w:tblStyle w:val="23"/>
        <w:tblW w:w="10395"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897"/>
        <w:gridCol w:w="2497"/>
        <w:gridCol w:w="1068"/>
        <w:gridCol w:w="888"/>
        <w:gridCol w:w="2269"/>
        <w:gridCol w:w="1092"/>
      </w:tblGrid>
      <w:tr w14:paraId="5071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684" w:type="dxa"/>
            <w:tcBorders>
              <w:top w:val="single" w:color="auto" w:sz="4" w:space="0"/>
              <w:left w:val="single" w:color="auto" w:sz="4" w:space="0"/>
              <w:bottom w:val="single" w:color="auto" w:sz="4" w:space="0"/>
              <w:right w:val="single" w:color="auto" w:sz="4" w:space="0"/>
            </w:tcBorders>
            <w:vAlign w:val="center"/>
          </w:tcPr>
          <w:p w14:paraId="69580A1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序号</w:t>
            </w:r>
          </w:p>
        </w:tc>
        <w:tc>
          <w:tcPr>
            <w:tcW w:w="1897" w:type="dxa"/>
            <w:tcBorders>
              <w:top w:val="single" w:color="auto" w:sz="4" w:space="0"/>
              <w:left w:val="single" w:color="auto" w:sz="4" w:space="0"/>
              <w:bottom w:val="single" w:color="auto" w:sz="4" w:space="0"/>
              <w:right w:val="single" w:color="auto" w:sz="4" w:space="0"/>
            </w:tcBorders>
            <w:vAlign w:val="center"/>
          </w:tcPr>
          <w:p w14:paraId="50026C61">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2497" w:type="dxa"/>
            <w:tcBorders>
              <w:top w:val="single" w:color="auto" w:sz="4" w:space="0"/>
              <w:left w:val="single" w:color="auto" w:sz="4" w:space="0"/>
              <w:bottom w:val="single" w:color="auto" w:sz="4" w:space="0"/>
              <w:right w:val="single" w:color="auto" w:sz="4" w:space="0"/>
            </w:tcBorders>
            <w:vAlign w:val="center"/>
          </w:tcPr>
          <w:p w14:paraId="0D6B5B76">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具体服务内容</w:t>
            </w:r>
          </w:p>
        </w:tc>
        <w:tc>
          <w:tcPr>
            <w:tcW w:w="1068" w:type="dxa"/>
            <w:tcBorders>
              <w:top w:val="single" w:color="auto" w:sz="4" w:space="0"/>
              <w:left w:val="single" w:color="auto" w:sz="4" w:space="0"/>
              <w:bottom w:val="single" w:color="auto" w:sz="4" w:space="0"/>
              <w:right w:val="single" w:color="auto" w:sz="4" w:space="0"/>
            </w:tcBorders>
            <w:vAlign w:val="center"/>
          </w:tcPr>
          <w:p w14:paraId="3236B024">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数量①</w:t>
            </w:r>
          </w:p>
        </w:tc>
        <w:tc>
          <w:tcPr>
            <w:tcW w:w="888" w:type="dxa"/>
            <w:tcBorders>
              <w:top w:val="single" w:color="auto" w:sz="4" w:space="0"/>
              <w:left w:val="single" w:color="auto" w:sz="4" w:space="0"/>
              <w:bottom w:val="single" w:color="auto" w:sz="4" w:space="0"/>
              <w:right w:val="single" w:color="auto" w:sz="4" w:space="0"/>
            </w:tcBorders>
            <w:vAlign w:val="center"/>
          </w:tcPr>
          <w:p w14:paraId="37D45F1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单价(元)②</w:t>
            </w:r>
          </w:p>
        </w:tc>
        <w:tc>
          <w:tcPr>
            <w:tcW w:w="2269" w:type="dxa"/>
            <w:tcBorders>
              <w:top w:val="single" w:color="auto" w:sz="4" w:space="0"/>
              <w:left w:val="single" w:color="auto" w:sz="4" w:space="0"/>
              <w:bottom w:val="single" w:color="auto" w:sz="4" w:space="0"/>
              <w:right w:val="single" w:color="auto" w:sz="4" w:space="0"/>
            </w:tcBorders>
            <w:vAlign w:val="center"/>
          </w:tcPr>
          <w:p w14:paraId="1AAE099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单项合价（元）</w:t>
            </w:r>
          </w:p>
          <w:p w14:paraId="1476F5E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③＝①×②</w:t>
            </w:r>
          </w:p>
        </w:tc>
        <w:tc>
          <w:tcPr>
            <w:tcW w:w="1092" w:type="dxa"/>
            <w:tcBorders>
              <w:top w:val="single" w:color="auto" w:sz="4" w:space="0"/>
              <w:left w:val="single" w:color="auto" w:sz="4" w:space="0"/>
              <w:bottom w:val="single" w:color="auto" w:sz="4" w:space="0"/>
              <w:right w:val="single" w:color="auto" w:sz="4" w:space="0"/>
            </w:tcBorders>
            <w:vAlign w:val="center"/>
          </w:tcPr>
          <w:p w14:paraId="5447F52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备注</w:t>
            </w:r>
          </w:p>
        </w:tc>
      </w:tr>
      <w:tr w14:paraId="5B88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84" w:type="dxa"/>
            <w:tcBorders>
              <w:top w:val="single" w:color="auto" w:sz="4" w:space="0"/>
              <w:left w:val="single" w:color="auto" w:sz="4" w:space="0"/>
              <w:bottom w:val="single" w:color="auto" w:sz="4" w:space="0"/>
              <w:right w:val="single" w:color="auto" w:sz="4" w:space="0"/>
            </w:tcBorders>
            <w:vAlign w:val="center"/>
          </w:tcPr>
          <w:p w14:paraId="2D83BB0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897" w:type="dxa"/>
            <w:tcBorders>
              <w:top w:val="single" w:color="auto" w:sz="4" w:space="0"/>
              <w:left w:val="single" w:color="auto" w:sz="4" w:space="0"/>
              <w:bottom w:val="single" w:color="auto" w:sz="4" w:space="0"/>
              <w:right w:val="single" w:color="auto" w:sz="4" w:space="0"/>
            </w:tcBorders>
            <w:vAlign w:val="center"/>
          </w:tcPr>
          <w:p w14:paraId="480F5096">
            <w:pPr>
              <w:wordWrap w:val="0"/>
              <w:spacing w:line="360" w:lineRule="auto"/>
              <w:rPr>
                <w:rFonts w:ascii="宋体" w:hAnsi="宋体" w:cs="宋体"/>
                <w:color w:val="auto"/>
                <w:szCs w:val="21"/>
                <w:highlight w:val="none"/>
              </w:rPr>
            </w:pPr>
          </w:p>
        </w:tc>
        <w:tc>
          <w:tcPr>
            <w:tcW w:w="2497" w:type="dxa"/>
            <w:tcBorders>
              <w:top w:val="single" w:color="auto" w:sz="4" w:space="0"/>
              <w:left w:val="single" w:color="auto" w:sz="4" w:space="0"/>
              <w:bottom w:val="single" w:color="auto" w:sz="4" w:space="0"/>
              <w:right w:val="single" w:color="auto" w:sz="4" w:space="0"/>
            </w:tcBorders>
            <w:vAlign w:val="center"/>
          </w:tcPr>
          <w:p w14:paraId="209166C8">
            <w:pPr>
              <w:wordWrap w:val="0"/>
              <w:spacing w:line="360" w:lineRule="auto"/>
              <w:rPr>
                <w:rFonts w:ascii="宋体" w:hAnsi="宋体" w:cs="宋体"/>
                <w:color w:val="auto"/>
                <w:szCs w:val="21"/>
                <w:highlight w:val="none"/>
              </w:rPr>
            </w:pPr>
          </w:p>
        </w:tc>
        <w:tc>
          <w:tcPr>
            <w:tcW w:w="1068" w:type="dxa"/>
            <w:tcBorders>
              <w:top w:val="single" w:color="auto" w:sz="4" w:space="0"/>
              <w:left w:val="single" w:color="auto" w:sz="4" w:space="0"/>
              <w:bottom w:val="single" w:color="auto" w:sz="4" w:space="0"/>
              <w:right w:val="single" w:color="auto" w:sz="4" w:space="0"/>
            </w:tcBorders>
            <w:vAlign w:val="center"/>
          </w:tcPr>
          <w:p w14:paraId="115458F3">
            <w:pPr>
              <w:wordWrap w:val="0"/>
              <w:spacing w:line="360" w:lineRule="auto"/>
              <w:rPr>
                <w:rFonts w:ascii="宋体" w:hAnsi="宋体" w:cs="宋体"/>
                <w:color w:val="auto"/>
                <w:szCs w:val="21"/>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206D803A">
            <w:pPr>
              <w:wordWrap w:val="0"/>
              <w:spacing w:line="360" w:lineRule="auto"/>
              <w:rPr>
                <w:rFonts w:ascii="宋体" w:hAnsi="宋体" w:cs="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45CA0551">
            <w:pPr>
              <w:wordWrap w:val="0"/>
              <w:spacing w:line="360" w:lineRule="auto"/>
              <w:rPr>
                <w:rFonts w:ascii="宋体" w:hAnsi="宋体" w:cs="宋体"/>
                <w:color w:val="auto"/>
                <w:szCs w:val="21"/>
                <w:highlight w:val="none"/>
              </w:rPr>
            </w:pPr>
          </w:p>
        </w:tc>
        <w:tc>
          <w:tcPr>
            <w:tcW w:w="1092" w:type="dxa"/>
            <w:tcBorders>
              <w:top w:val="single" w:color="auto" w:sz="4" w:space="0"/>
              <w:left w:val="single" w:color="auto" w:sz="4" w:space="0"/>
              <w:bottom w:val="single" w:color="auto" w:sz="4" w:space="0"/>
              <w:right w:val="single" w:color="auto" w:sz="4" w:space="0"/>
            </w:tcBorders>
            <w:vAlign w:val="center"/>
          </w:tcPr>
          <w:p w14:paraId="52E929BB">
            <w:pPr>
              <w:wordWrap w:val="0"/>
              <w:spacing w:line="360" w:lineRule="auto"/>
              <w:rPr>
                <w:rFonts w:ascii="宋体" w:hAnsi="宋体" w:cs="宋体"/>
                <w:color w:val="auto"/>
                <w:szCs w:val="21"/>
                <w:highlight w:val="none"/>
              </w:rPr>
            </w:pPr>
          </w:p>
        </w:tc>
      </w:tr>
      <w:tr w14:paraId="442F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84" w:type="dxa"/>
            <w:tcBorders>
              <w:top w:val="single" w:color="auto" w:sz="4" w:space="0"/>
              <w:left w:val="single" w:color="auto" w:sz="4" w:space="0"/>
              <w:bottom w:val="single" w:color="auto" w:sz="4" w:space="0"/>
              <w:right w:val="single" w:color="auto" w:sz="4" w:space="0"/>
            </w:tcBorders>
            <w:vAlign w:val="center"/>
          </w:tcPr>
          <w:p w14:paraId="18EF265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w:t>
            </w:r>
          </w:p>
        </w:tc>
        <w:tc>
          <w:tcPr>
            <w:tcW w:w="1897" w:type="dxa"/>
            <w:tcBorders>
              <w:top w:val="single" w:color="auto" w:sz="4" w:space="0"/>
              <w:left w:val="single" w:color="auto" w:sz="4" w:space="0"/>
              <w:bottom w:val="single" w:color="auto" w:sz="4" w:space="0"/>
              <w:right w:val="single" w:color="auto" w:sz="4" w:space="0"/>
            </w:tcBorders>
            <w:vAlign w:val="center"/>
          </w:tcPr>
          <w:p w14:paraId="70AAFEB4">
            <w:pPr>
              <w:wordWrap w:val="0"/>
              <w:spacing w:line="360" w:lineRule="auto"/>
              <w:rPr>
                <w:rFonts w:ascii="宋体" w:hAnsi="宋体" w:cs="宋体"/>
                <w:color w:val="auto"/>
                <w:szCs w:val="21"/>
                <w:highlight w:val="none"/>
              </w:rPr>
            </w:pPr>
          </w:p>
        </w:tc>
        <w:tc>
          <w:tcPr>
            <w:tcW w:w="2497" w:type="dxa"/>
            <w:tcBorders>
              <w:top w:val="single" w:color="auto" w:sz="4" w:space="0"/>
              <w:left w:val="single" w:color="auto" w:sz="4" w:space="0"/>
              <w:bottom w:val="single" w:color="auto" w:sz="4" w:space="0"/>
              <w:right w:val="single" w:color="auto" w:sz="4" w:space="0"/>
            </w:tcBorders>
            <w:vAlign w:val="center"/>
          </w:tcPr>
          <w:p w14:paraId="0A1C2510">
            <w:pPr>
              <w:wordWrap w:val="0"/>
              <w:spacing w:line="360" w:lineRule="auto"/>
              <w:rPr>
                <w:rFonts w:ascii="宋体" w:hAnsi="宋体" w:cs="宋体"/>
                <w:color w:val="auto"/>
                <w:szCs w:val="21"/>
                <w:highlight w:val="none"/>
              </w:rPr>
            </w:pPr>
          </w:p>
        </w:tc>
        <w:tc>
          <w:tcPr>
            <w:tcW w:w="1068" w:type="dxa"/>
            <w:tcBorders>
              <w:top w:val="single" w:color="auto" w:sz="4" w:space="0"/>
              <w:left w:val="single" w:color="auto" w:sz="4" w:space="0"/>
              <w:bottom w:val="single" w:color="auto" w:sz="4" w:space="0"/>
              <w:right w:val="single" w:color="auto" w:sz="4" w:space="0"/>
            </w:tcBorders>
            <w:vAlign w:val="center"/>
          </w:tcPr>
          <w:p w14:paraId="3BAC0CAB">
            <w:pPr>
              <w:wordWrap w:val="0"/>
              <w:spacing w:line="360" w:lineRule="auto"/>
              <w:rPr>
                <w:rFonts w:ascii="宋体" w:hAnsi="宋体" w:cs="宋体"/>
                <w:color w:val="auto"/>
                <w:szCs w:val="21"/>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55112612">
            <w:pPr>
              <w:wordWrap w:val="0"/>
              <w:spacing w:line="360" w:lineRule="auto"/>
              <w:rPr>
                <w:rFonts w:ascii="宋体" w:hAnsi="宋体" w:cs="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5208CCE6">
            <w:pPr>
              <w:wordWrap w:val="0"/>
              <w:spacing w:line="360" w:lineRule="auto"/>
              <w:rPr>
                <w:rFonts w:ascii="宋体" w:hAnsi="宋体" w:cs="宋体"/>
                <w:color w:val="auto"/>
                <w:szCs w:val="21"/>
                <w:highlight w:val="none"/>
              </w:rPr>
            </w:pPr>
          </w:p>
        </w:tc>
        <w:tc>
          <w:tcPr>
            <w:tcW w:w="1092" w:type="dxa"/>
            <w:tcBorders>
              <w:top w:val="single" w:color="auto" w:sz="4" w:space="0"/>
              <w:left w:val="single" w:color="auto" w:sz="4" w:space="0"/>
              <w:bottom w:val="single" w:color="auto" w:sz="4" w:space="0"/>
              <w:right w:val="single" w:color="auto" w:sz="4" w:space="0"/>
            </w:tcBorders>
            <w:vAlign w:val="center"/>
          </w:tcPr>
          <w:p w14:paraId="00E32BF5">
            <w:pPr>
              <w:wordWrap w:val="0"/>
              <w:spacing w:line="360" w:lineRule="auto"/>
              <w:rPr>
                <w:rFonts w:ascii="宋体" w:hAnsi="宋体" w:cs="宋体"/>
                <w:color w:val="auto"/>
                <w:szCs w:val="21"/>
                <w:highlight w:val="none"/>
              </w:rPr>
            </w:pPr>
          </w:p>
        </w:tc>
      </w:tr>
      <w:tr w14:paraId="26B0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84" w:type="dxa"/>
            <w:tcBorders>
              <w:top w:val="single" w:color="auto" w:sz="4" w:space="0"/>
              <w:left w:val="single" w:color="auto" w:sz="4" w:space="0"/>
              <w:bottom w:val="single" w:color="auto" w:sz="4" w:space="0"/>
              <w:right w:val="single" w:color="auto" w:sz="4" w:space="0"/>
            </w:tcBorders>
            <w:vAlign w:val="center"/>
          </w:tcPr>
          <w:p w14:paraId="427B20C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897" w:type="dxa"/>
            <w:tcBorders>
              <w:top w:val="single" w:color="auto" w:sz="4" w:space="0"/>
              <w:left w:val="single" w:color="auto" w:sz="4" w:space="0"/>
              <w:bottom w:val="single" w:color="auto" w:sz="4" w:space="0"/>
              <w:right w:val="single" w:color="auto" w:sz="4" w:space="0"/>
            </w:tcBorders>
            <w:vAlign w:val="center"/>
          </w:tcPr>
          <w:p w14:paraId="7CF30850">
            <w:pPr>
              <w:wordWrap w:val="0"/>
              <w:spacing w:line="360" w:lineRule="auto"/>
              <w:rPr>
                <w:rFonts w:ascii="宋体" w:hAnsi="宋体" w:cs="宋体"/>
                <w:color w:val="auto"/>
                <w:szCs w:val="21"/>
                <w:highlight w:val="none"/>
              </w:rPr>
            </w:pPr>
          </w:p>
        </w:tc>
        <w:tc>
          <w:tcPr>
            <w:tcW w:w="2497" w:type="dxa"/>
            <w:tcBorders>
              <w:top w:val="single" w:color="auto" w:sz="4" w:space="0"/>
              <w:left w:val="single" w:color="auto" w:sz="4" w:space="0"/>
              <w:bottom w:val="single" w:color="auto" w:sz="4" w:space="0"/>
              <w:right w:val="single" w:color="auto" w:sz="4" w:space="0"/>
            </w:tcBorders>
            <w:vAlign w:val="center"/>
          </w:tcPr>
          <w:p w14:paraId="13DB0718">
            <w:pPr>
              <w:wordWrap w:val="0"/>
              <w:spacing w:line="360" w:lineRule="auto"/>
              <w:rPr>
                <w:rFonts w:ascii="宋体" w:hAnsi="宋体" w:cs="宋体"/>
                <w:color w:val="auto"/>
                <w:szCs w:val="21"/>
                <w:highlight w:val="none"/>
              </w:rPr>
            </w:pPr>
          </w:p>
        </w:tc>
        <w:tc>
          <w:tcPr>
            <w:tcW w:w="1068" w:type="dxa"/>
            <w:tcBorders>
              <w:top w:val="single" w:color="auto" w:sz="4" w:space="0"/>
              <w:left w:val="single" w:color="auto" w:sz="4" w:space="0"/>
              <w:bottom w:val="single" w:color="auto" w:sz="4" w:space="0"/>
              <w:right w:val="single" w:color="auto" w:sz="4" w:space="0"/>
            </w:tcBorders>
            <w:vAlign w:val="center"/>
          </w:tcPr>
          <w:p w14:paraId="33659A81">
            <w:pPr>
              <w:wordWrap w:val="0"/>
              <w:spacing w:line="360" w:lineRule="auto"/>
              <w:rPr>
                <w:rFonts w:ascii="宋体" w:hAnsi="宋体" w:cs="宋体"/>
                <w:color w:val="auto"/>
                <w:szCs w:val="21"/>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1BE63D84">
            <w:pPr>
              <w:wordWrap w:val="0"/>
              <w:spacing w:line="360" w:lineRule="auto"/>
              <w:rPr>
                <w:rFonts w:ascii="宋体" w:hAnsi="宋体" w:cs="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529B84B4">
            <w:pPr>
              <w:wordWrap w:val="0"/>
              <w:spacing w:line="360" w:lineRule="auto"/>
              <w:rPr>
                <w:rFonts w:ascii="宋体" w:hAnsi="宋体" w:cs="宋体"/>
                <w:color w:val="auto"/>
                <w:szCs w:val="21"/>
                <w:highlight w:val="none"/>
              </w:rPr>
            </w:pPr>
          </w:p>
        </w:tc>
        <w:tc>
          <w:tcPr>
            <w:tcW w:w="1092" w:type="dxa"/>
            <w:tcBorders>
              <w:top w:val="single" w:color="auto" w:sz="4" w:space="0"/>
              <w:left w:val="single" w:color="auto" w:sz="4" w:space="0"/>
              <w:bottom w:val="single" w:color="auto" w:sz="4" w:space="0"/>
              <w:right w:val="single" w:color="auto" w:sz="4" w:space="0"/>
            </w:tcBorders>
            <w:vAlign w:val="center"/>
          </w:tcPr>
          <w:p w14:paraId="69D2236B">
            <w:pPr>
              <w:wordWrap w:val="0"/>
              <w:spacing w:line="360" w:lineRule="auto"/>
              <w:rPr>
                <w:rFonts w:ascii="宋体" w:hAnsi="宋体" w:cs="宋体"/>
                <w:color w:val="auto"/>
                <w:szCs w:val="21"/>
                <w:highlight w:val="none"/>
              </w:rPr>
            </w:pPr>
          </w:p>
        </w:tc>
      </w:tr>
      <w:tr w14:paraId="2C31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0395" w:type="dxa"/>
            <w:gridSpan w:val="7"/>
            <w:tcBorders>
              <w:top w:val="single" w:color="auto" w:sz="4" w:space="0"/>
              <w:left w:val="single" w:color="auto" w:sz="4" w:space="0"/>
              <w:bottom w:val="single" w:color="auto" w:sz="4" w:space="0"/>
              <w:right w:val="single" w:color="auto" w:sz="4" w:space="0"/>
            </w:tcBorders>
          </w:tcPr>
          <w:p w14:paraId="7B5BB710">
            <w:pPr>
              <w:wordWrap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报价合计（包含税费等所有费用）：（大写）人民币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r>
      <w:tr w14:paraId="72A2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0395" w:type="dxa"/>
            <w:gridSpan w:val="7"/>
            <w:tcBorders>
              <w:top w:val="single" w:color="auto" w:sz="4" w:space="0"/>
              <w:left w:val="single" w:color="auto" w:sz="4" w:space="0"/>
              <w:bottom w:val="single" w:color="auto" w:sz="4" w:space="0"/>
              <w:right w:val="single" w:color="auto" w:sz="4" w:space="0"/>
            </w:tcBorders>
          </w:tcPr>
          <w:p w14:paraId="7F0BA692">
            <w:pPr>
              <w:wordWrap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分标</w:t>
            </w:r>
            <w:r>
              <w:rPr>
                <w:rFonts w:hint="eastAsia" w:ascii="宋体" w:hAnsi="宋体" w:cs="宋体"/>
                <w:color w:val="auto"/>
                <w:szCs w:val="21"/>
                <w:highlight w:val="none"/>
                <w:u w:val="single"/>
              </w:rPr>
              <w:t>　　</w:t>
            </w:r>
            <w:r>
              <w:rPr>
                <w:rFonts w:hint="eastAsia" w:ascii="宋体" w:hAnsi="宋体" w:cs="宋体"/>
                <w:color w:val="auto"/>
                <w:szCs w:val="21"/>
                <w:highlight w:val="none"/>
              </w:rPr>
              <w:t>（此处有分标时填写具体分标号，无分标时填写“无”）</w:t>
            </w:r>
          </w:p>
        </w:tc>
      </w:tr>
      <w:tr w14:paraId="0ABA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0395" w:type="dxa"/>
            <w:gridSpan w:val="7"/>
            <w:tcBorders>
              <w:top w:val="single" w:color="auto" w:sz="4" w:space="0"/>
              <w:left w:val="single" w:color="auto" w:sz="4" w:space="0"/>
              <w:bottom w:val="single" w:color="auto" w:sz="4" w:space="0"/>
              <w:right w:val="single" w:color="auto" w:sz="4" w:space="0"/>
            </w:tcBorders>
          </w:tcPr>
          <w:p w14:paraId="7DE2137B">
            <w:pPr>
              <w:wordWrap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服务</w:t>
            </w:r>
            <w:r>
              <w:rPr>
                <w:rFonts w:hint="eastAsia" w:ascii="宋体" w:hAnsi="宋体" w:cs="宋体"/>
                <w:color w:val="auto"/>
                <w:szCs w:val="21"/>
                <w:highlight w:val="none"/>
                <w:lang w:val="en-US" w:eastAsia="zh-CN"/>
              </w:rPr>
              <w:t>时间</w:t>
            </w:r>
            <w:r>
              <w:rPr>
                <w:rFonts w:hint="eastAsia" w:ascii="宋体" w:hAnsi="宋体" w:cs="宋体"/>
                <w:color w:val="auto"/>
                <w:szCs w:val="21"/>
                <w:highlight w:val="none"/>
              </w:rPr>
              <w:t>：</w:t>
            </w:r>
          </w:p>
        </w:tc>
      </w:tr>
      <w:tr w14:paraId="5BBA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10395" w:type="dxa"/>
            <w:gridSpan w:val="7"/>
            <w:tcBorders>
              <w:top w:val="single" w:color="auto" w:sz="4" w:space="0"/>
              <w:left w:val="single" w:color="auto" w:sz="4" w:space="0"/>
              <w:bottom w:val="single" w:color="auto" w:sz="4" w:space="0"/>
              <w:right w:val="single" w:color="auto" w:sz="4" w:space="0"/>
            </w:tcBorders>
          </w:tcPr>
          <w:p w14:paraId="5A591A0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验收标准：</w:t>
            </w:r>
          </w:p>
        </w:tc>
      </w:tr>
      <w:tr w14:paraId="20D1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0395" w:type="dxa"/>
            <w:gridSpan w:val="7"/>
            <w:tcBorders>
              <w:top w:val="single" w:color="auto" w:sz="4" w:space="0"/>
              <w:left w:val="single" w:color="auto" w:sz="4" w:space="0"/>
              <w:bottom w:val="single" w:color="auto" w:sz="4" w:space="0"/>
              <w:right w:val="single" w:color="auto" w:sz="4" w:space="0"/>
            </w:tcBorders>
          </w:tcPr>
          <w:p w14:paraId="2088E2A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优惠及其它：</w:t>
            </w:r>
          </w:p>
        </w:tc>
      </w:tr>
    </w:tbl>
    <w:p w14:paraId="43624E30">
      <w:pPr>
        <w:wordWrap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注： </w:t>
      </w:r>
    </w:p>
    <w:p w14:paraId="16EC66D0">
      <w:pPr>
        <w:wordWrap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投标人需按本表格式填写，不得自行更改，也不得留空（备注</w:t>
      </w:r>
      <w:r>
        <w:rPr>
          <w:rFonts w:hint="eastAsia" w:ascii="宋体" w:hAnsi="宋体" w:cs="宋体"/>
          <w:color w:val="auto"/>
          <w:kern w:val="0"/>
          <w:szCs w:val="21"/>
          <w:highlight w:val="none"/>
        </w:rPr>
        <w:t>除外</w:t>
      </w:r>
      <w:r>
        <w:rPr>
          <w:rFonts w:hint="eastAsia" w:ascii="宋体" w:hAnsi="宋体" w:cs="宋体"/>
          <w:color w:val="auto"/>
          <w:kern w:val="0"/>
          <w:szCs w:val="21"/>
          <w:highlight w:val="none"/>
          <w:lang w:val="zh-CN"/>
        </w:rPr>
        <w:t>）, 如有多分标，按分标分别提供开标一览表，必须加盖投标人有效电子公章，</w:t>
      </w:r>
      <w:r>
        <w:rPr>
          <w:rFonts w:hint="eastAsia" w:ascii="宋体" w:hAnsi="宋体" w:cs="宋体"/>
          <w:b/>
          <w:color w:val="auto"/>
          <w:kern w:val="0"/>
          <w:szCs w:val="21"/>
          <w:highlight w:val="none"/>
          <w:lang w:val="zh-CN"/>
        </w:rPr>
        <w:t>否则其投标作无效标处理。</w:t>
      </w:r>
    </w:p>
    <w:p w14:paraId="527EBE73">
      <w:pPr>
        <w:wordWrap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本表内容均不能涂改，</w:t>
      </w:r>
      <w:r>
        <w:rPr>
          <w:rFonts w:hint="eastAsia" w:ascii="宋体" w:hAnsi="宋体" w:cs="宋体"/>
          <w:b/>
          <w:color w:val="auto"/>
          <w:kern w:val="0"/>
          <w:szCs w:val="21"/>
          <w:highlight w:val="none"/>
          <w:lang w:val="zh-CN"/>
        </w:rPr>
        <w:t>否则其投标作无效标处理。</w:t>
      </w:r>
    </w:p>
    <w:p w14:paraId="483B7DBE">
      <w:pPr>
        <w:wordWrap w:val="0"/>
        <w:snapToGrid w:val="0"/>
        <w:spacing w:line="360" w:lineRule="auto"/>
        <w:ind w:firstLine="420" w:firstLineChars="200"/>
        <w:jc w:val="left"/>
        <w:rPr>
          <w:rFonts w:ascii="宋体" w:hAnsi="宋体" w:cs="宋体"/>
          <w:b/>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如为联合体投标，“投标人名称”处必须列明联合体各方名称，并标注联合体牵头人名称，且盖章处须加盖联合体各方公章，</w:t>
      </w:r>
      <w:r>
        <w:rPr>
          <w:rFonts w:hint="eastAsia" w:ascii="宋体" w:hAnsi="宋体" w:cs="宋体"/>
          <w:b/>
          <w:color w:val="auto"/>
          <w:kern w:val="0"/>
          <w:szCs w:val="21"/>
          <w:highlight w:val="none"/>
          <w:lang w:val="zh-CN"/>
        </w:rPr>
        <w:t>否则其投标作无效标处理。</w:t>
      </w:r>
    </w:p>
    <w:p w14:paraId="19CEC273">
      <w:pPr>
        <w:wordWrap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4</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以上表格要求细分项目及报价，在“具体服务内容”一栏中，填写具体服务范围、服务时间、服务标准，</w:t>
      </w:r>
      <w:r>
        <w:rPr>
          <w:rFonts w:hint="eastAsia" w:ascii="宋体" w:hAnsi="宋体" w:cs="宋体"/>
          <w:b/>
          <w:color w:val="auto"/>
          <w:kern w:val="0"/>
          <w:szCs w:val="21"/>
          <w:highlight w:val="none"/>
          <w:lang w:val="zh-CN"/>
        </w:rPr>
        <w:t>否则其投标作无效</w:t>
      </w:r>
      <w:r>
        <w:rPr>
          <w:rFonts w:hint="eastAsia" w:ascii="宋体" w:hAnsi="宋体" w:cs="宋体"/>
          <w:b/>
          <w:color w:val="auto"/>
          <w:kern w:val="0"/>
          <w:szCs w:val="21"/>
          <w:highlight w:val="none"/>
        </w:rPr>
        <w:t>投</w:t>
      </w:r>
      <w:r>
        <w:rPr>
          <w:rFonts w:hint="eastAsia" w:ascii="宋体" w:hAnsi="宋体" w:cs="宋体"/>
          <w:b/>
          <w:color w:val="auto"/>
          <w:kern w:val="0"/>
          <w:szCs w:val="21"/>
          <w:highlight w:val="none"/>
          <w:lang w:val="zh-CN"/>
        </w:rPr>
        <w:t>标处理。</w:t>
      </w:r>
    </w:p>
    <w:p w14:paraId="338E09A1">
      <w:pPr>
        <w:wordWrap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特别提示：采购机构将对项目名称和项目编号，中标供应商名称、地址和中标金额，主要中标标的的名称、服务范围、服务要求、服务时间、服务标准等予以公示。</w:t>
      </w:r>
    </w:p>
    <w:p w14:paraId="09BBF739">
      <w:pPr>
        <w:wordWrap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符合招标文件中列明的可享受</w:t>
      </w:r>
      <w:r>
        <w:rPr>
          <w:rFonts w:hint="eastAsia" w:ascii="宋体" w:hAnsi="宋体" w:cs="宋体"/>
          <w:color w:val="auto"/>
          <w:kern w:val="0"/>
          <w:szCs w:val="21"/>
          <w:highlight w:val="none"/>
        </w:rPr>
        <w:t>中小</w:t>
      </w:r>
      <w:r>
        <w:rPr>
          <w:rFonts w:hint="eastAsia" w:ascii="宋体" w:hAnsi="宋体" w:cs="宋体"/>
          <w:color w:val="auto"/>
          <w:kern w:val="0"/>
          <w:szCs w:val="21"/>
          <w:highlight w:val="none"/>
          <w:lang w:val="zh-CN"/>
        </w:rPr>
        <w:t>企业扶持政策的投标人，请填写《中小企业声明函》。注：投标人提供的《中小企业声明函》内容不实的，属于提供虚假材料谋取中标、成交，依照《中华人民共和国政府采购法》等国家有关规定追究相应责任。</w:t>
      </w:r>
    </w:p>
    <w:p w14:paraId="7121923D">
      <w:pPr>
        <w:wordWrap w:val="0"/>
        <w:snapToGrid w:val="0"/>
        <w:spacing w:line="360" w:lineRule="auto"/>
        <w:ind w:firstLine="4620" w:firstLineChars="21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zh-CN"/>
        </w:rPr>
        <w:t>投标人名称(电子签章)：</w:t>
      </w:r>
    </w:p>
    <w:p w14:paraId="197F52A0">
      <w:pPr>
        <w:wordWrap w:val="0"/>
        <w:snapToGrid w:val="0"/>
        <w:spacing w:line="360" w:lineRule="auto"/>
        <w:ind w:firstLine="4730" w:firstLineChars="2150"/>
        <w:rPr>
          <w:rFonts w:ascii="宋体" w:hAnsi="宋体" w:cs="宋体"/>
          <w:color w:val="auto"/>
          <w:kern w:val="0"/>
          <w:sz w:val="24"/>
          <w:highlight w:val="none"/>
          <w:lang w:val="zh-CN"/>
        </w:rPr>
      </w:pPr>
      <w:r>
        <w:rPr>
          <w:rFonts w:hint="eastAsia" w:ascii="宋体" w:hAnsi="宋体" w:cs="宋体"/>
          <w:color w:val="auto"/>
          <w:kern w:val="0"/>
          <w:sz w:val="22"/>
          <w:szCs w:val="22"/>
          <w:highlight w:val="none"/>
          <w:lang w:val="zh-CN"/>
        </w:rPr>
        <w:t>日期</w:t>
      </w:r>
      <w:r>
        <w:rPr>
          <w:rFonts w:hint="eastAsia" w:ascii="宋体" w:hAnsi="宋体" w:cs="宋体"/>
          <w:color w:val="auto"/>
          <w:kern w:val="0"/>
          <w:sz w:val="22"/>
          <w:szCs w:val="22"/>
          <w:highlight w:val="none"/>
        </w:rPr>
        <w:t xml:space="preserve">：  年  </w:t>
      </w:r>
      <w:r>
        <w:rPr>
          <w:rFonts w:hint="eastAsia" w:ascii="宋体" w:hAnsi="宋体" w:cs="宋体"/>
          <w:color w:val="auto"/>
          <w:kern w:val="0"/>
          <w:sz w:val="22"/>
          <w:szCs w:val="22"/>
          <w:highlight w:val="none"/>
          <w:lang w:val="zh-CN"/>
        </w:rPr>
        <w:t>月</w:t>
      </w:r>
      <w:r>
        <w:rPr>
          <w:rFonts w:hint="eastAsia" w:ascii="宋体" w:hAnsi="宋体" w:cs="宋体"/>
          <w:color w:val="auto"/>
          <w:kern w:val="0"/>
          <w:sz w:val="22"/>
          <w:szCs w:val="22"/>
          <w:highlight w:val="none"/>
        </w:rPr>
        <w:t xml:space="preserve">   </w:t>
      </w:r>
      <w:r>
        <w:rPr>
          <w:rFonts w:hint="eastAsia" w:ascii="宋体" w:hAnsi="宋体" w:cs="宋体"/>
          <w:color w:val="auto"/>
          <w:kern w:val="0"/>
          <w:sz w:val="22"/>
          <w:szCs w:val="22"/>
          <w:highlight w:val="none"/>
          <w:lang w:val="zh-CN"/>
        </w:rPr>
        <w:t>日</w:t>
      </w:r>
    </w:p>
    <w:p w14:paraId="44C81425">
      <w:p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3C3BF213">
      <w:pPr>
        <w:wordWrap w:val="0"/>
        <w:spacing w:line="360" w:lineRule="auto"/>
        <w:rPr>
          <w:rFonts w:ascii="宋体" w:hAnsi="宋体" w:cs="宋体"/>
          <w:b/>
          <w:color w:val="auto"/>
          <w:sz w:val="30"/>
          <w:szCs w:val="30"/>
          <w:highlight w:val="none"/>
        </w:rPr>
      </w:pPr>
      <w:r>
        <w:rPr>
          <w:rFonts w:hint="eastAsia" w:ascii="宋体" w:hAnsi="宋体" w:cs="宋体"/>
          <w:b/>
          <w:color w:val="auto"/>
          <w:sz w:val="30"/>
          <w:szCs w:val="30"/>
          <w:highlight w:val="none"/>
        </w:rPr>
        <w:t>三、</w:t>
      </w:r>
      <w:r>
        <w:rPr>
          <w:rFonts w:hint="eastAsia" w:ascii="宋体" w:hAnsi="宋体" w:cs="宋体"/>
          <w:b/>
          <w:color w:val="auto"/>
          <w:sz w:val="30"/>
          <w:szCs w:val="30"/>
          <w:highlight w:val="none"/>
          <w:lang w:val="en-US" w:eastAsia="zh-CN"/>
        </w:rPr>
        <w:t>或</w:t>
      </w:r>
      <w:r>
        <w:rPr>
          <w:rFonts w:hint="eastAsia" w:ascii="宋体" w:hAnsi="宋体" w:cs="宋体"/>
          <w:b/>
          <w:color w:val="auto"/>
          <w:sz w:val="30"/>
          <w:szCs w:val="30"/>
          <w:highlight w:val="none"/>
        </w:rPr>
        <w:t>残疾人福利性单位声明函</w:t>
      </w:r>
      <w:r>
        <w:rPr>
          <w:rFonts w:hint="eastAsia" w:ascii="宋体" w:hAnsi="宋体" w:cs="宋体"/>
          <w:b/>
          <w:color w:val="auto"/>
          <w:sz w:val="30"/>
          <w:szCs w:val="30"/>
          <w:highlight w:val="none"/>
          <w:lang w:val="en-US" w:eastAsia="zh-CN"/>
        </w:rPr>
        <w:t>或</w:t>
      </w:r>
      <w:r>
        <w:rPr>
          <w:rFonts w:hint="eastAsia" w:ascii="宋体" w:hAnsi="宋体" w:cs="宋体"/>
          <w:b/>
          <w:color w:val="auto"/>
          <w:sz w:val="30"/>
          <w:szCs w:val="30"/>
          <w:highlight w:val="none"/>
        </w:rPr>
        <w:t>监狱企业声明函等</w:t>
      </w:r>
    </w:p>
    <w:p w14:paraId="63B254D4">
      <w:pPr>
        <w:pStyle w:val="12"/>
        <w:wordWrap w:val="0"/>
        <w:spacing w:line="360" w:lineRule="auto"/>
        <w:jc w:val="both"/>
        <w:rPr>
          <w:rFonts w:hAnsi="宋体" w:cs="宋体"/>
          <w:b/>
          <w:color w:val="auto"/>
          <w:sz w:val="30"/>
          <w:szCs w:val="30"/>
          <w:highlight w:val="none"/>
        </w:rPr>
      </w:pPr>
    </w:p>
    <w:p w14:paraId="5B0298BB">
      <w:pPr>
        <w:widowControl/>
        <w:spacing w:line="360" w:lineRule="auto"/>
        <w:jc w:val="center"/>
        <w:rPr>
          <w:rFonts w:ascii="宋体" w:hAnsi="宋体" w:cs="宋体"/>
          <w:b/>
          <w:color w:val="auto"/>
          <w:sz w:val="30"/>
          <w:szCs w:val="30"/>
          <w:highlight w:val="none"/>
        </w:rPr>
      </w:pPr>
      <w:r>
        <w:rPr>
          <w:rFonts w:hint="eastAsia" w:ascii="宋体" w:hAnsi="宋体" w:cs="宋体"/>
          <w:b/>
          <w:color w:val="auto"/>
          <w:sz w:val="30"/>
          <w:szCs w:val="30"/>
          <w:highlight w:val="none"/>
        </w:rPr>
        <w:t>残疾人福利性单位声明函（格式）</w:t>
      </w:r>
    </w:p>
    <w:p w14:paraId="6BE17A47">
      <w:pPr>
        <w:widowControl/>
        <w:spacing w:line="360" w:lineRule="auto"/>
        <w:jc w:val="center"/>
        <w:rPr>
          <w:rFonts w:ascii="宋体" w:hAnsi="宋体" w:cs="宋体"/>
          <w:b/>
          <w:color w:val="auto"/>
          <w:sz w:val="30"/>
          <w:szCs w:val="30"/>
          <w:highlight w:val="none"/>
        </w:rPr>
      </w:pPr>
    </w:p>
    <w:p w14:paraId="57AE3EA2">
      <w:pPr>
        <w:widowControl/>
        <w:spacing w:line="360" w:lineRule="auto"/>
        <w:jc w:val="left"/>
        <w:rPr>
          <w:rFonts w:ascii="宋体" w:hAnsi="宋体" w:cs="宋体"/>
          <w:color w:val="auto"/>
          <w:szCs w:val="21"/>
          <w:highlight w:val="none"/>
        </w:rPr>
      </w:pPr>
      <w:r>
        <w:rPr>
          <w:rFonts w:hint="eastAsia" w:ascii="宋体" w:hAnsi="宋体" w:cs="宋体"/>
          <w:color w:val="auto"/>
          <w:sz w:val="30"/>
          <w:szCs w:val="30"/>
          <w:highlight w:val="none"/>
        </w:rPr>
        <w:t xml:space="preserve">  </w:t>
      </w:r>
      <w:r>
        <w:rPr>
          <w:rFonts w:hint="eastAsia" w:ascii="宋体" w:hAnsi="宋体" w:cs="宋体"/>
          <w:color w:val="auto"/>
          <w:szCs w:val="21"/>
          <w:highlight w:val="none"/>
        </w:rPr>
        <w:t xml:space="preserve"> 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0B8BE27C">
      <w:pPr>
        <w:widowControl/>
        <w:spacing w:line="360" w:lineRule="auto"/>
        <w:jc w:val="left"/>
        <w:rPr>
          <w:rFonts w:ascii="宋体" w:hAnsi="宋体" w:cs="宋体"/>
          <w:b/>
          <w:color w:val="auto"/>
          <w:szCs w:val="21"/>
          <w:highlight w:val="none"/>
        </w:rPr>
      </w:pPr>
      <w:r>
        <w:rPr>
          <w:rFonts w:hint="eastAsia" w:ascii="宋体" w:hAnsi="宋体" w:cs="宋体"/>
          <w:color w:val="auto"/>
          <w:szCs w:val="21"/>
          <w:highlight w:val="none"/>
        </w:rPr>
        <w:t xml:space="preserve">  </w:t>
      </w:r>
    </w:p>
    <w:p w14:paraId="5A318117">
      <w:pPr>
        <w:widowControl/>
        <w:spacing w:line="360" w:lineRule="auto"/>
        <w:jc w:val="left"/>
        <w:rPr>
          <w:rFonts w:ascii="宋体" w:hAnsi="宋体" w:cs="宋体"/>
          <w:b/>
          <w:color w:val="auto"/>
          <w:szCs w:val="21"/>
          <w:highlight w:val="none"/>
        </w:rPr>
      </w:pPr>
    </w:p>
    <w:p w14:paraId="134F49D0">
      <w:pPr>
        <w:snapToGrid w:val="0"/>
        <w:spacing w:line="360" w:lineRule="auto"/>
        <w:ind w:left="5385" w:leftChars="1736" w:hanging="1739" w:hangingChars="825"/>
        <w:rPr>
          <w:rFonts w:ascii="宋体" w:hAnsi="宋体" w:cs="宋体"/>
          <w:color w:val="auto"/>
          <w:kern w:val="0"/>
          <w:szCs w:val="21"/>
          <w:highlight w:val="none"/>
        </w:rPr>
      </w:pPr>
      <w:r>
        <w:rPr>
          <w:rFonts w:hint="eastAsia" w:ascii="宋体" w:hAnsi="宋体" w:cs="宋体"/>
          <w:b/>
          <w:color w:val="auto"/>
          <w:szCs w:val="21"/>
          <w:highlight w:val="none"/>
          <w:lang w:bidi="ar"/>
        </w:rPr>
        <w:t xml:space="preserve">                                                                    </w:t>
      </w:r>
      <w:r>
        <w:rPr>
          <w:rFonts w:hint="eastAsia" w:ascii="宋体" w:hAnsi="宋体" w:cs="宋体"/>
          <w:color w:val="auto"/>
          <w:kern w:val="0"/>
          <w:szCs w:val="21"/>
          <w:highlight w:val="none"/>
          <w:lang w:val="zh-CN" w:bidi="ar"/>
        </w:rPr>
        <w:t>投标人名称（电子签章）：</w:t>
      </w:r>
    </w:p>
    <w:p w14:paraId="704321B0">
      <w:pPr>
        <w:snapToGrid w:val="0"/>
        <w:spacing w:line="360" w:lineRule="auto"/>
        <w:ind w:firstLine="5985" w:firstLineChars="285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bidi="ar"/>
        </w:rPr>
        <w:t>日期</w:t>
      </w:r>
      <w:r>
        <w:rPr>
          <w:rFonts w:hint="eastAsia" w:ascii="宋体" w:hAnsi="宋体" w:cs="宋体"/>
          <w:color w:val="auto"/>
          <w:kern w:val="0"/>
          <w:szCs w:val="21"/>
          <w:highlight w:val="none"/>
          <w:lang w:bidi="ar"/>
        </w:rPr>
        <w:t xml:space="preserve">：  年  </w:t>
      </w:r>
      <w:r>
        <w:rPr>
          <w:rFonts w:hint="eastAsia" w:ascii="宋体" w:hAnsi="宋体" w:cs="宋体"/>
          <w:color w:val="auto"/>
          <w:kern w:val="0"/>
          <w:szCs w:val="21"/>
          <w:highlight w:val="none"/>
          <w:lang w:val="zh-CN" w:bidi="ar"/>
        </w:rPr>
        <w:t>月</w:t>
      </w:r>
      <w:r>
        <w:rPr>
          <w:rFonts w:hint="eastAsia" w:ascii="宋体" w:hAnsi="宋体" w:cs="宋体"/>
          <w:color w:val="auto"/>
          <w:kern w:val="0"/>
          <w:szCs w:val="21"/>
          <w:highlight w:val="none"/>
          <w:lang w:bidi="ar"/>
        </w:rPr>
        <w:t xml:space="preserve">   </w:t>
      </w:r>
      <w:r>
        <w:rPr>
          <w:rFonts w:hint="eastAsia" w:ascii="宋体" w:hAnsi="宋体" w:cs="宋体"/>
          <w:color w:val="auto"/>
          <w:kern w:val="0"/>
          <w:szCs w:val="21"/>
          <w:highlight w:val="none"/>
          <w:lang w:val="zh-CN" w:bidi="ar"/>
        </w:rPr>
        <w:t>日</w:t>
      </w:r>
    </w:p>
    <w:p w14:paraId="5F7220C6">
      <w:pPr>
        <w:widowControl/>
        <w:spacing w:line="360" w:lineRule="auto"/>
        <w:ind w:left="5180" w:leftChars="1979" w:hanging="1024" w:hangingChars="488"/>
        <w:rPr>
          <w:rFonts w:ascii="宋体" w:hAnsi="宋体" w:cs="宋体"/>
          <w:color w:val="auto"/>
          <w:szCs w:val="21"/>
          <w:highlight w:val="none"/>
        </w:rPr>
      </w:pPr>
    </w:p>
    <w:p w14:paraId="0EA8328F">
      <w:pPr>
        <w:spacing w:line="360" w:lineRule="auto"/>
        <w:ind w:right="420" w:firstLine="420" w:firstLineChars="200"/>
        <w:rPr>
          <w:rFonts w:ascii="宋体" w:hAnsi="宋体" w:cs="宋体"/>
          <w:color w:val="auto"/>
          <w:szCs w:val="21"/>
          <w:highlight w:val="none"/>
        </w:rPr>
      </w:pPr>
      <w:r>
        <w:rPr>
          <w:rFonts w:hint="eastAsia" w:ascii="宋体" w:hAnsi="宋体" w:cs="宋体"/>
          <w:color w:val="auto"/>
          <w:szCs w:val="21"/>
          <w:highlight w:val="none"/>
          <w:lang w:bidi="ar"/>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6745B84E">
      <w:pPr>
        <w:pStyle w:val="2"/>
        <w:wordWrap w:val="0"/>
        <w:spacing w:after="0" w:line="360" w:lineRule="auto"/>
        <w:rPr>
          <w:rFonts w:ascii="宋体" w:hAnsi="宋体" w:cs="宋体"/>
          <w:color w:val="auto"/>
          <w:highlight w:val="none"/>
        </w:rPr>
      </w:pPr>
    </w:p>
    <w:p w14:paraId="251FAEAB">
      <w:pPr>
        <w:rPr>
          <w:rFonts w:ascii="宋体" w:hAnsi="宋体" w:cs="宋体"/>
          <w:b/>
          <w:bCs/>
          <w:color w:val="auto"/>
          <w:sz w:val="28"/>
          <w:szCs w:val="28"/>
          <w:highlight w:val="none"/>
        </w:rPr>
      </w:pPr>
      <w:bookmarkStart w:id="303" w:name="_Toc19686840"/>
    </w:p>
    <w:p w14:paraId="336AAF1E">
      <w:pPr>
        <w:rPr>
          <w:rFonts w:ascii="宋体" w:hAnsi="宋体" w:cs="宋体"/>
          <w:b/>
          <w:bCs/>
          <w:color w:val="auto"/>
          <w:sz w:val="28"/>
          <w:szCs w:val="28"/>
          <w:highlight w:val="none"/>
        </w:rPr>
      </w:pPr>
      <w:r>
        <w:rPr>
          <w:rFonts w:hint="eastAsia" w:ascii="宋体" w:hAnsi="宋体" w:cs="宋体"/>
          <w:b/>
          <w:bCs/>
          <w:color w:val="auto"/>
          <w:sz w:val="28"/>
          <w:szCs w:val="28"/>
          <w:highlight w:val="none"/>
        </w:rPr>
        <w:t>四、投标人针对报价需要说明的其他文件和说明。</w:t>
      </w:r>
    </w:p>
    <w:p w14:paraId="2FF7DD40">
      <w:pPr>
        <w:jc w:val="left"/>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7A421BF6">
      <w:pPr>
        <w:wordWrap w:val="0"/>
        <w:snapToGrid w:val="0"/>
        <w:spacing w:line="360" w:lineRule="auto"/>
        <w:jc w:val="center"/>
        <w:outlineLvl w:val="1"/>
        <w:rPr>
          <w:rFonts w:ascii="宋体" w:hAnsi="宋体" w:cs="宋体"/>
          <w:b/>
          <w:bCs/>
          <w:color w:val="auto"/>
          <w:sz w:val="28"/>
          <w:szCs w:val="28"/>
          <w:highlight w:val="none"/>
        </w:rPr>
      </w:pPr>
      <w:bookmarkStart w:id="304" w:name="_Toc18362"/>
      <w:r>
        <w:rPr>
          <w:rFonts w:hint="eastAsia" w:ascii="宋体" w:hAnsi="宋体" w:cs="宋体"/>
          <w:b/>
          <w:bCs/>
          <w:color w:val="auto"/>
          <w:sz w:val="28"/>
          <w:szCs w:val="28"/>
          <w:highlight w:val="none"/>
        </w:rPr>
        <w:t>第六节 其他文书、文件格式</w:t>
      </w:r>
      <w:bookmarkEnd w:id="303"/>
      <w:bookmarkEnd w:id="304"/>
    </w:p>
    <w:p w14:paraId="2A655674">
      <w:pPr>
        <w:wordWrap w:val="0"/>
        <w:spacing w:line="360" w:lineRule="auto"/>
        <w:jc w:val="center"/>
        <w:rPr>
          <w:rFonts w:ascii="宋体" w:hAnsi="宋体" w:cs="宋体"/>
          <w:b/>
          <w:bCs/>
          <w:color w:val="auto"/>
          <w:sz w:val="32"/>
          <w:szCs w:val="32"/>
          <w:highlight w:val="none"/>
          <w:lang w:val="en"/>
        </w:rPr>
      </w:pPr>
    </w:p>
    <w:p w14:paraId="67699629">
      <w:pPr>
        <w:wordWrap w:val="0"/>
        <w:spacing w:line="360" w:lineRule="auto"/>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6C5D774E">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6C37D7DA">
      <w:pPr>
        <w:wordWrap w:val="0"/>
        <w:spacing w:line="360" w:lineRule="auto"/>
        <w:rPr>
          <w:rFonts w:ascii="宋体" w:hAnsi="宋体" w:cs="宋体"/>
          <w:color w:val="auto"/>
          <w:sz w:val="30"/>
          <w:szCs w:val="30"/>
          <w:highlight w:val="none"/>
          <w:lang w:val="en"/>
        </w:rPr>
      </w:pPr>
      <w:r>
        <w:rPr>
          <w:rFonts w:hint="eastAsia" w:ascii="宋体" w:hAnsi="宋体" w:cs="宋体"/>
          <w:color w:val="auto"/>
          <w:sz w:val="30"/>
          <w:szCs w:val="30"/>
          <w:highlight w:val="none"/>
        </w:rPr>
        <w:t xml:space="preserve">    本</w:t>
      </w:r>
      <w:r>
        <w:rPr>
          <w:rFonts w:hint="eastAsia" w:ascii="宋体" w:hAnsi="宋体" w:cs="宋体"/>
          <w:color w:val="auto"/>
          <w:sz w:val="30"/>
          <w:szCs w:val="30"/>
          <w:highlight w:val="none"/>
          <w:lang w:val="en"/>
        </w:rPr>
        <w:t>企业自愿参与政府投资政府采购的</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u w:val="single"/>
        </w:rPr>
        <w:t>项目名称</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lang w:val="en"/>
        </w:rPr>
        <w:t>项目，</w:t>
      </w:r>
      <w:r>
        <w:rPr>
          <w:rFonts w:hint="eastAsia" w:ascii="宋体" w:hAnsi="宋体" w:cs="宋体"/>
          <w:b/>
          <w:bCs/>
          <w:color w:val="auto"/>
          <w:sz w:val="30"/>
          <w:szCs w:val="30"/>
          <w:highlight w:val="none"/>
          <w:lang w:val="en"/>
        </w:rPr>
        <w:t>在此郑重承诺：</w:t>
      </w:r>
      <w:r>
        <w:rPr>
          <w:rFonts w:hint="eastAsia" w:ascii="宋体" w:hAnsi="宋体" w:cs="宋体"/>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3C96869C">
      <w:pPr>
        <w:wordWrap w:val="0"/>
        <w:snapToGrid w:val="0"/>
        <w:spacing w:line="360" w:lineRule="auto"/>
        <w:ind w:left="5137" w:leftChars="1736" w:hanging="1491" w:hangingChars="825"/>
        <w:rPr>
          <w:rFonts w:ascii="宋体" w:hAnsi="宋体" w:cs="宋体"/>
          <w:b/>
          <w:color w:val="auto"/>
          <w:sz w:val="18"/>
          <w:szCs w:val="18"/>
          <w:highlight w:val="none"/>
        </w:rPr>
      </w:pPr>
      <w:r>
        <w:rPr>
          <w:rFonts w:hint="eastAsia" w:ascii="宋体" w:hAnsi="宋体" w:cs="宋体"/>
          <w:b/>
          <w:color w:val="auto"/>
          <w:sz w:val="18"/>
          <w:szCs w:val="18"/>
          <w:highlight w:val="none"/>
        </w:rPr>
        <w:t xml:space="preserve">           </w:t>
      </w:r>
    </w:p>
    <w:p w14:paraId="307E39C6">
      <w:pPr>
        <w:wordWrap w:val="0"/>
        <w:snapToGrid w:val="0"/>
        <w:spacing w:line="360" w:lineRule="auto"/>
        <w:ind w:left="5137" w:leftChars="1736" w:hanging="1491" w:hangingChars="825"/>
        <w:rPr>
          <w:rFonts w:ascii="宋体" w:hAnsi="宋体" w:cs="宋体"/>
          <w:b/>
          <w:color w:val="auto"/>
          <w:sz w:val="18"/>
          <w:szCs w:val="18"/>
          <w:highlight w:val="none"/>
        </w:rPr>
      </w:pPr>
    </w:p>
    <w:p w14:paraId="64DAC6DC">
      <w:pPr>
        <w:wordWrap w:val="0"/>
        <w:snapToGrid w:val="0"/>
        <w:spacing w:line="360" w:lineRule="auto"/>
        <w:ind w:left="5137" w:leftChars="1736" w:hanging="1491" w:hangingChars="825"/>
        <w:rPr>
          <w:rFonts w:ascii="宋体" w:hAnsi="宋体" w:cs="宋体"/>
          <w:b/>
          <w:color w:val="auto"/>
          <w:sz w:val="18"/>
          <w:szCs w:val="18"/>
          <w:highlight w:val="none"/>
        </w:rPr>
      </w:pPr>
    </w:p>
    <w:p w14:paraId="6F8EF930">
      <w:pPr>
        <w:wordWrap w:val="0"/>
        <w:snapToGrid w:val="0"/>
        <w:spacing w:line="360" w:lineRule="auto"/>
        <w:ind w:left="5137" w:leftChars="1736" w:hanging="1491" w:hangingChars="825"/>
        <w:rPr>
          <w:rFonts w:ascii="宋体" w:hAnsi="宋体" w:cs="宋体"/>
          <w:b/>
          <w:color w:val="auto"/>
          <w:sz w:val="18"/>
          <w:szCs w:val="18"/>
          <w:highlight w:val="none"/>
        </w:rPr>
      </w:pPr>
    </w:p>
    <w:p w14:paraId="5B6F5F86">
      <w:pPr>
        <w:wordWrap w:val="0"/>
        <w:snapToGrid w:val="0"/>
        <w:spacing w:line="360" w:lineRule="auto"/>
        <w:ind w:left="5137" w:leftChars="1736" w:hanging="1491" w:hangingChars="825"/>
        <w:rPr>
          <w:rFonts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32549745">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5030586">
      <w:pPr>
        <w:wordWrap w:val="0"/>
        <w:spacing w:line="360" w:lineRule="auto"/>
        <w:ind w:right="420" w:firstLine="602" w:firstLineChars="200"/>
        <w:rPr>
          <w:rFonts w:ascii="宋体" w:hAnsi="宋体" w:cs="宋体"/>
          <w:color w:val="auto"/>
          <w:sz w:val="20"/>
          <w:highlight w:val="none"/>
        </w:rPr>
        <w:sectPr>
          <w:pgSz w:w="11906" w:h="16838"/>
          <w:pgMar w:top="1440" w:right="1080" w:bottom="1440" w:left="1080" w:header="720" w:footer="720" w:gutter="0"/>
          <w:pgNumType w:fmt="decimal"/>
          <w:cols w:space="720" w:num="1"/>
          <w:docGrid w:type="lines" w:linePitch="331" w:charSpace="0"/>
        </w:sectPr>
      </w:pPr>
      <w:r>
        <w:rPr>
          <w:rFonts w:hint="eastAsia" w:ascii="宋体" w:hAnsi="宋体" w:cs="宋体"/>
          <w:b/>
          <w:color w:val="auto"/>
          <w:sz w:val="30"/>
          <w:szCs w:val="30"/>
          <w:highlight w:val="none"/>
        </w:rPr>
        <w:br w:type="page"/>
      </w:r>
    </w:p>
    <w:p w14:paraId="460C2054">
      <w:pPr>
        <w:pStyle w:val="12"/>
        <w:tabs>
          <w:tab w:val="left" w:pos="2472"/>
        </w:tabs>
        <w:wordWrap w:val="0"/>
        <w:spacing w:line="360" w:lineRule="auto"/>
        <w:rPr>
          <w:rFonts w:hAnsi="宋体" w:cs="宋体"/>
          <w:b/>
          <w:color w:val="auto"/>
          <w:sz w:val="36"/>
          <w:highlight w:val="none"/>
        </w:rPr>
      </w:pPr>
    </w:p>
    <w:p w14:paraId="5F1037AB">
      <w:pPr>
        <w:pStyle w:val="12"/>
        <w:tabs>
          <w:tab w:val="left" w:pos="2472"/>
        </w:tabs>
        <w:wordWrap w:val="0"/>
        <w:spacing w:line="360" w:lineRule="auto"/>
        <w:jc w:val="center"/>
        <w:rPr>
          <w:rFonts w:hAnsi="宋体" w:cs="宋体"/>
          <w:b/>
          <w:color w:val="auto"/>
          <w:sz w:val="36"/>
          <w:highlight w:val="none"/>
        </w:rPr>
      </w:pPr>
    </w:p>
    <w:p w14:paraId="45E9FE72">
      <w:pPr>
        <w:pStyle w:val="12"/>
        <w:tabs>
          <w:tab w:val="left" w:pos="2472"/>
        </w:tabs>
        <w:wordWrap w:val="0"/>
        <w:spacing w:line="360" w:lineRule="auto"/>
        <w:jc w:val="center"/>
        <w:rPr>
          <w:rFonts w:hAnsi="宋体" w:cs="宋体"/>
          <w:b/>
          <w:color w:val="auto"/>
          <w:sz w:val="36"/>
          <w:highlight w:val="none"/>
        </w:rPr>
      </w:pPr>
    </w:p>
    <w:p w14:paraId="293D4758">
      <w:pPr>
        <w:pStyle w:val="12"/>
        <w:tabs>
          <w:tab w:val="left" w:pos="2472"/>
        </w:tabs>
        <w:wordWrap w:val="0"/>
        <w:spacing w:line="360" w:lineRule="auto"/>
        <w:jc w:val="center"/>
        <w:rPr>
          <w:rFonts w:hAnsi="宋体" w:cs="宋体"/>
          <w:b/>
          <w:color w:val="auto"/>
          <w:sz w:val="36"/>
          <w:highlight w:val="none"/>
        </w:rPr>
      </w:pPr>
    </w:p>
    <w:p w14:paraId="40803FED">
      <w:pPr>
        <w:pStyle w:val="12"/>
        <w:tabs>
          <w:tab w:val="left" w:pos="2472"/>
        </w:tabs>
        <w:wordWrap w:val="0"/>
        <w:spacing w:line="360" w:lineRule="auto"/>
        <w:jc w:val="center"/>
        <w:rPr>
          <w:rFonts w:hAnsi="宋体" w:cs="宋体"/>
          <w:b/>
          <w:color w:val="auto"/>
          <w:sz w:val="36"/>
          <w:highlight w:val="none"/>
        </w:rPr>
      </w:pPr>
    </w:p>
    <w:p w14:paraId="5C6F313F">
      <w:pPr>
        <w:pStyle w:val="12"/>
        <w:tabs>
          <w:tab w:val="left" w:pos="2472"/>
        </w:tabs>
        <w:wordWrap w:val="0"/>
        <w:spacing w:line="360" w:lineRule="auto"/>
        <w:jc w:val="center"/>
        <w:rPr>
          <w:rFonts w:hAnsi="宋体" w:cs="宋体"/>
          <w:b/>
          <w:color w:val="auto"/>
          <w:sz w:val="36"/>
          <w:highlight w:val="none"/>
        </w:rPr>
      </w:pPr>
    </w:p>
    <w:p w14:paraId="58463C49">
      <w:pPr>
        <w:pStyle w:val="12"/>
        <w:tabs>
          <w:tab w:val="left" w:pos="2472"/>
        </w:tabs>
        <w:wordWrap w:val="0"/>
        <w:spacing w:line="360" w:lineRule="auto"/>
        <w:jc w:val="center"/>
        <w:rPr>
          <w:rFonts w:hAnsi="宋体" w:cs="宋体"/>
          <w:b/>
          <w:color w:val="auto"/>
          <w:sz w:val="36"/>
          <w:highlight w:val="none"/>
        </w:rPr>
      </w:pPr>
    </w:p>
    <w:p w14:paraId="2AD9D660">
      <w:pPr>
        <w:pStyle w:val="12"/>
        <w:tabs>
          <w:tab w:val="left" w:pos="2472"/>
        </w:tabs>
        <w:wordWrap w:val="0"/>
        <w:spacing w:line="360" w:lineRule="auto"/>
        <w:jc w:val="center"/>
        <w:rPr>
          <w:rFonts w:hAnsi="宋体" w:cs="宋体"/>
          <w:b/>
          <w:color w:val="auto"/>
          <w:sz w:val="36"/>
          <w:highlight w:val="none"/>
        </w:rPr>
      </w:pPr>
    </w:p>
    <w:p w14:paraId="3E7FC7D9">
      <w:pPr>
        <w:pStyle w:val="12"/>
        <w:tabs>
          <w:tab w:val="left" w:pos="2472"/>
        </w:tabs>
        <w:wordWrap w:val="0"/>
        <w:spacing w:line="360" w:lineRule="auto"/>
        <w:jc w:val="center"/>
        <w:rPr>
          <w:rFonts w:hAnsi="宋体" w:cs="宋体"/>
          <w:b/>
          <w:color w:val="auto"/>
          <w:sz w:val="36"/>
          <w:highlight w:val="none"/>
        </w:rPr>
      </w:pPr>
    </w:p>
    <w:p w14:paraId="3129CFB3">
      <w:pPr>
        <w:pStyle w:val="12"/>
        <w:tabs>
          <w:tab w:val="left" w:pos="2472"/>
        </w:tabs>
        <w:wordWrap w:val="0"/>
        <w:spacing w:line="360" w:lineRule="auto"/>
        <w:jc w:val="center"/>
        <w:rPr>
          <w:rFonts w:hAnsi="宋体" w:cs="宋体"/>
          <w:b/>
          <w:color w:val="auto"/>
          <w:sz w:val="36"/>
          <w:highlight w:val="none"/>
        </w:rPr>
      </w:pPr>
    </w:p>
    <w:p w14:paraId="65125085">
      <w:pPr>
        <w:pStyle w:val="12"/>
        <w:tabs>
          <w:tab w:val="left" w:pos="2472"/>
        </w:tabs>
        <w:wordWrap w:val="0"/>
        <w:spacing w:line="360" w:lineRule="auto"/>
        <w:jc w:val="center"/>
        <w:rPr>
          <w:rFonts w:hAnsi="宋体" w:cs="宋体"/>
          <w:b/>
          <w:color w:val="auto"/>
          <w:sz w:val="36"/>
          <w:highlight w:val="none"/>
        </w:rPr>
      </w:pPr>
    </w:p>
    <w:p w14:paraId="7619D973">
      <w:pPr>
        <w:pStyle w:val="12"/>
        <w:tabs>
          <w:tab w:val="left" w:pos="2472"/>
        </w:tabs>
        <w:wordWrap w:val="0"/>
        <w:spacing w:line="360" w:lineRule="auto"/>
        <w:jc w:val="center"/>
        <w:outlineLvl w:val="0"/>
        <w:rPr>
          <w:rFonts w:hAnsi="宋体" w:cs="宋体"/>
          <w:b/>
          <w:color w:val="auto"/>
          <w:sz w:val="36"/>
          <w:highlight w:val="none"/>
        </w:rPr>
      </w:pPr>
      <w:bookmarkStart w:id="305" w:name="_Toc2360"/>
      <w:r>
        <w:rPr>
          <w:rFonts w:hint="eastAsia" w:hAnsi="宋体" w:cs="宋体"/>
          <w:b/>
          <w:color w:val="auto"/>
          <w:sz w:val="36"/>
          <w:highlight w:val="none"/>
        </w:rPr>
        <w:t>第七章 质疑、投诉证明材料格式</w:t>
      </w:r>
      <w:bookmarkEnd w:id="305"/>
    </w:p>
    <w:p w14:paraId="18B1D3D5">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pgNumType w:fmt="decimal"/>
          <w:cols w:space="720" w:num="1"/>
          <w:docGrid w:type="lines" w:linePitch="331" w:charSpace="0"/>
        </w:sectPr>
      </w:pPr>
    </w:p>
    <w:p w14:paraId="3526CB2A">
      <w:pPr>
        <w:pStyle w:val="4"/>
        <w:pageBreakBefore w:val="0"/>
        <w:wordWrap w:val="0"/>
        <w:overflowPunct/>
        <w:topLinePunct w:val="0"/>
        <w:bidi w:val="0"/>
        <w:spacing w:before="0" w:after="0" w:line="360" w:lineRule="auto"/>
        <w:jc w:val="center"/>
        <w:rPr>
          <w:rFonts w:ascii="宋体" w:hAnsi="宋体" w:eastAsia="宋体" w:cs="宋体"/>
          <w:b w:val="0"/>
          <w:bCs w:val="0"/>
          <w:color w:val="auto"/>
          <w:highlight w:val="none"/>
        </w:rPr>
      </w:pPr>
      <w:bookmarkStart w:id="306" w:name="_Toc24445"/>
      <w:bookmarkStart w:id="307" w:name="_Toc29826"/>
      <w:r>
        <w:rPr>
          <w:rFonts w:hint="eastAsia" w:ascii="宋体" w:hAnsi="宋体" w:eastAsia="宋体" w:cs="宋体"/>
          <w:b w:val="0"/>
          <w:bCs w:val="0"/>
          <w:color w:val="auto"/>
          <w:highlight w:val="none"/>
        </w:rPr>
        <w:t>第一节 质疑函（格式）</w:t>
      </w:r>
      <w:bookmarkEnd w:id="306"/>
      <w:bookmarkEnd w:id="307"/>
    </w:p>
    <w:p w14:paraId="3C5AB88B">
      <w:pPr>
        <w:pageBreakBefore w:val="0"/>
        <w:wordWrap w:val="0"/>
        <w:overflowPunct/>
        <w:topLinePunct w:val="0"/>
        <w:bidi w:val="0"/>
        <w:spacing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4B055AEE">
      <w:pPr>
        <w:pageBreakBefore w:val="0"/>
        <w:wordWrap w:val="0"/>
        <w:overflowPunct/>
        <w:topLinePunct w:val="0"/>
        <w:bidi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5A912E7C">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质疑供应商：</w:t>
      </w:r>
      <w:r>
        <w:rPr>
          <w:rFonts w:hint="eastAsia" w:ascii="宋体" w:hAnsi="宋体" w:cs="宋体"/>
          <w:color w:val="auto"/>
          <w:sz w:val="32"/>
          <w:szCs w:val="32"/>
          <w:highlight w:val="none"/>
          <w:u w:val="dotted"/>
        </w:rPr>
        <w:t xml:space="preserve">                                        </w:t>
      </w:r>
    </w:p>
    <w:p w14:paraId="470B3326">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28F7B0A0">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140C0AC2">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p>
    <w:p w14:paraId="79473C0B">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2AA43691">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地址： </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52A95A4A">
      <w:pPr>
        <w:pageBreakBefore w:val="0"/>
        <w:wordWrap w:val="0"/>
        <w:overflowPunct/>
        <w:topLinePunct w:val="0"/>
        <w:bidi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78495925">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46C24D23">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22B92C76">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39923672">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采购文件获取日期：</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731317DF">
      <w:pPr>
        <w:pageBreakBefore w:val="0"/>
        <w:wordWrap w:val="0"/>
        <w:overflowPunct/>
        <w:topLinePunct w:val="0"/>
        <w:bidi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三、质疑事项具体内容</w:t>
      </w:r>
    </w:p>
    <w:p w14:paraId="50556B5B">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质疑事项1：</w:t>
      </w:r>
      <w:r>
        <w:rPr>
          <w:rFonts w:hint="eastAsia" w:ascii="宋体" w:hAnsi="宋体" w:cs="宋体"/>
          <w:color w:val="auto"/>
          <w:sz w:val="32"/>
          <w:szCs w:val="32"/>
          <w:highlight w:val="none"/>
          <w:u w:val="dotted"/>
        </w:rPr>
        <w:t xml:space="preserve">                                         </w:t>
      </w:r>
    </w:p>
    <w:p w14:paraId="7D686B5B">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3AFEFF8F">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3489B5C0">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24B7469E">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w:t>
      </w:r>
    </w:p>
    <w:p w14:paraId="5E14B7E8">
      <w:pPr>
        <w:pageBreakBefore w:val="0"/>
        <w:wordWrap w:val="0"/>
        <w:overflowPunct/>
        <w:topLinePunct w:val="0"/>
        <w:bidi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3F23FDF1">
      <w:pPr>
        <w:pageBreakBefore w:val="0"/>
        <w:wordWrap w:val="0"/>
        <w:overflowPunct/>
        <w:topLinePunct w:val="0"/>
        <w:bidi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p>
    <w:p w14:paraId="4E37ED8D">
      <w:pPr>
        <w:pageBreakBefore w:val="0"/>
        <w:wordWrap w:val="0"/>
        <w:overflowPunct/>
        <w:topLinePunct w:val="0"/>
        <w:bidi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20427B28">
      <w:pPr>
        <w:pageBreakBefore w:val="0"/>
        <w:wordWrap w:val="0"/>
        <w:overflowPunct/>
        <w:topLinePunct w:val="0"/>
        <w:bidi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41529692">
      <w:pPr>
        <w:pageBreakBefore w:val="0"/>
        <w:wordWrap w:val="0"/>
        <w:overflowPunct/>
        <w:topLinePunct w:val="0"/>
        <w:bidi w:val="0"/>
        <w:adjustRightInd w:val="0"/>
        <w:snapToGrid w:val="0"/>
        <w:spacing w:line="360" w:lineRule="auto"/>
        <w:rPr>
          <w:rFonts w:ascii="宋体" w:hAnsi="宋体" w:cs="宋体"/>
          <w:color w:val="auto"/>
          <w:sz w:val="32"/>
          <w:szCs w:val="32"/>
          <w:highlight w:val="none"/>
        </w:rPr>
      </w:pPr>
    </w:p>
    <w:p w14:paraId="75E35A8C">
      <w:pPr>
        <w:pageBreakBefore w:val="0"/>
        <w:wordWrap w:val="0"/>
        <w:overflowPunct/>
        <w:topLinePunct w:val="0"/>
        <w:bidi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271548A8">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58487B43">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533D04A6">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59689E1F">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47A6181F">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304D2086">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6D7D11FF">
      <w:pPr>
        <w:pageBreakBefore w:val="0"/>
        <w:widowControl/>
        <w:wordWrap w:val="0"/>
        <w:overflowPunct/>
        <w:topLinePunct w:val="0"/>
        <w:bidi w:val="0"/>
        <w:spacing w:line="360" w:lineRule="auto"/>
        <w:ind w:firstLine="600" w:firstLineChars="200"/>
        <w:jc w:val="left"/>
        <w:rPr>
          <w:rFonts w:ascii="宋体" w:hAnsi="宋体" w:cs="宋体"/>
          <w:color w:val="auto"/>
          <w:sz w:val="30"/>
          <w:szCs w:val="30"/>
          <w:highlight w:val="none"/>
        </w:rPr>
      </w:pPr>
    </w:p>
    <w:p w14:paraId="25C59448">
      <w:pPr>
        <w:pageBreakBefore w:val="0"/>
        <w:widowControl/>
        <w:wordWrap w:val="0"/>
        <w:overflowPunct/>
        <w:topLinePunct w:val="0"/>
        <w:bidi w:val="0"/>
        <w:spacing w:line="360" w:lineRule="auto"/>
        <w:jc w:val="left"/>
        <w:rPr>
          <w:rFonts w:ascii="宋体" w:hAnsi="宋体" w:cs="宋体"/>
          <w:color w:val="auto"/>
          <w:kern w:val="0"/>
          <w:sz w:val="24"/>
          <w:highlight w:val="none"/>
        </w:rPr>
        <w:sectPr>
          <w:pgSz w:w="11906" w:h="16838"/>
          <w:pgMar w:top="1440" w:right="1080" w:bottom="1440" w:left="1080" w:header="720" w:footer="720" w:gutter="0"/>
          <w:pgNumType w:fmt="decimal"/>
          <w:cols w:space="720" w:num="1"/>
          <w:docGrid w:type="lines" w:linePitch="331" w:charSpace="0"/>
        </w:sectPr>
      </w:pPr>
    </w:p>
    <w:p w14:paraId="6780A065">
      <w:pPr>
        <w:pStyle w:val="4"/>
        <w:pageBreakBefore w:val="0"/>
        <w:wordWrap w:val="0"/>
        <w:overflowPunct/>
        <w:topLinePunct w:val="0"/>
        <w:bidi w:val="0"/>
        <w:spacing w:before="0" w:after="0" w:line="360" w:lineRule="auto"/>
        <w:jc w:val="center"/>
        <w:rPr>
          <w:rFonts w:ascii="宋体" w:hAnsi="宋体" w:eastAsia="宋体" w:cs="宋体"/>
          <w:b w:val="0"/>
          <w:bCs w:val="0"/>
          <w:color w:val="auto"/>
          <w:highlight w:val="none"/>
        </w:rPr>
      </w:pPr>
      <w:bookmarkStart w:id="308" w:name="_Toc1097"/>
      <w:bookmarkStart w:id="309" w:name="_Toc14288"/>
      <w:r>
        <w:rPr>
          <w:rFonts w:hint="eastAsia" w:ascii="宋体" w:hAnsi="宋体" w:eastAsia="宋体" w:cs="宋体"/>
          <w:b w:val="0"/>
          <w:bCs w:val="0"/>
          <w:color w:val="auto"/>
          <w:highlight w:val="none"/>
        </w:rPr>
        <w:t>第二节 投诉书（格式）</w:t>
      </w:r>
      <w:bookmarkEnd w:id="308"/>
      <w:bookmarkEnd w:id="309"/>
    </w:p>
    <w:p w14:paraId="1AE45C1F">
      <w:pPr>
        <w:pageBreakBefore w:val="0"/>
        <w:wordWrap w:val="0"/>
        <w:overflowPunct/>
        <w:topLinePunct w:val="0"/>
        <w:bidi w:val="0"/>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2AA065E2">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62398727">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投诉人：</w:t>
      </w:r>
      <w:r>
        <w:rPr>
          <w:rFonts w:hint="eastAsia" w:ascii="宋体" w:hAnsi="宋体" w:cs="宋体"/>
          <w:color w:val="auto"/>
          <w:sz w:val="32"/>
          <w:szCs w:val="32"/>
          <w:highlight w:val="none"/>
          <w:u w:val="dotted"/>
        </w:rPr>
        <w:t xml:space="preserve">                                               </w:t>
      </w:r>
    </w:p>
    <w:p w14:paraId="22AC12F5">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3857FFD0">
      <w:pPr>
        <w:pageBreakBefore w:val="0"/>
        <w:tabs>
          <w:tab w:val="left" w:pos="6510"/>
        </w:tabs>
        <w:wordWrap w:val="0"/>
        <w:overflowPunct/>
        <w:topLinePunct w:val="0"/>
        <w:bidi w:val="0"/>
        <w:spacing w:line="360" w:lineRule="auto"/>
        <w:jc w:val="left"/>
        <w:rPr>
          <w:rFonts w:ascii="宋体" w:hAnsi="宋体" w:cs="宋体"/>
          <w:color w:val="auto"/>
          <w:sz w:val="32"/>
          <w:szCs w:val="32"/>
          <w:highlight w:val="none"/>
        </w:rPr>
      </w:pPr>
      <w:r>
        <w:rPr>
          <w:rFonts w:hint="eastAsia" w:ascii="宋体" w:hAnsi="宋体" w:cs="宋体"/>
          <w:color w:val="auto"/>
          <w:sz w:val="32"/>
          <w:szCs w:val="32"/>
          <w:highlight w:val="none"/>
        </w:rPr>
        <w:t>法定代表人/主要负责人：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4943DF3C">
      <w:pPr>
        <w:pageBreakBefore w:val="0"/>
        <w:tabs>
          <w:tab w:val="left" w:pos="6510"/>
        </w:tabs>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0AE52C80">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27746FEB">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48BE3618">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被投诉人1：</w:t>
      </w:r>
      <w:r>
        <w:rPr>
          <w:rFonts w:hint="eastAsia" w:ascii="宋体" w:hAnsi="宋体" w:cs="宋体"/>
          <w:color w:val="auto"/>
          <w:sz w:val="32"/>
          <w:szCs w:val="32"/>
          <w:highlight w:val="none"/>
          <w:u w:val="dotted"/>
        </w:rPr>
        <w:t xml:space="preserve">                                          </w:t>
      </w:r>
    </w:p>
    <w:p w14:paraId="3E1F7EBB">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13C7382A">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4006A8C4">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被投诉人2</w:t>
      </w:r>
    </w:p>
    <w:p w14:paraId="1DFA819C">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0CEA1AD1">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相关供应商：</w:t>
      </w:r>
      <w:r>
        <w:rPr>
          <w:rFonts w:hint="eastAsia" w:ascii="宋体" w:hAnsi="宋体" w:cs="宋体"/>
          <w:color w:val="auto"/>
          <w:sz w:val="32"/>
          <w:szCs w:val="32"/>
          <w:highlight w:val="none"/>
          <w:u w:val="dotted"/>
        </w:rPr>
        <w:t xml:space="preserve">                                           </w:t>
      </w:r>
    </w:p>
    <w:p w14:paraId="0690957A">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306E41E9">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6288F088">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066748D9">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采购项目名称：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491D8D87">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61309E38">
      <w:pPr>
        <w:pageBreakBefore w:val="0"/>
        <w:wordWrap w:val="0"/>
        <w:overflowPunct/>
        <w:topLinePunct w:val="0"/>
        <w:bidi w:val="0"/>
        <w:spacing w:line="360" w:lineRule="auto"/>
        <w:rPr>
          <w:rFonts w:hint="default" w:ascii="宋体" w:hAnsi="宋体" w:cs="宋体"/>
          <w:color w:val="auto"/>
          <w:sz w:val="32"/>
          <w:szCs w:val="32"/>
          <w:highlight w:val="none"/>
          <w:lang w:val="en-US"/>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p>
    <w:p w14:paraId="3B9E4D41">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代理机构名称：</w:t>
      </w:r>
      <w:r>
        <w:rPr>
          <w:rFonts w:hint="eastAsia" w:ascii="宋体" w:hAnsi="宋体" w:cs="宋体"/>
          <w:color w:val="auto"/>
          <w:sz w:val="32"/>
          <w:szCs w:val="32"/>
          <w:highlight w:val="none"/>
          <w:u w:val="dotted"/>
        </w:rPr>
        <w:t xml:space="preserve">                                         </w:t>
      </w:r>
    </w:p>
    <w:p w14:paraId="42055414">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266151C6">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68EECC8C">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3DF1250B">
      <w:pPr>
        <w:pageBreakBefore w:val="0"/>
        <w:wordWrap w:val="0"/>
        <w:overflowPunct/>
        <w:topLinePunct w:val="0"/>
        <w:bidi w:val="0"/>
        <w:spacing w:line="360" w:lineRule="auto"/>
        <w:ind w:firstLine="640" w:firstLineChars="200"/>
        <w:rPr>
          <w:rFonts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日,向</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提出质疑，质疑事项为：</w:t>
      </w:r>
      <w:r>
        <w:rPr>
          <w:rFonts w:hint="eastAsia" w:ascii="宋体" w:hAnsi="宋体" w:cs="宋体"/>
          <w:color w:val="auto"/>
          <w:sz w:val="32"/>
          <w:szCs w:val="32"/>
          <w:highlight w:val="none"/>
          <w:u w:val="dotted"/>
        </w:rPr>
        <w:t xml:space="preserve">                                </w:t>
      </w:r>
    </w:p>
    <w:p w14:paraId="5EB24BAD">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FDEEA7F">
      <w:pPr>
        <w:pageBreakBefore w:val="0"/>
        <w:wordWrap w:val="0"/>
        <w:overflowPunct/>
        <w:topLinePunct w:val="0"/>
        <w:bidi w:val="0"/>
        <w:spacing w:line="360" w:lineRule="auto"/>
        <w:ind w:firstLine="480" w:firstLineChars="150"/>
        <w:rPr>
          <w:rFonts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日,就质疑事项作出了答复/没有在法定期限内作出答复。</w:t>
      </w:r>
    </w:p>
    <w:p w14:paraId="741139B1">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5636A943">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投诉事项 1：</w:t>
      </w:r>
      <w:r>
        <w:rPr>
          <w:rFonts w:hint="eastAsia" w:ascii="宋体" w:hAnsi="宋体" w:cs="宋体"/>
          <w:color w:val="auto"/>
          <w:sz w:val="32"/>
          <w:szCs w:val="32"/>
          <w:highlight w:val="none"/>
          <w:u w:val="dotted"/>
        </w:rPr>
        <w:t xml:space="preserve">                                       </w:t>
      </w:r>
    </w:p>
    <w:p w14:paraId="2F25812A">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1B735300">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3530A0FE">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投诉事项2</w:t>
      </w:r>
    </w:p>
    <w:p w14:paraId="24F9CE03">
      <w:pPr>
        <w:pageBreakBefore w:val="0"/>
        <w:wordWrap w:val="0"/>
        <w:overflowPunct/>
        <w:topLinePunct w:val="0"/>
        <w:bidi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15964BBE">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5870E11E">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751B42CE">
      <w:pPr>
        <w:pageBreakBefore w:val="0"/>
        <w:wordWrap w:val="0"/>
        <w:overflowPunct/>
        <w:topLinePunct w:val="0"/>
        <w:bidi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 xml:space="preserve">                                      </w:t>
      </w:r>
    </w:p>
    <w:p w14:paraId="473A7069">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2BDCC9A9">
      <w:pPr>
        <w:pageBreakBefore w:val="0"/>
        <w:wordWrap w:val="0"/>
        <w:overflowPunct/>
        <w:topLinePunct w:val="0"/>
        <w:bidi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211FA493">
      <w:pPr>
        <w:pageBreakBefore w:val="0"/>
        <w:wordWrap w:val="0"/>
        <w:overflowPunct/>
        <w:topLinePunct w:val="0"/>
        <w:bidi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6CEA0ED2">
      <w:pPr>
        <w:pageBreakBefore w:val="0"/>
        <w:widowControl/>
        <w:wordWrap w:val="0"/>
        <w:overflowPunct/>
        <w:topLinePunct w:val="0"/>
        <w:bidi w:val="0"/>
        <w:spacing w:line="360" w:lineRule="auto"/>
        <w:ind w:firstLine="640" w:firstLineChars="200"/>
        <w:rPr>
          <w:rFonts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68979797">
      <w:pPr>
        <w:pageBreakBefore w:val="0"/>
        <w:widowControl/>
        <w:wordWrap w:val="0"/>
        <w:overflowPunct/>
        <w:topLinePunct w:val="0"/>
        <w:bidi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2BECBCFD">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75338C55">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18019291">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7F8B9685">
      <w:pPr>
        <w:pageBreakBefore w:val="0"/>
        <w:widowControl/>
        <w:wordWrap w:val="0"/>
        <w:overflowPunct/>
        <w:topLinePunct w:val="0"/>
        <w:bidi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01D2AC34">
      <w:pPr>
        <w:pageBreakBefore w:val="0"/>
        <w:widowControl/>
        <w:wordWrap w:val="0"/>
        <w:overflowPunct/>
        <w:topLinePunct w:val="0"/>
        <w:bidi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3BBD5E26">
      <w:pPr>
        <w:wordWrap w:val="0"/>
        <w:spacing w:line="360" w:lineRule="auto"/>
        <w:rPr>
          <w:rFonts w:ascii="宋体" w:hAnsi="宋体" w:cs="宋体"/>
          <w:color w:val="auto"/>
          <w:highlight w:val="none"/>
        </w:rPr>
      </w:pPr>
    </w:p>
    <w:p w14:paraId="02D02F6D">
      <w:pPr>
        <w:rPr>
          <w:rFonts w:ascii="宋体" w:hAnsi="宋体" w:cs="宋体"/>
          <w:color w:val="auto"/>
          <w:highlight w:val="none"/>
        </w:rPr>
      </w:pPr>
    </w:p>
    <w:sectPr>
      <w:footerReference r:id="rId10" w:type="first"/>
      <w:headerReference r:id="rId7" w:type="default"/>
      <w:footerReference r:id="rId8" w:type="default"/>
      <w:footerReference r:id="rId9" w:type="even"/>
      <w:pgSz w:w="11906" w:h="16838"/>
      <w:pgMar w:top="1440" w:right="1080" w:bottom="1440" w:left="1080"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9D13A">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6A370">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B6A370">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C51F7">
    <w:pPr>
      <w:pStyle w:val="14"/>
      <w:tabs>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704E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5704E2">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22AE6">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E0C7A">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DE0C7A">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36F58">
    <w:pPr>
      <w:pStyle w:val="14"/>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4E086">
                          <w:pPr>
                            <w:pStyle w:val="14"/>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F4E086">
                    <w:pPr>
                      <w:pStyle w:val="14"/>
                    </w:pPr>
                    <w:r>
                      <w:fldChar w:fldCharType="begin"/>
                    </w:r>
                    <w:r>
                      <w:instrText xml:space="preserve"> PAGE  \* MERGEFORMAT </w:instrText>
                    </w:r>
                    <w:r>
                      <w:fldChar w:fldCharType="separate"/>
                    </w:r>
                    <w:r>
                      <w:t>109</w:t>
                    </w:r>
                    <w:r>
                      <w:fldChar w:fldCharType="end"/>
                    </w:r>
                  </w:p>
                </w:txbxContent>
              </v:textbox>
            </v:shape>
          </w:pict>
        </mc:Fallback>
      </mc:AlternateContent>
    </w:r>
  </w:p>
  <w:p w14:paraId="37F305FB">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8C298">
    <w:pPr>
      <w:pStyle w:val="14"/>
      <w:framePr w:wrap="around" w:vAnchor="text" w:hAnchor="margin" w:xAlign="center" w:y="1"/>
      <w:rPr>
        <w:rStyle w:val="27"/>
      </w:rPr>
    </w:pPr>
    <w:r>
      <w:fldChar w:fldCharType="begin"/>
    </w:r>
    <w:r>
      <w:rPr>
        <w:rStyle w:val="27"/>
      </w:rPr>
      <w:instrText xml:space="preserve">PAGE  </w:instrText>
    </w:r>
    <w:r>
      <w:fldChar w:fldCharType="end"/>
    </w:r>
  </w:p>
  <w:p w14:paraId="30F0B132">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B9E2">
    <w:pPr>
      <w:pStyle w:val="14"/>
      <w:framePr w:wrap="around" w:vAnchor="text" w:hAnchor="margin" w:xAlign="right" w:y="1"/>
      <w:rPr>
        <w:rStyle w:val="27"/>
      </w:rPr>
    </w:pPr>
    <w:r>
      <w:fldChar w:fldCharType="begin"/>
    </w:r>
    <w:r>
      <w:rPr>
        <w:rStyle w:val="27"/>
      </w:rPr>
      <w:instrText xml:space="preserve">PAGE  </w:instrText>
    </w:r>
    <w:r>
      <w:fldChar w:fldCharType="separate"/>
    </w:r>
    <w:r>
      <w:rPr>
        <w:rStyle w:val="27"/>
      </w:rPr>
      <w:t>122</w:t>
    </w:r>
    <w:r>
      <w:fldChar w:fldCharType="end"/>
    </w:r>
  </w:p>
  <w:p w14:paraId="67A6AA90">
    <w:pPr>
      <w:pStyle w:val="14"/>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C6B9C">
    <w:pPr>
      <w:widowControl/>
      <w:ind w:left="-360" w:right="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91442">
    <w:pPr>
      <w:pStyle w:val="1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36E98"/>
    <w:multiLevelType w:val="singleLevel"/>
    <w:tmpl w:val="97D36E98"/>
    <w:lvl w:ilvl="0" w:tentative="0">
      <w:start w:val="2"/>
      <w:numFmt w:val="decimal"/>
      <w:lvlText w:val="%1."/>
      <w:lvlJc w:val="left"/>
      <w:pPr>
        <w:tabs>
          <w:tab w:val="left" w:pos="312"/>
        </w:tabs>
      </w:pPr>
    </w:lvl>
  </w:abstractNum>
  <w:abstractNum w:abstractNumId="1">
    <w:nsid w:val="9851E5CB"/>
    <w:multiLevelType w:val="singleLevel"/>
    <w:tmpl w:val="9851E5CB"/>
    <w:lvl w:ilvl="0" w:tentative="0">
      <w:start w:val="7"/>
      <w:numFmt w:val="chineseCounting"/>
      <w:suff w:val="nothing"/>
      <w:lvlText w:val="%1、"/>
      <w:lvlJc w:val="left"/>
      <w:rPr>
        <w:rFonts w:hint="eastAsia"/>
      </w:rPr>
    </w:lvl>
  </w:abstractNum>
  <w:abstractNum w:abstractNumId="2">
    <w:nsid w:val="00000001"/>
    <w:multiLevelType w:val="singleLevel"/>
    <w:tmpl w:val="00000001"/>
    <w:lvl w:ilvl="0" w:tentative="0">
      <w:start w:val="1"/>
      <w:numFmt w:val="decimal"/>
      <w:suff w:val="nothing"/>
      <w:lvlText w:val="（%1）"/>
      <w:lvlJc w:val="left"/>
    </w:lvl>
  </w:abstractNum>
  <w:abstractNum w:abstractNumId="3">
    <w:nsid w:val="00000002"/>
    <w:multiLevelType w:val="multilevel"/>
    <w:tmpl w:val="0000000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6"/>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3"/>
    <w:multiLevelType w:val="singleLevel"/>
    <w:tmpl w:val="00000003"/>
    <w:lvl w:ilvl="0" w:tentative="0">
      <w:start w:val="1"/>
      <w:numFmt w:val="decimal"/>
      <w:suff w:val="nothing"/>
      <w:lvlText w:val="（%1）"/>
      <w:lvlJc w:val="left"/>
      <w:pPr>
        <w:ind w:left="0" w:firstLine="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dit="readOnly" w:formatting="1" w:enforcement="1" w:cryptProviderType="rsaFull" w:cryptAlgorithmClass="hash" w:cryptAlgorithmType="typeAny" w:cryptAlgorithmSid="4" w:cryptSpinCount="0" w:hash="e24u0FgAtPt7KR9H8NN3wi3ev1A=" w:salt="Vy1Oy3HcET9321FTaaZf2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kMTVkZGVlNjM5Y2I1YzE2NWI2YTdmZmFkOGI0MTkifQ=="/>
  </w:docVars>
  <w:rsids>
    <w:rsidRoot w:val="00172A27"/>
    <w:rsid w:val="000669FE"/>
    <w:rsid w:val="001240CB"/>
    <w:rsid w:val="00273590"/>
    <w:rsid w:val="002D4860"/>
    <w:rsid w:val="0030171D"/>
    <w:rsid w:val="0035682B"/>
    <w:rsid w:val="00390BC1"/>
    <w:rsid w:val="00396B2A"/>
    <w:rsid w:val="00415572"/>
    <w:rsid w:val="0043315D"/>
    <w:rsid w:val="0049458C"/>
    <w:rsid w:val="0051224F"/>
    <w:rsid w:val="0053426D"/>
    <w:rsid w:val="0072473B"/>
    <w:rsid w:val="007D7C88"/>
    <w:rsid w:val="00817AA9"/>
    <w:rsid w:val="00990CC6"/>
    <w:rsid w:val="009B6165"/>
    <w:rsid w:val="00A34A3B"/>
    <w:rsid w:val="00AE7ED5"/>
    <w:rsid w:val="00B04F1F"/>
    <w:rsid w:val="00BD2AD0"/>
    <w:rsid w:val="00C23769"/>
    <w:rsid w:val="00C3097D"/>
    <w:rsid w:val="00C4584A"/>
    <w:rsid w:val="00D7440B"/>
    <w:rsid w:val="00D84B94"/>
    <w:rsid w:val="00DA0FB4"/>
    <w:rsid w:val="00DA4E3C"/>
    <w:rsid w:val="00DC3BBF"/>
    <w:rsid w:val="00DE7A87"/>
    <w:rsid w:val="00F052FD"/>
    <w:rsid w:val="00F07FFA"/>
    <w:rsid w:val="00F52A8D"/>
    <w:rsid w:val="012E190F"/>
    <w:rsid w:val="016D0CA2"/>
    <w:rsid w:val="01ED45DB"/>
    <w:rsid w:val="024F2C06"/>
    <w:rsid w:val="0476765D"/>
    <w:rsid w:val="05152A51"/>
    <w:rsid w:val="0597502B"/>
    <w:rsid w:val="05E97C13"/>
    <w:rsid w:val="06245675"/>
    <w:rsid w:val="062D1378"/>
    <w:rsid w:val="0746375F"/>
    <w:rsid w:val="07920E0D"/>
    <w:rsid w:val="07B5669C"/>
    <w:rsid w:val="07B67780"/>
    <w:rsid w:val="07F94B34"/>
    <w:rsid w:val="08281AC6"/>
    <w:rsid w:val="08313CFB"/>
    <w:rsid w:val="08A52563"/>
    <w:rsid w:val="09993692"/>
    <w:rsid w:val="0A03332F"/>
    <w:rsid w:val="0A232A84"/>
    <w:rsid w:val="0ADB0637"/>
    <w:rsid w:val="0B1E3145"/>
    <w:rsid w:val="0BD93A0F"/>
    <w:rsid w:val="0C0A0F0C"/>
    <w:rsid w:val="0CAF38D3"/>
    <w:rsid w:val="0D3A2167"/>
    <w:rsid w:val="0DE7563E"/>
    <w:rsid w:val="0E23620F"/>
    <w:rsid w:val="0F121970"/>
    <w:rsid w:val="0F3E087B"/>
    <w:rsid w:val="0F3F7205"/>
    <w:rsid w:val="100A7FDF"/>
    <w:rsid w:val="104F7E83"/>
    <w:rsid w:val="108252A3"/>
    <w:rsid w:val="10DA6BAF"/>
    <w:rsid w:val="116964A8"/>
    <w:rsid w:val="11A008EF"/>
    <w:rsid w:val="11A117AE"/>
    <w:rsid w:val="12D815BF"/>
    <w:rsid w:val="12FC7FCF"/>
    <w:rsid w:val="1310745F"/>
    <w:rsid w:val="13211209"/>
    <w:rsid w:val="13365625"/>
    <w:rsid w:val="133D54C9"/>
    <w:rsid w:val="1345679E"/>
    <w:rsid w:val="13E76689"/>
    <w:rsid w:val="141144BB"/>
    <w:rsid w:val="14310E33"/>
    <w:rsid w:val="14397409"/>
    <w:rsid w:val="14AC0491"/>
    <w:rsid w:val="14F4251A"/>
    <w:rsid w:val="14FB20F4"/>
    <w:rsid w:val="15AE1730"/>
    <w:rsid w:val="15F1666D"/>
    <w:rsid w:val="16E95BE9"/>
    <w:rsid w:val="17450E25"/>
    <w:rsid w:val="17CA4C65"/>
    <w:rsid w:val="17D113CA"/>
    <w:rsid w:val="17F77A82"/>
    <w:rsid w:val="180B26A6"/>
    <w:rsid w:val="181221B2"/>
    <w:rsid w:val="18313495"/>
    <w:rsid w:val="18812545"/>
    <w:rsid w:val="18A916AA"/>
    <w:rsid w:val="18F67DE5"/>
    <w:rsid w:val="19DE336D"/>
    <w:rsid w:val="1A4F64FD"/>
    <w:rsid w:val="1A7839E3"/>
    <w:rsid w:val="1A7C1E75"/>
    <w:rsid w:val="1AE10923"/>
    <w:rsid w:val="1B6B20CD"/>
    <w:rsid w:val="1C632B49"/>
    <w:rsid w:val="1CA17916"/>
    <w:rsid w:val="1CA554F5"/>
    <w:rsid w:val="1CB60404"/>
    <w:rsid w:val="1DAC72AD"/>
    <w:rsid w:val="1DC62DC1"/>
    <w:rsid w:val="1F0F1D1A"/>
    <w:rsid w:val="1F2F2F72"/>
    <w:rsid w:val="1F614F87"/>
    <w:rsid w:val="1FD02C57"/>
    <w:rsid w:val="20A2131F"/>
    <w:rsid w:val="20E933DC"/>
    <w:rsid w:val="211E40AD"/>
    <w:rsid w:val="21674E89"/>
    <w:rsid w:val="218C2A26"/>
    <w:rsid w:val="21FE5CD7"/>
    <w:rsid w:val="2203294E"/>
    <w:rsid w:val="221C15BD"/>
    <w:rsid w:val="2236180E"/>
    <w:rsid w:val="225A3B0B"/>
    <w:rsid w:val="226C67A8"/>
    <w:rsid w:val="22A854A3"/>
    <w:rsid w:val="23A85C74"/>
    <w:rsid w:val="23C1459B"/>
    <w:rsid w:val="23FD14CA"/>
    <w:rsid w:val="24A036E4"/>
    <w:rsid w:val="24F320C9"/>
    <w:rsid w:val="25205A7B"/>
    <w:rsid w:val="25423C43"/>
    <w:rsid w:val="257870FD"/>
    <w:rsid w:val="25E42BF4"/>
    <w:rsid w:val="25E602E6"/>
    <w:rsid w:val="25EB649A"/>
    <w:rsid w:val="26395046"/>
    <w:rsid w:val="26AB1A5F"/>
    <w:rsid w:val="28505D0A"/>
    <w:rsid w:val="287F1449"/>
    <w:rsid w:val="29344ADA"/>
    <w:rsid w:val="295A2377"/>
    <w:rsid w:val="296A61DF"/>
    <w:rsid w:val="29CE2227"/>
    <w:rsid w:val="2A0D0CC4"/>
    <w:rsid w:val="2AAA759D"/>
    <w:rsid w:val="2BFE6E4E"/>
    <w:rsid w:val="2C305E98"/>
    <w:rsid w:val="2CA363A8"/>
    <w:rsid w:val="2CB63A29"/>
    <w:rsid w:val="2D1724E3"/>
    <w:rsid w:val="2DD51F98"/>
    <w:rsid w:val="2E0C30CE"/>
    <w:rsid w:val="2E2B600A"/>
    <w:rsid w:val="2FF85A46"/>
    <w:rsid w:val="3037256A"/>
    <w:rsid w:val="309D6C5E"/>
    <w:rsid w:val="30D25569"/>
    <w:rsid w:val="30FC7873"/>
    <w:rsid w:val="31A87160"/>
    <w:rsid w:val="321628B3"/>
    <w:rsid w:val="3243100D"/>
    <w:rsid w:val="32AB67C9"/>
    <w:rsid w:val="3329511C"/>
    <w:rsid w:val="333D3C9C"/>
    <w:rsid w:val="339461DC"/>
    <w:rsid w:val="344650D2"/>
    <w:rsid w:val="34692F9B"/>
    <w:rsid w:val="349C6595"/>
    <w:rsid w:val="34C76F4E"/>
    <w:rsid w:val="34C84436"/>
    <w:rsid w:val="34D976C7"/>
    <w:rsid w:val="356635FC"/>
    <w:rsid w:val="35C054C0"/>
    <w:rsid w:val="364F2651"/>
    <w:rsid w:val="365F75AD"/>
    <w:rsid w:val="37610B11"/>
    <w:rsid w:val="37812F58"/>
    <w:rsid w:val="379C5435"/>
    <w:rsid w:val="38076CCE"/>
    <w:rsid w:val="380F20AB"/>
    <w:rsid w:val="383B1D57"/>
    <w:rsid w:val="38895AF0"/>
    <w:rsid w:val="38E250CA"/>
    <w:rsid w:val="39122689"/>
    <w:rsid w:val="3AA503D7"/>
    <w:rsid w:val="3B455E28"/>
    <w:rsid w:val="3B6528DC"/>
    <w:rsid w:val="3BB250AA"/>
    <w:rsid w:val="3BD07684"/>
    <w:rsid w:val="3BF04EA6"/>
    <w:rsid w:val="3BF159CF"/>
    <w:rsid w:val="3C696000"/>
    <w:rsid w:val="3CA256FB"/>
    <w:rsid w:val="3CAD26F6"/>
    <w:rsid w:val="3CB61B58"/>
    <w:rsid w:val="3D4B53AD"/>
    <w:rsid w:val="3DF136D1"/>
    <w:rsid w:val="3F4D34B9"/>
    <w:rsid w:val="3F80227D"/>
    <w:rsid w:val="3FC70FA2"/>
    <w:rsid w:val="41635D34"/>
    <w:rsid w:val="41DE6EB7"/>
    <w:rsid w:val="41E81DBB"/>
    <w:rsid w:val="42077494"/>
    <w:rsid w:val="42415557"/>
    <w:rsid w:val="42686FCC"/>
    <w:rsid w:val="42D3596A"/>
    <w:rsid w:val="43351A6F"/>
    <w:rsid w:val="433A3D54"/>
    <w:rsid w:val="43BD084E"/>
    <w:rsid w:val="43EF3E59"/>
    <w:rsid w:val="44525622"/>
    <w:rsid w:val="448D2241"/>
    <w:rsid w:val="4515424B"/>
    <w:rsid w:val="457751EE"/>
    <w:rsid w:val="45A93B39"/>
    <w:rsid w:val="466E080E"/>
    <w:rsid w:val="468772B0"/>
    <w:rsid w:val="47041BE5"/>
    <w:rsid w:val="475519A9"/>
    <w:rsid w:val="47BC5F5B"/>
    <w:rsid w:val="47F45AF2"/>
    <w:rsid w:val="486B6A56"/>
    <w:rsid w:val="48C42A3E"/>
    <w:rsid w:val="48D93684"/>
    <w:rsid w:val="491E20B0"/>
    <w:rsid w:val="49B368B7"/>
    <w:rsid w:val="4A060753"/>
    <w:rsid w:val="4A155339"/>
    <w:rsid w:val="4A3B6D2F"/>
    <w:rsid w:val="4A427DA8"/>
    <w:rsid w:val="4A6313CC"/>
    <w:rsid w:val="4AFD6B02"/>
    <w:rsid w:val="4CD66390"/>
    <w:rsid w:val="4CDC74A9"/>
    <w:rsid w:val="4CF57C60"/>
    <w:rsid w:val="4D8B65FE"/>
    <w:rsid w:val="4DB63172"/>
    <w:rsid w:val="4DDF31CE"/>
    <w:rsid w:val="4E1B47BC"/>
    <w:rsid w:val="4E5275D2"/>
    <w:rsid w:val="4E6B160F"/>
    <w:rsid w:val="4E8324CC"/>
    <w:rsid w:val="4E8613C6"/>
    <w:rsid w:val="4FD73056"/>
    <w:rsid w:val="51020851"/>
    <w:rsid w:val="510459BD"/>
    <w:rsid w:val="51D3784E"/>
    <w:rsid w:val="51DC4B0E"/>
    <w:rsid w:val="51F03663"/>
    <w:rsid w:val="522E0CD4"/>
    <w:rsid w:val="52666F88"/>
    <w:rsid w:val="529B37E2"/>
    <w:rsid w:val="52A1682D"/>
    <w:rsid w:val="52B409EF"/>
    <w:rsid w:val="52B62005"/>
    <w:rsid w:val="52B74913"/>
    <w:rsid w:val="52D93700"/>
    <w:rsid w:val="533E45C8"/>
    <w:rsid w:val="534E795C"/>
    <w:rsid w:val="538C6B9C"/>
    <w:rsid w:val="5401750B"/>
    <w:rsid w:val="54154F2F"/>
    <w:rsid w:val="54511991"/>
    <w:rsid w:val="54754F62"/>
    <w:rsid w:val="54860B39"/>
    <w:rsid w:val="54EA08F0"/>
    <w:rsid w:val="54F167E2"/>
    <w:rsid w:val="54F527EA"/>
    <w:rsid w:val="55011595"/>
    <w:rsid w:val="55044C49"/>
    <w:rsid w:val="55325E6D"/>
    <w:rsid w:val="562A1922"/>
    <w:rsid w:val="566F7EB5"/>
    <w:rsid w:val="56B9622D"/>
    <w:rsid w:val="56BF3A28"/>
    <w:rsid w:val="574E0A14"/>
    <w:rsid w:val="57A04B71"/>
    <w:rsid w:val="57BD1CD2"/>
    <w:rsid w:val="57C806C2"/>
    <w:rsid w:val="5818337D"/>
    <w:rsid w:val="581C03F5"/>
    <w:rsid w:val="5850568B"/>
    <w:rsid w:val="587E61F5"/>
    <w:rsid w:val="58BC12CC"/>
    <w:rsid w:val="59184E6E"/>
    <w:rsid w:val="59574472"/>
    <w:rsid w:val="59B51D65"/>
    <w:rsid w:val="59EF3BC5"/>
    <w:rsid w:val="5A202CD9"/>
    <w:rsid w:val="5A2E11C2"/>
    <w:rsid w:val="5B1850CF"/>
    <w:rsid w:val="5B2E3C2F"/>
    <w:rsid w:val="5BAB7B3F"/>
    <w:rsid w:val="5CA906AD"/>
    <w:rsid w:val="5D34733E"/>
    <w:rsid w:val="5D734A5D"/>
    <w:rsid w:val="5D8A1702"/>
    <w:rsid w:val="5D994523"/>
    <w:rsid w:val="5DDC783E"/>
    <w:rsid w:val="5E474693"/>
    <w:rsid w:val="5ECA5457"/>
    <w:rsid w:val="5F656DCD"/>
    <w:rsid w:val="5F812FDF"/>
    <w:rsid w:val="5F9128A3"/>
    <w:rsid w:val="5FB44FA7"/>
    <w:rsid w:val="60C06B71"/>
    <w:rsid w:val="60CD743A"/>
    <w:rsid w:val="617E2B51"/>
    <w:rsid w:val="61934B63"/>
    <w:rsid w:val="61E82EA1"/>
    <w:rsid w:val="624C4B4A"/>
    <w:rsid w:val="62A72177"/>
    <w:rsid w:val="62D80B08"/>
    <w:rsid w:val="62E65E7A"/>
    <w:rsid w:val="6379289B"/>
    <w:rsid w:val="63B836D1"/>
    <w:rsid w:val="63BC5875"/>
    <w:rsid w:val="63F44B0F"/>
    <w:rsid w:val="64374997"/>
    <w:rsid w:val="647A6821"/>
    <w:rsid w:val="647C43C9"/>
    <w:rsid w:val="650747E2"/>
    <w:rsid w:val="65085608"/>
    <w:rsid w:val="652A6B59"/>
    <w:rsid w:val="653A0EFD"/>
    <w:rsid w:val="65C05346"/>
    <w:rsid w:val="660A0F87"/>
    <w:rsid w:val="66363D67"/>
    <w:rsid w:val="665B3382"/>
    <w:rsid w:val="66B66DF4"/>
    <w:rsid w:val="670B0F70"/>
    <w:rsid w:val="673532CA"/>
    <w:rsid w:val="673C21C9"/>
    <w:rsid w:val="6790159E"/>
    <w:rsid w:val="679A0EFB"/>
    <w:rsid w:val="6809013D"/>
    <w:rsid w:val="680E66E4"/>
    <w:rsid w:val="685B302B"/>
    <w:rsid w:val="68C73267"/>
    <w:rsid w:val="69135EB9"/>
    <w:rsid w:val="69282B19"/>
    <w:rsid w:val="69673896"/>
    <w:rsid w:val="698A02F3"/>
    <w:rsid w:val="69A67E89"/>
    <w:rsid w:val="69E33EC6"/>
    <w:rsid w:val="69EB0394"/>
    <w:rsid w:val="69FE7B3E"/>
    <w:rsid w:val="6A283551"/>
    <w:rsid w:val="6A846A7C"/>
    <w:rsid w:val="6AD44288"/>
    <w:rsid w:val="6BB63790"/>
    <w:rsid w:val="6C180DCF"/>
    <w:rsid w:val="6C5606EB"/>
    <w:rsid w:val="6C5A7C50"/>
    <w:rsid w:val="6C967CD0"/>
    <w:rsid w:val="6D3D1D71"/>
    <w:rsid w:val="6D8048D6"/>
    <w:rsid w:val="6DF46B4F"/>
    <w:rsid w:val="6E22773B"/>
    <w:rsid w:val="6E40598A"/>
    <w:rsid w:val="6F07667A"/>
    <w:rsid w:val="6F0857E4"/>
    <w:rsid w:val="70320200"/>
    <w:rsid w:val="704A345D"/>
    <w:rsid w:val="70A82B9F"/>
    <w:rsid w:val="70C034B7"/>
    <w:rsid w:val="70CD3AC4"/>
    <w:rsid w:val="70D7170B"/>
    <w:rsid w:val="717F1A62"/>
    <w:rsid w:val="71BE0300"/>
    <w:rsid w:val="71C054EF"/>
    <w:rsid w:val="71E56CE2"/>
    <w:rsid w:val="724F0992"/>
    <w:rsid w:val="72873A68"/>
    <w:rsid w:val="72BE7843"/>
    <w:rsid w:val="73057BF8"/>
    <w:rsid w:val="73086948"/>
    <w:rsid w:val="73834F73"/>
    <w:rsid w:val="73A363F3"/>
    <w:rsid w:val="73D3412F"/>
    <w:rsid w:val="73DD2793"/>
    <w:rsid w:val="73E40234"/>
    <w:rsid w:val="740C58AA"/>
    <w:rsid w:val="746E58E9"/>
    <w:rsid w:val="74CE676B"/>
    <w:rsid w:val="757A7E5C"/>
    <w:rsid w:val="75963445"/>
    <w:rsid w:val="7600299C"/>
    <w:rsid w:val="767F318E"/>
    <w:rsid w:val="76B86E8E"/>
    <w:rsid w:val="76CC46E8"/>
    <w:rsid w:val="76FD2AE2"/>
    <w:rsid w:val="772D471E"/>
    <w:rsid w:val="77BC29AE"/>
    <w:rsid w:val="77C14AA6"/>
    <w:rsid w:val="789C342F"/>
    <w:rsid w:val="78DB1AEF"/>
    <w:rsid w:val="7A4A295B"/>
    <w:rsid w:val="7A8C7B9E"/>
    <w:rsid w:val="7ABB4647"/>
    <w:rsid w:val="7B435587"/>
    <w:rsid w:val="7B831F21"/>
    <w:rsid w:val="7BC10441"/>
    <w:rsid w:val="7C6D27B0"/>
    <w:rsid w:val="7C9C0C73"/>
    <w:rsid w:val="7CDB5C12"/>
    <w:rsid w:val="7CE863E4"/>
    <w:rsid w:val="7CFB5A28"/>
    <w:rsid w:val="7D3433FC"/>
    <w:rsid w:val="7D360DD8"/>
    <w:rsid w:val="7D9B3066"/>
    <w:rsid w:val="7DA37124"/>
    <w:rsid w:val="7E162D9E"/>
    <w:rsid w:val="7E681F44"/>
    <w:rsid w:val="7EAC26D6"/>
    <w:rsid w:val="7EF10E29"/>
    <w:rsid w:val="7F163163"/>
    <w:rsid w:val="7F4D07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1"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autoRedefine/>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autoRedefine/>
    <w:qFormat/>
    <w:uiPriority w:val="9"/>
    <w:pPr>
      <w:keepNext/>
      <w:keepLines/>
      <w:spacing w:line="600" w:lineRule="exact"/>
      <w:ind w:firstLine="643" w:firstLineChars="200"/>
      <w:outlineLvl w:val="2"/>
    </w:pPr>
    <w:rPr>
      <w:b/>
      <w:bCs/>
      <w:sz w:val="32"/>
      <w:szCs w:val="32"/>
    </w:rPr>
  </w:style>
  <w:style w:type="paragraph" w:styleId="6">
    <w:name w:val="heading 4"/>
    <w:basedOn w:val="1"/>
    <w:next w:val="1"/>
    <w:autoRedefine/>
    <w:qFormat/>
    <w:uiPriority w:val="0"/>
    <w:pPr>
      <w:keepNext/>
      <w:keepLines/>
      <w:numPr>
        <w:ilvl w:val="3"/>
        <w:numId w:val="1"/>
      </w:numPr>
      <w:spacing w:before="280" w:after="290" w:line="372" w:lineRule="auto"/>
      <w:outlineLvl w:val="3"/>
    </w:pPr>
    <w:rPr>
      <w:rFonts w:ascii="Arial" w:hAnsi="Arial" w:eastAsia="黑体"/>
      <w:b/>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7">
    <w:name w:val="index 8"/>
    <w:basedOn w:val="1"/>
    <w:next w:val="1"/>
    <w:autoRedefine/>
    <w:qFormat/>
    <w:uiPriority w:val="0"/>
    <w:pPr>
      <w:ind w:left="2940"/>
    </w:pPr>
  </w:style>
  <w:style w:type="paragraph" w:styleId="8">
    <w:name w:val="Normal Indent"/>
    <w:basedOn w:val="1"/>
    <w:next w:val="1"/>
    <w:autoRedefine/>
    <w:qFormat/>
    <w:uiPriority w:val="99"/>
    <w:pPr>
      <w:ind w:firstLine="420"/>
    </w:pPr>
    <w:rPr>
      <w:szCs w:val="20"/>
    </w:rPr>
  </w:style>
  <w:style w:type="paragraph" w:styleId="9">
    <w:name w:val="annotation text"/>
    <w:basedOn w:val="1"/>
    <w:link w:val="42"/>
    <w:autoRedefine/>
    <w:qFormat/>
    <w:uiPriority w:val="99"/>
    <w:pPr>
      <w:jc w:val="left"/>
    </w:pPr>
  </w:style>
  <w:style w:type="paragraph" w:styleId="10">
    <w:name w:val="Body Text Indent"/>
    <w:basedOn w:val="1"/>
    <w:next w:val="1"/>
    <w:autoRedefine/>
    <w:qFormat/>
    <w:uiPriority w:val="99"/>
    <w:pPr>
      <w:spacing w:line="200" w:lineRule="exact"/>
      <w:ind w:firstLine="301"/>
    </w:pPr>
    <w:rPr>
      <w:rFonts w:ascii="宋体" w:hAnsi="Courier New"/>
      <w:spacing w:val="-4"/>
      <w:sz w:val="18"/>
      <w:szCs w:val="20"/>
    </w:rPr>
  </w:style>
  <w:style w:type="paragraph" w:styleId="11">
    <w:name w:val="toc 3"/>
    <w:basedOn w:val="1"/>
    <w:next w:val="1"/>
    <w:autoRedefine/>
    <w:qFormat/>
    <w:uiPriority w:val="39"/>
    <w:pPr>
      <w:jc w:val="left"/>
    </w:pPr>
    <w:rPr>
      <w:rFonts w:ascii="Calibri" w:hAnsi="Calibri"/>
      <w:smallCaps/>
      <w:sz w:val="22"/>
      <w:szCs w:val="22"/>
    </w:rPr>
  </w:style>
  <w:style w:type="paragraph" w:styleId="12">
    <w:name w:val="Plain Text"/>
    <w:basedOn w:val="1"/>
    <w:next w:val="7"/>
    <w:autoRedefine/>
    <w:qFormat/>
    <w:uiPriority w:val="0"/>
    <w:rPr>
      <w:rFonts w:ascii="宋体" w:hAnsi="Courier New"/>
      <w:szCs w:val="20"/>
    </w:rPr>
  </w:style>
  <w:style w:type="paragraph" w:styleId="13">
    <w:name w:val="Balloon Text"/>
    <w:basedOn w:val="1"/>
    <w:link w:val="41"/>
    <w:autoRedefine/>
    <w:qFormat/>
    <w:uiPriority w:val="0"/>
    <w:rPr>
      <w:sz w:val="18"/>
      <w:szCs w:val="18"/>
    </w:rPr>
  </w:style>
  <w:style w:type="paragraph" w:styleId="14">
    <w:name w:val="footer"/>
    <w:basedOn w:val="1"/>
    <w:autoRedefine/>
    <w:qFormat/>
    <w:uiPriority w:val="99"/>
    <w:pPr>
      <w:tabs>
        <w:tab w:val="center" w:pos="4153"/>
        <w:tab w:val="right" w:pos="8306"/>
      </w:tabs>
      <w:snapToGrid w:val="0"/>
      <w:jc w:val="left"/>
    </w:pPr>
    <w:rPr>
      <w:sz w:val="18"/>
      <w:szCs w:val="18"/>
    </w:rPr>
  </w:style>
  <w:style w:type="paragraph" w:styleId="15">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spacing w:before="360" w:after="360"/>
      <w:jc w:val="left"/>
    </w:pPr>
    <w:rPr>
      <w:rFonts w:ascii="Calibri" w:hAnsi="Calibri"/>
      <w:b/>
      <w:bCs/>
      <w:caps/>
      <w:sz w:val="22"/>
      <w:szCs w:val="22"/>
      <w:u w:val="single"/>
    </w:rPr>
  </w:style>
  <w:style w:type="paragraph" w:styleId="17">
    <w:name w:val="List"/>
    <w:basedOn w:val="1"/>
    <w:autoRedefine/>
    <w:qFormat/>
    <w:uiPriority w:val="99"/>
    <w:pPr>
      <w:ind w:left="200" w:hanging="200" w:hangingChars="200"/>
    </w:pPr>
    <w:rPr>
      <w:sz w:val="28"/>
    </w:rPr>
  </w:style>
  <w:style w:type="paragraph" w:styleId="18">
    <w:name w:val="toc 2"/>
    <w:basedOn w:val="1"/>
    <w:next w:val="1"/>
    <w:autoRedefine/>
    <w:qFormat/>
    <w:uiPriority w:val="39"/>
    <w:pPr>
      <w:jc w:val="left"/>
    </w:pPr>
    <w:rPr>
      <w:rFonts w:ascii="Calibri" w:hAnsi="Calibri"/>
      <w:b/>
      <w:bCs/>
      <w:smallCaps/>
      <w:sz w:val="22"/>
      <w:szCs w:val="22"/>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Title"/>
    <w:basedOn w:val="1"/>
    <w:next w:val="1"/>
    <w:autoRedefine/>
    <w:qFormat/>
    <w:uiPriority w:val="10"/>
    <w:pPr>
      <w:spacing w:before="240" w:after="60"/>
      <w:jc w:val="center"/>
      <w:outlineLvl w:val="0"/>
    </w:pPr>
    <w:rPr>
      <w:rFonts w:ascii="Cambria" w:hAnsi="Cambria"/>
      <w:b/>
      <w:bCs/>
      <w:sz w:val="32"/>
      <w:szCs w:val="32"/>
    </w:rPr>
  </w:style>
  <w:style w:type="paragraph" w:styleId="21">
    <w:name w:val="annotation subject"/>
    <w:basedOn w:val="9"/>
    <w:next w:val="9"/>
    <w:link w:val="43"/>
    <w:autoRedefine/>
    <w:qFormat/>
    <w:uiPriority w:val="0"/>
    <w:rPr>
      <w:b/>
      <w:bCs/>
    </w:rPr>
  </w:style>
  <w:style w:type="paragraph" w:styleId="22">
    <w:name w:val="Body Text First Indent 2"/>
    <w:basedOn w:val="1"/>
    <w:autoRedefine/>
    <w:qFormat/>
    <w:uiPriority w:val="1"/>
    <w:pPr>
      <w:ind w:firstLine="420" w:firstLineChars="200"/>
    </w:p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page number"/>
    <w:autoRedefine/>
    <w:qFormat/>
    <w:uiPriority w:val="99"/>
  </w:style>
  <w:style w:type="character" w:styleId="28">
    <w:name w:val="Hyperlink"/>
    <w:autoRedefine/>
    <w:qFormat/>
    <w:uiPriority w:val="99"/>
    <w:rPr>
      <w:color w:val="0000FF"/>
      <w:u w:val="single"/>
    </w:rPr>
  </w:style>
  <w:style w:type="character" w:styleId="29">
    <w:name w:val="annotation reference"/>
    <w:basedOn w:val="25"/>
    <w:autoRedefine/>
    <w:qFormat/>
    <w:uiPriority w:val="0"/>
    <w:rPr>
      <w:sz w:val="21"/>
      <w:szCs w:val="21"/>
    </w:rPr>
  </w:style>
  <w:style w:type="paragraph" w:customStyle="1" w:styleId="30">
    <w:name w:val="Default"/>
    <w:next w:val="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1">
    <w:name w:val="表格文字"/>
    <w:basedOn w:val="1"/>
    <w:next w:val="2"/>
    <w:autoRedefine/>
    <w:qFormat/>
    <w:uiPriority w:val="99"/>
    <w:pPr>
      <w:spacing w:before="25" w:after="25"/>
    </w:pPr>
    <w:rPr>
      <w:bCs/>
      <w:spacing w:val="10"/>
      <w:sz w:val="24"/>
      <w:szCs w:val="20"/>
    </w:rPr>
  </w:style>
  <w:style w:type="character" w:customStyle="1" w:styleId="32">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3">
    <w:name w:val="正文2"/>
    <w:basedOn w:val="1"/>
    <w:autoRedefine/>
    <w:qFormat/>
    <w:uiPriority w:val="0"/>
    <w:pPr>
      <w:adjustRightInd w:val="0"/>
      <w:spacing w:before="156" w:line="360" w:lineRule="auto"/>
      <w:ind w:firstLine="510" w:firstLineChars="200"/>
    </w:pPr>
    <w:rPr>
      <w:sz w:val="24"/>
      <w:szCs w:val="20"/>
    </w:rPr>
  </w:style>
  <w:style w:type="paragraph" w:styleId="34">
    <w:name w:val="List Paragraph"/>
    <w:basedOn w:val="1"/>
    <w:autoRedefine/>
    <w:qFormat/>
    <w:uiPriority w:val="34"/>
    <w:pPr>
      <w:ind w:firstLine="420" w:firstLineChars="200"/>
    </w:pPr>
  </w:style>
  <w:style w:type="paragraph" w:customStyle="1" w:styleId="35">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6">
    <w:name w:val="样式5"/>
    <w:basedOn w:val="1"/>
    <w:autoRedefine/>
    <w:qFormat/>
    <w:uiPriority w:val="0"/>
    <w:pPr>
      <w:adjustRightInd w:val="0"/>
      <w:spacing w:line="440" w:lineRule="exact"/>
      <w:ind w:left="2" w:firstLine="480" w:firstLineChars="200"/>
    </w:pPr>
    <w:rPr>
      <w:rFonts w:ascii="仿宋_GB2312" w:hAnsi="仿宋" w:eastAsia="仿宋_GB2312"/>
      <w:sz w:val="24"/>
    </w:rPr>
  </w:style>
  <w:style w:type="paragraph" w:customStyle="1" w:styleId="37">
    <w:name w:val="自定义正文"/>
    <w:autoRedefine/>
    <w:qFormat/>
    <w:uiPriority w:val="0"/>
    <w:pPr>
      <w:spacing w:line="360" w:lineRule="auto"/>
      <w:ind w:firstLine="420" w:firstLineChars="200"/>
    </w:pPr>
    <w:rPr>
      <w:rFonts w:ascii="宋体" w:hAnsi="宋体" w:eastAsia="宋体" w:cs="Times New Roman"/>
      <w:sz w:val="28"/>
      <w:lang w:val="en-US" w:eastAsia="zh-CN" w:bidi="ar-SA"/>
    </w:rPr>
  </w:style>
  <w:style w:type="paragraph" w:customStyle="1" w:styleId="38">
    <w:name w:val="表格"/>
    <w:basedOn w:val="1"/>
    <w:autoRedefine/>
    <w:qFormat/>
    <w:uiPriority w:val="0"/>
    <w:pPr>
      <w:adjustRightInd w:val="0"/>
      <w:snapToGrid w:val="0"/>
      <w:spacing w:line="288" w:lineRule="auto"/>
      <w:jc w:val="center"/>
    </w:pPr>
    <w:rPr>
      <w:rFonts w:ascii="仿宋" w:hAnsi="仿宋" w:eastAsia="仿宋"/>
      <w:lang w:val="zh-CN"/>
    </w:rPr>
  </w:style>
  <w:style w:type="paragraph" w:customStyle="1" w:styleId="39">
    <w:name w:val="Title1"/>
    <w:basedOn w:val="1"/>
    <w:next w:val="1"/>
    <w:autoRedefine/>
    <w:qFormat/>
    <w:uiPriority w:val="0"/>
    <w:pPr>
      <w:jc w:val="center"/>
      <w:outlineLvl w:val="0"/>
    </w:pPr>
    <w:rPr>
      <w:rFonts w:ascii="Calibri Light" w:hAnsi="Calibri Light" w:eastAsia="Arial Unicode MS"/>
      <w:b/>
    </w:rPr>
  </w:style>
  <w:style w:type="paragraph" w:customStyle="1" w:styleId="40">
    <w:name w:val="列出段落1"/>
    <w:basedOn w:val="1"/>
    <w:autoRedefine/>
    <w:qFormat/>
    <w:uiPriority w:val="0"/>
    <w:pPr>
      <w:spacing w:before="100" w:beforeAutospacing="1" w:after="100" w:afterAutospacing="1" w:line="360" w:lineRule="auto"/>
      <w:ind w:firstLine="420" w:firstLineChars="200"/>
    </w:pPr>
  </w:style>
  <w:style w:type="character" w:customStyle="1" w:styleId="41">
    <w:name w:val="批注框文本 Char"/>
    <w:basedOn w:val="25"/>
    <w:link w:val="13"/>
    <w:autoRedefine/>
    <w:qFormat/>
    <w:uiPriority w:val="0"/>
    <w:rPr>
      <w:kern w:val="2"/>
      <w:sz w:val="18"/>
      <w:szCs w:val="18"/>
    </w:rPr>
  </w:style>
  <w:style w:type="character" w:customStyle="1" w:styleId="42">
    <w:name w:val="批注文字 Char"/>
    <w:basedOn w:val="25"/>
    <w:link w:val="9"/>
    <w:autoRedefine/>
    <w:qFormat/>
    <w:uiPriority w:val="99"/>
    <w:rPr>
      <w:kern w:val="2"/>
      <w:sz w:val="21"/>
      <w:szCs w:val="24"/>
    </w:rPr>
  </w:style>
  <w:style w:type="character" w:customStyle="1" w:styleId="43">
    <w:name w:val="批注主题 Char"/>
    <w:basedOn w:val="42"/>
    <w:link w:val="21"/>
    <w:autoRedefine/>
    <w:qFormat/>
    <w:uiPriority w:val="0"/>
    <w:rPr>
      <w:kern w:val="2"/>
      <w:sz w:val="21"/>
      <w:szCs w:val="24"/>
    </w:rPr>
  </w:style>
  <w:style w:type="paragraph" w:customStyle="1" w:styleId="44">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45">
    <w:name w:val="修订2"/>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4790F6-59B1-48A3-8D21-DA3871B0C7FD}">
  <ds:schemaRefs/>
</ds:datastoreItem>
</file>

<file path=docProps/app.xml><?xml version="1.0" encoding="utf-8"?>
<Properties xmlns="http://schemas.openxmlformats.org/officeDocument/2006/extended-properties" xmlns:vt="http://schemas.openxmlformats.org/officeDocument/2006/docPropsVTypes">
  <Template>Normal</Template>
  <Pages>166</Pages>
  <Words>23884</Words>
  <Characters>25388</Characters>
  <Lines>106</Lines>
  <Paragraphs>134</Paragraphs>
  <TotalTime>0</TotalTime>
  <ScaleCrop>false</ScaleCrop>
  <LinksUpToDate>false</LinksUpToDate>
  <CharactersWithSpaces>25600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2026-04-16T14:59:00Z</dcterms:created>
  <dc:creator>Laughing</dc:creator>
  <cp:lastModifiedBy>XL</cp:lastModifiedBy>
  <cp:lastPrinted>2026-06-01T09:34:00Z</cp:lastPrinted>
  <dcterms:modified xsi:type="dcterms:W3CDTF">2026-08-05T03:33:24Z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FCB252534A3B4031B5B45A80EAC8CB18_13</vt:lpwstr>
  </property>
  <property fmtid="{D5CDD505-2E9C-101B-9397-08002B2CF9AE}" pid="4" name="KSOTemplateDocerSaveRecord">
    <vt:lpwstr>eyJoZGlkIjoiMDQ0MjhjOWI2MzBkOWNlMWEwZGE1OTI2MzBhODlkODMiLCJ1c2VySWQiOiIxMTM3OTUwNDk5In0=</vt:lpwstr>
  </property>
</Properties>
</file>